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4D3DD27">
      <w:pPr>
        <w:rPr>
          <w:color w:val="auto"/>
          <w:sz w:val="28"/>
          <w:szCs w:val="28"/>
        </w:rPr>
      </w:pPr>
      <w:bookmarkStart w:id="0" w:name="_Toc339121993"/>
    </w:p>
    <w:p w14:paraId="7601FEED">
      <w:pPr>
        <w:rPr>
          <w:color w:val="auto"/>
          <w:sz w:val="30"/>
          <w:szCs w:val="30"/>
        </w:rPr>
      </w:pPr>
    </w:p>
    <w:p w14:paraId="424BAD25">
      <w:pPr>
        <w:rPr>
          <w:color w:val="auto"/>
          <w:sz w:val="30"/>
          <w:szCs w:val="30"/>
        </w:rPr>
      </w:pPr>
    </w:p>
    <w:p w14:paraId="4733014A">
      <w:pPr>
        <w:rPr>
          <w:color w:val="auto"/>
          <w:sz w:val="30"/>
          <w:szCs w:val="30"/>
        </w:rPr>
      </w:pPr>
    </w:p>
    <w:p w14:paraId="48EA1984">
      <w:pPr>
        <w:spacing w:line="720" w:lineRule="auto"/>
        <w:jc w:val="center"/>
        <w:rPr>
          <w:rFonts w:hint="eastAsia"/>
          <w:b/>
          <w:bCs/>
          <w:sz w:val="48"/>
          <w:szCs w:val="48"/>
          <w:lang w:eastAsia="zh-CN"/>
        </w:rPr>
      </w:pPr>
      <w:r>
        <w:rPr>
          <w:rFonts w:hint="eastAsia" w:ascii="宋体" w:hAnsi="宋体" w:cs="宋体"/>
          <w:b/>
          <w:color w:val="000000"/>
          <w:sz w:val="48"/>
          <w:szCs w:val="48"/>
          <w:lang w:val="en-US" w:eastAsia="zh-CN"/>
        </w:rPr>
        <w:t>北票大力铁精粉精选厂</w:t>
      </w:r>
      <w:r>
        <w:rPr>
          <w:rFonts w:hint="eastAsia"/>
          <w:b/>
          <w:bCs/>
          <w:sz w:val="48"/>
          <w:szCs w:val="48"/>
          <w:lang w:eastAsia="zh-CN"/>
        </w:rPr>
        <w:t>改扩建项目</w:t>
      </w:r>
    </w:p>
    <w:p w14:paraId="244BB012">
      <w:pPr>
        <w:spacing w:line="720" w:lineRule="auto"/>
        <w:jc w:val="center"/>
        <w:rPr>
          <w:b/>
          <w:bCs/>
          <w:color w:val="auto"/>
          <w:sz w:val="48"/>
          <w:szCs w:val="48"/>
        </w:rPr>
      </w:pPr>
      <w:r>
        <w:rPr>
          <w:rFonts w:hint="eastAsia"/>
          <w:b/>
          <w:bCs/>
          <w:sz w:val="48"/>
          <w:szCs w:val="48"/>
        </w:rPr>
        <w:t>环境影响报告书</w:t>
      </w:r>
    </w:p>
    <w:p w14:paraId="7420DA3D">
      <w:pPr>
        <w:jc w:val="center"/>
        <w:rPr>
          <w:color w:val="auto"/>
          <w:sz w:val="36"/>
          <w:szCs w:val="36"/>
        </w:rPr>
      </w:pPr>
    </w:p>
    <w:p w14:paraId="205EC54D">
      <w:pPr>
        <w:pStyle w:val="74"/>
        <w:rPr>
          <w:color w:val="auto"/>
          <w:sz w:val="36"/>
          <w:szCs w:val="36"/>
        </w:rPr>
      </w:pPr>
    </w:p>
    <w:p w14:paraId="3C8AA9E7">
      <w:pPr>
        <w:rPr>
          <w:color w:val="auto"/>
          <w:sz w:val="36"/>
          <w:szCs w:val="36"/>
        </w:rPr>
      </w:pPr>
    </w:p>
    <w:p w14:paraId="639951B4">
      <w:pPr>
        <w:pStyle w:val="74"/>
        <w:ind w:left="0" w:leftChars="0" w:firstLine="0" w:firstLineChars="0"/>
        <w:rPr>
          <w:rFonts w:hint="default" w:eastAsia="宋体"/>
          <w:color w:val="auto"/>
          <w:sz w:val="44"/>
          <w:szCs w:val="44"/>
          <w:highlight w:val="yellow"/>
          <w:lang w:val="en-US" w:eastAsia="zh-CN"/>
        </w:rPr>
      </w:pPr>
    </w:p>
    <w:p w14:paraId="2822F368">
      <w:pPr>
        <w:rPr>
          <w:rFonts w:hint="default"/>
          <w:lang w:val="en-US" w:eastAsia="zh-CN"/>
        </w:rPr>
      </w:pPr>
    </w:p>
    <w:p w14:paraId="5DBCC58D">
      <w:pPr>
        <w:rPr>
          <w:color w:val="auto"/>
          <w:sz w:val="36"/>
          <w:szCs w:val="36"/>
        </w:rPr>
      </w:pPr>
    </w:p>
    <w:p w14:paraId="2312293A">
      <w:pPr>
        <w:pStyle w:val="74"/>
        <w:rPr>
          <w:color w:val="auto"/>
          <w:sz w:val="36"/>
          <w:szCs w:val="36"/>
        </w:rPr>
      </w:pPr>
    </w:p>
    <w:p w14:paraId="21C8F089">
      <w:pPr>
        <w:rPr>
          <w:color w:val="auto"/>
          <w:sz w:val="36"/>
          <w:szCs w:val="36"/>
        </w:rPr>
      </w:pPr>
    </w:p>
    <w:p w14:paraId="6DD57902">
      <w:pPr>
        <w:pStyle w:val="74"/>
      </w:pPr>
    </w:p>
    <w:p w14:paraId="43E92ED4">
      <w:pPr>
        <w:pStyle w:val="74"/>
        <w:rPr>
          <w:color w:val="auto"/>
          <w:sz w:val="36"/>
          <w:szCs w:val="36"/>
        </w:rPr>
      </w:pPr>
    </w:p>
    <w:p w14:paraId="48DE04DC">
      <w:pPr>
        <w:rPr>
          <w:color w:val="auto"/>
          <w:sz w:val="36"/>
          <w:szCs w:val="36"/>
        </w:rPr>
      </w:pPr>
    </w:p>
    <w:p w14:paraId="51A3EDD4">
      <w:pPr>
        <w:rPr>
          <w:color w:val="auto"/>
          <w:sz w:val="36"/>
          <w:szCs w:val="36"/>
        </w:rPr>
      </w:pPr>
    </w:p>
    <w:p w14:paraId="0AAEB486">
      <w:pPr>
        <w:ind w:left="0" w:leftChars="0" w:firstLine="1684" w:firstLineChars="559"/>
        <w:jc w:val="left"/>
        <w:rPr>
          <w:rFonts w:hint="default" w:eastAsia="宋体"/>
          <w:b/>
          <w:bCs/>
          <w:color w:val="auto"/>
          <w:sz w:val="30"/>
          <w:szCs w:val="30"/>
          <w:lang w:val="en-US" w:eastAsia="zh-CN"/>
        </w:rPr>
      </w:pPr>
      <w:r>
        <w:rPr>
          <w:rFonts w:hint="eastAsia"/>
          <w:b/>
          <w:bCs/>
          <w:color w:val="auto"/>
          <w:sz w:val="30"/>
          <w:szCs w:val="30"/>
          <w:lang w:val="en-US" w:eastAsia="zh-CN"/>
        </w:rPr>
        <w:t>建设单位：北票市大力铁精粉精选厂</w:t>
      </w:r>
    </w:p>
    <w:p w14:paraId="5C820EAF">
      <w:pPr>
        <w:pStyle w:val="74"/>
        <w:ind w:left="0" w:leftChars="0" w:firstLine="1684" w:firstLineChars="559"/>
        <w:jc w:val="left"/>
        <w:rPr>
          <w:rFonts w:hint="eastAsia"/>
          <w:b/>
          <w:bCs/>
          <w:color w:val="auto"/>
          <w:sz w:val="30"/>
          <w:szCs w:val="30"/>
          <w:lang w:val="en-US" w:eastAsia="zh-CN"/>
        </w:rPr>
      </w:pPr>
      <w:r>
        <w:rPr>
          <w:rFonts w:hint="eastAsia"/>
          <w:b/>
          <w:bCs/>
          <w:color w:val="auto"/>
          <w:sz w:val="30"/>
          <w:szCs w:val="30"/>
          <w:lang w:val="en-US" w:eastAsia="zh-CN"/>
        </w:rPr>
        <w:t>环评单位：朝阳市伯锐技术咨询服务有限公司</w:t>
      </w:r>
    </w:p>
    <w:p w14:paraId="1B58C25A">
      <w:pPr>
        <w:jc w:val="center"/>
        <w:rPr>
          <w:rFonts w:hint="eastAsia"/>
          <w:b/>
          <w:bCs/>
          <w:color w:val="auto"/>
          <w:sz w:val="30"/>
          <w:szCs w:val="30"/>
          <w:lang w:val="en-US" w:eastAsia="zh-CN"/>
        </w:rPr>
      </w:pPr>
      <w:r>
        <w:rPr>
          <w:rFonts w:hint="eastAsia"/>
          <w:b/>
          <w:bCs/>
          <w:color w:val="auto"/>
          <w:sz w:val="30"/>
          <w:szCs w:val="30"/>
          <w:lang w:val="en-US" w:eastAsia="zh-CN"/>
        </w:rPr>
        <w:t>二〇二五年十一月</w:t>
      </w:r>
    </w:p>
    <w:p w14:paraId="156F7CB5">
      <w:pPr>
        <w:pStyle w:val="53"/>
        <w:jc w:val="center"/>
        <w:rPr>
          <w:color w:val="auto"/>
          <w:sz w:val="30"/>
          <w:szCs w:val="30"/>
          <w:highlight w:val="yellow"/>
        </w:rPr>
        <w:sectPr>
          <w:headerReference r:id="rId3" w:type="default"/>
          <w:pgSz w:w="11906" w:h="16838"/>
          <w:pgMar w:top="1440" w:right="1797" w:bottom="1440" w:left="1797" w:header="1134" w:footer="1134" w:gutter="0"/>
          <w:pgBorders>
            <w:top w:val="none" w:sz="0" w:space="0"/>
            <w:left w:val="none" w:sz="0" w:space="0"/>
            <w:bottom w:val="none" w:sz="0" w:space="0"/>
            <w:right w:val="none" w:sz="0" w:space="0"/>
          </w:pgBorders>
          <w:pgNumType w:fmt="decimal"/>
          <w:cols w:space="720" w:num="1"/>
          <w:docGrid w:type="lines" w:linePitch="312" w:charSpace="0"/>
        </w:sectPr>
      </w:pPr>
    </w:p>
    <w:p w14:paraId="40676F81">
      <w:pPr>
        <w:pStyle w:val="53"/>
        <w:spacing w:line="360" w:lineRule="auto"/>
        <w:jc w:val="center"/>
        <w:rPr>
          <w:color w:val="auto"/>
          <w:sz w:val="36"/>
          <w:szCs w:val="36"/>
          <w:highlight w:val="none"/>
        </w:rPr>
      </w:pPr>
      <w:r>
        <w:rPr>
          <w:color w:val="auto"/>
          <w:sz w:val="36"/>
          <w:szCs w:val="36"/>
          <w:highlight w:val="none"/>
        </w:rPr>
        <w:t>目    录</w:t>
      </w:r>
    </w:p>
    <w:p w14:paraId="4697279F">
      <w:pPr>
        <w:pStyle w:val="53"/>
        <w:tabs>
          <w:tab w:val="right" w:leader="dot" w:pos="8312"/>
        </w:tabs>
        <w:spacing w:line="360" w:lineRule="auto"/>
        <w:rPr>
          <w:sz w:val="24"/>
          <w:szCs w:val="24"/>
        </w:rPr>
      </w:pPr>
      <w:r>
        <w:rPr>
          <w:b w:val="0"/>
          <w:bCs w:val="0"/>
          <w:color w:val="auto"/>
          <w:sz w:val="32"/>
          <w:szCs w:val="32"/>
        </w:rPr>
        <w:fldChar w:fldCharType="begin"/>
      </w:r>
      <w:r>
        <w:rPr>
          <w:b w:val="0"/>
          <w:bCs w:val="0"/>
          <w:color w:val="auto"/>
          <w:sz w:val="32"/>
          <w:szCs w:val="32"/>
        </w:rPr>
        <w:instrText xml:space="preserve"> TOC \o "1-2" \h \z \u </w:instrText>
      </w:r>
      <w:r>
        <w:rPr>
          <w:b w:val="0"/>
          <w:bCs w:val="0"/>
          <w:color w:val="auto"/>
          <w:sz w:val="32"/>
          <w:szCs w:val="32"/>
        </w:rPr>
        <w:fldChar w:fldCharType="separate"/>
      </w:r>
      <w:r>
        <w:rPr>
          <w:bCs w:val="0"/>
          <w:color w:val="auto"/>
          <w:sz w:val="24"/>
          <w:szCs w:val="36"/>
        </w:rPr>
        <w:fldChar w:fldCharType="begin"/>
      </w:r>
      <w:r>
        <w:rPr>
          <w:bCs w:val="0"/>
          <w:sz w:val="24"/>
          <w:szCs w:val="36"/>
        </w:rPr>
        <w:instrText xml:space="preserve"> HYPERLINK \l _Toc12834 </w:instrText>
      </w:r>
      <w:r>
        <w:rPr>
          <w:bCs w:val="0"/>
          <w:sz w:val="24"/>
          <w:szCs w:val="36"/>
        </w:rPr>
        <w:fldChar w:fldCharType="separate"/>
      </w:r>
      <w:r>
        <w:rPr>
          <w:rFonts w:hint="eastAsia"/>
          <w:sz w:val="24"/>
          <w:szCs w:val="44"/>
          <w:lang w:val="en-US" w:eastAsia="zh-CN"/>
        </w:rPr>
        <w:t>1</w:t>
      </w:r>
      <w:r>
        <w:rPr>
          <w:sz w:val="24"/>
          <w:szCs w:val="44"/>
        </w:rPr>
        <w:t>概述</w:t>
      </w:r>
      <w:r>
        <w:rPr>
          <w:sz w:val="24"/>
          <w:szCs w:val="24"/>
        </w:rPr>
        <w:tab/>
      </w:r>
      <w:r>
        <w:rPr>
          <w:sz w:val="24"/>
          <w:szCs w:val="24"/>
        </w:rPr>
        <w:fldChar w:fldCharType="begin"/>
      </w:r>
      <w:r>
        <w:rPr>
          <w:sz w:val="24"/>
          <w:szCs w:val="24"/>
        </w:rPr>
        <w:instrText xml:space="preserve"> PAGEREF _Toc12834 \h </w:instrText>
      </w:r>
      <w:r>
        <w:rPr>
          <w:sz w:val="24"/>
          <w:szCs w:val="24"/>
        </w:rPr>
        <w:fldChar w:fldCharType="separate"/>
      </w:r>
      <w:r>
        <w:rPr>
          <w:sz w:val="24"/>
          <w:szCs w:val="24"/>
        </w:rPr>
        <w:t>1</w:t>
      </w:r>
      <w:r>
        <w:rPr>
          <w:sz w:val="24"/>
          <w:szCs w:val="24"/>
        </w:rPr>
        <w:fldChar w:fldCharType="end"/>
      </w:r>
      <w:r>
        <w:rPr>
          <w:bCs w:val="0"/>
          <w:color w:val="auto"/>
          <w:sz w:val="24"/>
          <w:szCs w:val="36"/>
        </w:rPr>
        <w:fldChar w:fldCharType="end"/>
      </w:r>
    </w:p>
    <w:p w14:paraId="4257E75A">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_Toc21427 </w:instrText>
      </w:r>
      <w:r>
        <w:rPr>
          <w:bCs/>
          <w:sz w:val="24"/>
          <w:szCs w:val="24"/>
        </w:rPr>
        <w:fldChar w:fldCharType="separate"/>
      </w:r>
      <w:r>
        <w:rPr>
          <w:rFonts w:hint="default" w:ascii="Times New Roman" w:hAnsi="Times New Roman" w:cs="Times New Roman" w:eastAsiaTheme="majorEastAsia"/>
          <w:sz w:val="24"/>
          <w:szCs w:val="24"/>
          <w:lang w:val="en-US" w:eastAsia="zh-CN"/>
        </w:rPr>
        <w:t>1.1项目概况</w:t>
      </w:r>
      <w:r>
        <w:rPr>
          <w:sz w:val="24"/>
          <w:szCs w:val="24"/>
        </w:rPr>
        <w:tab/>
      </w:r>
      <w:r>
        <w:rPr>
          <w:sz w:val="24"/>
          <w:szCs w:val="24"/>
        </w:rPr>
        <w:fldChar w:fldCharType="begin"/>
      </w:r>
      <w:r>
        <w:rPr>
          <w:sz w:val="24"/>
          <w:szCs w:val="24"/>
        </w:rPr>
        <w:instrText xml:space="preserve"> PAGEREF _Toc21427 \h </w:instrText>
      </w:r>
      <w:r>
        <w:rPr>
          <w:sz w:val="24"/>
          <w:szCs w:val="24"/>
        </w:rPr>
        <w:fldChar w:fldCharType="separate"/>
      </w:r>
      <w:r>
        <w:rPr>
          <w:sz w:val="24"/>
          <w:szCs w:val="24"/>
        </w:rPr>
        <w:t>1</w:t>
      </w:r>
      <w:r>
        <w:rPr>
          <w:sz w:val="24"/>
          <w:szCs w:val="24"/>
        </w:rPr>
        <w:fldChar w:fldCharType="end"/>
      </w:r>
      <w:r>
        <w:rPr>
          <w:bCs/>
          <w:color w:val="auto"/>
          <w:sz w:val="24"/>
          <w:szCs w:val="24"/>
        </w:rPr>
        <w:fldChar w:fldCharType="end"/>
      </w:r>
    </w:p>
    <w:p w14:paraId="08FFE98D">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_Toc25121 </w:instrText>
      </w:r>
      <w:r>
        <w:rPr>
          <w:bCs/>
          <w:sz w:val="24"/>
          <w:szCs w:val="24"/>
        </w:rPr>
        <w:fldChar w:fldCharType="separate"/>
      </w:r>
      <w:r>
        <w:rPr>
          <w:rFonts w:hint="default" w:ascii="Times New Roman" w:hAnsi="Times New Roman" w:eastAsia="宋体" w:cs="Times New Roman"/>
          <w:sz w:val="24"/>
          <w:szCs w:val="40"/>
          <w:lang w:val="en-US" w:eastAsia="zh-CN"/>
        </w:rPr>
        <w:t>1.</w:t>
      </w:r>
      <w:r>
        <w:rPr>
          <w:rFonts w:hint="eastAsia" w:ascii="Times New Roman" w:hAnsi="Times New Roman" w:eastAsia="宋体" w:cs="Times New Roman"/>
          <w:sz w:val="24"/>
          <w:szCs w:val="40"/>
          <w:lang w:val="en-US" w:eastAsia="zh-CN"/>
        </w:rPr>
        <w:t>2项目特点</w:t>
      </w:r>
      <w:r>
        <w:rPr>
          <w:sz w:val="24"/>
          <w:szCs w:val="24"/>
        </w:rPr>
        <w:tab/>
      </w:r>
      <w:r>
        <w:rPr>
          <w:sz w:val="24"/>
          <w:szCs w:val="24"/>
        </w:rPr>
        <w:fldChar w:fldCharType="begin"/>
      </w:r>
      <w:r>
        <w:rPr>
          <w:sz w:val="24"/>
          <w:szCs w:val="24"/>
        </w:rPr>
        <w:instrText xml:space="preserve"> PAGEREF _Toc25121 \h </w:instrText>
      </w:r>
      <w:r>
        <w:rPr>
          <w:sz w:val="24"/>
          <w:szCs w:val="24"/>
        </w:rPr>
        <w:fldChar w:fldCharType="separate"/>
      </w:r>
      <w:r>
        <w:rPr>
          <w:sz w:val="24"/>
          <w:szCs w:val="24"/>
        </w:rPr>
        <w:t>2</w:t>
      </w:r>
      <w:r>
        <w:rPr>
          <w:sz w:val="24"/>
          <w:szCs w:val="24"/>
        </w:rPr>
        <w:fldChar w:fldCharType="end"/>
      </w:r>
      <w:r>
        <w:rPr>
          <w:bCs/>
          <w:color w:val="auto"/>
          <w:sz w:val="24"/>
          <w:szCs w:val="24"/>
        </w:rPr>
        <w:fldChar w:fldCharType="end"/>
      </w:r>
    </w:p>
    <w:p w14:paraId="31D746FA">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_Toc21927 </w:instrText>
      </w:r>
      <w:r>
        <w:rPr>
          <w:bCs/>
          <w:sz w:val="24"/>
          <w:szCs w:val="24"/>
        </w:rPr>
        <w:fldChar w:fldCharType="separate"/>
      </w:r>
      <w:r>
        <w:rPr>
          <w:rFonts w:hint="default" w:ascii="Times New Roman" w:hAnsi="Times New Roman" w:eastAsia="宋体" w:cs="Times New Roman"/>
          <w:sz w:val="24"/>
          <w:szCs w:val="40"/>
          <w:lang w:val="en-US" w:eastAsia="zh-CN"/>
        </w:rPr>
        <w:t>1.</w:t>
      </w:r>
      <w:r>
        <w:rPr>
          <w:rFonts w:hint="eastAsia" w:ascii="Times New Roman" w:hAnsi="Times New Roman" w:eastAsia="宋体" w:cs="Times New Roman"/>
          <w:sz w:val="24"/>
          <w:szCs w:val="40"/>
          <w:lang w:val="en-US" w:eastAsia="zh-CN"/>
        </w:rPr>
        <w:t>3</w:t>
      </w:r>
      <w:r>
        <w:rPr>
          <w:rFonts w:hint="default" w:ascii="Times New Roman" w:hAnsi="Times New Roman" w:eastAsia="宋体" w:cs="Times New Roman"/>
          <w:sz w:val="24"/>
          <w:szCs w:val="40"/>
          <w:lang w:val="en-US" w:eastAsia="zh-CN"/>
        </w:rPr>
        <w:t>环境影响评价工作过程</w:t>
      </w:r>
      <w:r>
        <w:rPr>
          <w:sz w:val="24"/>
          <w:szCs w:val="24"/>
        </w:rPr>
        <w:tab/>
      </w:r>
      <w:r>
        <w:rPr>
          <w:sz w:val="24"/>
          <w:szCs w:val="24"/>
        </w:rPr>
        <w:fldChar w:fldCharType="begin"/>
      </w:r>
      <w:r>
        <w:rPr>
          <w:sz w:val="24"/>
          <w:szCs w:val="24"/>
        </w:rPr>
        <w:instrText xml:space="preserve"> PAGEREF _Toc21927 \h </w:instrText>
      </w:r>
      <w:r>
        <w:rPr>
          <w:sz w:val="24"/>
          <w:szCs w:val="24"/>
        </w:rPr>
        <w:fldChar w:fldCharType="separate"/>
      </w:r>
      <w:r>
        <w:rPr>
          <w:sz w:val="24"/>
          <w:szCs w:val="24"/>
        </w:rPr>
        <w:t>2</w:t>
      </w:r>
      <w:r>
        <w:rPr>
          <w:sz w:val="24"/>
          <w:szCs w:val="24"/>
        </w:rPr>
        <w:fldChar w:fldCharType="end"/>
      </w:r>
      <w:r>
        <w:rPr>
          <w:bCs/>
          <w:color w:val="auto"/>
          <w:sz w:val="24"/>
          <w:szCs w:val="24"/>
        </w:rPr>
        <w:fldChar w:fldCharType="end"/>
      </w:r>
    </w:p>
    <w:p w14:paraId="11988176">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_Toc30232 </w:instrText>
      </w:r>
      <w:r>
        <w:rPr>
          <w:bCs/>
          <w:sz w:val="24"/>
          <w:szCs w:val="24"/>
        </w:rPr>
        <w:fldChar w:fldCharType="separate"/>
      </w:r>
      <w:r>
        <w:rPr>
          <w:rFonts w:hint="eastAsia" w:ascii="Times New Roman" w:hAnsi="Times New Roman" w:eastAsia="宋体" w:cs="Times New Roman"/>
          <w:sz w:val="24"/>
          <w:szCs w:val="40"/>
          <w:lang w:val="en-US" w:eastAsia="zh-CN"/>
        </w:rPr>
        <w:t>1.</w:t>
      </w:r>
      <w:r>
        <w:rPr>
          <w:rFonts w:hint="default" w:ascii="Times New Roman" w:hAnsi="Times New Roman" w:eastAsia="宋体" w:cs="Times New Roman"/>
          <w:sz w:val="24"/>
          <w:szCs w:val="40"/>
          <w:lang w:val="en-US" w:eastAsia="zh-CN"/>
        </w:rPr>
        <w:t xml:space="preserve">4 </w:t>
      </w:r>
      <w:r>
        <w:rPr>
          <w:rFonts w:hint="eastAsia" w:ascii="Times New Roman" w:hAnsi="Times New Roman" w:eastAsia="宋体" w:cs="Times New Roman"/>
          <w:sz w:val="24"/>
          <w:szCs w:val="40"/>
          <w:lang w:val="en-US" w:eastAsia="zh-CN"/>
        </w:rPr>
        <w:t>分析判定相关情况</w:t>
      </w:r>
      <w:r>
        <w:rPr>
          <w:sz w:val="24"/>
          <w:szCs w:val="24"/>
        </w:rPr>
        <w:tab/>
      </w:r>
      <w:r>
        <w:rPr>
          <w:sz w:val="24"/>
          <w:szCs w:val="24"/>
        </w:rPr>
        <w:fldChar w:fldCharType="begin"/>
      </w:r>
      <w:r>
        <w:rPr>
          <w:sz w:val="24"/>
          <w:szCs w:val="24"/>
        </w:rPr>
        <w:instrText xml:space="preserve"> PAGEREF _Toc30232 \h </w:instrText>
      </w:r>
      <w:r>
        <w:rPr>
          <w:sz w:val="24"/>
          <w:szCs w:val="24"/>
        </w:rPr>
        <w:fldChar w:fldCharType="separate"/>
      </w:r>
      <w:r>
        <w:rPr>
          <w:sz w:val="24"/>
          <w:szCs w:val="24"/>
        </w:rPr>
        <w:t>4</w:t>
      </w:r>
      <w:r>
        <w:rPr>
          <w:sz w:val="24"/>
          <w:szCs w:val="24"/>
        </w:rPr>
        <w:fldChar w:fldCharType="end"/>
      </w:r>
      <w:r>
        <w:rPr>
          <w:bCs/>
          <w:color w:val="auto"/>
          <w:sz w:val="24"/>
          <w:szCs w:val="24"/>
        </w:rPr>
        <w:fldChar w:fldCharType="end"/>
      </w:r>
    </w:p>
    <w:p w14:paraId="343C687E">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_Toc23915 </w:instrText>
      </w:r>
      <w:r>
        <w:rPr>
          <w:bCs/>
          <w:sz w:val="24"/>
          <w:szCs w:val="24"/>
        </w:rPr>
        <w:fldChar w:fldCharType="separate"/>
      </w:r>
      <w:r>
        <w:rPr>
          <w:rFonts w:hint="eastAsia" w:ascii="Times New Roman" w:hAnsi="Times New Roman" w:eastAsia="宋体" w:cs="Times New Roman"/>
          <w:sz w:val="24"/>
          <w:szCs w:val="40"/>
          <w:lang w:val="en-US" w:eastAsia="zh-CN"/>
        </w:rPr>
        <w:t>1.5关注的主要环境问题及环境影响</w:t>
      </w:r>
      <w:r>
        <w:rPr>
          <w:sz w:val="24"/>
          <w:szCs w:val="24"/>
        </w:rPr>
        <w:tab/>
      </w:r>
      <w:r>
        <w:rPr>
          <w:sz w:val="24"/>
          <w:szCs w:val="24"/>
        </w:rPr>
        <w:fldChar w:fldCharType="begin"/>
      </w:r>
      <w:r>
        <w:rPr>
          <w:sz w:val="24"/>
          <w:szCs w:val="24"/>
        </w:rPr>
        <w:instrText xml:space="preserve"> PAGEREF _Toc23915 \h </w:instrText>
      </w:r>
      <w:r>
        <w:rPr>
          <w:sz w:val="24"/>
          <w:szCs w:val="24"/>
        </w:rPr>
        <w:fldChar w:fldCharType="separate"/>
      </w:r>
      <w:r>
        <w:rPr>
          <w:sz w:val="24"/>
          <w:szCs w:val="24"/>
        </w:rPr>
        <w:t>4</w:t>
      </w:r>
      <w:r>
        <w:rPr>
          <w:sz w:val="24"/>
          <w:szCs w:val="24"/>
        </w:rPr>
        <w:fldChar w:fldCharType="end"/>
      </w:r>
      <w:r>
        <w:rPr>
          <w:bCs/>
          <w:color w:val="auto"/>
          <w:sz w:val="24"/>
          <w:szCs w:val="24"/>
        </w:rPr>
        <w:fldChar w:fldCharType="end"/>
      </w:r>
    </w:p>
    <w:p w14:paraId="46C18F74">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_Toc24682 </w:instrText>
      </w:r>
      <w:r>
        <w:rPr>
          <w:bCs/>
          <w:sz w:val="24"/>
          <w:szCs w:val="24"/>
        </w:rPr>
        <w:fldChar w:fldCharType="separate"/>
      </w:r>
      <w:r>
        <w:rPr>
          <w:rFonts w:hint="eastAsia" w:ascii="Times New Roman" w:hAnsi="Times New Roman" w:eastAsia="宋体" w:cs="Times New Roman"/>
          <w:sz w:val="24"/>
          <w:szCs w:val="40"/>
          <w:lang w:val="en-US" w:eastAsia="zh-CN"/>
        </w:rPr>
        <w:t>1.6主要结论</w:t>
      </w:r>
      <w:r>
        <w:rPr>
          <w:sz w:val="24"/>
          <w:szCs w:val="24"/>
        </w:rPr>
        <w:tab/>
      </w:r>
      <w:r>
        <w:rPr>
          <w:sz w:val="24"/>
          <w:szCs w:val="24"/>
        </w:rPr>
        <w:fldChar w:fldCharType="begin"/>
      </w:r>
      <w:r>
        <w:rPr>
          <w:sz w:val="24"/>
          <w:szCs w:val="24"/>
        </w:rPr>
        <w:instrText xml:space="preserve"> PAGEREF _Toc24682 \h </w:instrText>
      </w:r>
      <w:r>
        <w:rPr>
          <w:sz w:val="24"/>
          <w:szCs w:val="24"/>
        </w:rPr>
        <w:fldChar w:fldCharType="separate"/>
      </w:r>
      <w:r>
        <w:rPr>
          <w:sz w:val="24"/>
          <w:szCs w:val="24"/>
        </w:rPr>
        <w:t>4</w:t>
      </w:r>
      <w:r>
        <w:rPr>
          <w:sz w:val="24"/>
          <w:szCs w:val="24"/>
        </w:rPr>
        <w:fldChar w:fldCharType="end"/>
      </w:r>
      <w:r>
        <w:rPr>
          <w:bCs/>
          <w:color w:val="auto"/>
          <w:sz w:val="24"/>
          <w:szCs w:val="24"/>
        </w:rPr>
        <w:fldChar w:fldCharType="end"/>
      </w:r>
    </w:p>
    <w:p w14:paraId="44112552">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_Toc13236 </w:instrText>
      </w:r>
      <w:r>
        <w:rPr>
          <w:bCs/>
          <w:sz w:val="24"/>
          <w:szCs w:val="24"/>
        </w:rPr>
        <w:fldChar w:fldCharType="separate"/>
      </w:r>
      <w:r>
        <w:rPr>
          <w:rFonts w:hint="eastAsia"/>
          <w:sz w:val="24"/>
          <w:szCs w:val="44"/>
          <w:lang w:val="en-US" w:eastAsia="zh-CN"/>
        </w:rPr>
        <w:t>2</w:t>
      </w:r>
      <w:r>
        <w:rPr>
          <w:sz w:val="24"/>
          <w:szCs w:val="44"/>
        </w:rPr>
        <w:t>总则</w:t>
      </w:r>
      <w:r>
        <w:rPr>
          <w:sz w:val="24"/>
          <w:szCs w:val="24"/>
        </w:rPr>
        <w:tab/>
      </w:r>
      <w:r>
        <w:rPr>
          <w:sz w:val="24"/>
          <w:szCs w:val="24"/>
        </w:rPr>
        <w:fldChar w:fldCharType="begin"/>
      </w:r>
      <w:r>
        <w:rPr>
          <w:sz w:val="24"/>
          <w:szCs w:val="24"/>
        </w:rPr>
        <w:instrText xml:space="preserve"> PAGEREF _Toc13236 \h </w:instrText>
      </w:r>
      <w:r>
        <w:rPr>
          <w:sz w:val="24"/>
          <w:szCs w:val="24"/>
        </w:rPr>
        <w:fldChar w:fldCharType="separate"/>
      </w:r>
      <w:r>
        <w:rPr>
          <w:sz w:val="24"/>
          <w:szCs w:val="24"/>
        </w:rPr>
        <w:t>5</w:t>
      </w:r>
      <w:r>
        <w:rPr>
          <w:sz w:val="24"/>
          <w:szCs w:val="24"/>
        </w:rPr>
        <w:fldChar w:fldCharType="end"/>
      </w:r>
      <w:r>
        <w:rPr>
          <w:bCs/>
          <w:color w:val="auto"/>
          <w:sz w:val="24"/>
          <w:szCs w:val="24"/>
        </w:rPr>
        <w:fldChar w:fldCharType="end"/>
      </w:r>
    </w:p>
    <w:p w14:paraId="0A701BA7">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_Toc20335 </w:instrText>
      </w:r>
      <w:r>
        <w:rPr>
          <w:bCs/>
          <w:sz w:val="24"/>
          <w:szCs w:val="24"/>
        </w:rPr>
        <w:fldChar w:fldCharType="separate"/>
      </w:r>
      <w:r>
        <w:rPr>
          <w:rFonts w:hint="default" w:ascii="Times New Roman" w:hAnsi="Times New Roman" w:cs="Times New Roman" w:eastAsiaTheme="minorEastAsia"/>
          <w:sz w:val="24"/>
          <w:szCs w:val="24"/>
          <w:lang w:val="en-US" w:eastAsia="zh-CN"/>
        </w:rPr>
        <w:t>2.1编制依据</w:t>
      </w:r>
      <w:r>
        <w:rPr>
          <w:sz w:val="24"/>
          <w:szCs w:val="24"/>
        </w:rPr>
        <w:tab/>
      </w:r>
      <w:r>
        <w:rPr>
          <w:sz w:val="24"/>
          <w:szCs w:val="24"/>
        </w:rPr>
        <w:fldChar w:fldCharType="begin"/>
      </w:r>
      <w:r>
        <w:rPr>
          <w:sz w:val="24"/>
          <w:szCs w:val="24"/>
        </w:rPr>
        <w:instrText xml:space="preserve"> PAGEREF _Toc20335 \h </w:instrText>
      </w:r>
      <w:r>
        <w:rPr>
          <w:sz w:val="24"/>
          <w:szCs w:val="24"/>
        </w:rPr>
        <w:fldChar w:fldCharType="separate"/>
      </w:r>
      <w:r>
        <w:rPr>
          <w:sz w:val="24"/>
          <w:szCs w:val="24"/>
        </w:rPr>
        <w:t>5</w:t>
      </w:r>
      <w:r>
        <w:rPr>
          <w:sz w:val="24"/>
          <w:szCs w:val="24"/>
        </w:rPr>
        <w:fldChar w:fldCharType="end"/>
      </w:r>
      <w:r>
        <w:rPr>
          <w:bCs/>
          <w:color w:val="auto"/>
          <w:sz w:val="24"/>
          <w:szCs w:val="24"/>
        </w:rPr>
        <w:fldChar w:fldCharType="end"/>
      </w:r>
    </w:p>
    <w:p w14:paraId="047CEBB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_Toc31781 </w:instrText>
      </w:r>
      <w:r>
        <w:rPr>
          <w:bCs/>
          <w:sz w:val="24"/>
          <w:szCs w:val="24"/>
        </w:rPr>
        <w:fldChar w:fldCharType="separate"/>
      </w:r>
      <w:r>
        <w:rPr>
          <w:rFonts w:hint="default" w:ascii="Times New Roman" w:hAnsi="Times New Roman" w:cs="Times New Roman" w:eastAsiaTheme="minorEastAsia"/>
          <w:sz w:val="24"/>
          <w:szCs w:val="24"/>
          <w:lang w:val="en-US" w:eastAsia="zh-CN"/>
        </w:rPr>
        <w:t>2.2评价目的与评价原则</w:t>
      </w:r>
      <w:r>
        <w:rPr>
          <w:sz w:val="24"/>
          <w:szCs w:val="24"/>
        </w:rPr>
        <w:tab/>
      </w:r>
      <w:r>
        <w:rPr>
          <w:sz w:val="24"/>
          <w:szCs w:val="24"/>
        </w:rPr>
        <w:fldChar w:fldCharType="begin"/>
      </w:r>
      <w:r>
        <w:rPr>
          <w:sz w:val="24"/>
          <w:szCs w:val="24"/>
        </w:rPr>
        <w:instrText xml:space="preserve"> PAGEREF _Toc31781 \h </w:instrText>
      </w:r>
      <w:r>
        <w:rPr>
          <w:sz w:val="24"/>
          <w:szCs w:val="24"/>
        </w:rPr>
        <w:fldChar w:fldCharType="separate"/>
      </w:r>
      <w:r>
        <w:rPr>
          <w:sz w:val="24"/>
          <w:szCs w:val="24"/>
        </w:rPr>
        <w:t>8</w:t>
      </w:r>
      <w:r>
        <w:rPr>
          <w:sz w:val="24"/>
          <w:szCs w:val="24"/>
        </w:rPr>
        <w:fldChar w:fldCharType="end"/>
      </w:r>
      <w:r>
        <w:rPr>
          <w:bCs/>
          <w:color w:val="auto"/>
          <w:sz w:val="24"/>
          <w:szCs w:val="24"/>
        </w:rPr>
        <w:fldChar w:fldCharType="end"/>
      </w:r>
    </w:p>
    <w:p w14:paraId="128E4ADA">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_Toc29759 </w:instrText>
      </w:r>
      <w:r>
        <w:rPr>
          <w:bCs/>
          <w:sz w:val="24"/>
          <w:szCs w:val="24"/>
        </w:rPr>
        <w:fldChar w:fldCharType="separate"/>
      </w:r>
      <w:r>
        <w:rPr>
          <w:rFonts w:hint="default" w:ascii="Times New Roman" w:hAnsi="Times New Roman" w:cs="Times New Roman" w:eastAsiaTheme="minorEastAsia"/>
          <w:sz w:val="24"/>
          <w:szCs w:val="24"/>
          <w:lang w:val="en-US" w:eastAsia="zh-CN"/>
        </w:rPr>
        <w:t>2.3环境影响识别与评价因子筛选</w:t>
      </w:r>
      <w:r>
        <w:rPr>
          <w:sz w:val="24"/>
          <w:szCs w:val="24"/>
        </w:rPr>
        <w:tab/>
      </w:r>
      <w:r>
        <w:rPr>
          <w:sz w:val="24"/>
          <w:szCs w:val="24"/>
        </w:rPr>
        <w:fldChar w:fldCharType="begin"/>
      </w:r>
      <w:r>
        <w:rPr>
          <w:sz w:val="24"/>
          <w:szCs w:val="24"/>
        </w:rPr>
        <w:instrText xml:space="preserve"> PAGEREF _Toc29759 \h </w:instrText>
      </w:r>
      <w:r>
        <w:rPr>
          <w:sz w:val="24"/>
          <w:szCs w:val="24"/>
        </w:rPr>
        <w:fldChar w:fldCharType="separate"/>
      </w:r>
      <w:r>
        <w:rPr>
          <w:sz w:val="24"/>
          <w:szCs w:val="24"/>
        </w:rPr>
        <w:t>10</w:t>
      </w:r>
      <w:r>
        <w:rPr>
          <w:sz w:val="24"/>
          <w:szCs w:val="24"/>
        </w:rPr>
        <w:fldChar w:fldCharType="end"/>
      </w:r>
      <w:r>
        <w:rPr>
          <w:bCs/>
          <w:color w:val="auto"/>
          <w:sz w:val="24"/>
          <w:szCs w:val="24"/>
        </w:rPr>
        <w:fldChar w:fldCharType="end"/>
      </w:r>
    </w:p>
    <w:p w14:paraId="5B23AD69">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_Toc9498 </w:instrText>
      </w:r>
      <w:r>
        <w:rPr>
          <w:bCs/>
          <w:sz w:val="24"/>
          <w:szCs w:val="24"/>
        </w:rPr>
        <w:fldChar w:fldCharType="separate"/>
      </w:r>
      <w:r>
        <w:rPr>
          <w:rFonts w:hint="default" w:ascii="Times New Roman" w:hAnsi="Times New Roman" w:cs="Times New Roman" w:eastAsiaTheme="minorEastAsia"/>
          <w:sz w:val="24"/>
          <w:szCs w:val="24"/>
          <w:lang w:val="en-US" w:eastAsia="zh-CN"/>
        </w:rPr>
        <w:t>2.4评价工作等级及评价范围</w:t>
      </w:r>
      <w:r>
        <w:rPr>
          <w:sz w:val="24"/>
          <w:szCs w:val="24"/>
        </w:rPr>
        <w:tab/>
      </w:r>
      <w:r>
        <w:rPr>
          <w:sz w:val="24"/>
          <w:szCs w:val="24"/>
        </w:rPr>
        <w:fldChar w:fldCharType="begin"/>
      </w:r>
      <w:r>
        <w:rPr>
          <w:sz w:val="24"/>
          <w:szCs w:val="24"/>
        </w:rPr>
        <w:instrText xml:space="preserve"> PAGEREF _Toc9498 \h </w:instrText>
      </w:r>
      <w:r>
        <w:rPr>
          <w:sz w:val="24"/>
          <w:szCs w:val="24"/>
        </w:rPr>
        <w:fldChar w:fldCharType="separate"/>
      </w:r>
      <w:r>
        <w:rPr>
          <w:sz w:val="24"/>
          <w:szCs w:val="24"/>
        </w:rPr>
        <w:t>18</w:t>
      </w:r>
      <w:r>
        <w:rPr>
          <w:sz w:val="24"/>
          <w:szCs w:val="24"/>
        </w:rPr>
        <w:fldChar w:fldCharType="end"/>
      </w:r>
      <w:r>
        <w:rPr>
          <w:bCs/>
          <w:color w:val="auto"/>
          <w:sz w:val="24"/>
          <w:szCs w:val="24"/>
        </w:rPr>
        <w:fldChar w:fldCharType="end"/>
      </w:r>
    </w:p>
    <w:p w14:paraId="5F7C346C">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_Toc6994 </w:instrText>
      </w:r>
      <w:r>
        <w:rPr>
          <w:bCs/>
          <w:sz w:val="24"/>
          <w:szCs w:val="24"/>
        </w:rPr>
        <w:fldChar w:fldCharType="separate"/>
      </w:r>
      <w:r>
        <w:rPr>
          <w:rFonts w:hint="eastAsia" w:ascii="Times New Roman" w:hAnsi="Times New Roman" w:eastAsia="宋体" w:cs="Times New Roman"/>
          <w:sz w:val="24"/>
          <w:szCs w:val="40"/>
          <w:lang w:val="en-US" w:eastAsia="zh-CN"/>
        </w:rPr>
        <w:t>2.5环境保护目标调查</w:t>
      </w:r>
      <w:r>
        <w:rPr>
          <w:sz w:val="24"/>
          <w:szCs w:val="24"/>
        </w:rPr>
        <w:tab/>
      </w:r>
      <w:r>
        <w:rPr>
          <w:sz w:val="24"/>
          <w:szCs w:val="24"/>
        </w:rPr>
        <w:fldChar w:fldCharType="begin"/>
      </w:r>
      <w:r>
        <w:rPr>
          <w:sz w:val="24"/>
          <w:szCs w:val="24"/>
        </w:rPr>
        <w:instrText xml:space="preserve"> PAGEREF _Toc6994 \h </w:instrText>
      </w:r>
      <w:r>
        <w:rPr>
          <w:sz w:val="24"/>
          <w:szCs w:val="24"/>
        </w:rPr>
        <w:fldChar w:fldCharType="separate"/>
      </w:r>
      <w:r>
        <w:rPr>
          <w:sz w:val="24"/>
          <w:szCs w:val="24"/>
        </w:rPr>
        <w:t>26</w:t>
      </w:r>
      <w:r>
        <w:rPr>
          <w:sz w:val="24"/>
          <w:szCs w:val="24"/>
        </w:rPr>
        <w:fldChar w:fldCharType="end"/>
      </w:r>
      <w:r>
        <w:rPr>
          <w:bCs/>
          <w:color w:val="auto"/>
          <w:sz w:val="24"/>
          <w:szCs w:val="24"/>
        </w:rPr>
        <w:fldChar w:fldCharType="end"/>
      </w:r>
    </w:p>
    <w:p w14:paraId="6E9590A7">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_Toc4787 </w:instrText>
      </w:r>
      <w:r>
        <w:rPr>
          <w:bCs/>
          <w:sz w:val="24"/>
          <w:szCs w:val="24"/>
        </w:rPr>
        <w:fldChar w:fldCharType="separate"/>
      </w:r>
      <w:r>
        <w:rPr>
          <w:rFonts w:hint="eastAsia"/>
          <w:sz w:val="24"/>
          <w:szCs w:val="44"/>
          <w:lang w:val="en-US" w:eastAsia="zh-CN"/>
        </w:rPr>
        <w:t>3建设</w:t>
      </w:r>
      <w:r>
        <w:rPr>
          <w:sz w:val="24"/>
          <w:szCs w:val="44"/>
        </w:rPr>
        <w:t>项目</w:t>
      </w:r>
      <w:r>
        <w:rPr>
          <w:rFonts w:hint="eastAsia"/>
          <w:sz w:val="24"/>
          <w:szCs w:val="44"/>
          <w:lang w:eastAsia="zh-CN"/>
        </w:rPr>
        <w:t>概况与</w:t>
      </w:r>
      <w:r>
        <w:rPr>
          <w:sz w:val="24"/>
          <w:szCs w:val="44"/>
        </w:rPr>
        <w:t>工程分析</w:t>
      </w:r>
      <w:r>
        <w:rPr>
          <w:sz w:val="24"/>
          <w:szCs w:val="24"/>
        </w:rPr>
        <w:tab/>
      </w:r>
      <w:r>
        <w:rPr>
          <w:sz w:val="24"/>
          <w:szCs w:val="24"/>
        </w:rPr>
        <w:fldChar w:fldCharType="begin"/>
      </w:r>
      <w:r>
        <w:rPr>
          <w:sz w:val="24"/>
          <w:szCs w:val="24"/>
        </w:rPr>
        <w:instrText xml:space="preserve"> PAGEREF _Toc4787 \h </w:instrText>
      </w:r>
      <w:r>
        <w:rPr>
          <w:sz w:val="24"/>
          <w:szCs w:val="24"/>
        </w:rPr>
        <w:fldChar w:fldCharType="separate"/>
      </w:r>
      <w:r>
        <w:rPr>
          <w:sz w:val="24"/>
          <w:szCs w:val="24"/>
        </w:rPr>
        <w:t>30</w:t>
      </w:r>
      <w:r>
        <w:rPr>
          <w:sz w:val="24"/>
          <w:szCs w:val="24"/>
        </w:rPr>
        <w:fldChar w:fldCharType="end"/>
      </w:r>
      <w:r>
        <w:rPr>
          <w:bCs/>
          <w:color w:val="auto"/>
          <w:sz w:val="24"/>
          <w:szCs w:val="24"/>
        </w:rPr>
        <w:fldChar w:fldCharType="end"/>
      </w:r>
    </w:p>
    <w:p w14:paraId="7C151EEF">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_Toc29353 </w:instrText>
      </w:r>
      <w:r>
        <w:rPr>
          <w:bCs/>
          <w:sz w:val="24"/>
          <w:szCs w:val="24"/>
        </w:rPr>
        <w:fldChar w:fldCharType="separate"/>
      </w:r>
      <w:r>
        <w:rPr>
          <w:rFonts w:hint="eastAsia" w:ascii="Times New Roman" w:hAnsi="Times New Roman" w:eastAsia="宋体" w:cs="Times New Roman"/>
          <w:sz w:val="24"/>
          <w:szCs w:val="40"/>
          <w:lang w:val="en-US" w:eastAsia="zh-CN"/>
        </w:rPr>
        <w:t>3.1现有项目概况</w:t>
      </w:r>
      <w:r>
        <w:rPr>
          <w:sz w:val="24"/>
          <w:szCs w:val="24"/>
        </w:rPr>
        <w:tab/>
      </w:r>
      <w:r>
        <w:rPr>
          <w:sz w:val="24"/>
          <w:szCs w:val="24"/>
        </w:rPr>
        <w:fldChar w:fldCharType="begin"/>
      </w:r>
      <w:r>
        <w:rPr>
          <w:sz w:val="24"/>
          <w:szCs w:val="24"/>
        </w:rPr>
        <w:instrText xml:space="preserve"> PAGEREF _Toc29353 \h </w:instrText>
      </w:r>
      <w:r>
        <w:rPr>
          <w:sz w:val="24"/>
          <w:szCs w:val="24"/>
        </w:rPr>
        <w:fldChar w:fldCharType="separate"/>
      </w:r>
      <w:r>
        <w:rPr>
          <w:sz w:val="24"/>
          <w:szCs w:val="24"/>
        </w:rPr>
        <w:t>30</w:t>
      </w:r>
      <w:r>
        <w:rPr>
          <w:sz w:val="24"/>
          <w:szCs w:val="24"/>
        </w:rPr>
        <w:fldChar w:fldCharType="end"/>
      </w:r>
      <w:r>
        <w:rPr>
          <w:bCs/>
          <w:color w:val="auto"/>
          <w:sz w:val="24"/>
          <w:szCs w:val="24"/>
        </w:rPr>
        <w:fldChar w:fldCharType="end"/>
      </w:r>
    </w:p>
    <w:p w14:paraId="546B634B">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_Toc17383 </w:instrText>
      </w:r>
      <w:r>
        <w:rPr>
          <w:bCs/>
          <w:sz w:val="24"/>
          <w:szCs w:val="24"/>
        </w:rPr>
        <w:fldChar w:fldCharType="separate"/>
      </w:r>
      <w:r>
        <w:rPr>
          <w:rFonts w:hint="default" w:ascii="Times New Roman" w:hAnsi="Times New Roman" w:cs="Times New Roman" w:eastAsiaTheme="majorEastAsia"/>
          <w:sz w:val="24"/>
          <w:szCs w:val="24"/>
          <w:lang w:val="en-US" w:eastAsia="zh-CN"/>
        </w:rPr>
        <w:t>3.2扩建项目概况</w:t>
      </w:r>
      <w:r>
        <w:rPr>
          <w:sz w:val="24"/>
          <w:szCs w:val="24"/>
        </w:rPr>
        <w:tab/>
      </w:r>
      <w:r>
        <w:rPr>
          <w:sz w:val="24"/>
          <w:szCs w:val="24"/>
        </w:rPr>
        <w:fldChar w:fldCharType="begin"/>
      </w:r>
      <w:r>
        <w:rPr>
          <w:sz w:val="24"/>
          <w:szCs w:val="24"/>
        </w:rPr>
        <w:instrText xml:space="preserve"> PAGEREF _Toc17383 \h </w:instrText>
      </w:r>
      <w:r>
        <w:rPr>
          <w:sz w:val="24"/>
          <w:szCs w:val="24"/>
        </w:rPr>
        <w:fldChar w:fldCharType="separate"/>
      </w:r>
      <w:r>
        <w:rPr>
          <w:sz w:val="24"/>
          <w:szCs w:val="24"/>
        </w:rPr>
        <w:t>42</w:t>
      </w:r>
      <w:r>
        <w:rPr>
          <w:sz w:val="24"/>
          <w:szCs w:val="24"/>
        </w:rPr>
        <w:fldChar w:fldCharType="end"/>
      </w:r>
      <w:r>
        <w:rPr>
          <w:bCs/>
          <w:color w:val="auto"/>
          <w:sz w:val="24"/>
          <w:szCs w:val="24"/>
        </w:rPr>
        <w:fldChar w:fldCharType="end"/>
      </w:r>
    </w:p>
    <w:p w14:paraId="17023FC2">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_Toc5921 </w:instrText>
      </w:r>
      <w:r>
        <w:rPr>
          <w:bCs/>
          <w:sz w:val="24"/>
          <w:szCs w:val="24"/>
        </w:rPr>
        <w:fldChar w:fldCharType="separate"/>
      </w:r>
      <w:r>
        <w:rPr>
          <w:rFonts w:hint="eastAsia"/>
          <w:sz w:val="24"/>
          <w:szCs w:val="44"/>
          <w:lang w:val="en-US" w:eastAsia="zh-CN"/>
        </w:rPr>
        <w:t>4自然环境概况</w:t>
      </w:r>
      <w:r>
        <w:rPr>
          <w:sz w:val="24"/>
          <w:szCs w:val="24"/>
        </w:rPr>
        <w:tab/>
      </w:r>
      <w:r>
        <w:rPr>
          <w:sz w:val="24"/>
          <w:szCs w:val="24"/>
        </w:rPr>
        <w:fldChar w:fldCharType="begin"/>
      </w:r>
      <w:r>
        <w:rPr>
          <w:sz w:val="24"/>
          <w:szCs w:val="24"/>
        </w:rPr>
        <w:instrText xml:space="preserve"> PAGEREF _Toc5921 \h </w:instrText>
      </w:r>
      <w:r>
        <w:rPr>
          <w:sz w:val="24"/>
          <w:szCs w:val="24"/>
        </w:rPr>
        <w:fldChar w:fldCharType="separate"/>
      </w:r>
      <w:r>
        <w:rPr>
          <w:sz w:val="24"/>
          <w:szCs w:val="24"/>
        </w:rPr>
        <w:t>73</w:t>
      </w:r>
      <w:r>
        <w:rPr>
          <w:sz w:val="24"/>
          <w:szCs w:val="24"/>
        </w:rPr>
        <w:fldChar w:fldCharType="end"/>
      </w:r>
      <w:r>
        <w:rPr>
          <w:bCs/>
          <w:color w:val="auto"/>
          <w:sz w:val="24"/>
          <w:szCs w:val="24"/>
        </w:rPr>
        <w:fldChar w:fldCharType="end"/>
      </w:r>
    </w:p>
    <w:p w14:paraId="6FCB7CBB">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_Toc20454 </w:instrText>
      </w:r>
      <w:r>
        <w:rPr>
          <w:bCs/>
          <w:sz w:val="24"/>
          <w:szCs w:val="24"/>
        </w:rPr>
        <w:fldChar w:fldCharType="separate"/>
      </w:r>
      <w:r>
        <w:rPr>
          <w:rFonts w:hint="default" w:ascii="Times New Roman" w:hAnsi="Times New Roman" w:cs="Times New Roman" w:eastAsiaTheme="minorEastAsia"/>
          <w:sz w:val="24"/>
          <w:szCs w:val="24"/>
          <w:lang w:val="en-US" w:eastAsia="zh-CN"/>
        </w:rPr>
        <w:t>4.1自然概况</w:t>
      </w:r>
      <w:r>
        <w:rPr>
          <w:sz w:val="24"/>
          <w:szCs w:val="24"/>
        </w:rPr>
        <w:tab/>
      </w:r>
      <w:r>
        <w:rPr>
          <w:sz w:val="24"/>
          <w:szCs w:val="24"/>
        </w:rPr>
        <w:fldChar w:fldCharType="begin"/>
      </w:r>
      <w:r>
        <w:rPr>
          <w:sz w:val="24"/>
          <w:szCs w:val="24"/>
        </w:rPr>
        <w:instrText xml:space="preserve"> PAGEREF _Toc20454 \h </w:instrText>
      </w:r>
      <w:r>
        <w:rPr>
          <w:sz w:val="24"/>
          <w:szCs w:val="24"/>
        </w:rPr>
        <w:fldChar w:fldCharType="separate"/>
      </w:r>
      <w:r>
        <w:rPr>
          <w:sz w:val="24"/>
          <w:szCs w:val="24"/>
        </w:rPr>
        <w:t>73</w:t>
      </w:r>
      <w:r>
        <w:rPr>
          <w:sz w:val="24"/>
          <w:szCs w:val="24"/>
        </w:rPr>
        <w:fldChar w:fldCharType="end"/>
      </w:r>
      <w:r>
        <w:rPr>
          <w:bCs/>
          <w:color w:val="auto"/>
          <w:sz w:val="24"/>
          <w:szCs w:val="24"/>
        </w:rPr>
        <w:fldChar w:fldCharType="end"/>
      </w:r>
    </w:p>
    <w:p w14:paraId="7D4BBC0B">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_Toc23960 </w:instrText>
      </w:r>
      <w:r>
        <w:rPr>
          <w:bCs/>
          <w:sz w:val="24"/>
          <w:szCs w:val="24"/>
        </w:rPr>
        <w:fldChar w:fldCharType="separate"/>
      </w:r>
      <w:r>
        <w:rPr>
          <w:rFonts w:hint="eastAsia"/>
          <w:sz w:val="24"/>
          <w:szCs w:val="44"/>
          <w:lang w:val="en-US" w:eastAsia="zh-CN"/>
        </w:rPr>
        <w:t>5环境影响预测与评价</w:t>
      </w:r>
      <w:r>
        <w:rPr>
          <w:sz w:val="24"/>
          <w:szCs w:val="24"/>
        </w:rPr>
        <w:tab/>
      </w:r>
      <w:r>
        <w:rPr>
          <w:sz w:val="24"/>
          <w:szCs w:val="24"/>
        </w:rPr>
        <w:fldChar w:fldCharType="begin"/>
      </w:r>
      <w:r>
        <w:rPr>
          <w:sz w:val="24"/>
          <w:szCs w:val="24"/>
        </w:rPr>
        <w:instrText xml:space="preserve"> PAGEREF _Toc23960 \h </w:instrText>
      </w:r>
      <w:r>
        <w:rPr>
          <w:sz w:val="24"/>
          <w:szCs w:val="24"/>
        </w:rPr>
        <w:fldChar w:fldCharType="separate"/>
      </w:r>
      <w:r>
        <w:rPr>
          <w:sz w:val="24"/>
          <w:szCs w:val="24"/>
        </w:rPr>
        <w:t>81</w:t>
      </w:r>
      <w:r>
        <w:rPr>
          <w:sz w:val="24"/>
          <w:szCs w:val="24"/>
        </w:rPr>
        <w:fldChar w:fldCharType="end"/>
      </w:r>
      <w:r>
        <w:rPr>
          <w:bCs/>
          <w:color w:val="auto"/>
          <w:sz w:val="24"/>
          <w:szCs w:val="24"/>
        </w:rPr>
        <w:fldChar w:fldCharType="end"/>
      </w:r>
    </w:p>
    <w:p w14:paraId="428139CE">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_Toc15920 </w:instrText>
      </w:r>
      <w:r>
        <w:rPr>
          <w:bCs/>
          <w:sz w:val="24"/>
          <w:szCs w:val="24"/>
        </w:rPr>
        <w:fldChar w:fldCharType="separate"/>
      </w:r>
      <w:r>
        <w:rPr>
          <w:rFonts w:hint="default" w:ascii="Times New Roman" w:hAnsi="Times New Roman" w:cs="Times New Roman" w:eastAsiaTheme="minorEastAsia"/>
          <w:sz w:val="24"/>
          <w:szCs w:val="24"/>
        </w:rPr>
        <w:t>5.1施工期环境影响分析</w:t>
      </w:r>
      <w:r>
        <w:rPr>
          <w:sz w:val="24"/>
          <w:szCs w:val="24"/>
        </w:rPr>
        <w:tab/>
      </w:r>
      <w:r>
        <w:rPr>
          <w:sz w:val="24"/>
          <w:szCs w:val="24"/>
        </w:rPr>
        <w:fldChar w:fldCharType="begin"/>
      </w:r>
      <w:r>
        <w:rPr>
          <w:sz w:val="24"/>
          <w:szCs w:val="24"/>
        </w:rPr>
        <w:instrText xml:space="preserve"> PAGEREF _Toc15920 \h </w:instrText>
      </w:r>
      <w:r>
        <w:rPr>
          <w:sz w:val="24"/>
          <w:szCs w:val="24"/>
        </w:rPr>
        <w:fldChar w:fldCharType="separate"/>
      </w:r>
      <w:r>
        <w:rPr>
          <w:sz w:val="24"/>
          <w:szCs w:val="24"/>
        </w:rPr>
        <w:t>81</w:t>
      </w:r>
      <w:r>
        <w:rPr>
          <w:sz w:val="24"/>
          <w:szCs w:val="24"/>
        </w:rPr>
        <w:fldChar w:fldCharType="end"/>
      </w:r>
      <w:r>
        <w:rPr>
          <w:bCs/>
          <w:color w:val="auto"/>
          <w:sz w:val="24"/>
          <w:szCs w:val="24"/>
        </w:rPr>
        <w:fldChar w:fldCharType="end"/>
      </w:r>
    </w:p>
    <w:p w14:paraId="78355AA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_Toc10832 </w:instrText>
      </w:r>
      <w:r>
        <w:rPr>
          <w:bCs/>
          <w:sz w:val="24"/>
          <w:szCs w:val="24"/>
        </w:rPr>
        <w:fldChar w:fldCharType="separate"/>
      </w:r>
      <w:r>
        <w:rPr>
          <w:rFonts w:hint="default" w:ascii="Times New Roman" w:hAnsi="Times New Roman" w:cs="Times New Roman" w:eastAsiaTheme="majorEastAsia"/>
          <w:sz w:val="24"/>
          <w:szCs w:val="24"/>
          <w:highlight w:val="none"/>
        </w:rPr>
        <w:t>5.2营运期环境影响分析</w:t>
      </w:r>
      <w:r>
        <w:rPr>
          <w:sz w:val="24"/>
          <w:szCs w:val="24"/>
        </w:rPr>
        <w:tab/>
      </w:r>
      <w:r>
        <w:rPr>
          <w:sz w:val="24"/>
          <w:szCs w:val="24"/>
        </w:rPr>
        <w:fldChar w:fldCharType="begin"/>
      </w:r>
      <w:r>
        <w:rPr>
          <w:sz w:val="24"/>
          <w:szCs w:val="24"/>
        </w:rPr>
        <w:instrText xml:space="preserve"> PAGEREF _Toc10832 \h </w:instrText>
      </w:r>
      <w:r>
        <w:rPr>
          <w:sz w:val="24"/>
          <w:szCs w:val="24"/>
        </w:rPr>
        <w:fldChar w:fldCharType="separate"/>
      </w:r>
      <w:r>
        <w:rPr>
          <w:sz w:val="24"/>
          <w:szCs w:val="24"/>
        </w:rPr>
        <w:t>81</w:t>
      </w:r>
      <w:r>
        <w:rPr>
          <w:sz w:val="24"/>
          <w:szCs w:val="24"/>
        </w:rPr>
        <w:fldChar w:fldCharType="end"/>
      </w:r>
      <w:r>
        <w:rPr>
          <w:bCs/>
          <w:color w:val="auto"/>
          <w:sz w:val="24"/>
          <w:szCs w:val="24"/>
        </w:rPr>
        <w:fldChar w:fldCharType="end"/>
      </w:r>
    </w:p>
    <w:p w14:paraId="7D59A88B">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_Toc31597 </w:instrText>
      </w:r>
      <w:r>
        <w:rPr>
          <w:bCs/>
          <w:sz w:val="24"/>
          <w:szCs w:val="24"/>
        </w:rPr>
        <w:fldChar w:fldCharType="separate"/>
      </w:r>
      <w:r>
        <w:rPr>
          <w:rFonts w:hint="eastAsia"/>
          <w:sz w:val="24"/>
          <w:szCs w:val="24"/>
          <w:lang w:val="en-US" w:eastAsia="zh-CN"/>
        </w:rPr>
        <w:t>7</w:t>
      </w:r>
      <w:r>
        <w:rPr>
          <w:rFonts w:hint="default"/>
          <w:sz w:val="24"/>
          <w:szCs w:val="24"/>
          <w:lang w:val="en-US" w:eastAsia="zh-CN"/>
        </w:rPr>
        <w:t>环境风险评价</w:t>
      </w:r>
      <w:r>
        <w:rPr>
          <w:sz w:val="24"/>
          <w:szCs w:val="24"/>
        </w:rPr>
        <w:tab/>
      </w:r>
      <w:r>
        <w:rPr>
          <w:sz w:val="24"/>
          <w:szCs w:val="24"/>
        </w:rPr>
        <w:fldChar w:fldCharType="begin"/>
      </w:r>
      <w:r>
        <w:rPr>
          <w:sz w:val="24"/>
          <w:szCs w:val="24"/>
        </w:rPr>
        <w:instrText xml:space="preserve"> PAGEREF _Toc31597 \h </w:instrText>
      </w:r>
      <w:r>
        <w:rPr>
          <w:sz w:val="24"/>
          <w:szCs w:val="24"/>
        </w:rPr>
        <w:fldChar w:fldCharType="separate"/>
      </w:r>
      <w:r>
        <w:rPr>
          <w:sz w:val="24"/>
          <w:szCs w:val="24"/>
        </w:rPr>
        <w:t>94</w:t>
      </w:r>
      <w:r>
        <w:rPr>
          <w:sz w:val="24"/>
          <w:szCs w:val="24"/>
        </w:rPr>
        <w:fldChar w:fldCharType="end"/>
      </w:r>
      <w:r>
        <w:rPr>
          <w:bCs/>
          <w:color w:val="auto"/>
          <w:sz w:val="24"/>
          <w:szCs w:val="24"/>
        </w:rPr>
        <w:fldChar w:fldCharType="end"/>
      </w:r>
    </w:p>
    <w:p w14:paraId="6D0B6F3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_Toc18955 </w:instrText>
      </w:r>
      <w:r>
        <w:rPr>
          <w:bCs/>
          <w:sz w:val="24"/>
          <w:szCs w:val="24"/>
        </w:rPr>
        <w:fldChar w:fldCharType="separate"/>
      </w:r>
      <w:r>
        <w:rPr>
          <w:rFonts w:hint="default" w:ascii="Times New Roman" w:hAnsi="Times New Roman" w:cs="Times New Roman" w:eastAsiaTheme="minorEastAsia"/>
          <w:sz w:val="24"/>
          <w:szCs w:val="24"/>
          <w:lang w:val="en-US" w:eastAsia="zh-CN"/>
        </w:rPr>
        <w:t>7.1评价依据</w:t>
      </w:r>
      <w:r>
        <w:rPr>
          <w:sz w:val="24"/>
          <w:szCs w:val="24"/>
        </w:rPr>
        <w:tab/>
      </w:r>
      <w:r>
        <w:rPr>
          <w:sz w:val="24"/>
          <w:szCs w:val="24"/>
        </w:rPr>
        <w:fldChar w:fldCharType="begin"/>
      </w:r>
      <w:r>
        <w:rPr>
          <w:sz w:val="24"/>
          <w:szCs w:val="24"/>
        </w:rPr>
        <w:instrText xml:space="preserve"> PAGEREF _Toc18955 \h </w:instrText>
      </w:r>
      <w:r>
        <w:rPr>
          <w:sz w:val="24"/>
          <w:szCs w:val="24"/>
        </w:rPr>
        <w:fldChar w:fldCharType="separate"/>
      </w:r>
      <w:r>
        <w:rPr>
          <w:sz w:val="24"/>
          <w:szCs w:val="24"/>
        </w:rPr>
        <w:t>94</w:t>
      </w:r>
      <w:r>
        <w:rPr>
          <w:sz w:val="24"/>
          <w:szCs w:val="24"/>
        </w:rPr>
        <w:fldChar w:fldCharType="end"/>
      </w:r>
      <w:r>
        <w:rPr>
          <w:bCs/>
          <w:color w:val="auto"/>
          <w:sz w:val="24"/>
          <w:szCs w:val="24"/>
        </w:rPr>
        <w:fldChar w:fldCharType="end"/>
      </w:r>
    </w:p>
    <w:p w14:paraId="753B48C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_Toc20733 </w:instrText>
      </w:r>
      <w:r>
        <w:rPr>
          <w:bCs/>
          <w:sz w:val="24"/>
          <w:szCs w:val="24"/>
        </w:rPr>
        <w:fldChar w:fldCharType="separate"/>
      </w:r>
      <w:r>
        <w:rPr>
          <w:rFonts w:hint="eastAsia" w:cs="Times New Roman"/>
          <w:kern w:val="2"/>
          <w:sz w:val="24"/>
          <w:szCs w:val="28"/>
          <w:highlight w:val="none"/>
          <w:lang w:val="en-US" w:eastAsia="zh-CN" w:bidi="ar-SA"/>
        </w:rPr>
        <w:t>1、环境</w:t>
      </w:r>
      <w:r>
        <w:rPr>
          <w:rFonts w:hint="eastAsia" w:ascii="Times New Roman" w:hAnsi="Times New Roman" w:eastAsia="宋体" w:cs="Times New Roman"/>
          <w:kern w:val="2"/>
          <w:sz w:val="24"/>
          <w:szCs w:val="28"/>
          <w:highlight w:val="none"/>
          <w:lang w:val="en-US" w:eastAsia="zh-CN" w:bidi="ar-SA"/>
        </w:rPr>
        <w:t>风险</w:t>
      </w:r>
      <w:r>
        <w:rPr>
          <w:rFonts w:hint="eastAsia" w:cs="Times New Roman"/>
          <w:kern w:val="2"/>
          <w:sz w:val="24"/>
          <w:szCs w:val="28"/>
          <w:highlight w:val="none"/>
          <w:lang w:val="en-US" w:eastAsia="zh-CN" w:bidi="ar-SA"/>
        </w:rPr>
        <w:t>物质</w:t>
      </w:r>
      <w:r>
        <w:rPr>
          <w:sz w:val="24"/>
          <w:szCs w:val="24"/>
        </w:rPr>
        <w:tab/>
      </w:r>
      <w:r>
        <w:rPr>
          <w:sz w:val="24"/>
          <w:szCs w:val="24"/>
        </w:rPr>
        <w:fldChar w:fldCharType="begin"/>
      </w:r>
      <w:r>
        <w:rPr>
          <w:sz w:val="24"/>
          <w:szCs w:val="24"/>
        </w:rPr>
        <w:instrText xml:space="preserve"> PAGEREF _Toc20733 \h </w:instrText>
      </w:r>
      <w:r>
        <w:rPr>
          <w:sz w:val="24"/>
          <w:szCs w:val="24"/>
        </w:rPr>
        <w:fldChar w:fldCharType="separate"/>
      </w:r>
      <w:r>
        <w:rPr>
          <w:sz w:val="24"/>
          <w:szCs w:val="24"/>
        </w:rPr>
        <w:t>94</w:t>
      </w:r>
      <w:r>
        <w:rPr>
          <w:sz w:val="24"/>
          <w:szCs w:val="24"/>
        </w:rPr>
        <w:fldChar w:fldCharType="end"/>
      </w:r>
      <w:r>
        <w:rPr>
          <w:bCs/>
          <w:color w:val="auto"/>
          <w:sz w:val="24"/>
          <w:szCs w:val="24"/>
        </w:rPr>
        <w:fldChar w:fldCharType="end"/>
      </w:r>
    </w:p>
    <w:p w14:paraId="5FA58E68">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_Toc31155 </w:instrText>
      </w:r>
      <w:r>
        <w:rPr>
          <w:bCs/>
          <w:sz w:val="24"/>
          <w:szCs w:val="24"/>
        </w:rPr>
        <w:fldChar w:fldCharType="separate"/>
      </w:r>
      <w:r>
        <w:rPr>
          <w:rFonts w:hint="default"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环境保护目标概况</w:t>
      </w:r>
      <w:r>
        <w:rPr>
          <w:sz w:val="24"/>
          <w:szCs w:val="24"/>
        </w:rPr>
        <w:tab/>
      </w:r>
      <w:r>
        <w:rPr>
          <w:sz w:val="24"/>
          <w:szCs w:val="24"/>
        </w:rPr>
        <w:fldChar w:fldCharType="begin"/>
      </w:r>
      <w:r>
        <w:rPr>
          <w:sz w:val="24"/>
          <w:szCs w:val="24"/>
        </w:rPr>
        <w:instrText xml:space="preserve"> PAGEREF _Toc31155 \h </w:instrText>
      </w:r>
      <w:r>
        <w:rPr>
          <w:sz w:val="24"/>
          <w:szCs w:val="24"/>
        </w:rPr>
        <w:fldChar w:fldCharType="separate"/>
      </w:r>
      <w:r>
        <w:rPr>
          <w:sz w:val="24"/>
          <w:szCs w:val="24"/>
        </w:rPr>
        <w:t>94</w:t>
      </w:r>
      <w:r>
        <w:rPr>
          <w:sz w:val="24"/>
          <w:szCs w:val="24"/>
        </w:rPr>
        <w:fldChar w:fldCharType="end"/>
      </w:r>
      <w:r>
        <w:rPr>
          <w:bCs/>
          <w:color w:val="auto"/>
          <w:sz w:val="24"/>
          <w:szCs w:val="24"/>
        </w:rPr>
        <w:fldChar w:fldCharType="end"/>
      </w:r>
    </w:p>
    <w:p w14:paraId="4F1CE127">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_Toc17700 </w:instrText>
      </w:r>
      <w:r>
        <w:rPr>
          <w:bCs/>
          <w:sz w:val="24"/>
          <w:szCs w:val="24"/>
        </w:rPr>
        <w:fldChar w:fldCharType="separate"/>
      </w:r>
      <w:r>
        <w:rPr>
          <w:rFonts w:hint="default"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val="en-US" w:eastAsia="zh-CN"/>
        </w:rPr>
        <w:t>环境风险识别</w:t>
      </w:r>
      <w:r>
        <w:rPr>
          <w:sz w:val="24"/>
          <w:szCs w:val="24"/>
        </w:rPr>
        <w:tab/>
      </w:r>
      <w:r>
        <w:rPr>
          <w:sz w:val="24"/>
          <w:szCs w:val="24"/>
        </w:rPr>
        <w:fldChar w:fldCharType="begin"/>
      </w:r>
      <w:r>
        <w:rPr>
          <w:sz w:val="24"/>
          <w:szCs w:val="24"/>
        </w:rPr>
        <w:instrText xml:space="preserve"> PAGEREF _Toc17700 \h </w:instrText>
      </w:r>
      <w:r>
        <w:rPr>
          <w:sz w:val="24"/>
          <w:szCs w:val="24"/>
        </w:rPr>
        <w:fldChar w:fldCharType="separate"/>
      </w:r>
      <w:r>
        <w:rPr>
          <w:sz w:val="24"/>
          <w:szCs w:val="24"/>
        </w:rPr>
        <w:t>95</w:t>
      </w:r>
      <w:r>
        <w:rPr>
          <w:sz w:val="24"/>
          <w:szCs w:val="24"/>
        </w:rPr>
        <w:fldChar w:fldCharType="end"/>
      </w:r>
      <w:r>
        <w:rPr>
          <w:bCs/>
          <w:color w:val="auto"/>
          <w:sz w:val="24"/>
          <w:szCs w:val="24"/>
        </w:rPr>
        <w:fldChar w:fldCharType="end"/>
      </w:r>
    </w:p>
    <w:p w14:paraId="22907EEB">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_Toc22408 </w:instrText>
      </w:r>
      <w:r>
        <w:rPr>
          <w:bCs/>
          <w:sz w:val="24"/>
          <w:szCs w:val="24"/>
        </w:rPr>
        <w:fldChar w:fldCharType="separate"/>
      </w:r>
      <w:r>
        <w:rPr>
          <w:rFonts w:hint="default"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环境风险分析</w:t>
      </w:r>
      <w:r>
        <w:rPr>
          <w:sz w:val="24"/>
          <w:szCs w:val="24"/>
        </w:rPr>
        <w:tab/>
      </w:r>
      <w:r>
        <w:rPr>
          <w:sz w:val="24"/>
          <w:szCs w:val="24"/>
        </w:rPr>
        <w:fldChar w:fldCharType="begin"/>
      </w:r>
      <w:r>
        <w:rPr>
          <w:sz w:val="24"/>
          <w:szCs w:val="24"/>
        </w:rPr>
        <w:instrText xml:space="preserve"> PAGEREF _Toc22408 \h </w:instrText>
      </w:r>
      <w:r>
        <w:rPr>
          <w:sz w:val="24"/>
          <w:szCs w:val="24"/>
        </w:rPr>
        <w:fldChar w:fldCharType="separate"/>
      </w:r>
      <w:r>
        <w:rPr>
          <w:sz w:val="24"/>
          <w:szCs w:val="24"/>
        </w:rPr>
        <w:t>100</w:t>
      </w:r>
      <w:r>
        <w:rPr>
          <w:sz w:val="24"/>
          <w:szCs w:val="24"/>
        </w:rPr>
        <w:fldChar w:fldCharType="end"/>
      </w:r>
      <w:r>
        <w:rPr>
          <w:bCs/>
          <w:color w:val="auto"/>
          <w:sz w:val="24"/>
          <w:szCs w:val="24"/>
        </w:rPr>
        <w:fldChar w:fldCharType="end"/>
      </w:r>
    </w:p>
    <w:p w14:paraId="7AE7BEE9">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_Toc12773 </w:instrText>
      </w:r>
      <w:r>
        <w:rPr>
          <w:bCs/>
          <w:sz w:val="24"/>
          <w:szCs w:val="24"/>
        </w:rPr>
        <w:fldChar w:fldCharType="separate"/>
      </w:r>
      <w:r>
        <w:rPr>
          <w:rFonts w:hint="default"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lang w:eastAsia="zh-CN"/>
        </w:rPr>
        <w:t>环境风险防范措施及应急要求</w:t>
      </w:r>
      <w:r>
        <w:rPr>
          <w:sz w:val="24"/>
          <w:szCs w:val="24"/>
        </w:rPr>
        <w:tab/>
      </w:r>
      <w:r>
        <w:rPr>
          <w:sz w:val="24"/>
          <w:szCs w:val="24"/>
        </w:rPr>
        <w:fldChar w:fldCharType="begin"/>
      </w:r>
      <w:r>
        <w:rPr>
          <w:sz w:val="24"/>
          <w:szCs w:val="24"/>
        </w:rPr>
        <w:instrText xml:space="preserve"> PAGEREF _Toc12773 \h </w:instrText>
      </w:r>
      <w:r>
        <w:rPr>
          <w:sz w:val="24"/>
          <w:szCs w:val="24"/>
        </w:rPr>
        <w:fldChar w:fldCharType="separate"/>
      </w:r>
      <w:r>
        <w:rPr>
          <w:sz w:val="24"/>
          <w:szCs w:val="24"/>
        </w:rPr>
        <w:t>101</w:t>
      </w:r>
      <w:r>
        <w:rPr>
          <w:sz w:val="24"/>
          <w:szCs w:val="24"/>
        </w:rPr>
        <w:fldChar w:fldCharType="end"/>
      </w:r>
      <w:r>
        <w:rPr>
          <w:bCs/>
          <w:color w:val="auto"/>
          <w:sz w:val="24"/>
          <w:szCs w:val="24"/>
        </w:rPr>
        <w:fldChar w:fldCharType="end"/>
      </w:r>
    </w:p>
    <w:p w14:paraId="2B89A946">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_Toc24358 </w:instrText>
      </w:r>
      <w:r>
        <w:rPr>
          <w:bCs/>
          <w:sz w:val="24"/>
          <w:szCs w:val="24"/>
        </w:rPr>
        <w:fldChar w:fldCharType="separate"/>
      </w:r>
      <w:r>
        <w:rPr>
          <w:rFonts w:hint="default" w:ascii="Times New Roman" w:hAnsi="Times New Roman" w:cs="Times New Roman" w:eastAsiaTheme="minorEastAsia"/>
          <w:sz w:val="24"/>
          <w:szCs w:val="24"/>
          <w:lang w:val="en-US" w:eastAsia="zh-CN"/>
        </w:rPr>
        <w:t>7.</w:t>
      </w:r>
      <w:r>
        <w:rPr>
          <w:rFonts w:hint="eastAsia"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环境风险分析结论</w:t>
      </w:r>
      <w:r>
        <w:rPr>
          <w:sz w:val="24"/>
          <w:szCs w:val="24"/>
        </w:rPr>
        <w:tab/>
      </w:r>
      <w:r>
        <w:rPr>
          <w:sz w:val="24"/>
          <w:szCs w:val="24"/>
        </w:rPr>
        <w:fldChar w:fldCharType="begin"/>
      </w:r>
      <w:r>
        <w:rPr>
          <w:sz w:val="24"/>
          <w:szCs w:val="24"/>
        </w:rPr>
        <w:instrText xml:space="preserve"> PAGEREF _Toc24358 \h </w:instrText>
      </w:r>
      <w:r>
        <w:rPr>
          <w:sz w:val="24"/>
          <w:szCs w:val="24"/>
        </w:rPr>
        <w:fldChar w:fldCharType="separate"/>
      </w:r>
      <w:r>
        <w:rPr>
          <w:sz w:val="24"/>
          <w:szCs w:val="24"/>
        </w:rPr>
        <w:t>102</w:t>
      </w:r>
      <w:r>
        <w:rPr>
          <w:sz w:val="24"/>
          <w:szCs w:val="24"/>
        </w:rPr>
        <w:fldChar w:fldCharType="end"/>
      </w:r>
      <w:r>
        <w:rPr>
          <w:bCs/>
          <w:color w:val="auto"/>
          <w:sz w:val="24"/>
          <w:szCs w:val="24"/>
        </w:rPr>
        <w:fldChar w:fldCharType="end"/>
      </w:r>
    </w:p>
    <w:p w14:paraId="5056AC86">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_Toc3973 </w:instrText>
      </w:r>
      <w:r>
        <w:rPr>
          <w:bCs/>
          <w:sz w:val="24"/>
          <w:szCs w:val="24"/>
        </w:rPr>
        <w:fldChar w:fldCharType="separate"/>
      </w:r>
      <w:r>
        <w:rPr>
          <w:rFonts w:hint="eastAsia"/>
          <w:sz w:val="24"/>
          <w:szCs w:val="24"/>
          <w:lang w:val="en-US" w:eastAsia="zh-CN"/>
        </w:rPr>
        <w:t>8</w:t>
      </w:r>
      <w:r>
        <w:rPr>
          <w:rFonts w:hint="default"/>
          <w:sz w:val="24"/>
          <w:szCs w:val="24"/>
          <w:lang w:val="en-US" w:eastAsia="zh-CN"/>
        </w:rPr>
        <w:t>环境保护措施及其可行性论证</w:t>
      </w:r>
      <w:r>
        <w:rPr>
          <w:sz w:val="24"/>
          <w:szCs w:val="24"/>
        </w:rPr>
        <w:tab/>
      </w:r>
      <w:r>
        <w:rPr>
          <w:sz w:val="24"/>
          <w:szCs w:val="24"/>
        </w:rPr>
        <w:fldChar w:fldCharType="begin"/>
      </w:r>
      <w:r>
        <w:rPr>
          <w:sz w:val="24"/>
          <w:szCs w:val="24"/>
        </w:rPr>
        <w:instrText xml:space="preserve"> PAGEREF _Toc3973 \h </w:instrText>
      </w:r>
      <w:r>
        <w:rPr>
          <w:sz w:val="24"/>
          <w:szCs w:val="24"/>
        </w:rPr>
        <w:fldChar w:fldCharType="separate"/>
      </w:r>
      <w:r>
        <w:rPr>
          <w:sz w:val="24"/>
          <w:szCs w:val="24"/>
        </w:rPr>
        <w:t>103</w:t>
      </w:r>
      <w:r>
        <w:rPr>
          <w:sz w:val="24"/>
          <w:szCs w:val="24"/>
        </w:rPr>
        <w:fldChar w:fldCharType="end"/>
      </w:r>
      <w:r>
        <w:rPr>
          <w:bCs/>
          <w:color w:val="auto"/>
          <w:sz w:val="24"/>
          <w:szCs w:val="24"/>
        </w:rPr>
        <w:fldChar w:fldCharType="end"/>
      </w:r>
    </w:p>
    <w:p w14:paraId="63C131ED">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_Toc20079 </w:instrText>
      </w:r>
      <w:r>
        <w:rPr>
          <w:bCs/>
          <w:sz w:val="24"/>
          <w:szCs w:val="24"/>
        </w:rPr>
        <w:fldChar w:fldCharType="separate"/>
      </w:r>
      <w:r>
        <w:rPr>
          <w:rFonts w:hint="default" w:ascii="Times New Roman" w:hAnsi="Times New Roman" w:cs="Times New Roman" w:eastAsiaTheme="minorEastAsia"/>
          <w:sz w:val="24"/>
          <w:szCs w:val="24"/>
          <w:lang w:val="en-US" w:eastAsia="zh-CN"/>
        </w:rPr>
        <w:t>8</w:t>
      </w:r>
      <w:r>
        <w:rPr>
          <w:rFonts w:hint="default" w:ascii="Times New Roman" w:hAnsi="Times New Roman" w:cs="Times New Roman" w:eastAsiaTheme="minorEastAsia"/>
          <w:sz w:val="24"/>
          <w:szCs w:val="24"/>
        </w:rPr>
        <w:t>.1施工期污染防治措施</w:t>
      </w:r>
      <w:r>
        <w:rPr>
          <w:sz w:val="24"/>
          <w:szCs w:val="24"/>
        </w:rPr>
        <w:tab/>
      </w:r>
      <w:r>
        <w:rPr>
          <w:sz w:val="24"/>
          <w:szCs w:val="24"/>
        </w:rPr>
        <w:fldChar w:fldCharType="begin"/>
      </w:r>
      <w:r>
        <w:rPr>
          <w:sz w:val="24"/>
          <w:szCs w:val="24"/>
        </w:rPr>
        <w:instrText xml:space="preserve"> PAGEREF _Toc20079 \h </w:instrText>
      </w:r>
      <w:r>
        <w:rPr>
          <w:sz w:val="24"/>
          <w:szCs w:val="24"/>
        </w:rPr>
        <w:fldChar w:fldCharType="separate"/>
      </w:r>
      <w:r>
        <w:rPr>
          <w:sz w:val="24"/>
          <w:szCs w:val="24"/>
        </w:rPr>
        <w:t>103</w:t>
      </w:r>
      <w:r>
        <w:rPr>
          <w:sz w:val="24"/>
          <w:szCs w:val="24"/>
        </w:rPr>
        <w:fldChar w:fldCharType="end"/>
      </w:r>
      <w:r>
        <w:rPr>
          <w:bCs/>
          <w:color w:val="auto"/>
          <w:sz w:val="24"/>
          <w:szCs w:val="24"/>
        </w:rPr>
        <w:fldChar w:fldCharType="end"/>
      </w:r>
    </w:p>
    <w:p w14:paraId="0B8223C3">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_Toc30799 </w:instrText>
      </w:r>
      <w:r>
        <w:rPr>
          <w:bCs/>
          <w:sz w:val="24"/>
          <w:szCs w:val="24"/>
        </w:rPr>
        <w:fldChar w:fldCharType="separate"/>
      </w:r>
      <w:r>
        <w:rPr>
          <w:rFonts w:hint="default" w:ascii="Times New Roman" w:hAnsi="Times New Roman" w:cs="Times New Roman" w:eastAsiaTheme="minorEastAsia"/>
          <w:sz w:val="24"/>
          <w:szCs w:val="24"/>
          <w:lang w:val="en-US" w:eastAsia="zh-CN"/>
        </w:rPr>
        <w:t>8.2营运期污染防治措施</w:t>
      </w:r>
      <w:r>
        <w:rPr>
          <w:sz w:val="24"/>
          <w:szCs w:val="24"/>
        </w:rPr>
        <w:tab/>
      </w:r>
      <w:r>
        <w:rPr>
          <w:sz w:val="24"/>
          <w:szCs w:val="24"/>
        </w:rPr>
        <w:fldChar w:fldCharType="begin"/>
      </w:r>
      <w:r>
        <w:rPr>
          <w:sz w:val="24"/>
          <w:szCs w:val="24"/>
        </w:rPr>
        <w:instrText xml:space="preserve"> PAGEREF _Toc30799 \h </w:instrText>
      </w:r>
      <w:r>
        <w:rPr>
          <w:sz w:val="24"/>
          <w:szCs w:val="24"/>
        </w:rPr>
        <w:fldChar w:fldCharType="separate"/>
      </w:r>
      <w:r>
        <w:rPr>
          <w:sz w:val="24"/>
          <w:szCs w:val="24"/>
        </w:rPr>
        <w:t>105</w:t>
      </w:r>
      <w:r>
        <w:rPr>
          <w:sz w:val="24"/>
          <w:szCs w:val="24"/>
        </w:rPr>
        <w:fldChar w:fldCharType="end"/>
      </w:r>
      <w:r>
        <w:rPr>
          <w:bCs/>
          <w:color w:val="auto"/>
          <w:sz w:val="24"/>
          <w:szCs w:val="24"/>
        </w:rPr>
        <w:fldChar w:fldCharType="end"/>
      </w:r>
    </w:p>
    <w:p w14:paraId="325EA76F">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_Toc709 </w:instrText>
      </w:r>
      <w:r>
        <w:rPr>
          <w:bCs/>
          <w:sz w:val="24"/>
          <w:szCs w:val="24"/>
        </w:rPr>
        <w:fldChar w:fldCharType="separate"/>
      </w:r>
      <w:r>
        <w:rPr>
          <w:rFonts w:hint="eastAsia"/>
          <w:sz w:val="24"/>
          <w:szCs w:val="24"/>
          <w:lang w:val="en-US" w:eastAsia="zh-CN"/>
        </w:rPr>
        <w:t>9</w:t>
      </w:r>
      <w:r>
        <w:rPr>
          <w:rFonts w:hint="default"/>
          <w:sz w:val="24"/>
          <w:szCs w:val="24"/>
          <w:lang w:val="en-US" w:eastAsia="zh-CN"/>
        </w:rPr>
        <w:t>环境影响经济损益分析</w:t>
      </w:r>
      <w:r>
        <w:rPr>
          <w:sz w:val="24"/>
          <w:szCs w:val="24"/>
        </w:rPr>
        <w:tab/>
      </w:r>
      <w:r>
        <w:rPr>
          <w:sz w:val="24"/>
          <w:szCs w:val="24"/>
        </w:rPr>
        <w:fldChar w:fldCharType="begin"/>
      </w:r>
      <w:r>
        <w:rPr>
          <w:sz w:val="24"/>
          <w:szCs w:val="24"/>
        </w:rPr>
        <w:instrText xml:space="preserve"> PAGEREF _Toc709 \h </w:instrText>
      </w:r>
      <w:r>
        <w:rPr>
          <w:sz w:val="24"/>
          <w:szCs w:val="24"/>
        </w:rPr>
        <w:fldChar w:fldCharType="separate"/>
      </w:r>
      <w:r>
        <w:rPr>
          <w:sz w:val="24"/>
          <w:szCs w:val="24"/>
        </w:rPr>
        <w:t>125</w:t>
      </w:r>
      <w:r>
        <w:rPr>
          <w:sz w:val="24"/>
          <w:szCs w:val="24"/>
        </w:rPr>
        <w:fldChar w:fldCharType="end"/>
      </w:r>
      <w:r>
        <w:rPr>
          <w:bCs/>
          <w:color w:val="auto"/>
          <w:sz w:val="24"/>
          <w:szCs w:val="24"/>
        </w:rPr>
        <w:fldChar w:fldCharType="end"/>
      </w:r>
    </w:p>
    <w:p w14:paraId="6969753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_Toc22354 </w:instrText>
      </w:r>
      <w:r>
        <w:rPr>
          <w:bCs/>
          <w:sz w:val="24"/>
          <w:szCs w:val="24"/>
        </w:rPr>
        <w:fldChar w:fldCharType="separate"/>
      </w:r>
      <w:r>
        <w:rPr>
          <w:rFonts w:hint="default" w:ascii="Times New Roman" w:hAnsi="Times New Roman" w:cs="Times New Roman" w:eastAsiaTheme="minorEastAsia"/>
          <w:sz w:val="24"/>
          <w:szCs w:val="24"/>
          <w:lang w:val="en-US" w:eastAsia="zh-CN"/>
        </w:rPr>
        <w:t>9</w:t>
      </w:r>
      <w:r>
        <w:rPr>
          <w:rFonts w:hint="default" w:ascii="Times New Roman" w:hAnsi="Times New Roman" w:cs="Times New Roman" w:eastAsiaTheme="minorEastAsia"/>
          <w:sz w:val="24"/>
          <w:szCs w:val="24"/>
          <w:lang w:val="zh-CN" w:eastAsia="zh-CN"/>
        </w:rPr>
        <w:t>.1环保投资及效益分析</w:t>
      </w:r>
      <w:r>
        <w:rPr>
          <w:sz w:val="24"/>
          <w:szCs w:val="24"/>
        </w:rPr>
        <w:tab/>
      </w:r>
      <w:r>
        <w:rPr>
          <w:sz w:val="24"/>
          <w:szCs w:val="24"/>
        </w:rPr>
        <w:fldChar w:fldCharType="begin"/>
      </w:r>
      <w:r>
        <w:rPr>
          <w:sz w:val="24"/>
          <w:szCs w:val="24"/>
        </w:rPr>
        <w:instrText xml:space="preserve"> PAGEREF _Toc22354 \h </w:instrText>
      </w:r>
      <w:r>
        <w:rPr>
          <w:sz w:val="24"/>
          <w:szCs w:val="24"/>
        </w:rPr>
        <w:fldChar w:fldCharType="separate"/>
      </w:r>
      <w:r>
        <w:rPr>
          <w:sz w:val="24"/>
          <w:szCs w:val="24"/>
        </w:rPr>
        <w:t>125</w:t>
      </w:r>
      <w:r>
        <w:rPr>
          <w:sz w:val="24"/>
          <w:szCs w:val="24"/>
        </w:rPr>
        <w:fldChar w:fldCharType="end"/>
      </w:r>
      <w:r>
        <w:rPr>
          <w:bCs/>
          <w:color w:val="auto"/>
          <w:sz w:val="24"/>
          <w:szCs w:val="24"/>
        </w:rPr>
        <w:fldChar w:fldCharType="end"/>
      </w:r>
    </w:p>
    <w:p w14:paraId="20828F13">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_Toc6477 </w:instrText>
      </w:r>
      <w:r>
        <w:rPr>
          <w:bCs/>
          <w:sz w:val="24"/>
          <w:szCs w:val="24"/>
        </w:rPr>
        <w:fldChar w:fldCharType="separate"/>
      </w:r>
      <w:r>
        <w:rPr>
          <w:rFonts w:hint="default" w:ascii="Times New Roman" w:hAnsi="Times New Roman" w:cs="Times New Roman" w:eastAsiaTheme="minorEastAsia"/>
          <w:sz w:val="24"/>
          <w:szCs w:val="24"/>
          <w:lang w:val="en-US" w:eastAsia="zh-CN"/>
        </w:rPr>
        <w:t>9</w:t>
      </w: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2社会</w:t>
      </w:r>
      <w:r>
        <w:rPr>
          <w:rFonts w:hint="default" w:ascii="Times New Roman" w:hAnsi="Times New Roman" w:cs="Times New Roman" w:eastAsiaTheme="minorEastAsia"/>
          <w:sz w:val="24"/>
          <w:szCs w:val="24"/>
          <w:lang w:val="zh-CN" w:eastAsia="zh-CN"/>
        </w:rPr>
        <w:t>效益分析</w:t>
      </w:r>
      <w:r>
        <w:rPr>
          <w:sz w:val="24"/>
          <w:szCs w:val="24"/>
        </w:rPr>
        <w:tab/>
      </w:r>
      <w:r>
        <w:rPr>
          <w:sz w:val="24"/>
          <w:szCs w:val="24"/>
        </w:rPr>
        <w:fldChar w:fldCharType="begin"/>
      </w:r>
      <w:r>
        <w:rPr>
          <w:sz w:val="24"/>
          <w:szCs w:val="24"/>
        </w:rPr>
        <w:instrText xml:space="preserve"> PAGEREF _Toc6477 \h </w:instrText>
      </w:r>
      <w:r>
        <w:rPr>
          <w:sz w:val="24"/>
          <w:szCs w:val="24"/>
        </w:rPr>
        <w:fldChar w:fldCharType="separate"/>
      </w:r>
      <w:r>
        <w:rPr>
          <w:sz w:val="24"/>
          <w:szCs w:val="24"/>
        </w:rPr>
        <w:t>127</w:t>
      </w:r>
      <w:r>
        <w:rPr>
          <w:sz w:val="24"/>
          <w:szCs w:val="24"/>
        </w:rPr>
        <w:fldChar w:fldCharType="end"/>
      </w:r>
      <w:r>
        <w:rPr>
          <w:bCs/>
          <w:color w:val="auto"/>
          <w:sz w:val="24"/>
          <w:szCs w:val="24"/>
        </w:rPr>
        <w:fldChar w:fldCharType="end"/>
      </w:r>
    </w:p>
    <w:p w14:paraId="216B73CA">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_Toc556 </w:instrText>
      </w:r>
      <w:r>
        <w:rPr>
          <w:bCs/>
          <w:sz w:val="24"/>
          <w:szCs w:val="24"/>
        </w:rPr>
        <w:fldChar w:fldCharType="separate"/>
      </w:r>
      <w:r>
        <w:rPr>
          <w:rFonts w:hint="default" w:ascii="Times New Roman" w:hAnsi="Times New Roman" w:cs="Times New Roman" w:eastAsiaTheme="minorEastAsia"/>
          <w:sz w:val="24"/>
          <w:szCs w:val="24"/>
          <w:lang w:val="en-US" w:eastAsia="zh-CN"/>
        </w:rPr>
        <w:t>9</w:t>
      </w: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3小结</w:t>
      </w:r>
      <w:r>
        <w:rPr>
          <w:sz w:val="24"/>
          <w:szCs w:val="24"/>
        </w:rPr>
        <w:tab/>
      </w:r>
      <w:r>
        <w:rPr>
          <w:sz w:val="24"/>
          <w:szCs w:val="24"/>
        </w:rPr>
        <w:fldChar w:fldCharType="begin"/>
      </w:r>
      <w:r>
        <w:rPr>
          <w:sz w:val="24"/>
          <w:szCs w:val="24"/>
        </w:rPr>
        <w:instrText xml:space="preserve"> PAGEREF _Toc556 \h </w:instrText>
      </w:r>
      <w:r>
        <w:rPr>
          <w:sz w:val="24"/>
          <w:szCs w:val="24"/>
        </w:rPr>
        <w:fldChar w:fldCharType="separate"/>
      </w:r>
      <w:r>
        <w:rPr>
          <w:sz w:val="24"/>
          <w:szCs w:val="24"/>
        </w:rPr>
        <w:t>127</w:t>
      </w:r>
      <w:r>
        <w:rPr>
          <w:sz w:val="24"/>
          <w:szCs w:val="24"/>
        </w:rPr>
        <w:fldChar w:fldCharType="end"/>
      </w:r>
      <w:r>
        <w:rPr>
          <w:bCs/>
          <w:color w:val="auto"/>
          <w:sz w:val="24"/>
          <w:szCs w:val="24"/>
        </w:rPr>
        <w:fldChar w:fldCharType="end"/>
      </w:r>
    </w:p>
    <w:p w14:paraId="24615C0A">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_Toc12811 </w:instrText>
      </w:r>
      <w:r>
        <w:rPr>
          <w:bCs/>
          <w:sz w:val="24"/>
          <w:szCs w:val="24"/>
        </w:rPr>
        <w:fldChar w:fldCharType="separate"/>
      </w:r>
      <w:r>
        <w:rPr>
          <w:rFonts w:hint="eastAsia"/>
          <w:sz w:val="24"/>
          <w:szCs w:val="24"/>
          <w:lang w:val="en-US" w:eastAsia="zh-CN"/>
        </w:rPr>
        <w:t>10</w:t>
      </w:r>
      <w:r>
        <w:rPr>
          <w:rFonts w:hint="default"/>
          <w:sz w:val="24"/>
          <w:szCs w:val="24"/>
          <w:lang w:val="en-US" w:eastAsia="zh-CN"/>
        </w:rPr>
        <w:t>环境管理与环境监测计划</w:t>
      </w:r>
      <w:r>
        <w:rPr>
          <w:sz w:val="24"/>
          <w:szCs w:val="24"/>
        </w:rPr>
        <w:tab/>
      </w:r>
      <w:r>
        <w:rPr>
          <w:sz w:val="24"/>
          <w:szCs w:val="24"/>
        </w:rPr>
        <w:fldChar w:fldCharType="begin"/>
      </w:r>
      <w:r>
        <w:rPr>
          <w:sz w:val="24"/>
          <w:szCs w:val="24"/>
        </w:rPr>
        <w:instrText xml:space="preserve"> PAGEREF _Toc12811 \h </w:instrText>
      </w:r>
      <w:r>
        <w:rPr>
          <w:sz w:val="24"/>
          <w:szCs w:val="24"/>
        </w:rPr>
        <w:fldChar w:fldCharType="separate"/>
      </w:r>
      <w:r>
        <w:rPr>
          <w:sz w:val="24"/>
          <w:szCs w:val="24"/>
        </w:rPr>
        <w:t>128</w:t>
      </w:r>
      <w:r>
        <w:rPr>
          <w:sz w:val="24"/>
          <w:szCs w:val="24"/>
        </w:rPr>
        <w:fldChar w:fldCharType="end"/>
      </w:r>
      <w:r>
        <w:rPr>
          <w:bCs/>
          <w:color w:val="auto"/>
          <w:sz w:val="24"/>
          <w:szCs w:val="24"/>
        </w:rPr>
        <w:fldChar w:fldCharType="end"/>
      </w:r>
    </w:p>
    <w:p w14:paraId="14072B0E">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_Toc15912 </w:instrText>
      </w:r>
      <w:r>
        <w:rPr>
          <w:bCs/>
          <w:sz w:val="24"/>
          <w:szCs w:val="24"/>
        </w:rPr>
        <w:fldChar w:fldCharType="separate"/>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lang w:val="zh-CN" w:eastAsia="zh-CN"/>
        </w:rPr>
        <w:t>.1</w:t>
      </w:r>
      <w:r>
        <w:rPr>
          <w:rFonts w:hint="default" w:ascii="Times New Roman" w:hAnsi="Times New Roman" w:cs="Times New Roman" w:eastAsiaTheme="minorEastAsia"/>
          <w:sz w:val="24"/>
          <w:szCs w:val="24"/>
          <w:lang w:val="en-US" w:eastAsia="zh-CN"/>
        </w:rPr>
        <w:t>目的</w:t>
      </w:r>
      <w:r>
        <w:rPr>
          <w:sz w:val="24"/>
          <w:szCs w:val="24"/>
        </w:rPr>
        <w:tab/>
      </w:r>
      <w:r>
        <w:rPr>
          <w:sz w:val="24"/>
          <w:szCs w:val="24"/>
        </w:rPr>
        <w:fldChar w:fldCharType="begin"/>
      </w:r>
      <w:r>
        <w:rPr>
          <w:sz w:val="24"/>
          <w:szCs w:val="24"/>
        </w:rPr>
        <w:instrText xml:space="preserve"> PAGEREF _Toc15912 \h </w:instrText>
      </w:r>
      <w:r>
        <w:rPr>
          <w:sz w:val="24"/>
          <w:szCs w:val="24"/>
        </w:rPr>
        <w:fldChar w:fldCharType="separate"/>
      </w:r>
      <w:r>
        <w:rPr>
          <w:sz w:val="24"/>
          <w:szCs w:val="24"/>
        </w:rPr>
        <w:t>128</w:t>
      </w:r>
      <w:r>
        <w:rPr>
          <w:sz w:val="24"/>
          <w:szCs w:val="24"/>
        </w:rPr>
        <w:fldChar w:fldCharType="end"/>
      </w:r>
      <w:r>
        <w:rPr>
          <w:bCs/>
          <w:color w:val="auto"/>
          <w:sz w:val="24"/>
          <w:szCs w:val="24"/>
        </w:rPr>
        <w:fldChar w:fldCharType="end"/>
      </w:r>
    </w:p>
    <w:p w14:paraId="1FDC94F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_Toc29973 </w:instrText>
      </w:r>
      <w:r>
        <w:rPr>
          <w:bCs/>
          <w:sz w:val="24"/>
          <w:szCs w:val="24"/>
        </w:rPr>
        <w:fldChar w:fldCharType="separate"/>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lang w:val="zh-CN" w:eastAsia="zh-CN"/>
        </w:rPr>
        <w:t>.1环境管理</w:t>
      </w:r>
      <w:r>
        <w:rPr>
          <w:sz w:val="24"/>
          <w:szCs w:val="24"/>
        </w:rPr>
        <w:tab/>
      </w:r>
      <w:r>
        <w:rPr>
          <w:sz w:val="24"/>
          <w:szCs w:val="24"/>
        </w:rPr>
        <w:fldChar w:fldCharType="begin"/>
      </w:r>
      <w:r>
        <w:rPr>
          <w:sz w:val="24"/>
          <w:szCs w:val="24"/>
        </w:rPr>
        <w:instrText xml:space="preserve"> PAGEREF _Toc29973 \h </w:instrText>
      </w:r>
      <w:r>
        <w:rPr>
          <w:sz w:val="24"/>
          <w:szCs w:val="24"/>
        </w:rPr>
        <w:fldChar w:fldCharType="separate"/>
      </w:r>
      <w:r>
        <w:rPr>
          <w:sz w:val="24"/>
          <w:szCs w:val="24"/>
        </w:rPr>
        <w:t>128</w:t>
      </w:r>
      <w:r>
        <w:rPr>
          <w:sz w:val="24"/>
          <w:szCs w:val="24"/>
        </w:rPr>
        <w:fldChar w:fldCharType="end"/>
      </w:r>
      <w:r>
        <w:rPr>
          <w:bCs/>
          <w:color w:val="auto"/>
          <w:sz w:val="24"/>
          <w:szCs w:val="24"/>
        </w:rPr>
        <w:fldChar w:fldCharType="end"/>
      </w:r>
    </w:p>
    <w:p w14:paraId="7CBE6F3B">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_Toc29485 </w:instrText>
      </w:r>
      <w:r>
        <w:rPr>
          <w:bCs/>
          <w:sz w:val="24"/>
          <w:szCs w:val="24"/>
        </w:rPr>
        <w:fldChar w:fldCharType="separate"/>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lang w:val="zh-CN"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环境</w:t>
      </w:r>
      <w:r>
        <w:rPr>
          <w:rFonts w:hint="default" w:ascii="Times New Roman" w:hAnsi="Times New Roman" w:cs="Times New Roman" w:eastAsiaTheme="minorEastAsia"/>
          <w:sz w:val="24"/>
          <w:szCs w:val="24"/>
          <w:lang w:val="en-US" w:eastAsia="zh-CN"/>
        </w:rPr>
        <w:t>监测计划</w:t>
      </w:r>
      <w:r>
        <w:rPr>
          <w:sz w:val="24"/>
          <w:szCs w:val="24"/>
        </w:rPr>
        <w:tab/>
      </w:r>
      <w:r>
        <w:rPr>
          <w:sz w:val="24"/>
          <w:szCs w:val="24"/>
        </w:rPr>
        <w:fldChar w:fldCharType="begin"/>
      </w:r>
      <w:r>
        <w:rPr>
          <w:sz w:val="24"/>
          <w:szCs w:val="24"/>
        </w:rPr>
        <w:instrText xml:space="preserve"> PAGEREF _Toc29485 \h </w:instrText>
      </w:r>
      <w:r>
        <w:rPr>
          <w:sz w:val="24"/>
          <w:szCs w:val="24"/>
        </w:rPr>
        <w:fldChar w:fldCharType="separate"/>
      </w:r>
      <w:r>
        <w:rPr>
          <w:sz w:val="24"/>
          <w:szCs w:val="24"/>
        </w:rPr>
        <w:t>132</w:t>
      </w:r>
      <w:r>
        <w:rPr>
          <w:sz w:val="24"/>
          <w:szCs w:val="24"/>
        </w:rPr>
        <w:fldChar w:fldCharType="end"/>
      </w:r>
      <w:r>
        <w:rPr>
          <w:bCs/>
          <w:color w:val="auto"/>
          <w:sz w:val="24"/>
          <w:szCs w:val="24"/>
        </w:rPr>
        <w:fldChar w:fldCharType="end"/>
      </w:r>
    </w:p>
    <w:p w14:paraId="3E9B0044">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_Toc12855 </w:instrText>
      </w:r>
      <w:r>
        <w:rPr>
          <w:bCs/>
          <w:sz w:val="24"/>
          <w:szCs w:val="24"/>
        </w:rPr>
        <w:fldChar w:fldCharType="separate"/>
      </w:r>
      <w:r>
        <w:rPr>
          <w:rFonts w:hint="default" w:ascii="Times New Roman" w:hAnsi="Times New Roman" w:cs="Times New Roman" w:eastAsiaTheme="minorEastAsia"/>
          <w:sz w:val="24"/>
          <w:szCs w:val="24"/>
          <w:lang w:val="en-US" w:eastAsia="zh-CN"/>
        </w:rPr>
        <w:t>10</w:t>
      </w:r>
      <w:r>
        <w:rPr>
          <w:rFonts w:hint="default" w:ascii="Times New Roman" w:hAnsi="Times New Roman" w:cs="Times New Roman" w:eastAsiaTheme="minorEastAsia"/>
          <w:sz w:val="24"/>
          <w:szCs w:val="24"/>
          <w:lang w:val="zh-CN" w:eastAsia="zh-CN"/>
        </w:rPr>
        <w:t>.3排污口规范化管理要求</w:t>
      </w:r>
      <w:r>
        <w:rPr>
          <w:sz w:val="24"/>
          <w:szCs w:val="24"/>
        </w:rPr>
        <w:tab/>
      </w:r>
      <w:r>
        <w:rPr>
          <w:sz w:val="24"/>
          <w:szCs w:val="24"/>
        </w:rPr>
        <w:fldChar w:fldCharType="begin"/>
      </w:r>
      <w:r>
        <w:rPr>
          <w:sz w:val="24"/>
          <w:szCs w:val="24"/>
        </w:rPr>
        <w:instrText xml:space="preserve"> PAGEREF _Toc12855 \h </w:instrText>
      </w:r>
      <w:r>
        <w:rPr>
          <w:sz w:val="24"/>
          <w:szCs w:val="24"/>
        </w:rPr>
        <w:fldChar w:fldCharType="separate"/>
      </w:r>
      <w:r>
        <w:rPr>
          <w:sz w:val="24"/>
          <w:szCs w:val="24"/>
        </w:rPr>
        <w:t>133</w:t>
      </w:r>
      <w:r>
        <w:rPr>
          <w:sz w:val="24"/>
          <w:szCs w:val="24"/>
        </w:rPr>
        <w:fldChar w:fldCharType="end"/>
      </w:r>
      <w:r>
        <w:rPr>
          <w:bCs/>
          <w:color w:val="auto"/>
          <w:sz w:val="24"/>
          <w:szCs w:val="24"/>
        </w:rPr>
        <w:fldChar w:fldCharType="end"/>
      </w:r>
    </w:p>
    <w:p w14:paraId="7D9A8D57">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_Toc9047 </w:instrText>
      </w:r>
      <w:r>
        <w:rPr>
          <w:bCs/>
          <w:sz w:val="24"/>
          <w:szCs w:val="24"/>
        </w:rPr>
        <w:fldChar w:fldCharType="separate"/>
      </w:r>
      <w:r>
        <w:rPr>
          <w:rFonts w:hint="default" w:ascii="Times New Roman" w:hAnsi="Times New Roman" w:cs="Times New Roman" w:eastAsiaTheme="minorEastAsia"/>
          <w:sz w:val="24"/>
          <w:szCs w:val="24"/>
          <w:lang w:val="en-US" w:eastAsia="zh-CN"/>
        </w:rPr>
        <w:t>10.4总量控制</w:t>
      </w:r>
      <w:r>
        <w:rPr>
          <w:sz w:val="24"/>
          <w:szCs w:val="24"/>
        </w:rPr>
        <w:tab/>
      </w:r>
      <w:r>
        <w:rPr>
          <w:sz w:val="24"/>
          <w:szCs w:val="24"/>
        </w:rPr>
        <w:fldChar w:fldCharType="begin"/>
      </w:r>
      <w:r>
        <w:rPr>
          <w:sz w:val="24"/>
          <w:szCs w:val="24"/>
        </w:rPr>
        <w:instrText xml:space="preserve"> PAGEREF _Toc9047 \h </w:instrText>
      </w:r>
      <w:r>
        <w:rPr>
          <w:sz w:val="24"/>
          <w:szCs w:val="24"/>
        </w:rPr>
        <w:fldChar w:fldCharType="separate"/>
      </w:r>
      <w:r>
        <w:rPr>
          <w:sz w:val="24"/>
          <w:szCs w:val="24"/>
        </w:rPr>
        <w:t>135</w:t>
      </w:r>
      <w:r>
        <w:rPr>
          <w:sz w:val="24"/>
          <w:szCs w:val="24"/>
        </w:rPr>
        <w:fldChar w:fldCharType="end"/>
      </w:r>
      <w:r>
        <w:rPr>
          <w:bCs/>
          <w:color w:val="auto"/>
          <w:sz w:val="24"/>
          <w:szCs w:val="24"/>
        </w:rPr>
        <w:fldChar w:fldCharType="end"/>
      </w:r>
    </w:p>
    <w:p w14:paraId="7511B924">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_Toc30382 </w:instrText>
      </w:r>
      <w:r>
        <w:rPr>
          <w:bCs/>
          <w:sz w:val="24"/>
          <w:szCs w:val="24"/>
        </w:rPr>
        <w:fldChar w:fldCharType="separate"/>
      </w:r>
      <w:r>
        <w:rPr>
          <w:rFonts w:hint="default" w:ascii="Times New Roman" w:hAnsi="Times New Roman" w:cs="Times New Roman" w:eastAsiaTheme="minorEastAsia"/>
          <w:sz w:val="24"/>
          <w:szCs w:val="24"/>
          <w:lang w:val="en-US" w:eastAsia="zh-CN"/>
        </w:rPr>
        <w:t>10.5“三同时”竣工环境保护验收</w:t>
      </w:r>
      <w:r>
        <w:rPr>
          <w:sz w:val="24"/>
          <w:szCs w:val="24"/>
        </w:rPr>
        <w:tab/>
      </w:r>
      <w:r>
        <w:rPr>
          <w:sz w:val="24"/>
          <w:szCs w:val="24"/>
        </w:rPr>
        <w:fldChar w:fldCharType="begin"/>
      </w:r>
      <w:r>
        <w:rPr>
          <w:sz w:val="24"/>
          <w:szCs w:val="24"/>
        </w:rPr>
        <w:instrText xml:space="preserve"> PAGEREF _Toc30382 \h </w:instrText>
      </w:r>
      <w:r>
        <w:rPr>
          <w:sz w:val="24"/>
          <w:szCs w:val="24"/>
        </w:rPr>
        <w:fldChar w:fldCharType="separate"/>
      </w:r>
      <w:r>
        <w:rPr>
          <w:sz w:val="24"/>
          <w:szCs w:val="24"/>
        </w:rPr>
        <w:t>135</w:t>
      </w:r>
      <w:r>
        <w:rPr>
          <w:sz w:val="24"/>
          <w:szCs w:val="24"/>
        </w:rPr>
        <w:fldChar w:fldCharType="end"/>
      </w:r>
      <w:r>
        <w:rPr>
          <w:bCs/>
          <w:color w:val="auto"/>
          <w:sz w:val="24"/>
          <w:szCs w:val="24"/>
        </w:rPr>
        <w:fldChar w:fldCharType="end"/>
      </w:r>
    </w:p>
    <w:p w14:paraId="72F99017">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_Toc13363 </w:instrText>
      </w:r>
      <w:r>
        <w:rPr>
          <w:bCs/>
          <w:sz w:val="24"/>
          <w:szCs w:val="24"/>
        </w:rPr>
        <w:fldChar w:fldCharType="separate"/>
      </w:r>
      <w:r>
        <w:rPr>
          <w:rFonts w:hint="eastAsia"/>
          <w:sz w:val="24"/>
          <w:szCs w:val="24"/>
          <w:lang w:val="en-US" w:eastAsia="zh-CN"/>
        </w:rPr>
        <w:t>11相关政策、规划及选址可行性分析</w:t>
      </w:r>
      <w:r>
        <w:rPr>
          <w:sz w:val="24"/>
          <w:szCs w:val="24"/>
        </w:rPr>
        <w:tab/>
      </w:r>
      <w:r>
        <w:rPr>
          <w:sz w:val="24"/>
          <w:szCs w:val="24"/>
        </w:rPr>
        <w:fldChar w:fldCharType="begin"/>
      </w:r>
      <w:r>
        <w:rPr>
          <w:sz w:val="24"/>
          <w:szCs w:val="24"/>
        </w:rPr>
        <w:instrText xml:space="preserve"> PAGEREF _Toc13363 \h </w:instrText>
      </w:r>
      <w:r>
        <w:rPr>
          <w:sz w:val="24"/>
          <w:szCs w:val="24"/>
        </w:rPr>
        <w:fldChar w:fldCharType="separate"/>
      </w:r>
      <w:r>
        <w:rPr>
          <w:sz w:val="24"/>
          <w:szCs w:val="24"/>
        </w:rPr>
        <w:t>138</w:t>
      </w:r>
      <w:r>
        <w:rPr>
          <w:sz w:val="24"/>
          <w:szCs w:val="24"/>
        </w:rPr>
        <w:fldChar w:fldCharType="end"/>
      </w:r>
      <w:r>
        <w:rPr>
          <w:bCs/>
          <w:color w:val="auto"/>
          <w:sz w:val="24"/>
          <w:szCs w:val="24"/>
        </w:rPr>
        <w:fldChar w:fldCharType="end"/>
      </w:r>
    </w:p>
    <w:p w14:paraId="59ED82E2">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_Toc4596 </w:instrText>
      </w:r>
      <w:r>
        <w:rPr>
          <w:bCs/>
          <w:sz w:val="24"/>
          <w:szCs w:val="24"/>
        </w:rPr>
        <w:fldChar w:fldCharType="separate"/>
      </w:r>
      <w:r>
        <w:rPr>
          <w:rFonts w:hint="default" w:ascii="Times New Roman" w:hAnsi="Times New Roman" w:cs="Times New Roman" w:eastAsiaTheme="minorEastAsia"/>
          <w:sz w:val="24"/>
          <w:szCs w:val="24"/>
          <w:lang w:val="en-US" w:eastAsia="zh-CN"/>
        </w:rPr>
        <w:t>11.1产业政策</w:t>
      </w:r>
      <w:r>
        <w:rPr>
          <w:rFonts w:hint="eastAsia" w:ascii="Times New Roman" w:hAnsi="Times New Roman" w:cs="Times New Roman" w:eastAsiaTheme="minorEastAsia"/>
          <w:sz w:val="24"/>
          <w:szCs w:val="24"/>
          <w:lang w:val="en-US" w:eastAsia="zh-CN"/>
        </w:rPr>
        <w:t>相符性</w:t>
      </w:r>
      <w:r>
        <w:rPr>
          <w:rFonts w:hint="default" w:ascii="Times New Roman" w:hAnsi="Times New Roman" w:cs="Times New Roman" w:eastAsiaTheme="minorEastAsia"/>
          <w:sz w:val="24"/>
          <w:szCs w:val="24"/>
          <w:lang w:val="en-US" w:eastAsia="zh-CN"/>
        </w:rPr>
        <w:t>判定</w:t>
      </w:r>
      <w:r>
        <w:rPr>
          <w:sz w:val="24"/>
          <w:szCs w:val="24"/>
        </w:rPr>
        <w:tab/>
      </w:r>
      <w:r>
        <w:rPr>
          <w:sz w:val="24"/>
          <w:szCs w:val="24"/>
        </w:rPr>
        <w:fldChar w:fldCharType="begin"/>
      </w:r>
      <w:r>
        <w:rPr>
          <w:sz w:val="24"/>
          <w:szCs w:val="24"/>
        </w:rPr>
        <w:instrText xml:space="preserve"> PAGEREF _Toc4596 \h </w:instrText>
      </w:r>
      <w:r>
        <w:rPr>
          <w:sz w:val="24"/>
          <w:szCs w:val="24"/>
        </w:rPr>
        <w:fldChar w:fldCharType="separate"/>
      </w:r>
      <w:r>
        <w:rPr>
          <w:sz w:val="24"/>
          <w:szCs w:val="24"/>
        </w:rPr>
        <w:t>138</w:t>
      </w:r>
      <w:r>
        <w:rPr>
          <w:sz w:val="24"/>
          <w:szCs w:val="24"/>
        </w:rPr>
        <w:fldChar w:fldCharType="end"/>
      </w:r>
      <w:r>
        <w:rPr>
          <w:bCs/>
          <w:color w:val="auto"/>
          <w:sz w:val="24"/>
          <w:szCs w:val="24"/>
        </w:rPr>
        <w:fldChar w:fldCharType="end"/>
      </w:r>
    </w:p>
    <w:p w14:paraId="4476972B">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_Toc16113 </w:instrText>
      </w:r>
      <w:r>
        <w:rPr>
          <w:bCs/>
          <w:sz w:val="24"/>
          <w:szCs w:val="24"/>
        </w:rPr>
        <w:fldChar w:fldCharType="separate"/>
      </w:r>
      <w:r>
        <w:rPr>
          <w:rFonts w:hint="default" w:ascii="Times New Roman" w:hAnsi="Times New Roman" w:cs="Times New Roman" w:eastAsiaTheme="minorEastAsia"/>
          <w:sz w:val="24"/>
          <w:szCs w:val="24"/>
          <w:lang w:val="en-US" w:eastAsia="zh-CN"/>
        </w:rPr>
        <w:t>11.2选址</w:t>
      </w:r>
      <w:r>
        <w:rPr>
          <w:rFonts w:hint="eastAsia" w:ascii="Times New Roman" w:hAnsi="Times New Roman" w:cs="Times New Roman" w:eastAsiaTheme="minorEastAsia"/>
          <w:sz w:val="24"/>
          <w:szCs w:val="24"/>
          <w:lang w:val="en-US" w:eastAsia="zh-CN"/>
        </w:rPr>
        <w:t>可行</w:t>
      </w:r>
      <w:r>
        <w:rPr>
          <w:rFonts w:hint="default" w:ascii="Times New Roman" w:hAnsi="Times New Roman" w:cs="Times New Roman" w:eastAsiaTheme="minorEastAsia"/>
          <w:sz w:val="24"/>
          <w:szCs w:val="24"/>
          <w:lang w:val="en-US" w:eastAsia="zh-CN"/>
        </w:rPr>
        <w:t>性分析</w:t>
      </w:r>
      <w:r>
        <w:rPr>
          <w:sz w:val="24"/>
          <w:szCs w:val="24"/>
        </w:rPr>
        <w:tab/>
      </w:r>
      <w:r>
        <w:rPr>
          <w:sz w:val="24"/>
          <w:szCs w:val="24"/>
        </w:rPr>
        <w:fldChar w:fldCharType="begin"/>
      </w:r>
      <w:r>
        <w:rPr>
          <w:sz w:val="24"/>
          <w:szCs w:val="24"/>
        </w:rPr>
        <w:instrText xml:space="preserve"> PAGEREF _Toc16113 \h </w:instrText>
      </w:r>
      <w:r>
        <w:rPr>
          <w:sz w:val="24"/>
          <w:szCs w:val="24"/>
        </w:rPr>
        <w:fldChar w:fldCharType="separate"/>
      </w:r>
      <w:r>
        <w:rPr>
          <w:sz w:val="24"/>
          <w:szCs w:val="24"/>
        </w:rPr>
        <w:t>139</w:t>
      </w:r>
      <w:r>
        <w:rPr>
          <w:sz w:val="24"/>
          <w:szCs w:val="24"/>
        </w:rPr>
        <w:fldChar w:fldCharType="end"/>
      </w:r>
      <w:r>
        <w:rPr>
          <w:bCs/>
          <w:color w:val="auto"/>
          <w:sz w:val="24"/>
          <w:szCs w:val="24"/>
        </w:rPr>
        <w:fldChar w:fldCharType="end"/>
      </w:r>
    </w:p>
    <w:p w14:paraId="6DF57AAB">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_Toc2478 </w:instrText>
      </w:r>
      <w:r>
        <w:rPr>
          <w:bCs/>
          <w:sz w:val="24"/>
          <w:szCs w:val="24"/>
        </w:rPr>
        <w:fldChar w:fldCharType="separate"/>
      </w:r>
      <w:r>
        <w:rPr>
          <w:rFonts w:hint="default" w:ascii="Times New Roman" w:hAnsi="Times New Roman" w:cs="Times New Roman" w:eastAsiaTheme="minorEastAsia"/>
          <w:sz w:val="24"/>
          <w:szCs w:val="24"/>
          <w:lang w:val="en-US" w:eastAsia="zh-CN"/>
        </w:rPr>
        <w:t>11.</w:t>
      </w:r>
      <w:r>
        <w:rPr>
          <w:rFonts w:hint="eastAsia" w:ascii="Times New Roman" w:hAnsi="Times New Roman" w:cs="Times New Roman" w:eastAsiaTheme="minorEastAsia"/>
          <w:sz w:val="24"/>
          <w:szCs w:val="24"/>
          <w:lang w:val="en-US" w:eastAsia="zh-CN"/>
        </w:rPr>
        <w:t>3相关规划相符性</w:t>
      </w:r>
      <w:r>
        <w:rPr>
          <w:rFonts w:hint="default" w:ascii="Times New Roman" w:hAnsi="Times New Roman" w:cs="Times New Roman" w:eastAsiaTheme="minorEastAsia"/>
          <w:sz w:val="24"/>
          <w:szCs w:val="24"/>
          <w:lang w:val="en-US" w:eastAsia="zh-CN"/>
        </w:rPr>
        <w:t>分析</w:t>
      </w:r>
      <w:r>
        <w:rPr>
          <w:sz w:val="24"/>
          <w:szCs w:val="24"/>
        </w:rPr>
        <w:tab/>
      </w:r>
      <w:r>
        <w:rPr>
          <w:sz w:val="24"/>
          <w:szCs w:val="24"/>
        </w:rPr>
        <w:fldChar w:fldCharType="begin"/>
      </w:r>
      <w:r>
        <w:rPr>
          <w:sz w:val="24"/>
          <w:szCs w:val="24"/>
        </w:rPr>
        <w:instrText xml:space="preserve"> PAGEREF _Toc2478 \h </w:instrText>
      </w:r>
      <w:r>
        <w:rPr>
          <w:sz w:val="24"/>
          <w:szCs w:val="24"/>
        </w:rPr>
        <w:fldChar w:fldCharType="separate"/>
      </w:r>
      <w:r>
        <w:rPr>
          <w:sz w:val="24"/>
          <w:szCs w:val="24"/>
        </w:rPr>
        <w:t>139</w:t>
      </w:r>
      <w:r>
        <w:rPr>
          <w:sz w:val="24"/>
          <w:szCs w:val="24"/>
        </w:rPr>
        <w:fldChar w:fldCharType="end"/>
      </w:r>
      <w:r>
        <w:rPr>
          <w:bCs/>
          <w:color w:val="auto"/>
          <w:sz w:val="24"/>
          <w:szCs w:val="24"/>
        </w:rPr>
        <w:fldChar w:fldCharType="end"/>
      </w:r>
    </w:p>
    <w:p w14:paraId="677BA07A">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_Toc1800 </w:instrText>
      </w:r>
      <w:r>
        <w:rPr>
          <w:bCs/>
          <w:sz w:val="24"/>
          <w:szCs w:val="24"/>
        </w:rPr>
        <w:fldChar w:fldCharType="separate"/>
      </w:r>
      <w:r>
        <w:rPr>
          <w:rFonts w:hint="default" w:ascii="Times New Roman" w:hAnsi="Times New Roman" w:cs="Times New Roman" w:eastAsiaTheme="minorEastAsia"/>
          <w:sz w:val="24"/>
          <w:szCs w:val="24"/>
          <w:lang w:val="en-US" w:eastAsia="zh-CN"/>
        </w:rPr>
        <w:t>11.4与“三线一单”符合性分析</w:t>
      </w:r>
      <w:r>
        <w:rPr>
          <w:sz w:val="24"/>
          <w:szCs w:val="24"/>
        </w:rPr>
        <w:tab/>
      </w:r>
      <w:r>
        <w:rPr>
          <w:sz w:val="24"/>
          <w:szCs w:val="24"/>
        </w:rPr>
        <w:fldChar w:fldCharType="begin"/>
      </w:r>
      <w:r>
        <w:rPr>
          <w:sz w:val="24"/>
          <w:szCs w:val="24"/>
        </w:rPr>
        <w:instrText xml:space="preserve"> PAGEREF _Toc1800 \h </w:instrText>
      </w:r>
      <w:r>
        <w:rPr>
          <w:sz w:val="24"/>
          <w:szCs w:val="24"/>
        </w:rPr>
        <w:fldChar w:fldCharType="separate"/>
      </w:r>
      <w:r>
        <w:rPr>
          <w:sz w:val="24"/>
          <w:szCs w:val="24"/>
        </w:rPr>
        <w:t>144</w:t>
      </w:r>
      <w:r>
        <w:rPr>
          <w:sz w:val="24"/>
          <w:szCs w:val="24"/>
        </w:rPr>
        <w:fldChar w:fldCharType="end"/>
      </w:r>
      <w:r>
        <w:rPr>
          <w:bCs/>
          <w:color w:val="auto"/>
          <w:sz w:val="24"/>
          <w:szCs w:val="24"/>
        </w:rPr>
        <w:fldChar w:fldCharType="end"/>
      </w:r>
    </w:p>
    <w:p w14:paraId="5DEC4DCF">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_Toc15928 </w:instrText>
      </w:r>
      <w:r>
        <w:rPr>
          <w:bCs/>
          <w:sz w:val="24"/>
          <w:szCs w:val="24"/>
        </w:rPr>
        <w:fldChar w:fldCharType="separate"/>
      </w:r>
      <w:r>
        <w:rPr>
          <w:rFonts w:hint="default" w:ascii="Times New Roman" w:hAnsi="Times New Roman" w:cs="Times New Roman" w:eastAsiaTheme="minorEastAsia"/>
          <w:sz w:val="24"/>
          <w:szCs w:val="24"/>
          <w:lang w:val="en-US" w:eastAsia="zh-CN"/>
        </w:rPr>
        <w:t>11.5与</w:t>
      </w:r>
      <w:r>
        <w:rPr>
          <w:rFonts w:hint="default" w:ascii="Times New Roman" w:hAnsi="Times New Roman" w:cs="Times New Roman" w:eastAsiaTheme="minorEastAsia"/>
          <w:sz w:val="24"/>
          <w:szCs w:val="24"/>
          <w:lang w:val="zh-CN" w:eastAsia="zh-CN"/>
        </w:rPr>
        <w:t>环境管理政策相符性分析</w:t>
      </w:r>
      <w:r>
        <w:rPr>
          <w:sz w:val="24"/>
          <w:szCs w:val="24"/>
        </w:rPr>
        <w:tab/>
      </w:r>
      <w:r>
        <w:rPr>
          <w:sz w:val="24"/>
          <w:szCs w:val="24"/>
        </w:rPr>
        <w:fldChar w:fldCharType="begin"/>
      </w:r>
      <w:r>
        <w:rPr>
          <w:sz w:val="24"/>
          <w:szCs w:val="24"/>
        </w:rPr>
        <w:instrText xml:space="preserve"> PAGEREF _Toc15928 \h </w:instrText>
      </w:r>
      <w:r>
        <w:rPr>
          <w:sz w:val="24"/>
          <w:szCs w:val="24"/>
        </w:rPr>
        <w:fldChar w:fldCharType="separate"/>
      </w:r>
      <w:r>
        <w:rPr>
          <w:sz w:val="24"/>
          <w:szCs w:val="24"/>
        </w:rPr>
        <w:t>146</w:t>
      </w:r>
      <w:r>
        <w:rPr>
          <w:sz w:val="24"/>
          <w:szCs w:val="24"/>
        </w:rPr>
        <w:fldChar w:fldCharType="end"/>
      </w:r>
      <w:r>
        <w:rPr>
          <w:bCs/>
          <w:color w:val="auto"/>
          <w:sz w:val="24"/>
          <w:szCs w:val="24"/>
        </w:rPr>
        <w:fldChar w:fldCharType="end"/>
      </w:r>
    </w:p>
    <w:p w14:paraId="005EE2CD">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_Toc29473 </w:instrText>
      </w:r>
      <w:r>
        <w:rPr>
          <w:bCs/>
          <w:sz w:val="24"/>
          <w:szCs w:val="24"/>
        </w:rPr>
        <w:fldChar w:fldCharType="separate"/>
      </w:r>
      <w:r>
        <w:rPr>
          <w:rFonts w:hint="default" w:ascii="Times New Roman" w:hAnsi="Times New Roman" w:cs="Times New Roman" w:eastAsiaTheme="minorEastAsia"/>
          <w:sz w:val="24"/>
          <w:szCs w:val="24"/>
          <w:lang w:val="en-US" w:eastAsia="zh-CN"/>
        </w:rPr>
        <w:t>11.</w:t>
      </w:r>
      <w:r>
        <w:rPr>
          <w:rFonts w:hint="eastAsia"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与</w:t>
      </w:r>
      <w:r>
        <w:rPr>
          <w:rFonts w:hint="eastAsia" w:ascii="Times New Roman" w:hAnsi="Times New Roman" w:cs="Times New Roman" w:eastAsiaTheme="minorEastAsia"/>
          <w:sz w:val="24"/>
          <w:szCs w:val="24"/>
          <w:lang w:val="en-US" w:eastAsia="zh-CN"/>
        </w:rPr>
        <w:t>相关规范、意见等</w:t>
      </w:r>
      <w:r>
        <w:rPr>
          <w:rFonts w:hint="default" w:ascii="Times New Roman" w:hAnsi="Times New Roman" w:cs="Times New Roman" w:eastAsiaTheme="minorEastAsia"/>
          <w:sz w:val="24"/>
          <w:szCs w:val="24"/>
          <w:lang w:val="zh-CN" w:eastAsia="zh-CN"/>
        </w:rPr>
        <w:t>相符性分析</w:t>
      </w:r>
      <w:r>
        <w:rPr>
          <w:sz w:val="24"/>
          <w:szCs w:val="24"/>
        </w:rPr>
        <w:tab/>
      </w:r>
      <w:r>
        <w:rPr>
          <w:sz w:val="24"/>
          <w:szCs w:val="24"/>
        </w:rPr>
        <w:fldChar w:fldCharType="begin"/>
      </w:r>
      <w:r>
        <w:rPr>
          <w:sz w:val="24"/>
          <w:szCs w:val="24"/>
        </w:rPr>
        <w:instrText xml:space="preserve"> PAGEREF _Toc29473 \h </w:instrText>
      </w:r>
      <w:r>
        <w:rPr>
          <w:sz w:val="24"/>
          <w:szCs w:val="24"/>
        </w:rPr>
        <w:fldChar w:fldCharType="separate"/>
      </w:r>
      <w:r>
        <w:rPr>
          <w:sz w:val="24"/>
          <w:szCs w:val="24"/>
        </w:rPr>
        <w:t>150</w:t>
      </w:r>
      <w:r>
        <w:rPr>
          <w:sz w:val="24"/>
          <w:szCs w:val="24"/>
        </w:rPr>
        <w:fldChar w:fldCharType="end"/>
      </w:r>
      <w:r>
        <w:rPr>
          <w:bCs/>
          <w:color w:val="auto"/>
          <w:sz w:val="24"/>
          <w:szCs w:val="24"/>
        </w:rPr>
        <w:fldChar w:fldCharType="end"/>
      </w:r>
    </w:p>
    <w:p w14:paraId="5C9ACD9B">
      <w:pPr>
        <w:pStyle w:val="5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_Toc19558 </w:instrText>
      </w:r>
      <w:r>
        <w:rPr>
          <w:bCs/>
          <w:sz w:val="24"/>
          <w:szCs w:val="24"/>
        </w:rPr>
        <w:fldChar w:fldCharType="separate"/>
      </w:r>
      <w:r>
        <w:rPr>
          <w:rFonts w:hint="default"/>
          <w:sz w:val="24"/>
          <w:szCs w:val="24"/>
          <w:lang w:val="en-US" w:eastAsia="zh-CN"/>
        </w:rPr>
        <w:t>1</w:t>
      </w:r>
      <w:r>
        <w:rPr>
          <w:rFonts w:hint="eastAsia"/>
          <w:sz w:val="24"/>
          <w:szCs w:val="24"/>
          <w:lang w:val="en-US" w:eastAsia="zh-CN"/>
        </w:rPr>
        <w:t>2</w:t>
      </w:r>
      <w:r>
        <w:rPr>
          <w:rFonts w:hint="default"/>
          <w:sz w:val="24"/>
          <w:szCs w:val="24"/>
          <w:lang w:val="en-US" w:eastAsia="zh-CN"/>
        </w:rPr>
        <w:t>结论</w:t>
      </w:r>
      <w:r>
        <w:rPr>
          <w:sz w:val="24"/>
          <w:szCs w:val="24"/>
        </w:rPr>
        <w:tab/>
      </w:r>
      <w:r>
        <w:rPr>
          <w:sz w:val="24"/>
          <w:szCs w:val="24"/>
        </w:rPr>
        <w:fldChar w:fldCharType="begin"/>
      </w:r>
      <w:r>
        <w:rPr>
          <w:sz w:val="24"/>
          <w:szCs w:val="24"/>
        </w:rPr>
        <w:instrText xml:space="preserve"> PAGEREF _Toc19558 \h </w:instrText>
      </w:r>
      <w:r>
        <w:rPr>
          <w:sz w:val="24"/>
          <w:szCs w:val="24"/>
        </w:rPr>
        <w:fldChar w:fldCharType="separate"/>
      </w:r>
      <w:r>
        <w:rPr>
          <w:sz w:val="24"/>
          <w:szCs w:val="24"/>
        </w:rPr>
        <w:t>161</w:t>
      </w:r>
      <w:r>
        <w:rPr>
          <w:sz w:val="24"/>
          <w:szCs w:val="24"/>
        </w:rPr>
        <w:fldChar w:fldCharType="end"/>
      </w:r>
      <w:r>
        <w:rPr>
          <w:bCs/>
          <w:color w:val="auto"/>
          <w:sz w:val="24"/>
          <w:szCs w:val="24"/>
        </w:rPr>
        <w:fldChar w:fldCharType="end"/>
      </w:r>
    </w:p>
    <w:p w14:paraId="62309398">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_Toc588 </w:instrText>
      </w:r>
      <w:r>
        <w:rPr>
          <w:bCs/>
          <w:sz w:val="24"/>
          <w:szCs w:val="24"/>
        </w:rPr>
        <w:fldChar w:fldCharType="separate"/>
      </w:r>
      <w:r>
        <w:rPr>
          <w:rFonts w:hint="default" w:ascii="Times New Roman" w:hAnsi="Times New Roman" w:cs="Times New Roman" w:eastAsiaTheme="majorEastAsia"/>
          <w:sz w:val="24"/>
          <w:szCs w:val="24"/>
          <w:lang w:val="zh-CN" w:eastAsia="zh-CN"/>
        </w:rPr>
        <w:t>1</w:t>
      </w:r>
      <w:r>
        <w:rPr>
          <w:rFonts w:hint="eastAsia" w:ascii="Times New Roman" w:hAnsi="Times New Roman" w:cs="Times New Roman" w:eastAsiaTheme="majorEastAsia"/>
          <w:sz w:val="24"/>
          <w:szCs w:val="24"/>
          <w:lang w:val="en-US" w:eastAsia="zh-CN"/>
        </w:rPr>
        <w:t>2</w:t>
      </w:r>
      <w:r>
        <w:rPr>
          <w:rFonts w:hint="default" w:ascii="Times New Roman" w:hAnsi="Times New Roman" w:cs="Times New Roman" w:eastAsiaTheme="majorEastAsia"/>
          <w:sz w:val="24"/>
          <w:szCs w:val="24"/>
          <w:lang w:val="zh-CN" w:eastAsia="zh-CN"/>
        </w:rPr>
        <w:t>.1建设概况</w:t>
      </w:r>
      <w:r>
        <w:rPr>
          <w:sz w:val="24"/>
          <w:szCs w:val="24"/>
        </w:rPr>
        <w:tab/>
      </w:r>
      <w:r>
        <w:rPr>
          <w:sz w:val="24"/>
          <w:szCs w:val="24"/>
        </w:rPr>
        <w:fldChar w:fldCharType="begin"/>
      </w:r>
      <w:r>
        <w:rPr>
          <w:sz w:val="24"/>
          <w:szCs w:val="24"/>
        </w:rPr>
        <w:instrText xml:space="preserve"> PAGEREF _Toc588 \h </w:instrText>
      </w:r>
      <w:r>
        <w:rPr>
          <w:sz w:val="24"/>
          <w:szCs w:val="24"/>
        </w:rPr>
        <w:fldChar w:fldCharType="separate"/>
      </w:r>
      <w:r>
        <w:rPr>
          <w:sz w:val="24"/>
          <w:szCs w:val="24"/>
        </w:rPr>
        <w:t>161</w:t>
      </w:r>
      <w:r>
        <w:rPr>
          <w:sz w:val="24"/>
          <w:szCs w:val="24"/>
        </w:rPr>
        <w:fldChar w:fldCharType="end"/>
      </w:r>
      <w:r>
        <w:rPr>
          <w:bCs/>
          <w:color w:val="auto"/>
          <w:sz w:val="24"/>
          <w:szCs w:val="24"/>
        </w:rPr>
        <w:fldChar w:fldCharType="end"/>
      </w:r>
    </w:p>
    <w:p w14:paraId="1131068A">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_Toc24173 </w:instrText>
      </w:r>
      <w:r>
        <w:rPr>
          <w:bCs/>
          <w:sz w:val="24"/>
          <w:szCs w:val="24"/>
        </w:rPr>
        <w:fldChar w:fldCharType="separate"/>
      </w:r>
      <w:r>
        <w:rPr>
          <w:rFonts w:hint="default" w:ascii="Times New Roman" w:hAnsi="Times New Roman" w:cs="Times New Roman" w:eastAsiaTheme="majorEastAsia"/>
          <w:sz w:val="24"/>
          <w:szCs w:val="24"/>
          <w:lang w:val="zh-CN" w:eastAsia="zh-CN"/>
        </w:rPr>
        <w:t>1</w:t>
      </w:r>
      <w:r>
        <w:rPr>
          <w:rFonts w:hint="eastAsia" w:ascii="Times New Roman" w:hAnsi="Times New Roman" w:cs="Times New Roman" w:eastAsiaTheme="majorEastAsia"/>
          <w:sz w:val="24"/>
          <w:szCs w:val="24"/>
          <w:lang w:val="en-US" w:eastAsia="zh-CN"/>
        </w:rPr>
        <w:t>2</w:t>
      </w:r>
      <w:r>
        <w:rPr>
          <w:rFonts w:hint="default" w:ascii="Times New Roman" w:hAnsi="Times New Roman" w:cs="Times New Roman" w:eastAsiaTheme="majorEastAsia"/>
          <w:sz w:val="24"/>
          <w:szCs w:val="24"/>
          <w:lang w:val="zh-CN" w:eastAsia="zh-CN"/>
        </w:rPr>
        <w:t>.2环境质量现状</w:t>
      </w:r>
      <w:r>
        <w:rPr>
          <w:sz w:val="24"/>
          <w:szCs w:val="24"/>
        </w:rPr>
        <w:tab/>
      </w:r>
      <w:r>
        <w:rPr>
          <w:sz w:val="24"/>
          <w:szCs w:val="24"/>
        </w:rPr>
        <w:fldChar w:fldCharType="begin"/>
      </w:r>
      <w:r>
        <w:rPr>
          <w:sz w:val="24"/>
          <w:szCs w:val="24"/>
        </w:rPr>
        <w:instrText xml:space="preserve"> PAGEREF _Toc24173 \h </w:instrText>
      </w:r>
      <w:r>
        <w:rPr>
          <w:sz w:val="24"/>
          <w:szCs w:val="24"/>
        </w:rPr>
        <w:fldChar w:fldCharType="separate"/>
      </w:r>
      <w:r>
        <w:rPr>
          <w:sz w:val="24"/>
          <w:szCs w:val="24"/>
        </w:rPr>
        <w:t>161</w:t>
      </w:r>
      <w:r>
        <w:rPr>
          <w:sz w:val="24"/>
          <w:szCs w:val="24"/>
        </w:rPr>
        <w:fldChar w:fldCharType="end"/>
      </w:r>
      <w:r>
        <w:rPr>
          <w:bCs/>
          <w:color w:val="auto"/>
          <w:sz w:val="24"/>
          <w:szCs w:val="24"/>
        </w:rPr>
        <w:fldChar w:fldCharType="end"/>
      </w:r>
    </w:p>
    <w:p w14:paraId="01CAE6B4">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_Toc18366 </w:instrText>
      </w:r>
      <w:r>
        <w:rPr>
          <w:bCs/>
          <w:sz w:val="24"/>
          <w:szCs w:val="24"/>
        </w:rPr>
        <w:fldChar w:fldCharType="separate"/>
      </w:r>
      <w:r>
        <w:rPr>
          <w:rFonts w:hint="default" w:ascii="Times New Roman" w:hAnsi="Times New Roman" w:cs="Times New Roman" w:eastAsiaTheme="minorEastAsia"/>
          <w:sz w:val="24"/>
          <w:szCs w:val="24"/>
          <w:lang w:val="zh-CN" w:eastAsia="zh-CN"/>
        </w:rPr>
        <w:t>1</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.3项目采取的环保措施及主要环境影响</w:t>
      </w:r>
      <w:r>
        <w:rPr>
          <w:sz w:val="24"/>
          <w:szCs w:val="24"/>
        </w:rPr>
        <w:tab/>
      </w:r>
      <w:r>
        <w:rPr>
          <w:sz w:val="24"/>
          <w:szCs w:val="24"/>
        </w:rPr>
        <w:fldChar w:fldCharType="begin"/>
      </w:r>
      <w:r>
        <w:rPr>
          <w:sz w:val="24"/>
          <w:szCs w:val="24"/>
        </w:rPr>
        <w:instrText xml:space="preserve"> PAGEREF _Toc18366 \h </w:instrText>
      </w:r>
      <w:r>
        <w:rPr>
          <w:sz w:val="24"/>
          <w:szCs w:val="24"/>
        </w:rPr>
        <w:fldChar w:fldCharType="separate"/>
      </w:r>
      <w:r>
        <w:rPr>
          <w:sz w:val="24"/>
          <w:szCs w:val="24"/>
        </w:rPr>
        <w:t>162</w:t>
      </w:r>
      <w:r>
        <w:rPr>
          <w:sz w:val="24"/>
          <w:szCs w:val="24"/>
        </w:rPr>
        <w:fldChar w:fldCharType="end"/>
      </w:r>
      <w:r>
        <w:rPr>
          <w:bCs/>
          <w:color w:val="auto"/>
          <w:sz w:val="24"/>
          <w:szCs w:val="24"/>
        </w:rPr>
        <w:fldChar w:fldCharType="end"/>
      </w:r>
    </w:p>
    <w:p w14:paraId="7C95DC69">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_Toc27934 </w:instrText>
      </w:r>
      <w:r>
        <w:rPr>
          <w:bCs/>
          <w:sz w:val="24"/>
          <w:szCs w:val="24"/>
        </w:rPr>
        <w:fldChar w:fldCharType="separate"/>
      </w:r>
      <w:r>
        <w:rPr>
          <w:rFonts w:hint="default" w:ascii="Times New Roman" w:hAnsi="Times New Roman" w:cs="Times New Roman" w:eastAsiaTheme="minorEastAsia"/>
          <w:sz w:val="24"/>
          <w:szCs w:val="24"/>
          <w:lang w:val="zh-CN" w:eastAsia="zh-CN"/>
        </w:rPr>
        <w:t>1</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.4总量控制</w:t>
      </w:r>
      <w:r>
        <w:rPr>
          <w:sz w:val="24"/>
          <w:szCs w:val="24"/>
        </w:rPr>
        <w:tab/>
      </w:r>
      <w:r>
        <w:rPr>
          <w:sz w:val="24"/>
          <w:szCs w:val="24"/>
        </w:rPr>
        <w:fldChar w:fldCharType="begin"/>
      </w:r>
      <w:r>
        <w:rPr>
          <w:sz w:val="24"/>
          <w:szCs w:val="24"/>
        </w:rPr>
        <w:instrText xml:space="preserve"> PAGEREF _Toc27934 \h </w:instrText>
      </w:r>
      <w:r>
        <w:rPr>
          <w:sz w:val="24"/>
          <w:szCs w:val="24"/>
        </w:rPr>
        <w:fldChar w:fldCharType="separate"/>
      </w:r>
      <w:r>
        <w:rPr>
          <w:sz w:val="24"/>
          <w:szCs w:val="24"/>
        </w:rPr>
        <w:t>163</w:t>
      </w:r>
      <w:r>
        <w:rPr>
          <w:sz w:val="24"/>
          <w:szCs w:val="24"/>
        </w:rPr>
        <w:fldChar w:fldCharType="end"/>
      </w:r>
      <w:r>
        <w:rPr>
          <w:bCs/>
          <w:color w:val="auto"/>
          <w:sz w:val="24"/>
          <w:szCs w:val="24"/>
        </w:rPr>
        <w:fldChar w:fldCharType="end"/>
      </w:r>
    </w:p>
    <w:p w14:paraId="5C41C1A2">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_Toc2482 </w:instrText>
      </w:r>
      <w:r>
        <w:rPr>
          <w:bCs/>
          <w:sz w:val="24"/>
          <w:szCs w:val="24"/>
        </w:rPr>
        <w:fldChar w:fldCharType="separate"/>
      </w:r>
      <w:r>
        <w:rPr>
          <w:rFonts w:hint="default" w:ascii="Times New Roman" w:hAnsi="Times New Roman" w:cs="Times New Roman" w:eastAsiaTheme="majorEastAsia"/>
          <w:sz w:val="24"/>
          <w:szCs w:val="24"/>
          <w:lang w:val="zh-CN" w:eastAsia="zh-CN"/>
        </w:rPr>
        <w:t>1</w:t>
      </w:r>
      <w:r>
        <w:rPr>
          <w:rFonts w:hint="eastAsia" w:ascii="Times New Roman" w:hAnsi="Times New Roman" w:cs="Times New Roman" w:eastAsiaTheme="majorEastAsia"/>
          <w:sz w:val="24"/>
          <w:szCs w:val="24"/>
          <w:lang w:val="en-US" w:eastAsia="zh-CN"/>
        </w:rPr>
        <w:t>2</w:t>
      </w:r>
      <w:r>
        <w:rPr>
          <w:rFonts w:hint="default" w:ascii="Times New Roman" w:hAnsi="Times New Roman" w:cs="Times New Roman" w:eastAsiaTheme="majorEastAsia"/>
          <w:sz w:val="24"/>
          <w:szCs w:val="24"/>
          <w:lang w:val="zh-CN" w:eastAsia="zh-CN"/>
        </w:rPr>
        <w:t>.5环保投资及环境影响经济损益分析</w:t>
      </w:r>
      <w:r>
        <w:rPr>
          <w:sz w:val="24"/>
          <w:szCs w:val="24"/>
        </w:rPr>
        <w:tab/>
      </w:r>
      <w:r>
        <w:rPr>
          <w:sz w:val="24"/>
          <w:szCs w:val="24"/>
        </w:rPr>
        <w:fldChar w:fldCharType="begin"/>
      </w:r>
      <w:r>
        <w:rPr>
          <w:sz w:val="24"/>
          <w:szCs w:val="24"/>
        </w:rPr>
        <w:instrText xml:space="preserve"> PAGEREF _Toc2482 \h </w:instrText>
      </w:r>
      <w:r>
        <w:rPr>
          <w:sz w:val="24"/>
          <w:szCs w:val="24"/>
        </w:rPr>
        <w:fldChar w:fldCharType="separate"/>
      </w:r>
      <w:r>
        <w:rPr>
          <w:sz w:val="24"/>
          <w:szCs w:val="24"/>
        </w:rPr>
        <w:t>163</w:t>
      </w:r>
      <w:r>
        <w:rPr>
          <w:sz w:val="24"/>
          <w:szCs w:val="24"/>
        </w:rPr>
        <w:fldChar w:fldCharType="end"/>
      </w:r>
      <w:r>
        <w:rPr>
          <w:bCs/>
          <w:color w:val="auto"/>
          <w:sz w:val="24"/>
          <w:szCs w:val="24"/>
        </w:rPr>
        <w:fldChar w:fldCharType="end"/>
      </w:r>
    </w:p>
    <w:p w14:paraId="524619A5">
      <w:pPr>
        <w:pStyle w:val="63"/>
        <w:tabs>
          <w:tab w:val="right" w:leader="dot" w:pos="8312"/>
        </w:tabs>
        <w:spacing w:line="360" w:lineRule="auto"/>
        <w:rPr>
          <w:sz w:val="24"/>
          <w:szCs w:val="24"/>
        </w:rPr>
      </w:pPr>
      <w:r>
        <w:rPr>
          <w:bCs/>
          <w:color w:val="auto"/>
          <w:sz w:val="24"/>
          <w:szCs w:val="24"/>
        </w:rPr>
        <w:fldChar w:fldCharType="begin"/>
      </w:r>
      <w:r>
        <w:rPr>
          <w:bCs/>
          <w:sz w:val="24"/>
          <w:szCs w:val="24"/>
        </w:rPr>
        <w:instrText xml:space="preserve"> HYPERLINK \l _Toc15311 </w:instrText>
      </w:r>
      <w:r>
        <w:rPr>
          <w:bCs/>
          <w:sz w:val="24"/>
          <w:szCs w:val="24"/>
        </w:rPr>
        <w:fldChar w:fldCharType="separate"/>
      </w:r>
      <w:r>
        <w:rPr>
          <w:rFonts w:hint="default" w:ascii="Times New Roman" w:hAnsi="Times New Roman" w:cs="Times New Roman" w:eastAsiaTheme="majorEastAsia"/>
          <w:sz w:val="24"/>
          <w:szCs w:val="24"/>
          <w:lang w:val="zh-CN" w:eastAsia="zh-CN"/>
        </w:rPr>
        <w:t>1</w:t>
      </w:r>
      <w:r>
        <w:rPr>
          <w:rFonts w:hint="eastAsia" w:ascii="Times New Roman" w:hAnsi="Times New Roman" w:cs="Times New Roman" w:eastAsiaTheme="majorEastAsia"/>
          <w:sz w:val="24"/>
          <w:szCs w:val="24"/>
          <w:lang w:val="en-US" w:eastAsia="zh-CN"/>
        </w:rPr>
        <w:t>2</w:t>
      </w:r>
      <w:r>
        <w:rPr>
          <w:rFonts w:hint="default" w:ascii="Times New Roman" w:hAnsi="Times New Roman" w:cs="Times New Roman" w:eastAsiaTheme="majorEastAsia"/>
          <w:sz w:val="24"/>
          <w:szCs w:val="24"/>
          <w:lang w:val="zh-CN" w:eastAsia="zh-CN"/>
        </w:rPr>
        <w:t>.</w:t>
      </w:r>
      <w:r>
        <w:rPr>
          <w:rFonts w:hint="eastAsia" w:ascii="Times New Roman" w:hAnsi="Times New Roman" w:cs="Times New Roman" w:eastAsiaTheme="majorEastAsia"/>
          <w:sz w:val="24"/>
          <w:szCs w:val="24"/>
          <w:lang w:val="en-US" w:eastAsia="zh-CN"/>
        </w:rPr>
        <w:t>6</w:t>
      </w:r>
      <w:r>
        <w:rPr>
          <w:rFonts w:hint="default" w:ascii="Times New Roman" w:hAnsi="Times New Roman" w:cs="Times New Roman" w:eastAsiaTheme="majorEastAsia"/>
          <w:sz w:val="24"/>
          <w:szCs w:val="24"/>
          <w:lang w:val="zh-CN" w:eastAsia="zh-CN"/>
        </w:rPr>
        <w:t>环境管理与监测计划</w:t>
      </w:r>
      <w:r>
        <w:rPr>
          <w:sz w:val="24"/>
          <w:szCs w:val="24"/>
        </w:rPr>
        <w:tab/>
      </w:r>
      <w:r>
        <w:rPr>
          <w:sz w:val="24"/>
          <w:szCs w:val="24"/>
        </w:rPr>
        <w:fldChar w:fldCharType="begin"/>
      </w:r>
      <w:r>
        <w:rPr>
          <w:sz w:val="24"/>
          <w:szCs w:val="24"/>
        </w:rPr>
        <w:instrText xml:space="preserve"> PAGEREF _Toc15311 \h </w:instrText>
      </w:r>
      <w:r>
        <w:rPr>
          <w:sz w:val="24"/>
          <w:szCs w:val="24"/>
        </w:rPr>
        <w:fldChar w:fldCharType="separate"/>
      </w:r>
      <w:r>
        <w:rPr>
          <w:sz w:val="24"/>
          <w:szCs w:val="24"/>
        </w:rPr>
        <w:t>163</w:t>
      </w:r>
      <w:r>
        <w:rPr>
          <w:sz w:val="24"/>
          <w:szCs w:val="24"/>
        </w:rPr>
        <w:fldChar w:fldCharType="end"/>
      </w:r>
      <w:r>
        <w:rPr>
          <w:bCs/>
          <w:color w:val="auto"/>
          <w:sz w:val="24"/>
          <w:szCs w:val="24"/>
        </w:rPr>
        <w:fldChar w:fldCharType="end"/>
      </w:r>
    </w:p>
    <w:p w14:paraId="4BD180FC">
      <w:pPr>
        <w:pStyle w:val="63"/>
        <w:tabs>
          <w:tab w:val="right" w:leader="dot" w:pos="8312"/>
        </w:tabs>
        <w:spacing w:line="360" w:lineRule="auto"/>
        <w:rPr>
          <w:sz w:val="22"/>
          <w:szCs w:val="22"/>
        </w:rPr>
      </w:pPr>
      <w:r>
        <w:rPr>
          <w:bCs/>
          <w:color w:val="auto"/>
          <w:sz w:val="24"/>
          <w:szCs w:val="24"/>
        </w:rPr>
        <w:fldChar w:fldCharType="begin"/>
      </w:r>
      <w:r>
        <w:rPr>
          <w:bCs/>
          <w:sz w:val="24"/>
          <w:szCs w:val="24"/>
        </w:rPr>
        <w:instrText xml:space="preserve"> HYPERLINK \l _Toc17440 </w:instrText>
      </w:r>
      <w:r>
        <w:rPr>
          <w:bCs/>
          <w:sz w:val="24"/>
          <w:szCs w:val="24"/>
        </w:rPr>
        <w:fldChar w:fldCharType="separate"/>
      </w:r>
      <w:r>
        <w:rPr>
          <w:rFonts w:hint="default" w:ascii="Times New Roman" w:hAnsi="Times New Roman" w:cs="Times New Roman" w:eastAsiaTheme="minorEastAsia"/>
          <w:sz w:val="24"/>
          <w:szCs w:val="24"/>
          <w:lang w:val="zh-CN" w:eastAsia="zh-CN"/>
        </w:rPr>
        <w:t>1</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zh-CN" w:eastAsia="zh-CN"/>
        </w:rPr>
        <w:t>.</w:t>
      </w:r>
      <w:r>
        <w:rPr>
          <w:rFonts w:hint="eastAsia"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lang w:val="zh-CN" w:eastAsia="zh-CN"/>
        </w:rPr>
        <w:t>评价总结论</w:t>
      </w:r>
      <w:r>
        <w:rPr>
          <w:sz w:val="24"/>
          <w:szCs w:val="24"/>
        </w:rPr>
        <w:tab/>
      </w:r>
      <w:r>
        <w:rPr>
          <w:sz w:val="24"/>
          <w:szCs w:val="24"/>
        </w:rPr>
        <w:fldChar w:fldCharType="begin"/>
      </w:r>
      <w:r>
        <w:rPr>
          <w:sz w:val="24"/>
          <w:szCs w:val="24"/>
        </w:rPr>
        <w:instrText xml:space="preserve"> PAGEREF _Toc17440 \h </w:instrText>
      </w:r>
      <w:r>
        <w:rPr>
          <w:sz w:val="24"/>
          <w:szCs w:val="24"/>
        </w:rPr>
        <w:fldChar w:fldCharType="separate"/>
      </w:r>
      <w:r>
        <w:rPr>
          <w:sz w:val="24"/>
          <w:szCs w:val="24"/>
        </w:rPr>
        <w:t>164</w:t>
      </w:r>
      <w:r>
        <w:rPr>
          <w:sz w:val="24"/>
          <w:szCs w:val="24"/>
        </w:rPr>
        <w:fldChar w:fldCharType="end"/>
      </w:r>
      <w:r>
        <w:rPr>
          <w:bCs/>
          <w:color w:val="auto"/>
          <w:sz w:val="24"/>
          <w:szCs w:val="24"/>
        </w:rPr>
        <w:fldChar w:fldCharType="end"/>
      </w:r>
    </w:p>
    <w:p w14:paraId="772FD95B">
      <w:pPr>
        <w:pStyle w:val="3"/>
        <w:bidi w:val="0"/>
        <w:spacing w:line="360" w:lineRule="auto"/>
        <w:rPr>
          <w:bCs/>
          <w:color w:val="auto"/>
        </w:rPr>
        <w:sectPr>
          <w:footerReference r:id="rId4" w:type="default"/>
          <w:pgSz w:w="11906" w:h="16838"/>
          <w:pgMar w:top="1440" w:right="1797" w:bottom="1440" w:left="1797" w:header="1134" w:footer="1134" w:gutter="0"/>
          <w:pgBorders>
            <w:top w:val="none" w:sz="0" w:space="0"/>
            <w:left w:val="none" w:sz="0" w:space="0"/>
            <w:bottom w:val="none" w:sz="0" w:space="0"/>
            <w:right w:val="none" w:sz="0" w:space="0"/>
          </w:pgBorders>
          <w:pgNumType w:fmt="decimal" w:start="1"/>
          <w:cols w:space="720" w:num="1"/>
          <w:docGrid w:type="lines" w:linePitch="312" w:charSpace="0"/>
        </w:sectPr>
      </w:pPr>
      <w:r>
        <w:rPr>
          <w:bCs/>
          <w:color w:val="auto"/>
          <w:sz w:val="52"/>
          <w:szCs w:val="52"/>
        </w:rPr>
        <w:fldChar w:fldCharType="end"/>
      </w:r>
    </w:p>
    <w:p w14:paraId="79F1BFDE">
      <w:pPr>
        <w:pStyle w:val="3"/>
        <w:bidi w:val="0"/>
        <w:rPr>
          <w:sz w:val="32"/>
          <w:szCs w:val="32"/>
        </w:rPr>
      </w:pPr>
      <w:bookmarkStart w:id="1" w:name="_Toc12834"/>
      <w:r>
        <w:rPr>
          <w:rFonts w:hint="eastAsia"/>
          <w:sz w:val="32"/>
          <w:szCs w:val="32"/>
          <w:lang w:val="en-US" w:eastAsia="zh-CN"/>
        </w:rPr>
        <w:t>1</w:t>
      </w:r>
      <w:r>
        <w:rPr>
          <w:sz w:val="32"/>
          <w:szCs w:val="32"/>
        </w:rPr>
        <w:t>概述</w:t>
      </w:r>
      <w:bookmarkEnd w:id="1"/>
    </w:p>
    <w:p w14:paraId="6E8F4FB2">
      <w:pPr>
        <w:pStyle w:val="4"/>
        <w:bidi w:val="0"/>
        <w:rPr>
          <w:rFonts w:hint="default" w:ascii="Times New Roman" w:hAnsi="Times New Roman" w:cs="Times New Roman" w:eastAsiaTheme="majorEastAsia"/>
          <w:lang w:val="en-US" w:eastAsia="zh-CN"/>
        </w:rPr>
      </w:pPr>
      <w:bookmarkStart w:id="2" w:name="_Toc21427"/>
      <w:r>
        <w:rPr>
          <w:rFonts w:hint="default" w:ascii="Times New Roman" w:hAnsi="Times New Roman" w:cs="Times New Roman" w:eastAsiaTheme="majorEastAsia"/>
          <w:lang w:val="en-US" w:eastAsia="zh-CN"/>
        </w:rPr>
        <w:t>1.1项目概况</w:t>
      </w:r>
      <w:bookmarkEnd w:id="2"/>
    </w:p>
    <w:p w14:paraId="2F824FAD">
      <w:pPr>
        <w:pStyle w:val="177"/>
        <w:ind w:firstLine="480"/>
        <w:jc w:val="both"/>
        <w:rPr>
          <w:rFonts w:hint="eastAsia" w:ascii="Times New Roman"/>
          <w:color w:val="auto"/>
          <w:lang w:val="en-US" w:eastAsia="zh-CN"/>
        </w:rPr>
      </w:pPr>
      <w:r>
        <w:rPr>
          <w:rFonts w:hint="eastAsia" w:ascii="Times New Roman"/>
          <w:color w:val="auto"/>
          <w:lang w:val="en-US" w:eastAsia="zh-CN"/>
        </w:rPr>
        <w:t>北票大力铁精粉精选厂</w:t>
      </w:r>
      <w:r>
        <w:rPr>
          <w:rFonts w:hint="eastAsia" w:ascii="Times New Roman" w:eastAsia="宋体"/>
          <w:color w:val="auto"/>
          <w:lang w:val="en-US" w:eastAsia="zh-CN"/>
        </w:rPr>
        <w:t>成立于</w:t>
      </w:r>
      <w:r>
        <w:rPr>
          <w:rFonts w:hint="eastAsia" w:ascii="Times New Roman"/>
          <w:color w:val="auto"/>
          <w:highlight w:val="none"/>
          <w:lang w:val="en-US" w:eastAsia="zh-CN"/>
        </w:rPr>
        <w:t>2008</w:t>
      </w:r>
      <w:r>
        <w:rPr>
          <w:rFonts w:hint="eastAsia" w:ascii="Times New Roman" w:eastAsia="宋体"/>
          <w:color w:val="auto"/>
          <w:highlight w:val="none"/>
          <w:lang w:val="en-US" w:eastAsia="zh-CN"/>
        </w:rPr>
        <w:t>年</w:t>
      </w:r>
      <w:r>
        <w:rPr>
          <w:rFonts w:hint="eastAsia" w:ascii="Times New Roman"/>
          <w:color w:val="auto"/>
          <w:highlight w:val="none"/>
          <w:lang w:val="en-US" w:eastAsia="zh-CN"/>
        </w:rPr>
        <w:t>8</w:t>
      </w:r>
      <w:r>
        <w:rPr>
          <w:rFonts w:hint="eastAsia" w:ascii="Times New Roman" w:eastAsia="宋体"/>
          <w:color w:val="auto"/>
          <w:highlight w:val="none"/>
          <w:lang w:val="en-US" w:eastAsia="zh-CN"/>
        </w:rPr>
        <w:t>月</w:t>
      </w:r>
      <w:r>
        <w:rPr>
          <w:rFonts w:hint="eastAsia" w:ascii="Times New Roman" w:eastAsia="宋体"/>
          <w:color w:val="auto"/>
          <w:lang w:val="en-US" w:eastAsia="zh-CN"/>
        </w:rPr>
        <w:t>，位于辽宁省朝阳市北票市娄家店乡冯家营村，经营范围主要为</w:t>
      </w:r>
      <w:r>
        <w:rPr>
          <w:rFonts w:hint="eastAsia" w:ascii="Times New Roman"/>
          <w:color w:val="auto"/>
          <w:lang w:val="en-US" w:eastAsia="zh-CN"/>
        </w:rPr>
        <w:t>选矿、</w:t>
      </w:r>
      <w:r>
        <w:rPr>
          <w:rFonts w:hint="eastAsia" w:ascii="Times New Roman" w:eastAsia="宋体"/>
          <w:color w:val="auto"/>
          <w:lang w:val="en-US" w:eastAsia="zh-CN"/>
        </w:rPr>
        <w:t>金属矿石销售</w:t>
      </w:r>
      <w:r>
        <w:rPr>
          <w:rFonts w:hint="eastAsia" w:ascii="Times New Roman"/>
          <w:color w:val="auto"/>
          <w:lang w:val="en-US" w:eastAsia="zh-CN"/>
        </w:rPr>
        <w:t>等，选厂占地面积为13340m</w:t>
      </w:r>
      <w:r>
        <w:rPr>
          <w:rFonts w:hint="eastAsia" w:ascii="Times New Roman"/>
          <w:color w:val="auto"/>
          <w:vertAlign w:val="superscript"/>
          <w:lang w:val="en-US" w:eastAsia="zh-CN"/>
        </w:rPr>
        <w:t>2</w:t>
      </w:r>
      <w:r>
        <w:rPr>
          <w:rFonts w:hint="eastAsia" w:ascii="Times New Roman"/>
          <w:color w:val="auto"/>
          <w:lang w:val="en-US" w:eastAsia="zh-CN"/>
        </w:rPr>
        <w:t>，本项目为改扩建项目，在现有厂区内的现有车间内建设，本项目不新增占地面积，不新建车间，不涉及土建施工，仅在现有选矿车间内</w:t>
      </w:r>
      <w:r>
        <w:rPr>
          <w:rFonts w:hint="eastAsia" w:ascii="Times New Roman"/>
          <w:b/>
          <w:bCs/>
          <w:color w:val="auto"/>
          <w:lang w:val="en-US" w:eastAsia="zh-CN"/>
        </w:rPr>
        <w:t>新增浮选选金生产线，安装浮选机及配套设施，年处理原矿20万t/a，年产金精粉1.406万t/a，尾矿18.594万t/a，尾矿采取干排方式</w:t>
      </w:r>
      <w:r>
        <w:rPr>
          <w:rFonts w:hint="eastAsia" w:ascii="Times New Roman"/>
          <w:color w:val="auto"/>
          <w:lang w:val="en-US" w:eastAsia="zh-CN"/>
        </w:rPr>
        <w:t>。</w:t>
      </w:r>
    </w:p>
    <w:p w14:paraId="7D548222">
      <w:pPr>
        <w:pStyle w:val="177"/>
        <w:ind w:firstLine="480"/>
        <w:jc w:val="both"/>
        <w:rPr>
          <w:rFonts w:hint="default" w:ascii="Times New Roman" w:eastAsia="宋体"/>
          <w:color w:val="0000FF"/>
          <w:highlight w:val="none"/>
          <w:lang w:val="en-US" w:eastAsia="zh-CN"/>
        </w:rPr>
      </w:pPr>
      <w:r>
        <w:rPr>
          <w:rFonts w:hint="eastAsia" w:ascii="Times New Roman"/>
          <w:color w:val="auto"/>
          <w:lang w:val="en-US" w:eastAsia="zh-CN"/>
        </w:rPr>
        <w:t>企业现有项目为年产30万吨铁精粉建设项目，于2008年8月委托江苏久力咨询有限公司编制了《北票大力铁精粉精选厂年产30万吨铁精粉建设项目环境影响报告表》，并于2009年1月14日取得北票市生态环境局的批复：《关于北票大力铁精粉精选厂年产30万吨铁精粉建设项目环境影响报告表的批复》（北环审[2009]3号）；企业</w:t>
      </w:r>
      <w:r>
        <w:rPr>
          <w:rFonts w:hint="eastAsia" w:ascii="Times New Roman" w:eastAsia="宋体"/>
          <w:color w:val="auto"/>
          <w:lang w:val="en-US" w:eastAsia="zh-CN"/>
        </w:rPr>
        <w:t>于2020年8月11日填报了固定污染源排污许可登记，形成登记回执，登记编号：91211381680056656U001W</w:t>
      </w:r>
      <w:r>
        <w:rPr>
          <w:rFonts w:hint="eastAsia" w:ascii="Times New Roman"/>
          <w:color w:val="auto"/>
          <w:lang w:val="en-US" w:eastAsia="zh-CN"/>
        </w:rPr>
        <w:t>；于2024年6月编制《北票大力铁精粉精选厂竣工环境保护验收监测报告表》</w:t>
      </w:r>
      <w:r>
        <w:rPr>
          <w:rFonts w:hint="eastAsia" w:ascii="Times New Roman" w:eastAsia="宋体"/>
          <w:color w:val="auto"/>
          <w:lang w:val="en-US" w:eastAsia="zh-CN"/>
        </w:rPr>
        <w:t>，通过验收并取得专家意见。</w:t>
      </w:r>
    </w:p>
    <w:p w14:paraId="3F431622">
      <w:pPr>
        <w:pStyle w:val="177"/>
        <w:ind w:firstLine="480"/>
        <w:jc w:val="both"/>
        <w:rPr>
          <w:rFonts w:hint="eastAsia" w:ascii="Times New Roman"/>
          <w:color w:val="auto"/>
          <w:lang w:val="en-US" w:eastAsia="zh-CN"/>
        </w:rPr>
      </w:pPr>
      <w:r>
        <w:rPr>
          <w:rFonts w:hint="eastAsia" w:ascii="Times New Roman"/>
          <w:color w:val="auto"/>
          <w:lang w:val="en-US" w:eastAsia="zh-CN"/>
        </w:rPr>
        <w:t xml:space="preserve">依据《中华人民共和国环境保护法》、《中华人民共和国环境影响评价法》、《建设项目环境保护管理条例》及《建设项目环境影响评价分类管理名录》（2021年版），本项目属于“七、有色金属矿采选业09—常用有色金属矿采选091—全部（含新建或扩建的独立尾矿库；不含单独的矿石破碎、集运；不含矿区修复治理工程）”类别，应编制环境影响报告书。 </w:t>
      </w:r>
    </w:p>
    <w:p w14:paraId="33FE03D3">
      <w:pPr>
        <w:pStyle w:val="177"/>
        <w:ind w:firstLine="480"/>
        <w:jc w:val="both"/>
        <w:rPr>
          <w:rFonts w:hint="eastAsia" w:ascii="Times New Roman"/>
          <w:color w:val="auto"/>
          <w:lang w:val="en-US" w:eastAsia="zh-CN"/>
        </w:rPr>
      </w:pPr>
      <w:r>
        <w:rPr>
          <w:rFonts w:hint="eastAsia" w:ascii="Times New Roman"/>
          <w:color w:val="auto"/>
          <w:lang w:val="en-US" w:eastAsia="zh-CN"/>
        </w:rPr>
        <w:t>企业于2025年9月委托我单位承担《北票大力铁精粉精选厂改扩建项目环境影响报告书》的评价工作。我单位接受委托后，仔细研究了拟建工程的可研报告及其他设计资料，对项目周围环境现状进行了调查，并对项目区域内的环境空气、地下水环境、声环境、生态环境及土壤环境进行了现状调查，按照环境影响评价技术规范，编制了本次改扩建项目环境影响报告书。</w:t>
      </w:r>
    </w:p>
    <w:p w14:paraId="50B26D1B">
      <w:pPr>
        <w:pStyle w:val="4"/>
        <w:bidi w:val="0"/>
        <w:spacing w:line="240" w:lineRule="auto"/>
        <w:rPr>
          <w:rFonts w:hint="default" w:ascii="Times New Roman" w:hAnsi="Times New Roman" w:eastAsia="宋体" w:cs="Times New Roman"/>
          <w:sz w:val="28"/>
          <w:szCs w:val="28"/>
          <w:lang w:val="en-US" w:eastAsia="zh-CN"/>
        </w:rPr>
      </w:pPr>
      <w:bookmarkStart w:id="3" w:name="_Toc25121"/>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2项目特点</w:t>
      </w:r>
      <w:bookmarkEnd w:id="3"/>
    </w:p>
    <w:p w14:paraId="4D580F33">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本项目为</w:t>
      </w:r>
      <w:r>
        <w:rPr>
          <w:rFonts w:hint="eastAsia" w:cs="Times New Roman"/>
          <w:color w:val="auto"/>
          <w:kern w:val="2"/>
          <w:sz w:val="24"/>
          <w:szCs w:val="20"/>
          <w:lang w:val="en-US" w:eastAsia="zh-CN" w:bidi="ar-SA"/>
        </w:rPr>
        <w:t>改</w:t>
      </w:r>
      <w:r>
        <w:rPr>
          <w:rFonts w:hint="eastAsia" w:eastAsia="宋体" w:cs="Times New Roman"/>
          <w:color w:val="auto"/>
          <w:kern w:val="2"/>
          <w:sz w:val="24"/>
          <w:szCs w:val="20"/>
          <w:lang w:val="en-US" w:eastAsia="zh-CN" w:bidi="ar-SA"/>
        </w:rPr>
        <w:t>扩建</w:t>
      </w:r>
      <w:r>
        <w:rPr>
          <w:rFonts w:hint="eastAsia" w:ascii="Times New Roman" w:hAnsi="Times New Roman" w:eastAsia="宋体" w:cs="Times New Roman"/>
          <w:color w:val="auto"/>
          <w:kern w:val="2"/>
          <w:sz w:val="24"/>
          <w:szCs w:val="20"/>
          <w:lang w:val="en-US" w:eastAsia="zh-CN" w:bidi="ar-SA"/>
        </w:rPr>
        <w:t>项目，</w:t>
      </w:r>
      <w:r>
        <w:rPr>
          <w:rFonts w:hint="eastAsia" w:eastAsia="宋体" w:cs="Times New Roman"/>
          <w:color w:val="auto"/>
          <w:kern w:val="2"/>
          <w:sz w:val="24"/>
          <w:szCs w:val="20"/>
          <w:lang w:val="en-US" w:eastAsia="zh-CN" w:bidi="ar-SA"/>
        </w:rPr>
        <w:t>在现有磁选铁精粉基础上扩建1条浮选金精粉生产线</w:t>
      </w:r>
      <w:r>
        <w:rPr>
          <w:rFonts w:hint="eastAsia" w:ascii="Times New Roman" w:hAnsi="Times New Roman" w:eastAsia="宋体" w:cs="Times New Roman"/>
          <w:color w:val="auto"/>
          <w:kern w:val="2"/>
          <w:sz w:val="24"/>
          <w:szCs w:val="20"/>
          <w:lang w:val="en-US" w:eastAsia="zh-CN" w:bidi="ar-SA"/>
        </w:rPr>
        <w:t>，入选</w:t>
      </w:r>
      <w:r>
        <w:rPr>
          <w:rFonts w:hint="eastAsia" w:eastAsia="宋体" w:cs="Times New Roman"/>
          <w:color w:val="auto"/>
          <w:kern w:val="2"/>
          <w:sz w:val="24"/>
          <w:szCs w:val="20"/>
          <w:lang w:val="en-US" w:eastAsia="zh-CN" w:bidi="ar-SA"/>
        </w:rPr>
        <w:t>原矿来自附近矿山</w:t>
      </w:r>
      <w:r>
        <w:rPr>
          <w:rFonts w:hint="eastAsia" w:ascii="Times New Roman" w:hAnsi="Times New Roman" w:eastAsia="宋体" w:cs="Times New Roman"/>
          <w:color w:val="auto"/>
          <w:kern w:val="2"/>
          <w:sz w:val="24"/>
          <w:szCs w:val="20"/>
          <w:lang w:val="en-US" w:eastAsia="zh-CN" w:bidi="ar-SA"/>
        </w:rPr>
        <w:t>，选矿工艺为浮选，</w:t>
      </w:r>
      <w:r>
        <w:rPr>
          <w:rFonts w:hint="eastAsia" w:cs="Times New Roman"/>
          <w:color w:val="auto"/>
          <w:kern w:val="2"/>
          <w:sz w:val="24"/>
          <w:szCs w:val="20"/>
          <w:lang w:val="en-US" w:eastAsia="zh-CN" w:bidi="ar-SA"/>
        </w:rPr>
        <w:t>新增</w:t>
      </w:r>
      <w:r>
        <w:rPr>
          <w:rFonts w:hint="eastAsia" w:ascii="Times New Roman" w:hAnsi="Times New Roman" w:eastAsia="宋体" w:cs="Times New Roman"/>
          <w:color w:val="auto"/>
          <w:kern w:val="2"/>
          <w:sz w:val="24"/>
          <w:szCs w:val="20"/>
          <w:lang w:val="en-US" w:eastAsia="zh-CN" w:bidi="ar-SA"/>
        </w:rPr>
        <w:t>一套浮选系统</w:t>
      </w:r>
      <w:r>
        <w:rPr>
          <w:rFonts w:hint="eastAsia" w:eastAsia="宋体" w:cs="Times New Roman"/>
          <w:color w:val="auto"/>
          <w:kern w:val="2"/>
          <w:sz w:val="24"/>
          <w:szCs w:val="20"/>
          <w:lang w:val="en-US" w:eastAsia="zh-CN" w:bidi="ar-SA"/>
        </w:rPr>
        <w:t>，</w:t>
      </w:r>
      <w:r>
        <w:rPr>
          <w:rFonts w:hint="eastAsia" w:cs="Times New Roman"/>
          <w:color w:val="auto"/>
          <w:kern w:val="2"/>
          <w:sz w:val="24"/>
          <w:szCs w:val="20"/>
          <w:lang w:val="en-US" w:eastAsia="zh-CN" w:bidi="ar-SA"/>
        </w:rPr>
        <w:t>其中前期破碎预处理依托现有设备，本次仅新增球磨机、浮选机及相关配套辅助设施，</w:t>
      </w:r>
      <w:r>
        <w:rPr>
          <w:rFonts w:hint="eastAsia" w:eastAsia="宋体" w:cs="Times New Roman"/>
          <w:color w:val="auto"/>
          <w:kern w:val="2"/>
          <w:sz w:val="24"/>
          <w:szCs w:val="20"/>
          <w:lang w:val="en-US" w:eastAsia="zh-CN" w:bidi="ar-SA"/>
        </w:rPr>
        <w:t>尾矿采取干排方式，</w:t>
      </w:r>
      <w:r>
        <w:rPr>
          <w:rFonts w:hint="eastAsia" w:ascii="Times New Roman" w:hAnsi="Times New Roman" w:eastAsia="宋体" w:cs="Times New Roman"/>
          <w:color w:val="auto"/>
          <w:kern w:val="2"/>
          <w:sz w:val="24"/>
          <w:szCs w:val="20"/>
          <w:lang w:val="en-US" w:eastAsia="zh-CN" w:bidi="ar-SA"/>
        </w:rPr>
        <w:t>作为建筑材料原料综合利用。</w:t>
      </w:r>
    </w:p>
    <w:p w14:paraId="1B39A3BD">
      <w:pPr>
        <w:keepNext w:val="0"/>
        <w:keepLines w:val="0"/>
        <w:widowControl/>
        <w:suppressLineNumbers w:val="0"/>
        <w:spacing w:line="360" w:lineRule="auto"/>
        <w:ind w:firstLine="480" w:firstLineChars="200"/>
        <w:jc w:val="left"/>
        <w:rPr>
          <w:rFonts w:hint="eastAsia" w:eastAsia="宋体" w:cs="Times New Roman"/>
          <w:color w:val="auto"/>
          <w:kern w:val="2"/>
          <w:sz w:val="24"/>
          <w:szCs w:val="20"/>
          <w:lang w:val="en-US" w:eastAsia="zh-CN" w:bidi="ar-SA"/>
        </w:rPr>
      </w:pPr>
      <w:r>
        <w:rPr>
          <w:rFonts w:hint="eastAsia" w:eastAsia="宋体" w:cs="Times New Roman"/>
          <w:color w:val="auto"/>
          <w:kern w:val="2"/>
          <w:sz w:val="24"/>
          <w:szCs w:val="20"/>
          <w:lang w:val="en-US" w:eastAsia="zh-CN" w:bidi="ar-SA"/>
        </w:rPr>
        <w:t>本项目生产区平面布局呈矩形状，由南向北依次为破碎区、选矿区，干排车间位于选矿区东侧，各生产设施布局紧凑合理。办公生活区位于生产区北侧，与生产区独立设置，厂区内布局合理。</w:t>
      </w:r>
    </w:p>
    <w:p w14:paraId="55DC387C">
      <w:pPr>
        <w:pStyle w:val="4"/>
        <w:bidi w:val="0"/>
        <w:spacing w:line="240" w:lineRule="auto"/>
        <w:rPr>
          <w:rFonts w:hint="default" w:ascii="Times New Roman" w:hAnsi="Times New Roman" w:eastAsia="宋体" w:cs="Times New Roman"/>
          <w:sz w:val="28"/>
          <w:szCs w:val="28"/>
          <w:lang w:val="en-US" w:eastAsia="zh-CN"/>
        </w:rPr>
      </w:pPr>
      <w:bookmarkStart w:id="4" w:name="_Toc16459"/>
      <w:bookmarkStart w:id="5" w:name="_Toc21927"/>
      <w:bookmarkStart w:id="6" w:name="_Toc10461"/>
      <w:bookmarkStart w:id="7" w:name="_Toc25201"/>
      <w:r>
        <w:rPr>
          <w:rFonts w:hint="default" w:ascii="Times New Roman" w:hAnsi="Times New Roman" w:eastAsia="宋体" w:cs="Times New Roman"/>
          <w:sz w:val="28"/>
          <w:szCs w:val="28"/>
          <w:lang w:val="en-US" w:eastAsia="zh-CN"/>
        </w:rPr>
        <w:t>1.</w:t>
      </w:r>
      <w:r>
        <w:rPr>
          <w:rFonts w:hint="eastAsia" w:ascii="Times New Roman" w:hAnsi="Times New Roman" w:eastAsia="宋体" w:cs="Times New Roman"/>
          <w:sz w:val="28"/>
          <w:szCs w:val="28"/>
          <w:lang w:val="en-US" w:eastAsia="zh-CN"/>
        </w:rPr>
        <w:t>3</w:t>
      </w:r>
      <w:r>
        <w:rPr>
          <w:rFonts w:hint="default" w:ascii="Times New Roman" w:hAnsi="Times New Roman" w:eastAsia="宋体" w:cs="Times New Roman"/>
          <w:sz w:val="28"/>
          <w:szCs w:val="28"/>
          <w:lang w:val="en-US" w:eastAsia="zh-CN"/>
        </w:rPr>
        <w:t>环境影响评价工作过程</w:t>
      </w:r>
      <w:bookmarkEnd w:id="4"/>
      <w:bookmarkEnd w:id="5"/>
      <w:bookmarkEnd w:id="6"/>
      <w:bookmarkEnd w:id="7"/>
    </w:p>
    <w:p w14:paraId="3A6FC59B">
      <w:pPr>
        <w:pStyle w:val="47"/>
        <w:spacing w:after="0" w:line="360" w:lineRule="auto"/>
        <w:ind w:left="0" w:leftChars="0" w:firstLine="480" w:firstLineChars="200"/>
        <w:rPr>
          <w:color w:val="auto"/>
          <w:sz w:val="24"/>
        </w:rPr>
      </w:pPr>
      <w:r>
        <w:rPr>
          <w:color w:val="auto"/>
          <w:sz w:val="24"/>
        </w:rPr>
        <w:t>受</w:t>
      </w:r>
      <w:r>
        <w:rPr>
          <w:rFonts w:hint="eastAsia"/>
          <w:color w:val="auto"/>
          <w:sz w:val="24"/>
          <w:lang w:eastAsia="zh-CN"/>
        </w:rPr>
        <w:t>北票</w:t>
      </w:r>
      <w:r>
        <w:rPr>
          <w:rFonts w:hint="eastAsia"/>
          <w:color w:val="auto"/>
          <w:sz w:val="24"/>
          <w:lang w:val="en-US" w:eastAsia="zh-CN"/>
        </w:rPr>
        <w:t>市</w:t>
      </w:r>
      <w:r>
        <w:rPr>
          <w:rFonts w:hint="eastAsia"/>
          <w:color w:val="auto"/>
          <w:sz w:val="24"/>
          <w:lang w:eastAsia="zh-CN"/>
        </w:rPr>
        <w:t>大力铁精粉精选厂</w:t>
      </w:r>
      <w:r>
        <w:rPr>
          <w:color w:val="auto"/>
          <w:sz w:val="24"/>
        </w:rPr>
        <w:t>委托</w:t>
      </w:r>
      <w:r>
        <w:rPr>
          <w:color w:val="auto"/>
          <w:sz w:val="24"/>
          <w:highlight w:val="none"/>
        </w:rPr>
        <w:t>，</w:t>
      </w:r>
      <w:r>
        <w:rPr>
          <w:rFonts w:hint="eastAsia"/>
          <w:color w:val="auto"/>
          <w:sz w:val="24"/>
          <w:highlight w:val="none"/>
          <w:lang w:val="en-US" w:eastAsia="zh-CN"/>
        </w:rPr>
        <w:t>我单位</w:t>
      </w:r>
      <w:r>
        <w:rPr>
          <w:color w:val="auto"/>
          <w:sz w:val="24"/>
          <w:highlight w:val="none"/>
        </w:rPr>
        <w:t>承担本项目环境影响报告书的编制工作。环评单位接受委托后，先对建设单位提供的各种资料进行研读和梳理，在对本项目基本情况有一定了解后，于202</w:t>
      </w:r>
      <w:r>
        <w:rPr>
          <w:rFonts w:hint="eastAsia"/>
          <w:color w:val="auto"/>
          <w:sz w:val="24"/>
          <w:highlight w:val="none"/>
          <w:lang w:val="en-US" w:eastAsia="zh-CN"/>
        </w:rPr>
        <w:t>5</w:t>
      </w:r>
      <w:r>
        <w:rPr>
          <w:color w:val="auto"/>
          <w:sz w:val="24"/>
          <w:highlight w:val="none"/>
        </w:rPr>
        <w:t>年</w:t>
      </w:r>
      <w:r>
        <w:rPr>
          <w:rFonts w:hint="eastAsia"/>
          <w:color w:val="auto"/>
          <w:sz w:val="24"/>
          <w:highlight w:val="none"/>
          <w:lang w:val="en-US" w:eastAsia="zh-CN"/>
        </w:rPr>
        <w:t>9</w:t>
      </w:r>
      <w:r>
        <w:rPr>
          <w:color w:val="auto"/>
          <w:sz w:val="24"/>
          <w:highlight w:val="none"/>
        </w:rPr>
        <w:t>月到项目</w:t>
      </w:r>
      <w:r>
        <w:rPr>
          <w:rFonts w:hint="eastAsia"/>
          <w:color w:val="auto"/>
          <w:sz w:val="24"/>
          <w:highlight w:val="none"/>
          <w:lang w:val="en-US" w:eastAsia="zh-CN"/>
        </w:rPr>
        <w:t>所在位置辽宁省朝阳市北票市娄家店乡冯家营村</w:t>
      </w:r>
      <w:r>
        <w:rPr>
          <w:color w:val="auto"/>
          <w:sz w:val="24"/>
        </w:rPr>
        <w:t>进行实地踏勘，对项目区周边环境进行走访调查，同时收集项目所在地区的相关资料，在项目四周进行调查取证</w:t>
      </w:r>
      <w:r>
        <w:rPr>
          <w:rFonts w:hint="eastAsia"/>
          <w:color w:val="auto"/>
          <w:sz w:val="24"/>
          <w:lang w:eastAsia="zh-CN"/>
        </w:rPr>
        <w:t>，</w:t>
      </w:r>
      <w:r>
        <w:rPr>
          <w:color w:val="auto"/>
          <w:sz w:val="24"/>
        </w:rPr>
        <w:t>随后编制出《</w:t>
      </w:r>
      <w:r>
        <w:rPr>
          <w:rFonts w:hint="eastAsia"/>
          <w:color w:val="auto"/>
          <w:sz w:val="24"/>
          <w:lang w:eastAsia="zh-CN"/>
        </w:rPr>
        <w:t>北票大力铁精粉精选厂改扩建项目</w:t>
      </w:r>
      <w:r>
        <w:rPr>
          <w:color w:val="auto"/>
          <w:sz w:val="24"/>
        </w:rPr>
        <w:t>环境</w:t>
      </w:r>
      <w:r>
        <w:rPr>
          <w:rFonts w:hint="eastAsia"/>
          <w:color w:val="auto"/>
          <w:sz w:val="24"/>
          <w:lang w:val="en-US" w:eastAsia="zh-CN"/>
        </w:rPr>
        <w:t>质量</w:t>
      </w:r>
      <w:r>
        <w:rPr>
          <w:color w:val="auto"/>
          <w:sz w:val="24"/>
        </w:rPr>
        <w:t>监测方案》交由项目建设单位，由建设单位委</w:t>
      </w:r>
      <w:r>
        <w:rPr>
          <w:color w:val="auto"/>
          <w:sz w:val="24"/>
          <w:highlight w:val="none"/>
        </w:rPr>
        <w:t>托</w:t>
      </w:r>
      <w:r>
        <w:rPr>
          <w:rFonts w:hint="eastAsia"/>
          <w:color w:val="auto"/>
          <w:sz w:val="24"/>
          <w:highlight w:val="none"/>
          <w:lang w:eastAsia="zh-CN"/>
        </w:rPr>
        <w:t>有资质监测单位</w:t>
      </w:r>
      <w:r>
        <w:rPr>
          <w:color w:val="auto"/>
          <w:sz w:val="24"/>
          <w:highlight w:val="none"/>
        </w:rPr>
        <w:t>对项目</w:t>
      </w:r>
      <w:r>
        <w:rPr>
          <w:color w:val="auto"/>
          <w:sz w:val="24"/>
        </w:rPr>
        <w:t>区及附近的环境空气、地下水</w:t>
      </w:r>
      <w:r>
        <w:rPr>
          <w:rFonts w:hint="eastAsia"/>
          <w:color w:val="auto"/>
          <w:sz w:val="24"/>
          <w:lang w:val="en-US" w:eastAsia="zh-CN"/>
        </w:rPr>
        <w:t>环境</w:t>
      </w:r>
      <w:r>
        <w:rPr>
          <w:color w:val="auto"/>
          <w:sz w:val="24"/>
        </w:rPr>
        <w:t>、声环境、</w:t>
      </w:r>
      <w:r>
        <w:rPr>
          <w:rFonts w:hint="eastAsia"/>
          <w:color w:val="auto"/>
          <w:sz w:val="24"/>
          <w:lang w:eastAsia="zh-CN"/>
        </w:rPr>
        <w:t>包气带、</w:t>
      </w:r>
      <w:r>
        <w:rPr>
          <w:color w:val="auto"/>
          <w:sz w:val="24"/>
        </w:rPr>
        <w:t>土壤环境质量现状进行监测。</w:t>
      </w:r>
    </w:p>
    <w:p w14:paraId="0A0CD547">
      <w:pPr>
        <w:pStyle w:val="47"/>
        <w:spacing w:after="0" w:line="360" w:lineRule="auto"/>
        <w:ind w:left="0" w:leftChars="0" w:firstLine="480" w:firstLineChars="200"/>
        <w:rPr>
          <w:rFonts w:hint="eastAsia" w:eastAsia="宋体"/>
          <w:color w:val="auto"/>
          <w:sz w:val="24"/>
          <w:lang w:eastAsia="zh-CN"/>
        </w:rPr>
      </w:pPr>
      <w:r>
        <w:rPr>
          <w:color w:val="auto"/>
          <w:sz w:val="24"/>
        </w:rPr>
        <w:t>根据建设单位提供的资料，结合项目工程特点和选址的环境特征，依据环评相关的法律、法规、部门规章、技术导则等，在现场调查和收集、分析有关资料的基础上，</w:t>
      </w:r>
      <w:r>
        <w:rPr>
          <w:rFonts w:hint="eastAsia"/>
          <w:color w:val="auto"/>
          <w:sz w:val="24"/>
          <w:lang w:val="en-US" w:eastAsia="zh-CN"/>
        </w:rPr>
        <w:t>我单位</w:t>
      </w:r>
      <w:r>
        <w:rPr>
          <w:color w:val="auto"/>
          <w:sz w:val="24"/>
        </w:rPr>
        <w:t>编制</w:t>
      </w:r>
      <w:r>
        <w:rPr>
          <w:rFonts w:hint="eastAsia"/>
          <w:color w:val="auto"/>
          <w:sz w:val="24"/>
          <w:lang w:val="en-US" w:eastAsia="zh-CN"/>
        </w:rPr>
        <w:t>了</w:t>
      </w:r>
      <w:r>
        <w:rPr>
          <w:color w:val="auto"/>
          <w:sz w:val="24"/>
        </w:rPr>
        <w:t>《</w:t>
      </w:r>
      <w:r>
        <w:rPr>
          <w:rFonts w:hint="eastAsia"/>
          <w:color w:val="auto"/>
          <w:sz w:val="24"/>
          <w:lang w:eastAsia="zh-CN"/>
        </w:rPr>
        <w:t>北票大力铁精粉精选厂改扩建项目</w:t>
      </w:r>
      <w:r>
        <w:rPr>
          <w:color w:val="auto"/>
          <w:sz w:val="24"/>
        </w:rPr>
        <w:t>环境影响报告书》</w:t>
      </w:r>
      <w:r>
        <w:rPr>
          <w:rFonts w:hint="eastAsia"/>
          <w:color w:val="auto"/>
          <w:sz w:val="24"/>
          <w:lang w:eastAsia="zh-CN"/>
        </w:rPr>
        <w:t>。</w:t>
      </w:r>
    </w:p>
    <w:p w14:paraId="3EBD36FD">
      <w:pPr>
        <w:spacing w:line="360" w:lineRule="auto"/>
        <w:ind w:firstLine="482"/>
        <w:rPr>
          <w:color w:val="auto"/>
          <w:sz w:val="24"/>
        </w:rPr>
      </w:pPr>
      <w:r>
        <w:rPr>
          <w:rFonts w:hint="eastAsia"/>
          <w:color w:val="auto"/>
          <w:sz w:val="24"/>
          <w:lang w:val="en-US" w:eastAsia="zh-CN"/>
        </w:rPr>
        <w:t>本项目</w:t>
      </w:r>
      <w:r>
        <w:rPr>
          <w:color w:val="auto"/>
          <w:sz w:val="24"/>
        </w:rPr>
        <w:t>环境影响评价工作</w:t>
      </w:r>
      <w:r>
        <w:rPr>
          <w:rFonts w:hint="eastAsia"/>
          <w:color w:val="auto"/>
          <w:sz w:val="24"/>
          <w:lang w:val="en-US" w:eastAsia="zh-CN"/>
        </w:rPr>
        <w:t>的</w:t>
      </w:r>
      <w:r>
        <w:rPr>
          <w:color w:val="auto"/>
          <w:sz w:val="24"/>
        </w:rPr>
        <w:t>具体评价工作程序见</w:t>
      </w:r>
      <w:r>
        <w:rPr>
          <w:rFonts w:hint="eastAsia"/>
          <w:color w:val="auto"/>
          <w:sz w:val="24"/>
          <w:lang w:val="en-US" w:eastAsia="zh-CN"/>
        </w:rPr>
        <w:t>下图</w:t>
      </w:r>
      <w:r>
        <w:rPr>
          <w:color w:val="auto"/>
          <w:sz w:val="24"/>
        </w:rPr>
        <w:t>。</w:t>
      </w:r>
    </w:p>
    <w:p w14:paraId="261D2663">
      <w:pPr>
        <w:spacing w:line="360" w:lineRule="auto"/>
        <w:ind w:firstLine="480" w:firstLineChars="200"/>
        <w:rPr>
          <w:color w:val="auto"/>
          <w:kern w:val="0"/>
          <w:sz w:val="24"/>
        </w:rPr>
      </w:pPr>
    </w:p>
    <w:p w14:paraId="3F1E8D16">
      <w:pPr>
        <w:spacing w:line="360" w:lineRule="auto"/>
        <w:ind w:firstLine="420" w:firstLineChars="200"/>
        <w:rPr>
          <w:color w:val="auto"/>
          <w:kern w:val="0"/>
          <w:sz w:val="24"/>
        </w:rPr>
      </w:pPr>
      <w:r>
        <w:rPr>
          <w:color w:val="auto"/>
        </w:rPr>
        <mc:AlternateContent>
          <mc:Choice Requires="wpg">
            <w:drawing>
              <wp:inline distT="0" distB="0" distL="114300" distR="114300">
                <wp:extent cx="4986020" cy="7820660"/>
                <wp:effectExtent l="6350" t="6350" r="17780" b="21590"/>
                <wp:docPr id="426" name="组合 3"/>
                <wp:cNvGraphicFramePr/>
                <a:graphic xmlns:a="http://schemas.openxmlformats.org/drawingml/2006/main">
                  <a:graphicData uri="http://schemas.microsoft.com/office/word/2010/wordprocessingGroup">
                    <wpg:wgp>
                      <wpg:cNvGrpSpPr>
                        <a:grpSpLocks noRot="1"/>
                      </wpg:cNvGrpSpPr>
                      <wpg:grpSpPr>
                        <a:xfrm>
                          <a:off x="0" y="0"/>
                          <a:ext cx="4986020" cy="7820660"/>
                          <a:chOff x="2027" y="4356"/>
                          <a:chExt cx="7411" cy="10217"/>
                        </a:xfrm>
                      </wpg:grpSpPr>
                      <wps:wsp>
                        <wps:cNvPr id="427" name="文本框 4"/>
                        <wps:cNvSpPr txBox="1"/>
                        <wps:spPr>
                          <a:xfrm>
                            <a:off x="3655" y="5361"/>
                            <a:ext cx="4359" cy="370"/>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428E43A8">
                              <w:pPr>
                                <w:jc w:val="center"/>
                                <w:rPr>
                                  <w:szCs w:val="21"/>
                                </w:rPr>
                              </w:pPr>
                              <w:r>
                                <w:rPr>
                                  <w:rFonts w:hint="eastAsia"/>
                                  <w:szCs w:val="21"/>
                                </w:rPr>
                                <w:t>依据相关规定确定环境影响评价文件的类型</w:t>
                              </w:r>
                            </w:p>
                          </w:txbxContent>
                        </wps:txbx>
                        <wps:bodyPr wrap="square" upright="1"/>
                      </wps:wsp>
                      <wps:wsp>
                        <wps:cNvPr id="428" name="文本框 5"/>
                        <wps:cNvSpPr txBox="1"/>
                        <wps:spPr>
                          <a:xfrm>
                            <a:off x="3950" y="6102"/>
                            <a:ext cx="3771" cy="961"/>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6D0C6650">
                              <w:pPr>
                                <w:rPr>
                                  <w:szCs w:val="21"/>
                                </w:rPr>
                              </w:pPr>
                              <w:r>
                                <w:rPr>
                                  <w:szCs w:val="21"/>
                                </w:rPr>
                                <w:t>1.</w:t>
                              </w:r>
                              <w:r>
                                <w:rPr>
                                  <w:rFonts w:hint="eastAsia"/>
                                  <w:szCs w:val="21"/>
                                </w:rPr>
                                <w:t>研究相关技术文件和其他有关文件</w:t>
                              </w:r>
                            </w:p>
                            <w:p w14:paraId="1F3B768D">
                              <w:pPr>
                                <w:rPr>
                                  <w:szCs w:val="21"/>
                                </w:rPr>
                              </w:pPr>
                              <w:r>
                                <w:rPr>
                                  <w:szCs w:val="21"/>
                                </w:rPr>
                                <w:t>2.</w:t>
                              </w:r>
                              <w:r>
                                <w:rPr>
                                  <w:rFonts w:hint="eastAsia"/>
                                  <w:szCs w:val="21"/>
                                </w:rPr>
                                <w:t>进行初步工程分析</w:t>
                              </w:r>
                            </w:p>
                            <w:p w14:paraId="5DF071A6">
                              <w:pPr>
                                <w:rPr>
                                  <w:szCs w:val="21"/>
                                </w:rPr>
                              </w:pPr>
                              <w:r>
                                <w:rPr>
                                  <w:szCs w:val="21"/>
                                </w:rPr>
                                <w:t>3.</w:t>
                              </w:r>
                              <w:r>
                                <w:rPr>
                                  <w:rFonts w:hint="eastAsia"/>
                                  <w:szCs w:val="21"/>
                                </w:rPr>
                                <w:t>开展初步的环境现状调查</w:t>
                              </w:r>
                            </w:p>
                          </w:txbxContent>
                        </wps:txbx>
                        <wps:bodyPr wrap="square" upright="1"/>
                      </wps:wsp>
                      <wps:wsp>
                        <wps:cNvPr id="429" name="直线 7"/>
                        <wps:cNvCnPr/>
                        <wps:spPr>
                          <a:xfrm>
                            <a:off x="5827" y="7076"/>
                            <a:ext cx="2" cy="266"/>
                          </a:xfrm>
                          <a:prstGeom prst="line">
                            <a:avLst/>
                          </a:prstGeom>
                          <a:ln w="12700" cap="flat" cmpd="sng">
                            <a:solidFill>
                              <a:schemeClr val="tx1"/>
                            </a:solidFill>
                            <a:prstDash val="solid"/>
                            <a:headEnd type="none" w="med" len="med"/>
                            <a:tailEnd type="triangle" w="med" len="med"/>
                          </a:ln>
                        </wps:spPr>
                        <wps:bodyPr/>
                      </wps:wsp>
                      <wps:wsp>
                        <wps:cNvPr id="430" name="文本框 253"/>
                        <wps:cNvSpPr txBox="1"/>
                        <wps:spPr>
                          <a:xfrm>
                            <a:off x="3881" y="7381"/>
                            <a:ext cx="3782" cy="910"/>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33012041">
                              <w:pPr>
                                <w:rPr>
                                  <w:szCs w:val="21"/>
                                </w:rPr>
                              </w:pPr>
                              <w:r>
                                <w:rPr>
                                  <w:szCs w:val="21"/>
                                </w:rPr>
                                <w:t>1.</w:t>
                              </w:r>
                              <w:r>
                                <w:rPr>
                                  <w:rFonts w:hint="eastAsia"/>
                                  <w:szCs w:val="21"/>
                                </w:rPr>
                                <w:t>环境影响因素识别与评价因子筛选</w:t>
                              </w:r>
                            </w:p>
                            <w:p w14:paraId="5595A280">
                              <w:pPr>
                                <w:rPr>
                                  <w:szCs w:val="21"/>
                                </w:rPr>
                              </w:pPr>
                              <w:r>
                                <w:rPr>
                                  <w:szCs w:val="21"/>
                                </w:rPr>
                                <w:t>2.</w:t>
                              </w:r>
                              <w:r>
                                <w:rPr>
                                  <w:rFonts w:hint="eastAsia"/>
                                  <w:szCs w:val="21"/>
                                </w:rPr>
                                <w:t>明确评价重点和环境保护目标</w:t>
                              </w:r>
                            </w:p>
                            <w:p w14:paraId="0610FE55">
                              <w:pPr>
                                <w:rPr>
                                  <w:szCs w:val="21"/>
                                </w:rPr>
                              </w:pPr>
                              <w:r>
                                <w:rPr>
                                  <w:szCs w:val="21"/>
                                </w:rPr>
                                <w:t>3.</w:t>
                              </w:r>
                              <w:r>
                                <w:rPr>
                                  <w:rFonts w:hint="eastAsia"/>
                                  <w:szCs w:val="21"/>
                                </w:rPr>
                                <w:t>确定工作等级和评价范围</w:t>
                              </w:r>
                            </w:p>
                          </w:txbxContent>
                        </wps:txbx>
                        <wps:bodyPr wrap="square" upright="1"/>
                      </wps:wsp>
                      <wps:wsp>
                        <wps:cNvPr id="431" name="直线 9"/>
                        <wps:cNvCnPr/>
                        <wps:spPr>
                          <a:xfrm>
                            <a:off x="5795" y="8318"/>
                            <a:ext cx="1" cy="292"/>
                          </a:xfrm>
                          <a:prstGeom prst="line">
                            <a:avLst/>
                          </a:prstGeom>
                          <a:ln w="12700" cap="flat" cmpd="sng">
                            <a:solidFill>
                              <a:schemeClr val="tx1"/>
                            </a:solidFill>
                            <a:prstDash val="solid"/>
                            <a:headEnd type="none" w="med" len="med"/>
                            <a:tailEnd type="triangle" w="med" len="med"/>
                          </a:ln>
                        </wps:spPr>
                        <wps:bodyPr/>
                      </wps:wsp>
                      <wps:wsp>
                        <wps:cNvPr id="432" name="文本框 255"/>
                        <wps:cNvSpPr txBox="1"/>
                        <wps:spPr>
                          <a:xfrm>
                            <a:off x="4987" y="8642"/>
                            <a:ext cx="1585" cy="437"/>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14C7364A">
                              <w:pPr>
                                <w:rPr>
                                  <w:szCs w:val="21"/>
                                </w:rPr>
                              </w:pPr>
                              <w:r>
                                <w:rPr>
                                  <w:rFonts w:hint="eastAsia"/>
                                  <w:szCs w:val="21"/>
                                </w:rPr>
                                <w:t>制定工作方案</w:t>
                              </w:r>
                            </w:p>
                          </w:txbxContent>
                        </wps:txbx>
                        <wps:bodyPr wrap="square" upright="1"/>
                      </wps:wsp>
                      <wps:wsp>
                        <wps:cNvPr id="433" name="直线 11"/>
                        <wps:cNvCnPr/>
                        <wps:spPr>
                          <a:xfrm>
                            <a:off x="5761" y="9131"/>
                            <a:ext cx="0" cy="456"/>
                          </a:xfrm>
                          <a:prstGeom prst="line">
                            <a:avLst/>
                          </a:prstGeom>
                          <a:ln w="12700" cap="flat" cmpd="sng">
                            <a:solidFill>
                              <a:schemeClr val="tx1"/>
                            </a:solidFill>
                            <a:prstDash val="solid"/>
                            <a:headEnd type="none" w="med" len="med"/>
                            <a:tailEnd type="triangle" w="med" len="med"/>
                          </a:ln>
                        </wps:spPr>
                        <wps:bodyPr/>
                      </wps:wsp>
                      <wps:wsp>
                        <wps:cNvPr id="434" name="文本框 257"/>
                        <wps:cNvSpPr txBox="1"/>
                        <wps:spPr>
                          <a:xfrm>
                            <a:off x="4065" y="11221"/>
                            <a:ext cx="3424" cy="729"/>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297FD1DE">
                              <w:pPr>
                                <w:rPr>
                                  <w:szCs w:val="21"/>
                                </w:rPr>
                              </w:pPr>
                              <w:r>
                                <w:rPr>
                                  <w:szCs w:val="21"/>
                                </w:rPr>
                                <w:t>1.</w:t>
                              </w:r>
                              <w:r>
                                <w:rPr>
                                  <w:rFonts w:hint="eastAsia"/>
                                  <w:szCs w:val="21"/>
                                </w:rPr>
                                <w:t>各环境要素环境影响预测与评价</w:t>
                              </w:r>
                            </w:p>
                            <w:p w14:paraId="0DC08466">
                              <w:pPr>
                                <w:rPr>
                                  <w:szCs w:val="21"/>
                                </w:rPr>
                              </w:pPr>
                              <w:r>
                                <w:rPr>
                                  <w:szCs w:val="21"/>
                                </w:rPr>
                                <w:t>2.</w:t>
                              </w:r>
                              <w:r>
                                <w:rPr>
                                  <w:rFonts w:hint="eastAsia"/>
                                  <w:szCs w:val="21"/>
                                </w:rPr>
                                <w:t>各专题环境影响分析与评价</w:t>
                              </w:r>
                            </w:p>
                          </w:txbxContent>
                        </wps:txbx>
                        <wps:bodyPr wrap="square" upright="1"/>
                      </wps:wsp>
                      <wps:wsp>
                        <wps:cNvPr id="435" name="文本框 12"/>
                        <wps:cNvSpPr txBox="1"/>
                        <wps:spPr>
                          <a:xfrm>
                            <a:off x="3640" y="12533"/>
                            <a:ext cx="5003" cy="949"/>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269AE921">
                              <w:pPr>
                                <w:rPr>
                                  <w:szCs w:val="21"/>
                                </w:rPr>
                              </w:pPr>
                              <w:r>
                                <w:rPr>
                                  <w:szCs w:val="21"/>
                                </w:rPr>
                                <w:t>1.</w:t>
                              </w:r>
                              <w:r>
                                <w:rPr>
                                  <w:rFonts w:hint="eastAsia"/>
                                  <w:szCs w:val="21"/>
                                </w:rPr>
                                <w:t>给出建设项目环境可行性的评价结论</w:t>
                              </w:r>
                            </w:p>
                            <w:p w14:paraId="77817D7C">
                              <w:r>
                                <w:rPr>
                                  <w:szCs w:val="21"/>
                                </w:rPr>
                                <w:t>2.</w:t>
                              </w:r>
                              <w:r>
                                <w:rPr>
                                  <w:rFonts w:hint="eastAsia" w:ascii="宋体" w:hAnsi="宋体" w:cs="宋体"/>
                                  <w:szCs w:val="21"/>
                                </w:rPr>
                                <w:t>提出环境保护措施和建议，进行其技术经济论证</w:t>
                              </w:r>
                            </w:p>
                            <w:p w14:paraId="39CB8786">
                              <w:pPr>
                                <w:rPr>
                                  <w:szCs w:val="21"/>
                                </w:rPr>
                              </w:pPr>
                              <w:r>
                                <w:rPr>
                                  <w:szCs w:val="21"/>
                                </w:rPr>
                                <w:t>3.</w:t>
                              </w:r>
                              <w:r>
                                <w:rPr>
                                  <w:rFonts w:hint="eastAsia"/>
                                  <w:szCs w:val="21"/>
                                </w:rPr>
                                <w:t>给出建设项目环境影响评价结论</w:t>
                              </w:r>
                            </w:p>
                          </w:txbxContent>
                        </wps:txbx>
                        <wps:bodyPr wrap="square" upright="1"/>
                      </wps:wsp>
                      <wps:wsp>
                        <wps:cNvPr id="436" name="直线 14"/>
                        <wps:cNvCnPr/>
                        <wps:spPr>
                          <a:xfrm>
                            <a:off x="6079" y="13482"/>
                            <a:ext cx="0" cy="363"/>
                          </a:xfrm>
                          <a:prstGeom prst="line">
                            <a:avLst/>
                          </a:prstGeom>
                          <a:ln w="12700" cap="flat" cmpd="sng">
                            <a:solidFill>
                              <a:schemeClr val="tx1"/>
                            </a:solidFill>
                            <a:prstDash val="solid"/>
                            <a:headEnd type="none" w="med" len="med"/>
                            <a:tailEnd type="triangle" w="med" len="med"/>
                          </a:ln>
                        </wps:spPr>
                        <wps:bodyPr/>
                      </wps:wsp>
                      <wps:wsp>
                        <wps:cNvPr id="437" name="文本框 260"/>
                        <wps:cNvSpPr txBox="1"/>
                        <wps:spPr>
                          <a:xfrm>
                            <a:off x="4737" y="13845"/>
                            <a:ext cx="2752" cy="437"/>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2E1C946C">
                              <w:pPr>
                                <w:rPr>
                                  <w:szCs w:val="21"/>
                                </w:rPr>
                              </w:pPr>
                              <w:r>
                                <w:rPr>
                                  <w:rFonts w:hint="eastAsia"/>
                                  <w:szCs w:val="21"/>
                                </w:rPr>
                                <w:t>编制环境影响报告书（表）</w:t>
                              </w:r>
                            </w:p>
                          </w:txbxContent>
                        </wps:txbx>
                        <wps:bodyPr wrap="square" upright="1"/>
                      </wps:wsp>
                      <wps:wsp>
                        <wps:cNvPr id="438" name="直线 16"/>
                        <wps:cNvCnPr/>
                        <wps:spPr>
                          <a:xfrm>
                            <a:off x="2042" y="9305"/>
                            <a:ext cx="7396" cy="1"/>
                          </a:xfrm>
                          <a:prstGeom prst="line">
                            <a:avLst/>
                          </a:prstGeom>
                          <a:ln w="12700" cap="flat" cmpd="sng">
                            <a:solidFill>
                              <a:schemeClr val="tx1"/>
                            </a:solidFill>
                            <a:prstDash val="solid"/>
                            <a:headEnd type="none" w="med" len="med"/>
                            <a:tailEnd type="none" w="med" len="med"/>
                          </a:ln>
                        </wps:spPr>
                        <wps:bodyPr/>
                      </wps:wsp>
                      <wps:wsp>
                        <wps:cNvPr id="439" name="直线 17"/>
                        <wps:cNvCnPr/>
                        <wps:spPr>
                          <a:xfrm>
                            <a:off x="2027" y="4356"/>
                            <a:ext cx="7396" cy="0"/>
                          </a:xfrm>
                          <a:prstGeom prst="line">
                            <a:avLst/>
                          </a:prstGeom>
                          <a:ln w="12700" cap="flat" cmpd="sng">
                            <a:solidFill>
                              <a:schemeClr val="tx1"/>
                            </a:solidFill>
                            <a:prstDash val="solid"/>
                            <a:headEnd type="none" w="med" len="med"/>
                            <a:tailEnd type="none" w="med" len="med"/>
                          </a:ln>
                        </wps:spPr>
                        <wps:bodyPr/>
                      </wps:wsp>
                      <wps:wsp>
                        <wps:cNvPr id="440" name="文本框 15"/>
                        <wps:cNvSpPr txBox="1"/>
                        <wps:spPr>
                          <a:xfrm>
                            <a:off x="2203" y="5959"/>
                            <a:ext cx="529" cy="1603"/>
                          </a:xfrm>
                          <a:prstGeom prst="rect">
                            <a:avLst/>
                          </a:prstGeom>
                          <a:solidFill>
                            <a:srgbClr val="FFFFFF"/>
                          </a:solidFill>
                          <a:ln w="12700" cmpd="sng">
                            <a:solidFill>
                              <a:schemeClr val="tx1"/>
                            </a:solidFill>
                            <a:prstDash val="solid"/>
                          </a:ln>
                        </wps:spPr>
                        <wps:txbx>
                          <w:txbxContent>
                            <w:p w14:paraId="2C80EC06">
                              <w:pPr>
                                <w:ind w:firstLine="420"/>
                                <w:rPr>
                                  <w:szCs w:val="21"/>
                                </w:rPr>
                              </w:pPr>
                              <w:r>
                                <w:rPr>
                                  <w:rFonts w:hint="eastAsia"/>
                                  <w:szCs w:val="21"/>
                                </w:rPr>
                                <w:t>第第一阶段</w:t>
                              </w:r>
                            </w:p>
                          </w:txbxContent>
                        </wps:txbx>
                        <wps:bodyPr wrap="square" upright="1"/>
                      </wps:wsp>
                      <wps:wsp>
                        <wps:cNvPr id="441" name="文本框 18"/>
                        <wps:cNvSpPr txBox="1"/>
                        <wps:spPr>
                          <a:xfrm>
                            <a:off x="2203" y="9860"/>
                            <a:ext cx="529" cy="1603"/>
                          </a:xfrm>
                          <a:prstGeom prst="rect">
                            <a:avLst/>
                          </a:prstGeom>
                          <a:solidFill>
                            <a:srgbClr val="FFFFFF"/>
                          </a:solidFill>
                          <a:ln w="12700" cmpd="sng">
                            <a:solidFill>
                              <a:schemeClr val="tx1"/>
                            </a:solidFill>
                            <a:prstDash val="solid"/>
                          </a:ln>
                        </wps:spPr>
                        <wps:txbx>
                          <w:txbxContent>
                            <w:p w14:paraId="5AAE1E38">
                              <w:pPr>
                                <w:ind w:firstLine="420"/>
                                <w:rPr>
                                  <w:szCs w:val="21"/>
                                </w:rPr>
                              </w:pPr>
                              <w:r>
                                <w:rPr>
                                  <w:rFonts w:hint="eastAsia"/>
                                  <w:szCs w:val="21"/>
                                </w:rPr>
                                <w:t>第第二阶段</w:t>
                              </w:r>
                            </w:p>
                          </w:txbxContent>
                        </wps:txbx>
                        <wps:bodyPr wrap="square" upright="1"/>
                      </wps:wsp>
                      <wps:wsp>
                        <wps:cNvPr id="442" name="文本框 19"/>
                        <wps:cNvSpPr txBox="1"/>
                        <wps:spPr>
                          <a:xfrm>
                            <a:off x="2203" y="12475"/>
                            <a:ext cx="529" cy="1603"/>
                          </a:xfrm>
                          <a:prstGeom prst="rect">
                            <a:avLst/>
                          </a:prstGeom>
                          <a:solidFill>
                            <a:srgbClr val="FFFFFF"/>
                          </a:solidFill>
                          <a:ln w="12700" cmpd="sng">
                            <a:solidFill>
                              <a:schemeClr val="tx1"/>
                            </a:solidFill>
                            <a:prstDash val="solid"/>
                          </a:ln>
                        </wps:spPr>
                        <wps:txbx>
                          <w:txbxContent>
                            <w:p w14:paraId="51368271">
                              <w:pPr>
                                <w:ind w:firstLine="420"/>
                                <w:rPr>
                                  <w:szCs w:val="21"/>
                                </w:rPr>
                              </w:pPr>
                              <w:r>
                                <w:rPr>
                                  <w:rFonts w:hint="eastAsia"/>
                                  <w:szCs w:val="21"/>
                                </w:rPr>
                                <w:t>第第三阶段</w:t>
                              </w:r>
                            </w:p>
                          </w:txbxContent>
                        </wps:txbx>
                        <wps:bodyPr wrap="square" upright="1"/>
                      </wps:wsp>
                      <wps:wsp>
                        <wps:cNvPr id="443" name="直线 21"/>
                        <wps:cNvCnPr/>
                        <wps:spPr>
                          <a:xfrm>
                            <a:off x="3964" y="9617"/>
                            <a:ext cx="3698" cy="0"/>
                          </a:xfrm>
                          <a:prstGeom prst="line">
                            <a:avLst/>
                          </a:prstGeom>
                          <a:ln w="12700" cap="flat" cmpd="sng">
                            <a:solidFill>
                              <a:schemeClr val="tx1"/>
                            </a:solidFill>
                            <a:prstDash val="solid"/>
                            <a:headEnd type="none" w="med" len="med"/>
                            <a:tailEnd type="none" w="med" len="med"/>
                          </a:ln>
                        </wps:spPr>
                        <wps:bodyPr/>
                      </wps:wsp>
                      <wps:wsp>
                        <wps:cNvPr id="444" name="直线 22"/>
                        <wps:cNvCnPr/>
                        <wps:spPr>
                          <a:xfrm>
                            <a:off x="7662" y="9617"/>
                            <a:ext cx="1" cy="292"/>
                          </a:xfrm>
                          <a:prstGeom prst="line">
                            <a:avLst/>
                          </a:prstGeom>
                          <a:ln w="12700" cap="flat" cmpd="sng">
                            <a:solidFill>
                              <a:schemeClr val="tx1"/>
                            </a:solidFill>
                            <a:prstDash val="solid"/>
                            <a:headEnd type="none" w="med" len="med"/>
                            <a:tailEnd type="triangle" w="med" len="med"/>
                          </a:ln>
                        </wps:spPr>
                        <wps:bodyPr/>
                      </wps:wsp>
                      <wps:wsp>
                        <wps:cNvPr id="445" name="文本框 20"/>
                        <wps:cNvSpPr txBox="1"/>
                        <wps:spPr>
                          <a:xfrm>
                            <a:off x="3316" y="9909"/>
                            <a:ext cx="1845" cy="729"/>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4BE15AEF">
                              <w:pPr>
                                <w:ind w:firstLine="199" w:firstLineChars="95"/>
                                <w:jc w:val="left"/>
                                <w:rPr>
                                  <w:szCs w:val="21"/>
                                </w:rPr>
                              </w:pPr>
                              <w:r>
                                <w:rPr>
                                  <w:rFonts w:hint="eastAsia"/>
                                  <w:szCs w:val="21"/>
                                </w:rPr>
                                <w:t>环境现状调查</w:t>
                              </w:r>
                            </w:p>
                            <w:p w14:paraId="67E787A8">
                              <w:pPr>
                                <w:ind w:firstLine="199" w:firstLineChars="95"/>
                                <w:jc w:val="left"/>
                                <w:rPr>
                                  <w:szCs w:val="21"/>
                                </w:rPr>
                              </w:pPr>
                              <w:r>
                                <w:rPr>
                                  <w:rFonts w:hint="eastAsia"/>
                                  <w:szCs w:val="21"/>
                                </w:rPr>
                                <w:t>监测与评价</w:t>
                              </w:r>
                            </w:p>
                          </w:txbxContent>
                        </wps:txbx>
                        <wps:bodyPr wrap="square" upright="1"/>
                      </wps:wsp>
                      <wps:wsp>
                        <wps:cNvPr id="446" name="文本框 23"/>
                        <wps:cNvSpPr txBox="1"/>
                        <wps:spPr>
                          <a:xfrm>
                            <a:off x="7134" y="9909"/>
                            <a:ext cx="1233" cy="729"/>
                          </a:xfrm>
                          <a:prstGeom prst="rect">
                            <a:avLst/>
                          </a:prstGeom>
                          <a:solidFill>
                            <a:srgbClr val="FFFFFF"/>
                          </a:solidFill>
                          <a:ln w="12700" cap="flat" cmpd="sng">
                            <a:solidFill>
                              <a:schemeClr val="tx1"/>
                            </a:solidFill>
                            <a:prstDash val="solid"/>
                            <a:miter/>
                            <a:headEnd type="none" w="med" len="med"/>
                            <a:tailEnd type="none" w="med" len="med"/>
                          </a:ln>
                        </wps:spPr>
                        <wps:txbx>
                          <w:txbxContent>
                            <w:p w14:paraId="1863AA66">
                              <w:pPr>
                                <w:rPr>
                                  <w:szCs w:val="21"/>
                                </w:rPr>
                              </w:pPr>
                              <w:r>
                                <w:rPr>
                                  <w:rFonts w:hint="eastAsia"/>
                                  <w:szCs w:val="21"/>
                                </w:rPr>
                                <w:t>建设项目</w:t>
                              </w:r>
                            </w:p>
                            <w:p w14:paraId="78FE6F89">
                              <w:pPr>
                                <w:rPr>
                                  <w:szCs w:val="21"/>
                                </w:rPr>
                              </w:pPr>
                              <w:r>
                                <w:rPr>
                                  <w:rFonts w:hint="eastAsia"/>
                                  <w:szCs w:val="21"/>
                                </w:rPr>
                                <w:t>工程分析</w:t>
                              </w:r>
                            </w:p>
                          </w:txbxContent>
                        </wps:txbx>
                        <wps:bodyPr wrap="square" upright="1"/>
                      </wps:wsp>
                      <wps:wsp>
                        <wps:cNvPr id="447" name="直线 25"/>
                        <wps:cNvCnPr/>
                        <wps:spPr>
                          <a:xfrm>
                            <a:off x="3964" y="10929"/>
                            <a:ext cx="3874" cy="0"/>
                          </a:xfrm>
                          <a:prstGeom prst="line">
                            <a:avLst/>
                          </a:prstGeom>
                          <a:ln w="12700" cap="flat" cmpd="sng">
                            <a:solidFill>
                              <a:schemeClr val="tx1"/>
                            </a:solidFill>
                            <a:prstDash val="solid"/>
                            <a:headEnd type="none" w="med" len="med"/>
                            <a:tailEnd type="none" w="med" len="med"/>
                          </a:ln>
                        </wps:spPr>
                        <wps:bodyPr/>
                      </wps:wsp>
                      <wps:wsp>
                        <wps:cNvPr id="448" name="直线 26"/>
                        <wps:cNvCnPr/>
                        <wps:spPr>
                          <a:xfrm>
                            <a:off x="6033" y="10929"/>
                            <a:ext cx="1" cy="292"/>
                          </a:xfrm>
                          <a:prstGeom prst="line">
                            <a:avLst/>
                          </a:prstGeom>
                          <a:ln w="12700" cap="flat" cmpd="sng">
                            <a:solidFill>
                              <a:schemeClr val="tx1"/>
                            </a:solidFill>
                            <a:prstDash val="solid"/>
                            <a:headEnd type="none" w="med" len="med"/>
                            <a:tailEnd type="triangle" w="med" len="med"/>
                          </a:ln>
                        </wps:spPr>
                        <wps:bodyPr/>
                      </wps:wsp>
                      <wps:wsp>
                        <wps:cNvPr id="449" name="直线 27"/>
                        <wps:cNvCnPr/>
                        <wps:spPr>
                          <a:xfrm>
                            <a:off x="6078" y="11950"/>
                            <a:ext cx="1" cy="583"/>
                          </a:xfrm>
                          <a:prstGeom prst="line">
                            <a:avLst/>
                          </a:prstGeom>
                          <a:ln w="12700" cap="flat" cmpd="sng">
                            <a:solidFill>
                              <a:schemeClr val="tx1"/>
                            </a:solidFill>
                            <a:prstDash val="solid"/>
                            <a:headEnd type="none" w="med" len="med"/>
                            <a:tailEnd type="triangle" w="med" len="med"/>
                          </a:ln>
                        </wps:spPr>
                        <wps:bodyPr/>
                      </wps:wsp>
                      <wps:wsp>
                        <wps:cNvPr id="450" name="直线 28"/>
                        <wps:cNvCnPr/>
                        <wps:spPr>
                          <a:xfrm>
                            <a:off x="3964" y="9617"/>
                            <a:ext cx="1" cy="292"/>
                          </a:xfrm>
                          <a:prstGeom prst="line">
                            <a:avLst/>
                          </a:prstGeom>
                          <a:ln w="12700" cap="flat" cmpd="sng">
                            <a:solidFill>
                              <a:schemeClr val="tx1"/>
                            </a:solidFill>
                            <a:prstDash val="solid"/>
                            <a:headEnd type="none" w="med" len="med"/>
                            <a:tailEnd type="triangle" w="med" len="med"/>
                          </a:ln>
                        </wps:spPr>
                        <wps:bodyPr/>
                      </wps:wsp>
                      <wps:wsp>
                        <wps:cNvPr id="451" name="直线 29"/>
                        <wps:cNvCnPr/>
                        <wps:spPr>
                          <a:xfrm>
                            <a:off x="7662" y="9617"/>
                            <a:ext cx="1" cy="292"/>
                          </a:xfrm>
                          <a:prstGeom prst="line">
                            <a:avLst/>
                          </a:prstGeom>
                          <a:ln w="12700" cap="flat" cmpd="sng">
                            <a:solidFill>
                              <a:schemeClr val="tx1"/>
                            </a:solidFill>
                            <a:prstDash val="solid"/>
                            <a:headEnd type="none" w="med" len="med"/>
                            <a:tailEnd type="triangle" w="med" len="med"/>
                          </a:ln>
                        </wps:spPr>
                        <wps:bodyPr/>
                      </wps:wsp>
                      <wps:wsp>
                        <wps:cNvPr id="452" name="直线 30"/>
                        <wps:cNvCnPr/>
                        <wps:spPr>
                          <a:xfrm>
                            <a:off x="3964" y="10638"/>
                            <a:ext cx="1" cy="291"/>
                          </a:xfrm>
                          <a:prstGeom prst="line">
                            <a:avLst/>
                          </a:prstGeom>
                          <a:ln w="12700" cap="flat" cmpd="sng">
                            <a:solidFill>
                              <a:schemeClr val="tx1"/>
                            </a:solidFill>
                            <a:prstDash val="solid"/>
                            <a:headEnd type="none" w="med" len="med"/>
                            <a:tailEnd type="none" w="med" len="med"/>
                          </a:ln>
                        </wps:spPr>
                        <wps:bodyPr/>
                      </wps:wsp>
                      <wps:wsp>
                        <wps:cNvPr id="453" name="直线 31"/>
                        <wps:cNvCnPr/>
                        <wps:spPr>
                          <a:xfrm>
                            <a:off x="7838" y="10638"/>
                            <a:ext cx="1" cy="291"/>
                          </a:xfrm>
                          <a:prstGeom prst="line">
                            <a:avLst/>
                          </a:prstGeom>
                          <a:ln w="12700" cap="flat" cmpd="sng">
                            <a:solidFill>
                              <a:schemeClr val="tx1"/>
                            </a:solidFill>
                            <a:prstDash val="solid"/>
                            <a:headEnd type="none" w="med" len="med"/>
                            <a:tailEnd type="none" w="med" len="med"/>
                          </a:ln>
                        </wps:spPr>
                        <wps:bodyPr/>
                      </wps:wsp>
                      <wps:wsp>
                        <wps:cNvPr id="454" name="直线 32"/>
                        <wps:cNvCnPr/>
                        <wps:spPr>
                          <a:xfrm>
                            <a:off x="2027" y="4370"/>
                            <a:ext cx="1" cy="10203"/>
                          </a:xfrm>
                          <a:prstGeom prst="line">
                            <a:avLst/>
                          </a:prstGeom>
                          <a:ln w="12700" cap="flat" cmpd="sng">
                            <a:solidFill>
                              <a:schemeClr val="tx1"/>
                            </a:solidFill>
                            <a:prstDash val="solid"/>
                            <a:headEnd type="none" w="med" len="med"/>
                            <a:tailEnd type="none" w="med" len="med"/>
                          </a:ln>
                        </wps:spPr>
                        <wps:bodyPr/>
                      </wps:wsp>
                      <wps:wsp>
                        <wps:cNvPr id="455" name="直线 33"/>
                        <wps:cNvCnPr/>
                        <wps:spPr>
                          <a:xfrm>
                            <a:off x="9423" y="4370"/>
                            <a:ext cx="15" cy="10203"/>
                          </a:xfrm>
                          <a:prstGeom prst="line">
                            <a:avLst/>
                          </a:prstGeom>
                          <a:ln w="12700" cap="flat" cmpd="sng">
                            <a:solidFill>
                              <a:schemeClr val="tx1"/>
                            </a:solidFill>
                            <a:prstDash val="solid"/>
                            <a:headEnd type="none" w="med" len="med"/>
                            <a:tailEnd type="none" w="med" len="med"/>
                          </a:ln>
                        </wps:spPr>
                        <wps:bodyPr/>
                      </wps:wsp>
                      <wps:wsp>
                        <wps:cNvPr id="456" name="直线 34"/>
                        <wps:cNvCnPr/>
                        <wps:spPr>
                          <a:xfrm>
                            <a:off x="2028" y="14573"/>
                            <a:ext cx="7396" cy="0"/>
                          </a:xfrm>
                          <a:prstGeom prst="line">
                            <a:avLst/>
                          </a:prstGeom>
                          <a:ln w="12700" cap="flat" cmpd="sng">
                            <a:solidFill>
                              <a:schemeClr val="tx1"/>
                            </a:solidFill>
                            <a:prstDash val="solid"/>
                            <a:headEnd type="none" w="med" len="med"/>
                            <a:tailEnd type="none" w="med" len="med"/>
                          </a:ln>
                        </wps:spPr>
                        <wps:bodyPr/>
                      </wps:wsp>
                      <wps:wsp>
                        <wps:cNvPr id="457" name="直线 35"/>
                        <wps:cNvCnPr/>
                        <wps:spPr>
                          <a:xfrm>
                            <a:off x="5813" y="5770"/>
                            <a:ext cx="1" cy="292"/>
                          </a:xfrm>
                          <a:prstGeom prst="line">
                            <a:avLst/>
                          </a:prstGeom>
                          <a:ln w="12700" cap="flat" cmpd="sng">
                            <a:solidFill>
                              <a:schemeClr val="tx1"/>
                            </a:solidFill>
                            <a:prstDash val="solid"/>
                            <a:headEnd type="none" w="med" len="med"/>
                            <a:tailEnd type="triangle" w="med" len="med"/>
                          </a:ln>
                        </wps:spPr>
                        <wps:bodyPr/>
                      </wps:wsp>
                      <wps:wsp>
                        <wps:cNvPr id="458" name="直线 36"/>
                        <wps:cNvCnPr/>
                        <wps:spPr>
                          <a:xfrm>
                            <a:off x="2027" y="12200"/>
                            <a:ext cx="7396" cy="1"/>
                          </a:xfrm>
                          <a:prstGeom prst="line">
                            <a:avLst/>
                          </a:prstGeom>
                          <a:ln w="12700" cap="flat" cmpd="sng">
                            <a:solidFill>
                              <a:schemeClr val="tx1"/>
                            </a:solidFill>
                            <a:prstDash val="solid"/>
                            <a:headEnd type="none" w="med" len="med"/>
                            <a:tailEnd type="none" w="med" len="med"/>
                          </a:ln>
                        </wps:spPr>
                        <wps:bodyPr/>
                      </wps:wsp>
                    </wpg:wgp>
                  </a:graphicData>
                </a:graphic>
              </wp:inline>
            </w:drawing>
          </mc:Choice>
          <mc:Fallback>
            <w:pict>
              <v:group id="组合 3" o:spid="_x0000_s1026" o:spt="203" style="height:615.8pt;width:392.6pt;" coordorigin="2027,4356" coordsize="7411,10217" o:gfxdata="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wpEoCtcAAAAGAQAADwAAAAAAAAABACAAAAAiAAAAZHJzL2Rvd25yZXYueG1sUEsBAhQA&#10;FAAAAAgAh07iQHvjkYvZBgAAg0YAAA4AAAAAAAAAAQAgAAAAJgEAAGRycy9lMm9Eb2MueG1sUEsF&#10;BgAAAAAGAAYAWQEAAHEKAAAAAA==&#10;">
                <o:lock v:ext="edit" rotation="t" aspectratio="f"/>
                <v:shape id="文本框 4" o:spid="_x0000_s1026" o:spt="202" type="#_x0000_t202" style="position:absolute;left:3655;top:5361;height:370;width:4359;" fillcolor="#FFFFFF" filled="t" stroked="t" coordsize="21600,21600" o:gfxdata="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7mR&#10;wAAAANwAAAAPAAAAAAAAAAEAIAAAACIAAABkcnMvZG93bnJldi54bWxQSwECFAAUAAAACACHTuJA&#10;My8FnjsAAAA5AAAAEAAAAAAAAAABACAAAAAPAQAAZHJzL3NoYXBleG1sLnhtbFBLBQYAAAAABgAG&#10;AFsBAAC5AwAAAAA=&#10;">
                  <v:fill on="t" focussize="0,0"/>
                  <v:stroke weight="1pt" color="#000000 [3213]" joinstyle="miter"/>
                  <v:imagedata o:title=""/>
                  <o:lock v:ext="edit" aspectratio="f"/>
                  <v:textbox>
                    <w:txbxContent>
                      <w:p w14:paraId="428E43A8">
                        <w:pPr>
                          <w:jc w:val="center"/>
                          <w:rPr>
                            <w:szCs w:val="21"/>
                          </w:rPr>
                        </w:pPr>
                        <w:r>
                          <w:rPr>
                            <w:rFonts w:hint="eastAsia"/>
                            <w:szCs w:val="21"/>
                          </w:rPr>
                          <w:t>依据相关规定确定环境影响评价文件的类型</w:t>
                        </w:r>
                      </w:p>
                    </w:txbxContent>
                  </v:textbox>
                </v:shape>
                <v:shape id="文本框 5" o:spid="_x0000_s1026" o:spt="202" type="#_x0000_t202" style="position:absolute;left:3950;top:6102;height:961;width:3771;" fillcolor="#FFFFFF" filled="t" stroked="t" coordsize="21600,21600" o:gfxdata="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kLeO8AAAA&#10;3AAAAA8AAAAAAAAAAQAgAAAAIgAAAGRycy9kb3ducmV2LnhtbFBLAQIUABQAAAAIAIdO4kAzLwWe&#10;OwAAADkAAAAQAAAAAAAAAAEAIAAAAAsBAABkcnMvc2hhcGV4bWwueG1sUEsFBgAAAAAGAAYAWwEA&#10;ALUDAAAAAA==&#10;">
                  <v:fill on="t" focussize="0,0"/>
                  <v:stroke weight="1pt" color="#000000 [3213]" joinstyle="miter"/>
                  <v:imagedata o:title=""/>
                  <o:lock v:ext="edit" aspectratio="f"/>
                  <v:textbox>
                    <w:txbxContent>
                      <w:p w14:paraId="6D0C6650">
                        <w:pPr>
                          <w:rPr>
                            <w:szCs w:val="21"/>
                          </w:rPr>
                        </w:pPr>
                        <w:r>
                          <w:rPr>
                            <w:szCs w:val="21"/>
                          </w:rPr>
                          <w:t>1.</w:t>
                        </w:r>
                        <w:r>
                          <w:rPr>
                            <w:rFonts w:hint="eastAsia"/>
                            <w:szCs w:val="21"/>
                          </w:rPr>
                          <w:t>研究相关技术文件和其他有关文件</w:t>
                        </w:r>
                      </w:p>
                      <w:p w14:paraId="1F3B768D">
                        <w:pPr>
                          <w:rPr>
                            <w:szCs w:val="21"/>
                          </w:rPr>
                        </w:pPr>
                        <w:r>
                          <w:rPr>
                            <w:szCs w:val="21"/>
                          </w:rPr>
                          <w:t>2.</w:t>
                        </w:r>
                        <w:r>
                          <w:rPr>
                            <w:rFonts w:hint="eastAsia"/>
                            <w:szCs w:val="21"/>
                          </w:rPr>
                          <w:t>进行初步工程分析</w:t>
                        </w:r>
                      </w:p>
                      <w:p w14:paraId="5DF071A6">
                        <w:pPr>
                          <w:rPr>
                            <w:szCs w:val="21"/>
                          </w:rPr>
                        </w:pPr>
                        <w:r>
                          <w:rPr>
                            <w:szCs w:val="21"/>
                          </w:rPr>
                          <w:t>3.</w:t>
                        </w:r>
                        <w:r>
                          <w:rPr>
                            <w:rFonts w:hint="eastAsia"/>
                            <w:szCs w:val="21"/>
                          </w:rPr>
                          <w:t>开展初步的环境现状调查</w:t>
                        </w:r>
                      </w:p>
                    </w:txbxContent>
                  </v:textbox>
                </v:shape>
                <v:line id="直线 7" o:spid="_x0000_s1026" o:spt="20" style="position:absolute;left:5827;top:7076;height:266;width:2;" filled="f" stroked="t" coordsize="21600,21600" o:gfxdata="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qm9G/&#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shape id="文本框 253" o:spid="_x0000_s1026" o:spt="202" type="#_x0000_t202" style="position:absolute;left:3881;top:7381;height:910;width:3782;" fillcolor="#FFFFFF" filled="t" stroked="t" coordsize="21600,21600" o:gfxdata="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tzi8AAAA&#10;3AAAAA8AAAAAAAAAAQAgAAAAIgAAAGRycy9kb3ducmV2LnhtbFBLAQIUABQAAAAIAIdO4kAzLwWe&#10;OwAAADkAAAAQAAAAAAAAAAEAIAAAAAsBAABkcnMvc2hhcGV4bWwueG1sUEsFBgAAAAAGAAYAWwEA&#10;ALUDAAAAAA==&#10;">
                  <v:fill on="t" focussize="0,0"/>
                  <v:stroke weight="1pt" color="#000000 [3213]" joinstyle="miter"/>
                  <v:imagedata o:title=""/>
                  <o:lock v:ext="edit" aspectratio="f"/>
                  <v:textbox>
                    <w:txbxContent>
                      <w:p w14:paraId="33012041">
                        <w:pPr>
                          <w:rPr>
                            <w:szCs w:val="21"/>
                          </w:rPr>
                        </w:pPr>
                        <w:r>
                          <w:rPr>
                            <w:szCs w:val="21"/>
                          </w:rPr>
                          <w:t>1.</w:t>
                        </w:r>
                        <w:r>
                          <w:rPr>
                            <w:rFonts w:hint="eastAsia"/>
                            <w:szCs w:val="21"/>
                          </w:rPr>
                          <w:t>环境影响因素识别与评价因子筛选</w:t>
                        </w:r>
                      </w:p>
                      <w:p w14:paraId="5595A280">
                        <w:pPr>
                          <w:rPr>
                            <w:szCs w:val="21"/>
                          </w:rPr>
                        </w:pPr>
                        <w:r>
                          <w:rPr>
                            <w:szCs w:val="21"/>
                          </w:rPr>
                          <w:t>2.</w:t>
                        </w:r>
                        <w:r>
                          <w:rPr>
                            <w:rFonts w:hint="eastAsia"/>
                            <w:szCs w:val="21"/>
                          </w:rPr>
                          <w:t>明确评价重点和环境保护目标</w:t>
                        </w:r>
                      </w:p>
                      <w:p w14:paraId="0610FE55">
                        <w:pPr>
                          <w:rPr>
                            <w:szCs w:val="21"/>
                          </w:rPr>
                        </w:pPr>
                        <w:r>
                          <w:rPr>
                            <w:szCs w:val="21"/>
                          </w:rPr>
                          <w:t>3.</w:t>
                        </w:r>
                        <w:r>
                          <w:rPr>
                            <w:rFonts w:hint="eastAsia"/>
                            <w:szCs w:val="21"/>
                          </w:rPr>
                          <w:t>确定工作等级和评价范围</w:t>
                        </w:r>
                      </w:p>
                    </w:txbxContent>
                  </v:textbox>
                </v:shape>
                <v:line id="直线 9" o:spid="_x0000_s1026" o:spt="20" style="position:absolute;left:5795;top:8318;height:292;width:1;" filled="f" stroked="t" coordsize="21600,21600" o:gfxdata="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FAQq/&#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shape id="文本框 255" o:spid="_x0000_s1026" o:spt="202" type="#_x0000_t202" style="position:absolute;left:4987;top:8642;height:437;width:1585;" fillcolor="#FFFFFF" filled="t" stroked="t" coordsize="21600,21600" o:gfxdata="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FYzU&#10;wAAAANwAAAAPAAAAAAAAAAEAIAAAACIAAABkcnMvZG93bnJldi54bWxQSwECFAAUAAAACACHTuJA&#10;My8FnjsAAAA5AAAAEAAAAAAAAAABACAAAAAPAQAAZHJzL3NoYXBleG1sLnhtbFBLBQYAAAAABgAG&#10;AFsBAAC5AwAAAAA=&#10;">
                  <v:fill on="t" focussize="0,0"/>
                  <v:stroke weight="1pt" color="#000000 [3213]" joinstyle="miter"/>
                  <v:imagedata o:title=""/>
                  <o:lock v:ext="edit" aspectratio="f"/>
                  <v:textbox>
                    <w:txbxContent>
                      <w:p w14:paraId="14C7364A">
                        <w:pPr>
                          <w:rPr>
                            <w:szCs w:val="21"/>
                          </w:rPr>
                        </w:pPr>
                        <w:r>
                          <w:rPr>
                            <w:rFonts w:hint="eastAsia"/>
                            <w:szCs w:val="21"/>
                          </w:rPr>
                          <w:t>制定工作方案</w:t>
                        </w:r>
                      </w:p>
                    </w:txbxContent>
                  </v:textbox>
                </v:shape>
                <v:line id="直线 11" o:spid="_x0000_s1026" o:spt="20" style="position:absolute;left:5761;top:9131;height:456;width:0;" filled="f" stroked="t" coordsize="21600,21600" o:gfxdata="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bOua/&#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shape id="文本框 257" o:spid="_x0000_s1026" o:spt="202" type="#_x0000_t202" style="position:absolute;left:4065;top:11221;height:729;width:3424;" fillcolor="#FFFFFF" filled="t" stroked="t" coordsize="21600,21600" o:gfxdata="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LCx&#10;O8EAAADcAAAADwAAAAAAAAABACAAAAAiAAAAZHJzL2Rvd25yZXYueG1sUEsBAhQAFAAAAAgAh07i&#10;QDMvBZ47AAAAOQAAABAAAAAAAAAAAQAgAAAAEAEAAGRycy9zaGFwZXhtbC54bWxQSwUGAAAAAAYA&#10;BgBbAQAAugMAAAAA&#10;">
                  <v:fill on="t" focussize="0,0"/>
                  <v:stroke weight="1pt" color="#000000 [3213]" joinstyle="miter"/>
                  <v:imagedata o:title=""/>
                  <o:lock v:ext="edit" aspectratio="f"/>
                  <v:textbox>
                    <w:txbxContent>
                      <w:p w14:paraId="297FD1DE">
                        <w:pPr>
                          <w:rPr>
                            <w:szCs w:val="21"/>
                          </w:rPr>
                        </w:pPr>
                        <w:r>
                          <w:rPr>
                            <w:szCs w:val="21"/>
                          </w:rPr>
                          <w:t>1.</w:t>
                        </w:r>
                        <w:r>
                          <w:rPr>
                            <w:rFonts w:hint="eastAsia"/>
                            <w:szCs w:val="21"/>
                          </w:rPr>
                          <w:t>各环境要素环境影响预测与评价</w:t>
                        </w:r>
                      </w:p>
                      <w:p w14:paraId="0DC08466">
                        <w:pPr>
                          <w:rPr>
                            <w:szCs w:val="21"/>
                          </w:rPr>
                        </w:pPr>
                        <w:r>
                          <w:rPr>
                            <w:szCs w:val="21"/>
                          </w:rPr>
                          <w:t>2.</w:t>
                        </w:r>
                        <w:r>
                          <w:rPr>
                            <w:rFonts w:hint="eastAsia"/>
                            <w:szCs w:val="21"/>
                          </w:rPr>
                          <w:t>各专题环境影响分析与评价</w:t>
                        </w:r>
                      </w:p>
                    </w:txbxContent>
                  </v:textbox>
                </v:shape>
                <v:shape id="文本框 12" o:spid="_x0000_s1026" o:spt="202" type="#_x0000_t202" style="position:absolute;left:3640;top:12533;height:949;width:5003;" fillcolor="#FFFFFF" filled="t" stroked="t" coordsize="21600,21600" o:gfxdata="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BSg&#10;wAAAANwAAAAPAAAAAAAAAAEAIAAAACIAAABkcnMvZG93bnJldi54bWxQSwECFAAUAAAACACHTuJA&#10;My8FnjsAAAA5AAAAEAAAAAAAAAABACAAAAAPAQAAZHJzL3NoYXBleG1sLnhtbFBLBQYAAAAABgAG&#10;AFsBAAC5AwAAAAA=&#10;">
                  <v:fill on="t" focussize="0,0"/>
                  <v:stroke weight="1pt" color="#000000 [3213]" joinstyle="miter"/>
                  <v:imagedata o:title=""/>
                  <o:lock v:ext="edit" aspectratio="f"/>
                  <v:textbox>
                    <w:txbxContent>
                      <w:p w14:paraId="269AE921">
                        <w:pPr>
                          <w:rPr>
                            <w:szCs w:val="21"/>
                          </w:rPr>
                        </w:pPr>
                        <w:r>
                          <w:rPr>
                            <w:szCs w:val="21"/>
                          </w:rPr>
                          <w:t>1.</w:t>
                        </w:r>
                        <w:r>
                          <w:rPr>
                            <w:rFonts w:hint="eastAsia"/>
                            <w:szCs w:val="21"/>
                          </w:rPr>
                          <w:t>给出建设项目环境可行性的评价结论</w:t>
                        </w:r>
                      </w:p>
                      <w:p w14:paraId="77817D7C">
                        <w:r>
                          <w:rPr>
                            <w:szCs w:val="21"/>
                          </w:rPr>
                          <w:t>2.</w:t>
                        </w:r>
                        <w:r>
                          <w:rPr>
                            <w:rFonts w:hint="eastAsia" w:ascii="宋体" w:hAnsi="宋体" w:cs="宋体"/>
                            <w:szCs w:val="21"/>
                          </w:rPr>
                          <w:t>提出环境保护措施和建议，进行其技术经济论证</w:t>
                        </w:r>
                      </w:p>
                      <w:p w14:paraId="39CB8786">
                        <w:pPr>
                          <w:rPr>
                            <w:szCs w:val="21"/>
                          </w:rPr>
                        </w:pPr>
                        <w:r>
                          <w:rPr>
                            <w:szCs w:val="21"/>
                          </w:rPr>
                          <w:t>3.</w:t>
                        </w:r>
                        <w:r>
                          <w:rPr>
                            <w:rFonts w:hint="eastAsia"/>
                            <w:szCs w:val="21"/>
                          </w:rPr>
                          <w:t>给出建设项目环境影响评价结论</w:t>
                        </w:r>
                      </w:p>
                    </w:txbxContent>
                  </v:textbox>
                </v:shape>
                <v:line id="直线 14" o:spid="_x0000_s1026" o:spt="20" style="position:absolute;left:6079;top:13482;height:363;width:0;" filled="f" stroked="t" coordsize="21600,21600" o:gfxdata="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yZf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shape id="文本框 260" o:spid="_x0000_s1026" o:spt="202" type="#_x0000_t202" style="position:absolute;left:4737;top:13845;height:437;width:2752;" fillcolor="#FFFFFF" filled="t" stroked="t" coordsize="21600,21600" o:gfxdata="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Yi9M&#10;wAAAANwAAAAPAAAAAAAAAAEAIAAAACIAAABkcnMvZG93bnJldi54bWxQSwECFAAUAAAACACHTuJA&#10;My8FnjsAAAA5AAAAEAAAAAAAAAABACAAAAAPAQAAZHJzL3NoYXBleG1sLnhtbFBLBQYAAAAABgAG&#10;AFsBAAC5AwAAAAA=&#10;">
                  <v:fill on="t" focussize="0,0"/>
                  <v:stroke weight="1pt" color="#000000 [3213]" joinstyle="miter"/>
                  <v:imagedata o:title=""/>
                  <o:lock v:ext="edit" aspectratio="f"/>
                  <v:textbox>
                    <w:txbxContent>
                      <w:p w14:paraId="2E1C946C">
                        <w:pPr>
                          <w:rPr>
                            <w:szCs w:val="21"/>
                          </w:rPr>
                        </w:pPr>
                        <w:r>
                          <w:rPr>
                            <w:rFonts w:hint="eastAsia"/>
                            <w:szCs w:val="21"/>
                          </w:rPr>
                          <w:t>编制环境影响报告书（表）</w:t>
                        </w:r>
                      </w:p>
                    </w:txbxContent>
                  </v:textbox>
                </v:shape>
                <v:line id="直线 16" o:spid="_x0000_s1026" o:spt="20" style="position:absolute;left:2042;top:9305;height:1;width:7396;" filled="f" stroked="t" coordsize="21600,21600" o:gfxdata="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2JqrugAAANwA&#10;AAAPAAAAAAAAAAEAIAAAACIAAABkcnMvZG93bnJldi54bWxQSwECFAAUAAAACACHTuJAMy8FnjsA&#10;AAA5AAAAEAAAAAAAAAABACAAAAAJAQAAZHJzL3NoYXBleG1sLnhtbFBLBQYAAAAABgAGAFsBAACz&#10;AwAAAAA=&#10;">
                  <v:fill on="f" focussize="0,0"/>
                  <v:stroke weight="1pt" color="#000000 [3213]" joinstyle="round"/>
                  <v:imagedata o:title=""/>
                  <o:lock v:ext="edit" aspectratio="f"/>
                </v:line>
                <v:line id="直线 17" o:spid="_x0000_s1026" o:spt="20" style="position:absolute;left:2027;top:4356;height:0;width:7396;" filled="f" stroked="t" coordsize="21600,21600" o:gfxdata="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UPzC/&#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line>
                <v:shape id="文本框 15" o:spid="_x0000_s1026" o:spt="202" type="#_x0000_t202" style="position:absolute;left:2203;top:5959;height:1603;width:529;" fillcolor="#FFFFFF" filled="t" stroked="t" coordsize="21600,21600" o:gfxdata="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43ERbsAAADc&#10;AAAADwAAAAAAAAABACAAAAAiAAAAZHJzL2Rvd25yZXYueG1sUEsBAhQAFAAAAAgAh07iQDMvBZ47&#10;AAAAOQAAABAAAAAAAAAAAQAgAAAACgEAAGRycy9zaGFwZXhtbC54bWxQSwUGAAAAAAYABgBbAQAA&#10;tAMAAAAA&#10;">
                  <v:fill on="t" focussize="0,0"/>
                  <v:stroke weight="1pt" color="#000000 [3213]" joinstyle="round"/>
                  <v:imagedata o:title=""/>
                  <o:lock v:ext="edit" aspectratio="f"/>
                  <v:textbox>
                    <w:txbxContent>
                      <w:p w14:paraId="2C80EC06">
                        <w:pPr>
                          <w:ind w:firstLine="420"/>
                          <w:rPr>
                            <w:szCs w:val="21"/>
                          </w:rPr>
                        </w:pPr>
                        <w:r>
                          <w:rPr>
                            <w:rFonts w:hint="eastAsia"/>
                            <w:szCs w:val="21"/>
                          </w:rPr>
                          <w:t>第第一阶段</w:t>
                        </w:r>
                      </w:p>
                    </w:txbxContent>
                  </v:textbox>
                </v:shape>
                <v:shape id="文本框 18" o:spid="_x0000_s1026" o:spt="202" type="#_x0000_t202" style="position:absolute;left:2203;top:9860;height:1603;width:529;" fillcolor="#FFFFFF" filled="t" stroked="t" coordsize="21600,21600" o:gfxdata="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BYd6/&#10;AAAA3A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14:paraId="5AAE1E38">
                        <w:pPr>
                          <w:ind w:firstLine="420"/>
                          <w:rPr>
                            <w:szCs w:val="21"/>
                          </w:rPr>
                        </w:pPr>
                        <w:r>
                          <w:rPr>
                            <w:rFonts w:hint="eastAsia"/>
                            <w:szCs w:val="21"/>
                          </w:rPr>
                          <w:t>第第二阶段</w:t>
                        </w:r>
                      </w:p>
                    </w:txbxContent>
                  </v:textbox>
                </v:shape>
                <v:shape id="文本框 19" o:spid="_x0000_s1026" o:spt="202" type="#_x0000_t202" style="position:absolute;left:2203;top:12475;height:1603;width:529;" fillcolor="#FFFFFF" filled="t" stroked="t" coordsize="21600,21600" o:gfxdata="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T/6m/&#10;AAAA3AAAAA8AAAAAAAAAAQAgAAAAIgAAAGRycy9kb3ducmV2LnhtbFBLAQIUABQAAAAIAIdO4kAz&#10;LwWeOwAAADkAAAAQAAAAAAAAAAEAIAAAAA4BAABkcnMvc2hhcGV4bWwueG1sUEsFBgAAAAAGAAYA&#10;WwEAALgDAAAAAA==&#10;">
                  <v:fill on="t" focussize="0,0"/>
                  <v:stroke weight="1pt" color="#000000 [3213]" joinstyle="round"/>
                  <v:imagedata o:title=""/>
                  <o:lock v:ext="edit" aspectratio="f"/>
                  <v:textbox>
                    <w:txbxContent>
                      <w:p w14:paraId="51368271">
                        <w:pPr>
                          <w:ind w:firstLine="420"/>
                          <w:rPr>
                            <w:szCs w:val="21"/>
                          </w:rPr>
                        </w:pPr>
                        <w:r>
                          <w:rPr>
                            <w:rFonts w:hint="eastAsia"/>
                            <w:szCs w:val="21"/>
                          </w:rPr>
                          <w:t>第第三阶段</w:t>
                        </w:r>
                      </w:p>
                    </w:txbxContent>
                  </v:textbox>
                </v:shape>
                <v:line id="直线 21" o:spid="_x0000_s1026" o:spt="20" style="position:absolute;left:3964;top:9617;height:0;width:3698;" filled="f" stroked="t" coordsize="21600,21600" o:gfxdata="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p7p7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直线 22" o:spid="_x0000_s1026" o:spt="20" style="position:absolute;left:7662;top:9617;height:292;width:1;" filled="f" stroked="t" coordsize="21600,21600" o:gfxdata="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00e+/&#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shape id="文本框 20" o:spid="_x0000_s1026" o:spt="202" type="#_x0000_t202" style="position:absolute;left:3316;top:9909;height:729;width:1845;" fillcolor="#FFFFFF" filled="t" stroked="t" coordsize="21600,21600" o:gfxdata="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6Z92/&#10;AAAA3AAAAA8AAAAAAAAAAQAgAAAAIgAAAGRycy9kb3ducmV2LnhtbFBLAQIUABQAAAAIAIdO4kAz&#10;LwWeOwAAADkAAAAQAAAAAAAAAAEAIAAAAA4BAABkcnMvc2hhcGV4bWwueG1sUEsFBgAAAAAGAAYA&#10;WwEAALgDAAAAAA==&#10;">
                  <v:fill on="t" focussize="0,0"/>
                  <v:stroke weight="1pt" color="#000000 [3213]" joinstyle="miter"/>
                  <v:imagedata o:title=""/>
                  <o:lock v:ext="edit" aspectratio="f"/>
                  <v:textbox>
                    <w:txbxContent>
                      <w:p w14:paraId="4BE15AEF">
                        <w:pPr>
                          <w:ind w:firstLine="199" w:firstLineChars="95"/>
                          <w:jc w:val="left"/>
                          <w:rPr>
                            <w:szCs w:val="21"/>
                          </w:rPr>
                        </w:pPr>
                        <w:r>
                          <w:rPr>
                            <w:rFonts w:hint="eastAsia"/>
                            <w:szCs w:val="21"/>
                          </w:rPr>
                          <w:t>环境现状调查</w:t>
                        </w:r>
                      </w:p>
                      <w:p w14:paraId="67E787A8">
                        <w:pPr>
                          <w:ind w:firstLine="199" w:firstLineChars="95"/>
                          <w:jc w:val="left"/>
                          <w:rPr>
                            <w:szCs w:val="21"/>
                          </w:rPr>
                        </w:pPr>
                        <w:r>
                          <w:rPr>
                            <w:rFonts w:hint="eastAsia"/>
                            <w:szCs w:val="21"/>
                          </w:rPr>
                          <w:t>监测与评价</w:t>
                        </w:r>
                      </w:p>
                    </w:txbxContent>
                  </v:textbox>
                </v:shape>
                <v:shape id="文本框 23" o:spid="_x0000_s1026" o:spt="202" type="#_x0000_t202" style="position:absolute;left:7134;top:9909;height:729;width:1233;" fillcolor="#FFFFFF" filled="t" stroked="t" coordsize="21600,21600" o:gfxdata="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o+aq/&#10;AAAA3AAAAA8AAAAAAAAAAQAgAAAAIgAAAGRycy9kb3ducmV2LnhtbFBLAQIUABQAAAAIAIdO4kAz&#10;LwWeOwAAADkAAAAQAAAAAAAAAAEAIAAAAA4BAABkcnMvc2hhcGV4bWwueG1sUEsFBgAAAAAGAAYA&#10;WwEAALgDAAAAAA==&#10;">
                  <v:fill on="t" focussize="0,0"/>
                  <v:stroke weight="1pt" color="#000000 [3213]" joinstyle="miter"/>
                  <v:imagedata o:title=""/>
                  <o:lock v:ext="edit" aspectratio="f"/>
                  <v:textbox>
                    <w:txbxContent>
                      <w:p w14:paraId="1863AA66">
                        <w:pPr>
                          <w:rPr>
                            <w:szCs w:val="21"/>
                          </w:rPr>
                        </w:pPr>
                        <w:r>
                          <w:rPr>
                            <w:rFonts w:hint="eastAsia"/>
                            <w:szCs w:val="21"/>
                          </w:rPr>
                          <w:t>建设项目</w:t>
                        </w:r>
                      </w:p>
                      <w:p w14:paraId="78FE6F89">
                        <w:pPr>
                          <w:rPr>
                            <w:szCs w:val="21"/>
                          </w:rPr>
                        </w:pPr>
                        <w:r>
                          <w:rPr>
                            <w:rFonts w:hint="eastAsia"/>
                            <w:szCs w:val="21"/>
                          </w:rPr>
                          <w:t>工程分析</w:t>
                        </w:r>
                      </w:p>
                    </w:txbxContent>
                  </v:textbox>
                </v:shape>
                <v:line id="直线 25" o:spid="_x0000_s1026" o:spt="20" style="position:absolute;left:3964;top:10929;height:0;width:3874;" filled="f" stroked="t" coordsize="21600,21600" o:gfxdata="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QX2kvQAA&#10;ANwAAAAPAAAAAAAAAAEAIAAAACIAAABkcnMvZG93bnJldi54bWxQSwECFAAUAAAACACHTuJAMy8F&#10;njsAAAA5AAAAEAAAAAAAAAABACAAAAAMAQAAZHJzL3NoYXBleG1sLnhtbFBLBQYAAAAABgAGAFsB&#10;AAC2AwAAAAA=&#10;">
                  <v:fill on="f" focussize="0,0"/>
                  <v:stroke weight="1pt" color="#000000 [3213]" joinstyle="round"/>
                  <v:imagedata o:title=""/>
                  <o:lock v:ext="edit" aspectratio="f"/>
                </v:line>
                <v:line id="直线 26" o:spid="_x0000_s1026" o:spt="20" style="position:absolute;left:6033;top:10929;height:292;width:1;" filled="f" stroked="t" coordsize="21600,21600" o:gfxdata="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Hnb6r4A&#10;AADcAAAADwAAAAAAAAABACAAAAAiAAAAZHJzL2Rvd25yZXYueG1sUEsBAhQAFAAAAAgAh07iQDMv&#10;BZ47AAAAOQAAABAAAAAAAAAAAQAgAAAADQEAAGRycy9zaGFwZXhtbC54bWxQSwUGAAAAAAYABgBb&#10;AQAAtwMAAAAA&#10;">
                  <v:fill on="f" focussize="0,0"/>
                  <v:stroke weight="1pt" color="#000000 [3213]" joinstyle="round" endarrow="block"/>
                  <v:imagedata o:title=""/>
                  <o:lock v:ext="edit" aspectratio="f"/>
                </v:line>
                <v:line id="直线 27" o:spid="_x0000_s1026" o:spt="20" style="position:absolute;left:6078;top:11950;height:583;width:1;" filled="f" stroked="t" coordsize="21600,21600" o:gfxdata="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1fnG/&#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line id="直线 28" o:spid="_x0000_s1026" o:spt="20" style="position:absolute;left:3964;top:9617;height:292;width:1;" filled="f" stroked="t" coordsize="21600,21600" o:gfxdata="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WQTG/&#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line id="直线 29" o:spid="_x0000_s1026" o:spt="20" style="position:absolute;left:7662;top:9617;height:292;width:1;" filled="f" stroked="t" coordsize="21600,21600" o:gfxdata="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a5Kq/&#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line id="直线 30" o:spid="_x0000_s1026" o:spt="20" style="position:absolute;left:3964;top:10638;height:291;width:1;" filled="f" stroked="t" coordsize="21600,21600" o:gfxdata="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9I4b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直线 31" o:spid="_x0000_s1026" o:spt="20" style="position:absolute;left:7838;top:10638;height:291;width:1;" filled="f" stroked="t" coordsize="21600,21600" o:gfxdata="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j7Xq/&#10;AAAA3AAAAA8AAAAAAAAAAQAgAAAAIgAAAGRycy9kb3ducmV2LnhtbFBLAQIUABQAAAAIAIdO4kAz&#10;LwWeOwAAADkAAAAQAAAAAAAAAAEAIAAAAA4BAABkcnMvc2hhcGV4bWwueG1sUEsFBgAAAAAGAAYA&#10;WwEAALgDAAAAAA==&#10;">
                  <v:fill on="f" focussize="0,0"/>
                  <v:stroke weight="1pt" color="#000000 [3213]" joinstyle="round"/>
                  <v:imagedata o:title=""/>
                  <o:lock v:ext="edit" aspectratio="f"/>
                </v:line>
                <v:line id="直线 32" o:spid="_x0000_s1026" o:spt="20" style="position:absolute;left:2027;top:4370;height:10203;width:1;" filled="f" stroked="t" coordsize="21600,21600" o:gfxdata="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p1Dr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直线 33" o:spid="_x0000_s1026" o:spt="20" style="position:absolute;left:9423;top:4370;height:10203;width:15;" filled="f" stroked="t" coordsize="21600,21600" o:gfxdata="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bQlb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直线 34" o:spid="_x0000_s1026" o:spt="20" style="position:absolute;left:2028;top:14573;height:0;width:7396;" filled="f" stroked="t" coordsize="21600,21600" o:gfxdata="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RO4r4A&#10;AADcAAAADwAAAAAAAAABACAAAAAiAAAAZHJzL2Rvd25yZXYueG1sUEsBAhQAFAAAAAgAh07iQDMv&#10;BZ47AAAAOQAAABAAAAAAAAAAAQAgAAAADQEAAGRycy9zaGFwZXhtbC54bWxQSwUGAAAAAAYABgBb&#10;AQAAtwMAAAAA&#10;">
                  <v:fill on="f" focussize="0,0"/>
                  <v:stroke weight="1pt" color="#000000 [3213]" joinstyle="round"/>
                  <v:imagedata o:title=""/>
                  <o:lock v:ext="edit" aspectratio="f"/>
                </v:line>
                <v:line id="直线 35" o:spid="_x0000_s1026" o:spt="20" style="position:absolute;left:5813;top:5770;height:292;width:1;" filled="f" stroked="t" coordsize="21600,21600" o:gfxdata="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2UW/&#10;AAAA3AAAAA8AAAAAAAAAAQAgAAAAIgAAAGRycy9kb3ducmV2LnhtbFBLAQIUABQAAAAIAIdO4kAz&#10;LwWeOwAAADkAAAAQAAAAAAAAAAEAIAAAAA4BAABkcnMvc2hhcGV4bWwueG1sUEsFBgAAAAAGAAYA&#10;WwEAALgDAAAAAA==&#10;">
                  <v:fill on="f" focussize="0,0"/>
                  <v:stroke weight="1pt" color="#000000 [3213]" joinstyle="round" endarrow="block"/>
                  <v:imagedata o:title=""/>
                  <o:lock v:ext="edit" aspectratio="f"/>
                </v:line>
                <v:line id="直线 36" o:spid="_x0000_s1026" o:spt="20" style="position:absolute;left:2027;top:12200;height:1;width:7396;" filled="f" stroked="t" coordsize="21600,21600" o:gfxdata="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B38LugAAANwA&#10;AAAPAAAAAAAAAAEAIAAAACIAAABkcnMvZG93bnJldi54bWxQSwECFAAUAAAACACHTuJAMy8FnjsA&#10;AAA5AAAAEAAAAAAAAAABACAAAAAJAQAAZHJzL3NoYXBleG1sLnhtbFBLBQYAAAAABgAGAFsBAACz&#10;AwAAAAA=&#10;">
                  <v:fill on="f" focussize="0,0"/>
                  <v:stroke weight="1pt" color="#000000 [3213]" joinstyle="round"/>
                  <v:imagedata o:title=""/>
                  <o:lock v:ext="edit" aspectratio="f"/>
                </v:line>
                <w10:wrap type="none"/>
                <w10:anchorlock/>
              </v:group>
            </w:pict>
          </mc:Fallback>
        </mc:AlternateContent>
      </w:r>
    </w:p>
    <w:p w14:paraId="4836E4B5">
      <w:pPr>
        <w:pStyle w:val="177"/>
        <w:ind w:left="0" w:leftChars="0" w:firstLine="0" w:firstLineChars="0"/>
        <w:jc w:val="center"/>
        <w:rPr>
          <w:rFonts w:hint="default" w:ascii="Times New Roman" w:hAnsi="Times New Roman" w:cs="Times New Roman"/>
          <w:b/>
          <w:color w:val="auto"/>
          <w:sz w:val="24"/>
        </w:rPr>
      </w:pPr>
      <w:r>
        <w:rPr>
          <w:rFonts w:hint="default" w:ascii="Times New Roman" w:hAnsi="Times New Roman" w:cs="Times New Roman"/>
          <w:b/>
          <w:color w:val="auto"/>
          <w:sz w:val="24"/>
        </w:rPr>
        <w:t>图1</w:t>
      </w:r>
      <w:r>
        <w:rPr>
          <w:rFonts w:hint="default" w:ascii="Times New Roman" w:hAnsi="Times New Roman" w:cs="Times New Roman"/>
          <w:b/>
          <w:color w:val="auto"/>
          <w:sz w:val="24"/>
          <w:lang w:val="en-US" w:eastAsia="zh-CN"/>
        </w:rPr>
        <w:t>.</w:t>
      </w:r>
      <w:r>
        <w:rPr>
          <w:rFonts w:hint="eastAsia" w:ascii="Times New Roman" w:cs="Times New Roman"/>
          <w:b/>
          <w:color w:val="auto"/>
          <w:sz w:val="24"/>
          <w:lang w:val="en-US" w:eastAsia="zh-CN"/>
        </w:rPr>
        <w:t>3</w:t>
      </w:r>
      <w:r>
        <w:rPr>
          <w:rFonts w:hint="default" w:ascii="Times New Roman" w:hAnsi="Times New Roman" w:cs="Times New Roman"/>
          <w:b/>
          <w:color w:val="auto"/>
          <w:sz w:val="24"/>
        </w:rPr>
        <w:t>-1  环境影响评价工作程序图</w:t>
      </w:r>
    </w:p>
    <w:p w14:paraId="01DE0E4E">
      <w:pPr>
        <w:pStyle w:val="177"/>
        <w:ind w:left="0" w:leftChars="0" w:firstLine="0" w:firstLineChars="0"/>
        <w:jc w:val="both"/>
        <w:rPr>
          <w:rFonts w:hint="default" w:ascii="Times New Roman" w:hAnsi="Times New Roman" w:cs="Times New Roman"/>
          <w:b/>
          <w:color w:val="auto"/>
          <w:sz w:val="24"/>
        </w:rPr>
      </w:pPr>
    </w:p>
    <w:p w14:paraId="4B4AB67C">
      <w:pPr>
        <w:pStyle w:val="4"/>
        <w:bidi w:val="0"/>
        <w:spacing w:line="240" w:lineRule="auto"/>
        <w:rPr>
          <w:rFonts w:hint="default" w:ascii="Times New Roman" w:hAnsi="Times New Roman" w:eastAsia="宋体" w:cs="Times New Roman"/>
          <w:sz w:val="28"/>
          <w:szCs w:val="28"/>
          <w:lang w:val="en-US" w:eastAsia="zh-CN"/>
        </w:rPr>
      </w:pPr>
      <w:bookmarkStart w:id="8" w:name="_Toc30232"/>
      <w:r>
        <w:rPr>
          <w:rFonts w:hint="eastAsia" w:ascii="Times New Roman" w:hAnsi="Times New Roman" w:eastAsia="宋体" w:cs="Times New Roman"/>
          <w:sz w:val="28"/>
          <w:szCs w:val="28"/>
          <w:lang w:val="en-US" w:eastAsia="zh-CN"/>
        </w:rPr>
        <w:t>1.</w:t>
      </w:r>
      <w:r>
        <w:rPr>
          <w:rFonts w:hint="default" w:ascii="Times New Roman" w:hAnsi="Times New Roman" w:eastAsia="宋体" w:cs="Times New Roman"/>
          <w:sz w:val="28"/>
          <w:szCs w:val="28"/>
          <w:lang w:val="en-US" w:eastAsia="zh-CN"/>
        </w:rPr>
        <w:t xml:space="preserve">4 </w:t>
      </w:r>
      <w:r>
        <w:rPr>
          <w:rFonts w:hint="eastAsia" w:ascii="Times New Roman" w:hAnsi="Times New Roman" w:eastAsia="宋体" w:cs="Times New Roman"/>
          <w:sz w:val="28"/>
          <w:szCs w:val="28"/>
          <w:lang w:val="en-US" w:eastAsia="zh-CN"/>
        </w:rPr>
        <w:t>分析判定相关情况</w:t>
      </w:r>
      <w:bookmarkEnd w:id="8"/>
      <w:r>
        <w:rPr>
          <w:rFonts w:hint="eastAsia" w:ascii="Times New Roman" w:hAnsi="Times New Roman" w:eastAsia="宋体" w:cs="Times New Roman"/>
          <w:sz w:val="28"/>
          <w:szCs w:val="28"/>
          <w:lang w:val="en-US" w:eastAsia="zh-CN"/>
        </w:rPr>
        <w:t xml:space="preserve"> </w:t>
      </w:r>
    </w:p>
    <w:p w14:paraId="6A627AEC">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kern w:val="2"/>
          <w:sz w:val="24"/>
          <w:szCs w:val="20"/>
          <w:lang w:val="en-US" w:eastAsia="zh-CN" w:bidi="ar-SA"/>
        </w:rPr>
      </w:pPr>
      <w:r>
        <w:rPr>
          <w:rFonts w:hint="eastAsia" w:eastAsia="宋体" w:cs="Times New Roman"/>
          <w:color w:val="auto"/>
          <w:kern w:val="2"/>
          <w:sz w:val="24"/>
          <w:szCs w:val="20"/>
          <w:lang w:val="en-US" w:eastAsia="zh-CN" w:bidi="ar-SA"/>
        </w:rPr>
        <w:t>经查</w:t>
      </w:r>
      <w:r>
        <w:rPr>
          <w:rFonts w:hint="eastAsia" w:ascii="Times New Roman" w:hAnsi="Times New Roman" w:eastAsia="宋体" w:cs="Times New Roman"/>
          <w:color w:val="auto"/>
          <w:kern w:val="2"/>
          <w:sz w:val="24"/>
          <w:szCs w:val="20"/>
          <w:lang w:val="en-US" w:eastAsia="zh-CN" w:bidi="ar-SA"/>
        </w:rPr>
        <w:t>《产业结构调整指导目录（</w:t>
      </w:r>
      <w:r>
        <w:rPr>
          <w:rFonts w:hint="default" w:ascii="Times New Roman" w:hAnsi="Times New Roman" w:eastAsia="宋体" w:cs="Times New Roman"/>
          <w:color w:val="auto"/>
          <w:kern w:val="2"/>
          <w:sz w:val="24"/>
          <w:szCs w:val="20"/>
          <w:lang w:val="en-US" w:eastAsia="zh-CN" w:bidi="ar-SA"/>
        </w:rPr>
        <w:t>2024</w:t>
      </w:r>
      <w:r>
        <w:rPr>
          <w:rFonts w:hint="eastAsia" w:ascii="Times New Roman" w:hAnsi="Times New Roman" w:eastAsia="宋体" w:cs="Times New Roman"/>
          <w:color w:val="auto"/>
          <w:kern w:val="2"/>
          <w:sz w:val="24"/>
          <w:szCs w:val="20"/>
          <w:lang w:val="en-US" w:eastAsia="zh-CN" w:bidi="ar-SA"/>
        </w:rPr>
        <w:t>年本）》</w:t>
      </w:r>
      <w:r>
        <w:rPr>
          <w:rFonts w:hint="eastAsia" w:eastAsia="宋体" w:cs="Times New Roman"/>
          <w:color w:val="auto"/>
          <w:kern w:val="2"/>
          <w:sz w:val="24"/>
          <w:szCs w:val="20"/>
          <w:lang w:val="en-US" w:eastAsia="zh-CN" w:bidi="ar-SA"/>
        </w:rPr>
        <w:t>，本项目不在其</w:t>
      </w:r>
      <w:r>
        <w:rPr>
          <w:rFonts w:hint="eastAsia" w:ascii="Times New Roman" w:hAnsi="Times New Roman" w:eastAsia="宋体" w:cs="Times New Roman"/>
          <w:color w:val="auto"/>
          <w:kern w:val="2"/>
          <w:sz w:val="24"/>
          <w:szCs w:val="20"/>
          <w:lang w:val="en-US" w:eastAsia="zh-CN" w:bidi="ar-SA"/>
        </w:rPr>
        <w:t>中所列的限制类和淘汰类项目；本项目采用的生产工艺、设备和生产的产品不在该目录中所列的落后工艺、装备和产品之列，且符合国家相关法律、法规规定。因此本项目</w:t>
      </w:r>
      <w:r>
        <w:rPr>
          <w:rFonts w:hint="eastAsia" w:eastAsia="宋体" w:cs="Times New Roman"/>
          <w:color w:val="auto"/>
          <w:kern w:val="2"/>
          <w:sz w:val="24"/>
          <w:szCs w:val="20"/>
          <w:lang w:val="en-US" w:eastAsia="zh-CN" w:bidi="ar-SA"/>
        </w:rPr>
        <w:t>为</w:t>
      </w:r>
      <w:r>
        <w:rPr>
          <w:rFonts w:hint="eastAsia" w:ascii="Times New Roman" w:hAnsi="Times New Roman" w:eastAsia="宋体" w:cs="Times New Roman"/>
          <w:color w:val="auto"/>
          <w:kern w:val="2"/>
          <w:sz w:val="24"/>
          <w:szCs w:val="20"/>
          <w:lang w:val="en-US" w:eastAsia="zh-CN" w:bidi="ar-SA"/>
        </w:rPr>
        <w:t xml:space="preserve">允许类。 </w:t>
      </w:r>
    </w:p>
    <w:p w14:paraId="78C9BAF0">
      <w:pPr>
        <w:pStyle w:val="177"/>
        <w:ind w:left="0" w:leftChars="0"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本项目</w:t>
      </w:r>
      <w:r>
        <w:rPr>
          <w:rFonts w:hint="eastAsia" w:ascii="Times New Roman" w:eastAsia="宋体" w:cs="Times New Roman"/>
          <w:color w:val="auto"/>
          <w:kern w:val="2"/>
          <w:sz w:val="24"/>
          <w:szCs w:val="20"/>
          <w:lang w:val="en-US" w:eastAsia="zh-CN" w:bidi="ar-SA"/>
        </w:rPr>
        <w:t>为改扩建项目，在现有厂区内进行建设，不新增占地，现有厂区选址可行性分析已在原环评中论述，并得到选址合理可行结果，</w:t>
      </w:r>
      <w:r>
        <w:rPr>
          <w:rFonts w:hint="eastAsia" w:ascii="Times New Roman" w:hAnsi="Times New Roman" w:eastAsia="宋体" w:cs="Times New Roman"/>
          <w:color w:val="auto"/>
          <w:kern w:val="2"/>
          <w:sz w:val="24"/>
          <w:szCs w:val="20"/>
          <w:lang w:val="en-US" w:eastAsia="zh-CN" w:bidi="ar-SA"/>
        </w:rPr>
        <w:t>占地不涉及国家公益林、天然林、基本农田和草原。</w:t>
      </w:r>
      <w:r>
        <w:rPr>
          <w:rFonts w:hint="eastAsia" w:ascii="Times New Roman" w:eastAsia="宋体" w:cs="Times New Roman"/>
          <w:color w:val="auto"/>
          <w:kern w:val="2"/>
          <w:sz w:val="24"/>
          <w:szCs w:val="20"/>
          <w:lang w:val="en-US" w:eastAsia="zh-CN" w:bidi="ar-SA"/>
        </w:rPr>
        <w:t>经查《朝阳市人民政府关于实施“三线一单”生态环境分区管控的意见》（朝政发[2021]1</w:t>
      </w:r>
      <w:r>
        <w:rPr>
          <w:rFonts w:hint="eastAsia" w:ascii="Times New Roman" w:cs="Times New Roman"/>
          <w:color w:val="auto"/>
          <w:kern w:val="2"/>
          <w:sz w:val="24"/>
          <w:szCs w:val="20"/>
          <w:lang w:val="en-US" w:eastAsia="zh-CN" w:bidi="ar-SA"/>
        </w:rPr>
        <w:t>3</w:t>
      </w:r>
      <w:r>
        <w:rPr>
          <w:rFonts w:hint="eastAsia" w:ascii="Times New Roman" w:eastAsia="宋体" w:cs="Times New Roman"/>
          <w:color w:val="auto"/>
          <w:kern w:val="2"/>
          <w:sz w:val="24"/>
          <w:szCs w:val="20"/>
          <w:lang w:val="en-US" w:eastAsia="zh-CN" w:bidi="ar-SA"/>
        </w:rPr>
        <w:t>号）</w:t>
      </w:r>
      <w:r>
        <w:rPr>
          <w:rFonts w:hint="eastAsia" w:ascii="Times New Roman" w:hAnsi="Times New Roman" w:eastAsia="宋体" w:cs="Times New Roman"/>
          <w:color w:val="auto"/>
          <w:kern w:val="2"/>
          <w:sz w:val="24"/>
          <w:szCs w:val="20"/>
          <w:lang w:val="en-US" w:eastAsia="zh-CN" w:bidi="ar-SA"/>
        </w:rPr>
        <w:t>，本项目位于朝阳市北票市一般管控区3-ZH21138130003</w:t>
      </w:r>
      <w:r>
        <w:rPr>
          <w:rFonts w:hint="eastAsia" w:ascii="Times New Roman" w:eastAsia="宋体" w:cs="Times New Roman"/>
          <w:color w:val="auto"/>
          <w:kern w:val="2"/>
          <w:sz w:val="24"/>
          <w:szCs w:val="20"/>
          <w:lang w:val="en-US" w:eastAsia="zh-CN" w:bidi="ar-SA"/>
        </w:rPr>
        <w:t>，</w:t>
      </w:r>
      <w:r>
        <w:rPr>
          <w:rFonts w:hint="eastAsia" w:ascii="Times New Roman" w:cs="Times New Roman"/>
          <w:color w:val="auto"/>
          <w:kern w:val="2"/>
          <w:sz w:val="24"/>
          <w:szCs w:val="20"/>
          <w:lang w:val="en-US" w:eastAsia="zh-CN" w:bidi="ar-SA"/>
        </w:rPr>
        <w:t>企业采取相应的污染防治措施，可</w:t>
      </w:r>
      <w:r>
        <w:rPr>
          <w:rFonts w:hint="eastAsia" w:ascii="Times New Roman" w:hAnsi="Times New Roman" w:eastAsia="宋体" w:cs="Times New Roman"/>
          <w:color w:val="auto"/>
          <w:kern w:val="2"/>
          <w:sz w:val="24"/>
          <w:szCs w:val="20"/>
          <w:lang w:val="en-US" w:eastAsia="zh-CN" w:bidi="ar-SA"/>
        </w:rPr>
        <w:t>满足</w:t>
      </w:r>
      <w:r>
        <w:rPr>
          <w:rFonts w:hint="eastAsia" w:ascii="Times New Roman" w:eastAsia="宋体" w:cs="Times New Roman"/>
          <w:color w:val="auto"/>
          <w:kern w:val="2"/>
          <w:sz w:val="24"/>
          <w:szCs w:val="20"/>
          <w:lang w:val="en-US" w:eastAsia="zh-CN" w:bidi="ar-SA"/>
        </w:rPr>
        <w:t>朝阳</w:t>
      </w:r>
      <w:r>
        <w:rPr>
          <w:rFonts w:hint="eastAsia" w:ascii="Times New Roman" w:hAnsi="Times New Roman" w:eastAsia="宋体" w:cs="Times New Roman"/>
          <w:color w:val="auto"/>
          <w:kern w:val="2"/>
          <w:sz w:val="24"/>
          <w:szCs w:val="20"/>
          <w:lang w:val="en-US" w:eastAsia="zh-CN" w:bidi="ar-SA"/>
        </w:rPr>
        <w:t>市生态环境准入管控要求。</w:t>
      </w:r>
    </w:p>
    <w:p w14:paraId="75739469">
      <w:pPr>
        <w:pStyle w:val="4"/>
        <w:bidi w:val="0"/>
        <w:spacing w:line="240" w:lineRule="auto"/>
        <w:rPr>
          <w:rFonts w:hint="eastAsia" w:ascii="Times New Roman" w:hAnsi="Times New Roman" w:eastAsia="宋体" w:cs="Times New Roman"/>
          <w:sz w:val="28"/>
          <w:szCs w:val="28"/>
          <w:lang w:val="en-US" w:eastAsia="zh-CN"/>
        </w:rPr>
      </w:pPr>
      <w:bookmarkStart w:id="9" w:name="_Toc23915"/>
      <w:r>
        <w:rPr>
          <w:rFonts w:hint="eastAsia" w:ascii="Times New Roman" w:hAnsi="Times New Roman" w:eastAsia="宋体" w:cs="Times New Roman"/>
          <w:sz w:val="28"/>
          <w:szCs w:val="28"/>
          <w:lang w:val="en-US" w:eastAsia="zh-CN"/>
        </w:rPr>
        <w:t>1.5关注的主要环境问题及环境影响</w:t>
      </w:r>
      <w:bookmarkEnd w:id="9"/>
      <w:r>
        <w:rPr>
          <w:rFonts w:hint="eastAsia" w:ascii="Times New Roman" w:hAnsi="Times New Roman" w:eastAsia="宋体" w:cs="Times New Roman"/>
          <w:sz w:val="28"/>
          <w:szCs w:val="28"/>
          <w:lang w:val="en-US" w:eastAsia="zh-CN"/>
        </w:rPr>
        <w:t xml:space="preserve"> </w:t>
      </w:r>
    </w:p>
    <w:p w14:paraId="0A458451">
      <w:pPr>
        <w:pStyle w:val="177"/>
        <w:ind w:left="0" w:leftChars="0" w:firstLine="480" w:firstLineChars="200"/>
        <w:jc w:val="both"/>
        <w:rPr>
          <w:rFonts w:hint="eastAsia" w:ascii="Times New Roman" w:hAnsi="Times New Roman" w:eastAsia="宋体" w:cs="Times New Roman"/>
          <w:color w:val="auto"/>
          <w:kern w:val="2"/>
          <w:sz w:val="24"/>
          <w:szCs w:val="20"/>
          <w:lang w:val="en-US" w:eastAsia="zh-CN" w:bidi="ar-SA"/>
        </w:rPr>
      </w:pPr>
      <w:r>
        <w:rPr>
          <w:rFonts w:hint="eastAsia" w:ascii="Times New Roman" w:hAnsi="Times New Roman" w:eastAsia="宋体" w:cs="Times New Roman"/>
          <w:color w:val="auto"/>
          <w:kern w:val="2"/>
          <w:sz w:val="24"/>
          <w:szCs w:val="20"/>
          <w:lang w:val="en-US" w:eastAsia="zh-CN" w:bidi="ar-SA"/>
        </w:rPr>
        <w:t>根据建设项目特点，</w:t>
      </w:r>
      <w:r>
        <w:rPr>
          <w:rFonts w:hint="eastAsia" w:eastAsia="宋体" w:cs="Times New Roman"/>
          <w:color w:val="auto"/>
          <w:kern w:val="2"/>
          <w:sz w:val="24"/>
          <w:szCs w:val="20"/>
          <w:lang w:val="en-US" w:eastAsia="zh-CN" w:bidi="ar-SA"/>
        </w:rPr>
        <w:t>本次</w:t>
      </w:r>
      <w:r>
        <w:rPr>
          <w:rFonts w:hint="eastAsia" w:cs="Times New Roman"/>
          <w:color w:val="auto"/>
          <w:kern w:val="2"/>
          <w:sz w:val="24"/>
          <w:szCs w:val="20"/>
          <w:lang w:val="en-US" w:eastAsia="zh-CN" w:bidi="ar-SA"/>
        </w:rPr>
        <w:t>改</w:t>
      </w:r>
      <w:r>
        <w:rPr>
          <w:rFonts w:hint="eastAsia" w:eastAsia="宋体" w:cs="Times New Roman"/>
          <w:color w:val="auto"/>
          <w:kern w:val="2"/>
          <w:sz w:val="24"/>
          <w:szCs w:val="20"/>
          <w:lang w:val="en-US" w:eastAsia="zh-CN" w:bidi="ar-SA"/>
        </w:rPr>
        <w:t>扩建项目</w:t>
      </w:r>
      <w:r>
        <w:rPr>
          <w:rFonts w:hint="eastAsia" w:ascii="Times New Roman" w:hAnsi="Times New Roman" w:eastAsia="宋体" w:cs="Times New Roman"/>
          <w:color w:val="auto"/>
          <w:kern w:val="2"/>
          <w:sz w:val="24"/>
          <w:szCs w:val="20"/>
          <w:lang w:val="en-US" w:eastAsia="zh-CN" w:bidi="ar-SA"/>
        </w:rPr>
        <w:t>主要关注环境问题为：</w:t>
      </w:r>
      <w:r>
        <w:rPr>
          <w:rFonts w:hint="eastAsia" w:eastAsia="宋体" w:cs="Times New Roman"/>
          <w:color w:val="auto"/>
          <w:kern w:val="2"/>
          <w:sz w:val="24"/>
          <w:szCs w:val="20"/>
          <w:lang w:val="en-US" w:eastAsia="zh-CN" w:bidi="ar-SA"/>
        </w:rPr>
        <w:t>破碎、球磨</w:t>
      </w:r>
      <w:r>
        <w:rPr>
          <w:rFonts w:hint="eastAsia" w:cs="Times New Roman"/>
          <w:color w:val="auto"/>
          <w:kern w:val="2"/>
          <w:sz w:val="24"/>
          <w:szCs w:val="20"/>
          <w:lang w:val="en-US" w:eastAsia="zh-CN" w:bidi="ar-SA"/>
        </w:rPr>
        <w:t>过程中产生的粉尘；皮带</w:t>
      </w:r>
      <w:r>
        <w:rPr>
          <w:rFonts w:hint="eastAsia" w:eastAsia="宋体" w:cs="Times New Roman"/>
          <w:color w:val="auto"/>
          <w:kern w:val="2"/>
          <w:sz w:val="24"/>
          <w:szCs w:val="20"/>
          <w:lang w:val="en-US" w:eastAsia="zh-CN" w:bidi="ar-SA"/>
        </w:rPr>
        <w:t>输送过程中产生的粉尘；</w:t>
      </w:r>
      <w:r>
        <w:rPr>
          <w:rFonts w:hint="eastAsia" w:cs="Times New Roman"/>
          <w:color w:val="auto"/>
          <w:kern w:val="2"/>
          <w:sz w:val="24"/>
          <w:szCs w:val="20"/>
          <w:lang w:val="en-US" w:eastAsia="zh-CN" w:bidi="ar-SA"/>
        </w:rPr>
        <w:t>道路运输粉尘；</w:t>
      </w:r>
      <w:r>
        <w:rPr>
          <w:rFonts w:hint="eastAsia" w:ascii="Times New Roman" w:cs="Times New Roman"/>
          <w:color w:val="auto"/>
          <w:kern w:val="2"/>
          <w:sz w:val="24"/>
          <w:szCs w:val="20"/>
          <w:lang w:val="en-US" w:eastAsia="zh-CN" w:bidi="ar-SA"/>
        </w:rPr>
        <w:t>原料、中间料堆场装卸扬尘</w:t>
      </w:r>
      <w:r>
        <w:rPr>
          <w:rFonts w:hint="eastAsia" w:eastAsia="宋体" w:cs="Times New Roman"/>
          <w:color w:val="auto"/>
          <w:kern w:val="2"/>
          <w:sz w:val="24"/>
          <w:szCs w:val="20"/>
          <w:lang w:val="en-US" w:eastAsia="zh-CN" w:bidi="ar-SA"/>
        </w:rPr>
        <w:t>；</w:t>
      </w:r>
      <w:r>
        <w:rPr>
          <w:rFonts w:hint="eastAsia" w:cs="Times New Roman"/>
          <w:color w:val="auto"/>
          <w:kern w:val="2"/>
          <w:sz w:val="24"/>
          <w:szCs w:val="20"/>
          <w:lang w:val="en-US" w:eastAsia="zh-CN" w:bidi="ar-SA"/>
        </w:rPr>
        <w:t>成品库房装卸扬尘；尾矿暂存扬尘</w:t>
      </w:r>
      <w:r>
        <w:rPr>
          <w:rFonts w:hint="eastAsia" w:ascii="Times New Roman" w:hAnsi="Times New Roman" w:eastAsia="宋体" w:cs="Times New Roman"/>
          <w:color w:val="auto"/>
          <w:kern w:val="2"/>
          <w:sz w:val="24"/>
          <w:szCs w:val="20"/>
          <w:lang w:val="en-US" w:eastAsia="zh-CN" w:bidi="ar-SA"/>
        </w:rPr>
        <w:t>对周围大气环境</w:t>
      </w:r>
      <w:r>
        <w:rPr>
          <w:rFonts w:hint="eastAsia" w:ascii="Times New Roman" w:cs="Times New Roman"/>
          <w:color w:val="auto"/>
          <w:kern w:val="2"/>
          <w:sz w:val="24"/>
          <w:szCs w:val="20"/>
          <w:lang w:val="en-US" w:eastAsia="zh-CN" w:bidi="ar-SA"/>
        </w:rPr>
        <w:t>质量</w:t>
      </w:r>
      <w:r>
        <w:rPr>
          <w:rFonts w:hint="eastAsia" w:ascii="Times New Roman" w:hAnsi="Times New Roman" w:eastAsia="宋体" w:cs="Times New Roman"/>
          <w:color w:val="auto"/>
          <w:kern w:val="2"/>
          <w:sz w:val="24"/>
          <w:szCs w:val="20"/>
          <w:lang w:val="en-US" w:eastAsia="zh-CN" w:bidi="ar-SA"/>
        </w:rPr>
        <w:t>的影响；</w:t>
      </w:r>
      <w:r>
        <w:rPr>
          <w:rFonts w:hint="eastAsia" w:ascii="Times New Roman" w:cs="Times New Roman"/>
          <w:color w:val="auto"/>
          <w:kern w:val="2"/>
          <w:sz w:val="24"/>
          <w:szCs w:val="20"/>
          <w:lang w:val="en-US" w:eastAsia="zh-CN" w:bidi="ar-SA"/>
        </w:rPr>
        <w:t>生产废水（包括选矿工艺废水和车间地面冲洗废水）</w:t>
      </w:r>
      <w:r>
        <w:rPr>
          <w:rFonts w:hint="eastAsia" w:ascii="Times New Roman" w:hAnsi="Times New Roman" w:eastAsia="宋体" w:cs="Times New Roman"/>
          <w:color w:val="auto"/>
          <w:kern w:val="2"/>
          <w:sz w:val="24"/>
          <w:szCs w:val="20"/>
          <w:lang w:val="en-US" w:eastAsia="zh-CN" w:bidi="ar-SA"/>
        </w:rPr>
        <w:t>及生活污水不外排的可行性；选矿系统高噪设备对周围声环境</w:t>
      </w:r>
      <w:r>
        <w:rPr>
          <w:rFonts w:hint="eastAsia" w:ascii="Times New Roman" w:cs="Times New Roman"/>
          <w:color w:val="auto"/>
          <w:kern w:val="2"/>
          <w:sz w:val="24"/>
          <w:szCs w:val="20"/>
          <w:lang w:val="en-US" w:eastAsia="zh-CN" w:bidi="ar-SA"/>
        </w:rPr>
        <w:t>质量</w:t>
      </w:r>
      <w:r>
        <w:rPr>
          <w:rFonts w:hint="eastAsia" w:ascii="Times New Roman" w:hAnsi="Times New Roman" w:eastAsia="宋体" w:cs="Times New Roman"/>
          <w:color w:val="auto"/>
          <w:kern w:val="2"/>
          <w:sz w:val="24"/>
          <w:szCs w:val="20"/>
          <w:lang w:val="en-US" w:eastAsia="zh-CN" w:bidi="ar-SA"/>
        </w:rPr>
        <w:t>的影响；</w:t>
      </w:r>
      <w:r>
        <w:rPr>
          <w:rFonts w:hint="eastAsia" w:ascii="Times New Roman" w:cs="Times New Roman"/>
          <w:color w:val="auto"/>
          <w:kern w:val="2"/>
          <w:sz w:val="24"/>
          <w:szCs w:val="20"/>
          <w:lang w:val="en-US" w:eastAsia="zh-CN" w:bidi="ar-SA"/>
        </w:rPr>
        <w:t>新增固废</w:t>
      </w:r>
      <w:r>
        <w:rPr>
          <w:rFonts w:hint="eastAsia" w:ascii="Times New Roman" w:hAnsi="Times New Roman" w:eastAsia="宋体" w:cs="Times New Roman"/>
          <w:color w:val="auto"/>
          <w:kern w:val="2"/>
          <w:sz w:val="24"/>
          <w:szCs w:val="20"/>
          <w:lang w:val="en-US" w:eastAsia="zh-CN" w:bidi="ar-SA"/>
        </w:rPr>
        <w:t>的处置情况。</w:t>
      </w:r>
    </w:p>
    <w:p w14:paraId="0FD3E82D">
      <w:pPr>
        <w:pStyle w:val="4"/>
        <w:bidi w:val="0"/>
        <w:spacing w:line="240" w:lineRule="auto"/>
        <w:rPr>
          <w:rFonts w:hint="eastAsia" w:ascii="Times New Roman" w:hAnsi="Times New Roman" w:eastAsia="宋体" w:cs="Times New Roman"/>
          <w:sz w:val="28"/>
          <w:szCs w:val="28"/>
          <w:lang w:val="en-US" w:eastAsia="zh-CN"/>
        </w:rPr>
      </w:pPr>
      <w:bookmarkStart w:id="10" w:name="_Toc24682"/>
      <w:r>
        <w:rPr>
          <w:rFonts w:hint="eastAsia" w:ascii="Times New Roman" w:hAnsi="Times New Roman" w:eastAsia="宋体" w:cs="Times New Roman"/>
          <w:sz w:val="28"/>
          <w:szCs w:val="28"/>
          <w:lang w:val="en-US" w:eastAsia="zh-CN"/>
        </w:rPr>
        <w:t>1.6主要结论</w:t>
      </w:r>
      <w:bookmarkEnd w:id="10"/>
    </w:p>
    <w:p w14:paraId="4288725A">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auto"/>
          <w:lang w:eastAsia="zh-CN"/>
        </w:rPr>
      </w:pPr>
      <w:r>
        <w:rPr>
          <w:rFonts w:hint="eastAsia" w:ascii="Times New Roman" w:hAnsi="Times New Roman" w:eastAsia="宋体" w:cs="Times New Roman"/>
          <w:color w:val="auto"/>
          <w:kern w:val="2"/>
          <w:sz w:val="24"/>
          <w:szCs w:val="20"/>
          <w:lang w:val="en-US" w:eastAsia="zh-CN" w:bidi="ar-SA"/>
        </w:rPr>
        <w:t>本项目规模、工艺、产品及资源利用均符合国家产业政策和有关规划要求。在采用设计和环评提出的污染防治和生态治理恢复措施后，项目对环境的影响可降到当地环境能够容许的程度。项目建设符合国家和地方的产业政策及环境保护政策要求，满足清洁生产的要求，可实现经济效益、社会效益和环境效益的统一，从环保角度来看，</w:t>
      </w:r>
      <w:r>
        <w:rPr>
          <w:rFonts w:hint="eastAsia" w:eastAsia="宋体" w:cs="Times New Roman"/>
          <w:color w:val="auto"/>
          <w:kern w:val="2"/>
          <w:sz w:val="24"/>
          <w:szCs w:val="20"/>
          <w:lang w:val="en-US" w:eastAsia="zh-CN" w:bidi="ar-SA"/>
        </w:rPr>
        <w:t>本</w:t>
      </w:r>
      <w:r>
        <w:rPr>
          <w:rFonts w:hint="eastAsia" w:ascii="Times New Roman" w:hAnsi="Times New Roman" w:eastAsia="宋体" w:cs="Times New Roman"/>
          <w:color w:val="auto"/>
          <w:kern w:val="2"/>
          <w:sz w:val="24"/>
          <w:szCs w:val="20"/>
          <w:lang w:val="en-US" w:eastAsia="zh-CN" w:bidi="ar-SA"/>
        </w:rPr>
        <w:t>项目建设可行。</w:t>
      </w:r>
    </w:p>
    <w:p w14:paraId="5C3081A6">
      <w:pPr>
        <w:spacing w:line="360" w:lineRule="auto"/>
        <w:ind w:firstLine="480" w:firstLineChars="200"/>
        <w:jc w:val="left"/>
        <w:rPr>
          <w:color w:val="auto"/>
          <w:sz w:val="24"/>
        </w:rPr>
      </w:pPr>
    </w:p>
    <w:p w14:paraId="5F9ED8AF">
      <w:pPr>
        <w:spacing w:before="156" w:beforeLines="50" w:line="360" w:lineRule="auto"/>
        <w:outlineLvl w:val="0"/>
        <w:rPr>
          <w:color w:val="auto"/>
          <w:sz w:val="28"/>
          <w:szCs w:val="28"/>
        </w:rPr>
        <w:sectPr>
          <w:pgSz w:w="11906" w:h="16838"/>
          <w:pgMar w:top="1440" w:right="1797" w:bottom="1440" w:left="1797" w:header="1134" w:footer="1134" w:gutter="0"/>
          <w:pgBorders>
            <w:top w:val="none" w:sz="0" w:space="0"/>
            <w:left w:val="none" w:sz="0" w:space="0"/>
            <w:bottom w:val="none" w:sz="0" w:space="0"/>
            <w:right w:val="none" w:sz="0" w:space="0"/>
          </w:pgBorders>
          <w:pgNumType w:fmt="decimal" w:start="1"/>
          <w:cols w:space="720" w:num="1"/>
          <w:docGrid w:type="lines" w:linePitch="312" w:charSpace="0"/>
        </w:sectPr>
      </w:pPr>
    </w:p>
    <w:p w14:paraId="1EF8043B">
      <w:pPr>
        <w:pStyle w:val="3"/>
        <w:bidi w:val="0"/>
        <w:spacing w:line="240" w:lineRule="auto"/>
        <w:rPr>
          <w:sz w:val="32"/>
          <w:szCs w:val="32"/>
        </w:rPr>
      </w:pPr>
      <w:bookmarkStart w:id="11" w:name="_Toc13236"/>
      <w:r>
        <w:rPr>
          <w:rFonts w:hint="eastAsia"/>
          <w:sz w:val="32"/>
          <w:szCs w:val="32"/>
          <w:lang w:val="en-US" w:eastAsia="zh-CN"/>
        </w:rPr>
        <w:t>2</w:t>
      </w:r>
      <w:r>
        <w:rPr>
          <w:sz w:val="32"/>
          <w:szCs w:val="32"/>
        </w:rPr>
        <w:t>总则</w:t>
      </w:r>
      <w:bookmarkEnd w:id="11"/>
    </w:p>
    <w:p w14:paraId="668236FC">
      <w:pPr>
        <w:pStyle w:val="4"/>
        <w:bidi w:val="0"/>
        <w:rPr>
          <w:rFonts w:hint="default" w:ascii="Times New Roman" w:hAnsi="Times New Roman" w:cs="Times New Roman" w:eastAsiaTheme="minorEastAsia"/>
          <w:lang w:val="en-US" w:eastAsia="zh-CN"/>
        </w:rPr>
      </w:pPr>
      <w:bookmarkStart w:id="12" w:name="_Toc20335"/>
      <w:r>
        <w:rPr>
          <w:rFonts w:hint="default" w:ascii="Times New Roman" w:hAnsi="Times New Roman" w:cs="Times New Roman" w:eastAsiaTheme="minorEastAsia"/>
          <w:lang w:val="en-US" w:eastAsia="zh-CN"/>
        </w:rPr>
        <w:t>2.1编制依据</w:t>
      </w:r>
      <w:bookmarkEnd w:id="12"/>
    </w:p>
    <w:p w14:paraId="0327E91C">
      <w:pPr>
        <w:pStyle w:val="5"/>
        <w:bidi w:val="0"/>
        <w:rPr>
          <w:rFonts w:hint="eastAsia"/>
          <w:lang w:val="en-US" w:eastAsia="zh-CN"/>
        </w:rPr>
      </w:pPr>
      <w:r>
        <w:rPr>
          <w:rFonts w:hint="eastAsia"/>
          <w:lang w:val="en-US" w:eastAsia="zh-CN"/>
        </w:rPr>
        <w:t>2.1.1相关法律法规及部门规章</w:t>
      </w:r>
    </w:p>
    <w:p w14:paraId="303727CB">
      <w:pPr>
        <w:spacing w:line="360" w:lineRule="auto"/>
        <w:ind w:firstLine="450"/>
        <w:rPr>
          <w:color w:val="auto"/>
          <w:sz w:val="24"/>
          <w:highlight w:val="none"/>
        </w:rPr>
      </w:pPr>
      <w:r>
        <w:rPr>
          <w:rFonts w:hint="eastAsia"/>
          <w:color w:val="auto"/>
          <w:sz w:val="24"/>
          <w:highlight w:val="none"/>
          <w:lang w:eastAsia="zh-CN"/>
        </w:rPr>
        <w:t>（</w:t>
      </w:r>
      <w:r>
        <w:rPr>
          <w:rFonts w:hint="eastAsia"/>
          <w:color w:val="auto"/>
          <w:sz w:val="24"/>
          <w:highlight w:val="none"/>
          <w:lang w:val="en-US" w:eastAsia="zh-CN"/>
        </w:rPr>
        <w:t>1</w:t>
      </w:r>
      <w:r>
        <w:rPr>
          <w:rFonts w:hint="eastAsia"/>
          <w:color w:val="auto"/>
          <w:sz w:val="24"/>
          <w:highlight w:val="none"/>
          <w:lang w:eastAsia="zh-CN"/>
        </w:rPr>
        <w:t>）</w:t>
      </w:r>
      <w:r>
        <w:rPr>
          <w:color w:val="auto"/>
          <w:sz w:val="24"/>
          <w:highlight w:val="none"/>
        </w:rPr>
        <w:t>《中华人民共和国环境保护法》，2015</w:t>
      </w:r>
      <w:r>
        <w:rPr>
          <w:rFonts w:hint="eastAsia"/>
          <w:color w:val="auto"/>
          <w:sz w:val="24"/>
          <w:highlight w:val="none"/>
        </w:rPr>
        <w:t>年</w:t>
      </w:r>
      <w:r>
        <w:rPr>
          <w:color w:val="auto"/>
          <w:sz w:val="24"/>
          <w:highlight w:val="none"/>
        </w:rPr>
        <w:t>1</w:t>
      </w:r>
      <w:r>
        <w:rPr>
          <w:rFonts w:hint="eastAsia"/>
          <w:color w:val="auto"/>
          <w:sz w:val="24"/>
          <w:highlight w:val="none"/>
        </w:rPr>
        <w:t>月</w:t>
      </w:r>
      <w:r>
        <w:rPr>
          <w:color w:val="auto"/>
          <w:sz w:val="24"/>
          <w:highlight w:val="none"/>
        </w:rPr>
        <w:t>1</w:t>
      </w:r>
      <w:r>
        <w:rPr>
          <w:rFonts w:hint="eastAsia"/>
          <w:color w:val="auto"/>
          <w:sz w:val="24"/>
          <w:highlight w:val="none"/>
        </w:rPr>
        <w:t>日</w:t>
      </w:r>
      <w:r>
        <w:rPr>
          <w:color w:val="auto"/>
          <w:sz w:val="24"/>
          <w:highlight w:val="none"/>
        </w:rPr>
        <w:t>；</w:t>
      </w:r>
    </w:p>
    <w:p w14:paraId="2EB5196C">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2</w:t>
      </w:r>
      <w:r>
        <w:rPr>
          <w:rFonts w:hint="eastAsia" w:eastAsia="宋体"/>
          <w:color w:val="auto"/>
          <w:sz w:val="24"/>
          <w:highlight w:val="none"/>
          <w:lang w:eastAsia="zh-CN"/>
        </w:rPr>
        <w:t>）</w:t>
      </w:r>
      <w:r>
        <w:rPr>
          <w:rFonts w:hint="eastAsia"/>
          <w:color w:val="auto"/>
          <w:sz w:val="24"/>
          <w:highlight w:val="none"/>
        </w:rPr>
        <w:t>《中华人民共和国环境影响评价法》，</w:t>
      </w:r>
      <w:r>
        <w:rPr>
          <w:color w:val="auto"/>
          <w:sz w:val="24"/>
          <w:highlight w:val="none"/>
        </w:rPr>
        <w:t>2018</w:t>
      </w:r>
      <w:r>
        <w:rPr>
          <w:rFonts w:hint="eastAsia"/>
          <w:color w:val="auto"/>
          <w:sz w:val="24"/>
          <w:highlight w:val="none"/>
        </w:rPr>
        <w:t>年</w:t>
      </w:r>
      <w:r>
        <w:rPr>
          <w:color w:val="auto"/>
          <w:sz w:val="24"/>
          <w:highlight w:val="none"/>
        </w:rPr>
        <w:t>12</w:t>
      </w:r>
      <w:r>
        <w:rPr>
          <w:rFonts w:hint="eastAsia"/>
          <w:color w:val="auto"/>
          <w:sz w:val="24"/>
          <w:highlight w:val="none"/>
        </w:rPr>
        <w:t>月</w:t>
      </w:r>
      <w:r>
        <w:rPr>
          <w:color w:val="auto"/>
          <w:sz w:val="24"/>
          <w:highlight w:val="none"/>
        </w:rPr>
        <w:t>29</w:t>
      </w:r>
      <w:r>
        <w:rPr>
          <w:rFonts w:hint="eastAsia"/>
          <w:color w:val="auto"/>
          <w:sz w:val="24"/>
          <w:highlight w:val="none"/>
        </w:rPr>
        <w:t>日；</w:t>
      </w:r>
    </w:p>
    <w:p w14:paraId="37EF7FF1">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3</w:t>
      </w:r>
      <w:r>
        <w:rPr>
          <w:rFonts w:hint="eastAsia" w:eastAsia="宋体"/>
          <w:color w:val="auto"/>
          <w:sz w:val="24"/>
          <w:highlight w:val="none"/>
          <w:lang w:eastAsia="zh-CN"/>
        </w:rPr>
        <w:t>）</w:t>
      </w:r>
      <w:r>
        <w:rPr>
          <w:rFonts w:hint="eastAsia"/>
          <w:color w:val="auto"/>
          <w:sz w:val="24"/>
          <w:highlight w:val="none"/>
        </w:rPr>
        <w:t>《中华人民共和国大气污染防治法》，</w:t>
      </w:r>
      <w:r>
        <w:rPr>
          <w:color w:val="auto"/>
          <w:sz w:val="24"/>
          <w:highlight w:val="none"/>
        </w:rPr>
        <w:t>2018</w:t>
      </w:r>
      <w:r>
        <w:rPr>
          <w:rFonts w:hint="eastAsia"/>
          <w:color w:val="auto"/>
          <w:sz w:val="24"/>
          <w:highlight w:val="none"/>
        </w:rPr>
        <w:t>年</w:t>
      </w:r>
      <w:r>
        <w:rPr>
          <w:color w:val="auto"/>
          <w:sz w:val="24"/>
          <w:highlight w:val="none"/>
        </w:rPr>
        <w:t>10</w:t>
      </w:r>
      <w:r>
        <w:rPr>
          <w:rFonts w:hint="eastAsia"/>
          <w:color w:val="auto"/>
          <w:sz w:val="24"/>
          <w:highlight w:val="none"/>
        </w:rPr>
        <w:t>月</w:t>
      </w:r>
      <w:r>
        <w:rPr>
          <w:color w:val="auto"/>
          <w:sz w:val="24"/>
          <w:highlight w:val="none"/>
        </w:rPr>
        <w:t>26</w:t>
      </w:r>
      <w:r>
        <w:rPr>
          <w:rFonts w:hint="eastAsia"/>
          <w:color w:val="auto"/>
          <w:sz w:val="24"/>
          <w:highlight w:val="none"/>
        </w:rPr>
        <w:t>日；</w:t>
      </w:r>
    </w:p>
    <w:p w14:paraId="674BD59F">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4</w:t>
      </w:r>
      <w:r>
        <w:rPr>
          <w:rFonts w:hint="eastAsia" w:eastAsia="宋体"/>
          <w:color w:val="auto"/>
          <w:sz w:val="24"/>
          <w:highlight w:val="none"/>
          <w:lang w:eastAsia="zh-CN"/>
        </w:rPr>
        <w:t>）</w:t>
      </w:r>
      <w:r>
        <w:rPr>
          <w:color w:val="auto"/>
          <w:sz w:val="24"/>
          <w:highlight w:val="none"/>
        </w:rPr>
        <w:t>《中华人民共和国水污染防治法》，2018</w:t>
      </w:r>
      <w:r>
        <w:rPr>
          <w:rFonts w:hint="eastAsia"/>
          <w:color w:val="auto"/>
          <w:sz w:val="24"/>
          <w:highlight w:val="none"/>
        </w:rPr>
        <w:t>年</w:t>
      </w:r>
      <w:r>
        <w:rPr>
          <w:color w:val="auto"/>
          <w:sz w:val="24"/>
          <w:highlight w:val="none"/>
        </w:rPr>
        <w:t>1</w:t>
      </w:r>
      <w:r>
        <w:rPr>
          <w:rFonts w:hint="eastAsia"/>
          <w:color w:val="auto"/>
          <w:sz w:val="24"/>
          <w:highlight w:val="none"/>
        </w:rPr>
        <w:t>月</w:t>
      </w:r>
      <w:r>
        <w:rPr>
          <w:color w:val="auto"/>
          <w:sz w:val="24"/>
          <w:highlight w:val="none"/>
        </w:rPr>
        <w:t>1</w:t>
      </w:r>
      <w:r>
        <w:rPr>
          <w:rFonts w:hint="eastAsia"/>
          <w:color w:val="auto"/>
          <w:sz w:val="24"/>
          <w:highlight w:val="none"/>
        </w:rPr>
        <w:t>日</w:t>
      </w:r>
      <w:r>
        <w:rPr>
          <w:color w:val="auto"/>
          <w:sz w:val="24"/>
          <w:highlight w:val="none"/>
        </w:rPr>
        <w:t>；</w:t>
      </w:r>
    </w:p>
    <w:p w14:paraId="1BB4A31D">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5</w:t>
      </w:r>
      <w:r>
        <w:rPr>
          <w:rFonts w:hint="eastAsia" w:eastAsia="宋体"/>
          <w:color w:val="auto"/>
          <w:sz w:val="24"/>
          <w:highlight w:val="none"/>
          <w:lang w:eastAsia="zh-CN"/>
        </w:rPr>
        <w:t>）</w:t>
      </w:r>
      <w:r>
        <w:rPr>
          <w:rFonts w:hint="eastAsia"/>
          <w:color w:val="auto"/>
          <w:sz w:val="24"/>
          <w:highlight w:val="none"/>
        </w:rPr>
        <w:t>《中华人民共和国噪声污染防治法》，</w:t>
      </w:r>
      <w:r>
        <w:rPr>
          <w:color w:val="auto"/>
          <w:sz w:val="24"/>
          <w:highlight w:val="none"/>
        </w:rPr>
        <w:t>2022</w:t>
      </w:r>
      <w:r>
        <w:rPr>
          <w:rFonts w:hint="eastAsia"/>
          <w:color w:val="auto"/>
          <w:sz w:val="24"/>
          <w:highlight w:val="none"/>
        </w:rPr>
        <w:t>年</w:t>
      </w:r>
      <w:r>
        <w:rPr>
          <w:color w:val="auto"/>
          <w:sz w:val="24"/>
          <w:highlight w:val="none"/>
        </w:rPr>
        <w:t>6</w:t>
      </w:r>
      <w:r>
        <w:rPr>
          <w:rFonts w:hint="eastAsia"/>
          <w:color w:val="auto"/>
          <w:sz w:val="24"/>
          <w:highlight w:val="none"/>
        </w:rPr>
        <w:t>月</w:t>
      </w:r>
      <w:r>
        <w:rPr>
          <w:color w:val="auto"/>
          <w:sz w:val="24"/>
          <w:highlight w:val="none"/>
        </w:rPr>
        <w:t>5</w:t>
      </w:r>
      <w:r>
        <w:rPr>
          <w:rFonts w:hint="eastAsia"/>
          <w:color w:val="auto"/>
          <w:sz w:val="24"/>
          <w:highlight w:val="none"/>
        </w:rPr>
        <w:t>日；</w:t>
      </w:r>
    </w:p>
    <w:p w14:paraId="06713790">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6</w:t>
      </w:r>
      <w:r>
        <w:rPr>
          <w:rFonts w:hint="eastAsia" w:eastAsia="宋体"/>
          <w:color w:val="auto"/>
          <w:sz w:val="24"/>
          <w:highlight w:val="none"/>
          <w:lang w:eastAsia="zh-CN"/>
        </w:rPr>
        <w:t>）</w:t>
      </w:r>
      <w:r>
        <w:rPr>
          <w:color w:val="auto"/>
          <w:sz w:val="24"/>
          <w:highlight w:val="none"/>
        </w:rPr>
        <w:t>《中华人民共和国固体废物污染环境防治法》，2020</w:t>
      </w:r>
      <w:r>
        <w:rPr>
          <w:rFonts w:hint="eastAsia"/>
          <w:color w:val="auto"/>
          <w:sz w:val="24"/>
          <w:highlight w:val="none"/>
        </w:rPr>
        <w:t>年</w:t>
      </w:r>
      <w:r>
        <w:rPr>
          <w:color w:val="auto"/>
          <w:sz w:val="24"/>
          <w:highlight w:val="none"/>
        </w:rPr>
        <w:t>9</w:t>
      </w:r>
      <w:r>
        <w:rPr>
          <w:rFonts w:hint="eastAsia"/>
          <w:color w:val="auto"/>
          <w:sz w:val="24"/>
          <w:highlight w:val="none"/>
        </w:rPr>
        <w:t>月</w:t>
      </w:r>
      <w:r>
        <w:rPr>
          <w:color w:val="auto"/>
          <w:sz w:val="24"/>
          <w:highlight w:val="none"/>
        </w:rPr>
        <w:t>1</w:t>
      </w:r>
      <w:r>
        <w:rPr>
          <w:rFonts w:hint="eastAsia"/>
          <w:color w:val="auto"/>
          <w:sz w:val="24"/>
          <w:highlight w:val="none"/>
        </w:rPr>
        <w:t>日</w:t>
      </w:r>
      <w:r>
        <w:rPr>
          <w:color w:val="auto"/>
          <w:sz w:val="24"/>
          <w:highlight w:val="none"/>
        </w:rPr>
        <w:t>；</w:t>
      </w:r>
    </w:p>
    <w:p w14:paraId="2686FFA0">
      <w:pPr>
        <w:spacing w:line="360" w:lineRule="auto"/>
        <w:ind w:firstLine="45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7</w:t>
      </w:r>
      <w:r>
        <w:rPr>
          <w:rFonts w:hint="eastAsia" w:eastAsia="宋体"/>
          <w:color w:val="auto"/>
          <w:sz w:val="24"/>
          <w:highlight w:val="none"/>
          <w:lang w:eastAsia="zh-CN"/>
        </w:rPr>
        <w:t>）</w:t>
      </w:r>
      <w:r>
        <w:rPr>
          <w:rFonts w:hint="eastAsia"/>
          <w:color w:val="auto"/>
          <w:sz w:val="24"/>
          <w:highlight w:val="none"/>
        </w:rPr>
        <w:t>《中华人民</w:t>
      </w:r>
      <w:r>
        <w:rPr>
          <w:color w:val="auto"/>
          <w:sz w:val="24"/>
          <w:highlight w:val="none"/>
        </w:rPr>
        <w:t>共和国土壤污染防治法</w:t>
      </w:r>
      <w:r>
        <w:rPr>
          <w:rFonts w:hint="eastAsia"/>
          <w:color w:val="auto"/>
          <w:sz w:val="24"/>
          <w:highlight w:val="none"/>
        </w:rPr>
        <w:t>》，201</w:t>
      </w:r>
      <w:r>
        <w:rPr>
          <w:color w:val="auto"/>
          <w:sz w:val="24"/>
          <w:highlight w:val="none"/>
        </w:rPr>
        <w:t>9</w:t>
      </w:r>
      <w:r>
        <w:rPr>
          <w:rFonts w:hint="eastAsia"/>
          <w:color w:val="auto"/>
          <w:sz w:val="24"/>
          <w:highlight w:val="none"/>
        </w:rPr>
        <w:t>年</w:t>
      </w:r>
      <w:r>
        <w:rPr>
          <w:color w:val="auto"/>
          <w:sz w:val="24"/>
          <w:highlight w:val="none"/>
        </w:rPr>
        <w:t>1</w:t>
      </w:r>
      <w:r>
        <w:rPr>
          <w:rFonts w:hint="eastAsia"/>
          <w:color w:val="auto"/>
          <w:sz w:val="24"/>
          <w:highlight w:val="none"/>
        </w:rPr>
        <w:t>月1日</w:t>
      </w:r>
      <w:r>
        <w:rPr>
          <w:color w:val="auto"/>
          <w:sz w:val="24"/>
          <w:highlight w:val="none"/>
        </w:rPr>
        <w:t>；</w:t>
      </w:r>
    </w:p>
    <w:p w14:paraId="22885650">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8</w:t>
      </w:r>
      <w:r>
        <w:rPr>
          <w:rFonts w:hint="eastAsia" w:eastAsia="宋体"/>
          <w:color w:val="auto"/>
          <w:sz w:val="24"/>
          <w:highlight w:val="none"/>
          <w:lang w:eastAsia="zh-CN"/>
        </w:rPr>
        <w:t>）</w:t>
      </w:r>
      <w:r>
        <w:rPr>
          <w:color w:val="auto"/>
          <w:sz w:val="24"/>
          <w:highlight w:val="none"/>
        </w:rPr>
        <w:t>《中华人民共和国矿产资源法》，2009</w:t>
      </w:r>
      <w:r>
        <w:rPr>
          <w:rFonts w:hint="eastAsia"/>
          <w:color w:val="auto"/>
          <w:sz w:val="24"/>
          <w:highlight w:val="none"/>
        </w:rPr>
        <w:t>年8月27日</w:t>
      </w:r>
      <w:r>
        <w:rPr>
          <w:color w:val="auto"/>
          <w:sz w:val="24"/>
          <w:highlight w:val="none"/>
        </w:rPr>
        <w:t>；</w:t>
      </w:r>
    </w:p>
    <w:p w14:paraId="0E6D98B8">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9</w:t>
      </w:r>
      <w:r>
        <w:rPr>
          <w:rFonts w:hint="eastAsia" w:eastAsia="宋体"/>
          <w:color w:val="auto"/>
          <w:sz w:val="24"/>
          <w:highlight w:val="none"/>
          <w:lang w:eastAsia="zh-CN"/>
        </w:rPr>
        <w:t>）</w:t>
      </w:r>
      <w:r>
        <w:rPr>
          <w:rFonts w:hint="eastAsia"/>
          <w:color w:val="auto"/>
          <w:sz w:val="24"/>
          <w:highlight w:val="none"/>
        </w:rPr>
        <w:t>《中华人民共和国循环经济促进法》，</w:t>
      </w:r>
      <w:r>
        <w:rPr>
          <w:color w:val="auto"/>
          <w:sz w:val="24"/>
          <w:highlight w:val="none"/>
        </w:rPr>
        <w:t>2009</w:t>
      </w:r>
      <w:r>
        <w:rPr>
          <w:rFonts w:hint="eastAsia"/>
          <w:color w:val="auto"/>
          <w:sz w:val="24"/>
          <w:highlight w:val="none"/>
        </w:rPr>
        <w:t>年</w:t>
      </w:r>
      <w:r>
        <w:rPr>
          <w:color w:val="auto"/>
          <w:sz w:val="24"/>
          <w:highlight w:val="none"/>
        </w:rPr>
        <w:t>1</w:t>
      </w:r>
      <w:r>
        <w:rPr>
          <w:rFonts w:hint="eastAsia"/>
          <w:color w:val="auto"/>
          <w:sz w:val="24"/>
          <w:highlight w:val="none"/>
        </w:rPr>
        <w:t>月</w:t>
      </w:r>
      <w:r>
        <w:rPr>
          <w:color w:val="auto"/>
          <w:sz w:val="24"/>
          <w:highlight w:val="none"/>
        </w:rPr>
        <w:t>1</w:t>
      </w:r>
      <w:r>
        <w:rPr>
          <w:rFonts w:hint="eastAsia"/>
          <w:color w:val="auto"/>
          <w:sz w:val="24"/>
          <w:highlight w:val="none"/>
        </w:rPr>
        <w:t>日；</w:t>
      </w:r>
    </w:p>
    <w:p w14:paraId="12FD25E6">
      <w:pPr>
        <w:spacing w:line="360" w:lineRule="auto"/>
        <w:ind w:firstLine="450"/>
        <w:rPr>
          <w:color w:val="auto"/>
          <w:sz w:val="24"/>
          <w:highlight w:val="none"/>
        </w:rPr>
      </w:pPr>
      <w:r>
        <w:rPr>
          <w:rFonts w:hint="eastAsia" w:eastAsia="宋体"/>
          <w:color w:val="auto"/>
          <w:sz w:val="24"/>
          <w:highlight w:val="none"/>
          <w:lang w:eastAsia="zh-CN"/>
        </w:rPr>
        <w:t>（</w:t>
      </w:r>
      <w:r>
        <w:rPr>
          <w:rFonts w:hint="eastAsia"/>
          <w:color w:val="auto"/>
          <w:sz w:val="24"/>
          <w:highlight w:val="none"/>
          <w:lang w:val="en-US" w:eastAsia="zh-CN"/>
        </w:rPr>
        <w:t>10</w:t>
      </w:r>
      <w:r>
        <w:rPr>
          <w:rFonts w:hint="eastAsia" w:eastAsia="宋体"/>
          <w:color w:val="auto"/>
          <w:sz w:val="24"/>
          <w:highlight w:val="none"/>
          <w:lang w:eastAsia="zh-CN"/>
        </w:rPr>
        <w:t>）</w:t>
      </w:r>
      <w:r>
        <w:rPr>
          <w:rFonts w:hint="eastAsia"/>
          <w:color w:val="auto"/>
          <w:sz w:val="24"/>
          <w:highlight w:val="none"/>
        </w:rPr>
        <w:t>《中华人民共和国节约能源法》，</w:t>
      </w:r>
      <w:r>
        <w:rPr>
          <w:color w:val="auto"/>
          <w:sz w:val="24"/>
          <w:highlight w:val="none"/>
        </w:rPr>
        <w:t>2018</w:t>
      </w:r>
      <w:r>
        <w:rPr>
          <w:rFonts w:hint="eastAsia"/>
          <w:color w:val="auto"/>
          <w:sz w:val="24"/>
          <w:highlight w:val="none"/>
        </w:rPr>
        <w:t>年</w:t>
      </w:r>
      <w:r>
        <w:rPr>
          <w:color w:val="auto"/>
          <w:sz w:val="24"/>
          <w:highlight w:val="none"/>
        </w:rPr>
        <w:t>10</w:t>
      </w:r>
      <w:r>
        <w:rPr>
          <w:rFonts w:hint="eastAsia"/>
          <w:color w:val="auto"/>
          <w:sz w:val="24"/>
          <w:highlight w:val="none"/>
        </w:rPr>
        <w:t>月</w:t>
      </w:r>
      <w:r>
        <w:rPr>
          <w:color w:val="auto"/>
          <w:sz w:val="24"/>
          <w:highlight w:val="none"/>
        </w:rPr>
        <w:t>26</w:t>
      </w:r>
      <w:r>
        <w:rPr>
          <w:rFonts w:hint="eastAsia"/>
          <w:color w:val="auto"/>
          <w:sz w:val="24"/>
          <w:highlight w:val="none"/>
        </w:rPr>
        <w:t>日；</w:t>
      </w:r>
    </w:p>
    <w:p w14:paraId="58478870">
      <w:pPr>
        <w:spacing w:line="360" w:lineRule="auto"/>
        <w:ind w:firstLine="45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1</w:t>
      </w:r>
      <w:r>
        <w:rPr>
          <w:rFonts w:hint="eastAsia"/>
          <w:color w:val="auto"/>
          <w:sz w:val="24"/>
          <w:highlight w:val="none"/>
          <w:lang w:val="en-US" w:eastAsia="zh-CN"/>
        </w:rPr>
        <w:t>1</w:t>
      </w:r>
      <w:r>
        <w:rPr>
          <w:rFonts w:hint="eastAsia" w:eastAsia="宋体"/>
          <w:color w:val="auto"/>
          <w:sz w:val="24"/>
          <w:highlight w:val="none"/>
          <w:lang w:eastAsia="zh-CN"/>
        </w:rPr>
        <w:t>）</w:t>
      </w:r>
      <w:r>
        <w:rPr>
          <w:rFonts w:hint="eastAsia"/>
          <w:color w:val="auto"/>
          <w:sz w:val="24"/>
          <w:highlight w:val="none"/>
        </w:rPr>
        <w:t>《中华人民共和国水法》，</w:t>
      </w:r>
      <w:r>
        <w:rPr>
          <w:color w:val="auto"/>
          <w:sz w:val="24"/>
          <w:highlight w:val="none"/>
        </w:rPr>
        <w:t>2</w:t>
      </w:r>
      <w:r>
        <w:rPr>
          <w:rFonts w:hint="eastAsia"/>
          <w:color w:val="auto"/>
          <w:sz w:val="24"/>
          <w:highlight w:val="none"/>
        </w:rPr>
        <w:t>016年7月2日；</w:t>
      </w:r>
    </w:p>
    <w:p w14:paraId="4E9E940D">
      <w:pPr>
        <w:spacing w:line="360" w:lineRule="auto"/>
        <w:ind w:firstLine="45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1</w:t>
      </w:r>
      <w:r>
        <w:rPr>
          <w:rFonts w:hint="eastAsia"/>
          <w:color w:val="auto"/>
          <w:sz w:val="24"/>
          <w:highlight w:val="none"/>
          <w:lang w:val="en-US" w:eastAsia="zh-CN"/>
        </w:rPr>
        <w:t>2</w:t>
      </w:r>
      <w:r>
        <w:rPr>
          <w:rFonts w:hint="eastAsia" w:eastAsia="宋体"/>
          <w:color w:val="auto"/>
          <w:sz w:val="24"/>
          <w:highlight w:val="none"/>
          <w:lang w:eastAsia="zh-CN"/>
        </w:rPr>
        <w:t>）</w:t>
      </w:r>
      <w:r>
        <w:rPr>
          <w:color w:val="auto"/>
          <w:sz w:val="24"/>
          <w:highlight w:val="none"/>
        </w:rPr>
        <w:t>《建设项目环境保护管理条例》，2017</w:t>
      </w:r>
      <w:r>
        <w:rPr>
          <w:rFonts w:hint="eastAsia"/>
          <w:color w:val="auto"/>
          <w:sz w:val="24"/>
          <w:highlight w:val="none"/>
        </w:rPr>
        <w:t>年</w:t>
      </w:r>
      <w:r>
        <w:rPr>
          <w:color w:val="auto"/>
          <w:sz w:val="24"/>
          <w:highlight w:val="none"/>
        </w:rPr>
        <w:t>10</w:t>
      </w:r>
      <w:r>
        <w:rPr>
          <w:rFonts w:hint="eastAsia"/>
          <w:color w:val="auto"/>
          <w:sz w:val="24"/>
          <w:highlight w:val="none"/>
        </w:rPr>
        <w:t>月</w:t>
      </w:r>
      <w:r>
        <w:rPr>
          <w:color w:val="auto"/>
          <w:sz w:val="24"/>
          <w:highlight w:val="none"/>
        </w:rPr>
        <w:t>1</w:t>
      </w:r>
      <w:r>
        <w:rPr>
          <w:rFonts w:hint="eastAsia"/>
          <w:color w:val="auto"/>
          <w:sz w:val="24"/>
          <w:highlight w:val="none"/>
        </w:rPr>
        <w:t>日</w:t>
      </w:r>
      <w:r>
        <w:rPr>
          <w:color w:val="auto"/>
          <w:sz w:val="24"/>
          <w:highlight w:val="none"/>
        </w:rPr>
        <w:t>；</w:t>
      </w:r>
    </w:p>
    <w:p w14:paraId="68EF5429">
      <w:pPr>
        <w:spacing w:line="360" w:lineRule="auto"/>
        <w:ind w:firstLine="45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1</w:t>
      </w:r>
      <w:r>
        <w:rPr>
          <w:rFonts w:hint="eastAsia"/>
          <w:color w:val="auto"/>
          <w:sz w:val="24"/>
          <w:highlight w:val="none"/>
          <w:lang w:val="en-US" w:eastAsia="zh-CN"/>
        </w:rPr>
        <w:t>3</w:t>
      </w:r>
      <w:r>
        <w:rPr>
          <w:rFonts w:hint="eastAsia" w:eastAsia="宋体"/>
          <w:color w:val="auto"/>
          <w:sz w:val="24"/>
          <w:highlight w:val="none"/>
          <w:lang w:eastAsia="zh-CN"/>
        </w:rPr>
        <w:t>）</w:t>
      </w:r>
      <w:r>
        <w:rPr>
          <w:rFonts w:hint="eastAsia"/>
          <w:color w:val="auto"/>
          <w:sz w:val="24"/>
          <w:highlight w:val="none"/>
        </w:rPr>
        <w:t>《土地复垦条例》国务院第</w:t>
      </w:r>
      <w:r>
        <w:rPr>
          <w:color w:val="auto"/>
          <w:sz w:val="24"/>
          <w:highlight w:val="none"/>
        </w:rPr>
        <w:t>592</w:t>
      </w:r>
      <w:r>
        <w:rPr>
          <w:rFonts w:hint="eastAsia"/>
          <w:color w:val="auto"/>
          <w:sz w:val="24"/>
          <w:highlight w:val="none"/>
        </w:rPr>
        <w:t>号令，</w:t>
      </w:r>
      <w:r>
        <w:rPr>
          <w:color w:val="auto"/>
          <w:sz w:val="24"/>
          <w:highlight w:val="none"/>
        </w:rPr>
        <w:t>2011</w:t>
      </w:r>
      <w:r>
        <w:rPr>
          <w:rFonts w:hint="eastAsia"/>
          <w:color w:val="auto"/>
          <w:sz w:val="24"/>
          <w:highlight w:val="none"/>
        </w:rPr>
        <w:t>年</w:t>
      </w:r>
      <w:r>
        <w:rPr>
          <w:color w:val="auto"/>
          <w:sz w:val="24"/>
          <w:highlight w:val="none"/>
        </w:rPr>
        <w:t>3</w:t>
      </w:r>
      <w:r>
        <w:rPr>
          <w:rFonts w:hint="eastAsia"/>
          <w:color w:val="auto"/>
          <w:sz w:val="24"/>
          <w:highlight w:val="none"/>
        </w:rPr>
        <w:t>月</w:t>
      </w:r>
      <w:r>
        <w:rPr>
          <w:color w:val="auto"/>
          <w:sz w:val="24"/>
          <w:highlight w:val="none"/>
        </w:rPr>
        <w:t>5</w:t>
      </w:r>
      <w:r>
        <w:rPr>
          <w:rFonts w:hint="eastAsia"/>
          <w:color w:val="auto"/>
          <w:sz w:val="24"/>
          <w:highlight w:val="none"/>
        </w:rPr>
        <w:t>日</w:t>
      </w:r>
      <w:r>
        <w:rPr>
          <w:color w:val="auto"/>
          <w:sz w:val="24"/>
          <w:highlight w:val="none"/>
        </w:rPr>
        <w:t>；</w:t>
      </w:r>
    </w:p>
    <w:p w14:paraId="4A3C8051">
      <w:pPr>
        <w:spacing w:line="360" w:lineRule="auto"/>
        <w:ind w:firstLine="450"/>
        <w:rPr>
          <w:color w:val="auto"/>
          <w:sz w:val="24"/>
          <w:highlight w:val="none"/>
        </w:rPr>
      </w:pPr>
      <w:r>
        <w:rPr>
          <w:rFonts w:hint="eastAsia" w:eastAsia="宋体"/>
          <w:color w:val="auto"/>
          <w:sz w:val="24"/>
          <w:highlight w:val="none"/>
          <w:lang w:eastAsia="zh-CN"/>
        </w:rPr>
        <w:t>（</w:t>
      </w:r>
      <w:r>
        <w:rPr>
          <w:rFonts w:hint="eastAsia" w:ascii="Times New Roman" w:eastAsia="宋体"/>
          <w:color w:val="auto"/>
          <w:sz w:val="24"/>
          <w:highlight w:val="none"/>
          <w:lang w:val="en-US" w:eastAsia="zh-CN"/>
        </w:rPr>
        <w:t>1</w:t>
      </w:r>
      <w:r>
        <w:rPr>
          <w:rFonts w:hint="eastAsia"/>
          <w:color w:val="auto"/>
          <w:sz w:val="24"/>
          <w:highlight w:val="none"/>
          <w:lang w:val="en-US" w:eastAsia="zh-CN"/>
        </w:rPr>
        <w:t>4</w:t>
      </w:r>
      <w:r>
        <w:rPr>
          <w:rFonts w:hint="eastAsia" w:eastAsia="宋体"/>
          <w:color w:val="auto"/>
          <w:sz w:val="24"/>
          <w:highlight w:val="none"/>
          <w:lang w:eastAsia="zh-CN"/>
        </w:rPr>
        <w:t>）</w:t>
      </w:r>
      <w:r>
        <w:rPr>
          <w:rFonts w:hint="eastAsia"/>
          <w:color w:val="auto"/>
          <w:sz w:val="24"/>
          <w:highlight w:val="none"/>
        </w:rPr>
        <w:t>《建设项目环境影响评价分类管理名录（2021年</w:t>
      </w:r>
      <w:r>
        <w:rPr>
          <w:color w:val="auto"/>
          <w:sz w:val="24"/>
          <w:highlight w:val="none"/>
        </w:rPr>
        <w:t>版</w:t>
      </w:r>
      <w:r>
        <w:rPr>
          <w:rFonts w:hint="eastAsia"/>
          <w:color w:val="auto"/>
          <w:sz w:val="24"/>
          <w:highlight w:val="none"/>
        </w:rPr>
        <w:t>）》生态环境部令第</w:t>
      </w:r>
      <w:r>
        <w:rPr>
          <w:color w:val="auto"/>
          <w:sz w:val="24"/>
          <w:highlight w:val="none"/>
        </w:rPr>
        <w:t>16</w:t>
      </w:r>
      <w:r>
        <w:rPr>
          <w:rFonts w:hint="eastAsia"/>
          <w:color w:val="auto"/>
          <w:sz w:val="24"/>
          <w:highlight w:val="none"/>
        </w:rPr>
        <w:t>号，</w:t>
      </w:r>
      <w:r>
        <w:rPr>
          <w:color w:val="auto"/>
          <w:sz w:val="24"/>
          <w:highlight w:val="none"/>
        </w:rPr>
        <w:t>2021</w:t>
      </w:r>
      <w:r>
        <w:rPr>
          <w:rFonts w:hint="eastAsia"/>
          <w:color w:val="auto"/>
          <w:sz w:val="24"/>
          <w:highlight w:val="none"/>
        </w:rPr>
        <w:t>年</w:t>
      </w:r>
      <w:r>
        <w:rPr>
          <w:color w:val="auto"/>
          <w:sz w:val="24"/>
          <w:highlight w:val="none"/>
        </w:rPr>
        <w:t>1</w:t>
      </w:r>
      <w:r>
        <w:rPr>
          <w:rFonts w:hint="eastAsia"/>
          <w:color w:val="auto"/>
          <w:sz w:val="24"/>
          <w:highlight w:val="none"/>
        </w:rPr>
        <w:t>月</w:t>
      </w:r>
      <w:r>
        <w:rPr>
          <w:color w:val="auto"/>
          <w:sz w:val="24"/>
          <w:highlight w:val="none"/>
        </w:rPr>
        <w:t>1</w:t>
      </w:r>
      <w:r>
        <w:rPr>
          <w:rFonts w:hint="eastAsia"/>
          <w:color w:val="auto"/>
          <w:sz w:val="24"/>
          <w:highlight w:val="none"/>
        </w:rPr>
        <w:t>日；</w:t>
      </w:r>
    </w:p>
    <w:p w14:paraId="00BAD2C3">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1</w:t>
      </w:r>
      <w:r>
        <w:rPr>
          <w:rFonts w:hint="eastAsia"/>
          <w:color w:val="auto"/>
          <w:sz w:val="24"/>
          <w:lang w:val="en-US" w:eastAsia="zh-CN"/>
        </w:rPr>
        <w:t>5</w:t>
      </w:r>
      <w:r>
        <w:rPr>
          <w:rFonts w:hint="eastAsia" w:eastAsia="宋体"/>
          <w:color w:val="auto"/>
          <w:sz w:val="24"/>
          <w:lang w:eastAsia="zh-CN"/>
        </w:rPr>
        <w:t>）</w:t>
      </w:r>
      <w:r>
        <w:rPr>
          <w:color w:val="auto"/>
          <w:sz w:val="24"/>
        </w:rPr>
        <w:t>《产业结构调整指导目录（20</w:t>
      </w:r>
      <w:r>
        <w:rPr>
          <w:rFonts w:hint="eastAsia"/>
          <w:color w:val="auto"/>
          <w:sz w:val="24"/>
          <w:lang w:val="en-US" w:eastAsia="zh-CN"/>
        </w:rPr>
        <w:t>24</w:t>
      </w:r>
      <w:r>
        <w:rPr>
          <w:color w:val="auto"/>
          <w:sz w:val="24"/>
        </w:rPr>
        <w:t>年本）》；</w:t>
      </w:r>
    </w:p>
    <w:p w14:paraId="446A324A">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1</w:t>
      </w:r>
      <w:r>
        <w:rPr>
          <w:rFonts w:hint="eastAsia"/>
          <w:color w:val="auto"/>
          <w:sz w:val="24"/>
          <w:lang w:val="en-US" w:eastAsia="zh-CN"/>
        </w:rPr>
        <w:t>7</w:t>
      </w:r>
      <w:r>
        <w:rPr>
          <w:rFonts w:hint="eastAsia" w:eastAsia="宋体"/>
          <w:color w:val="auto"/>
          <w:sz w:val="24"/>
          <w:lang w:eastAsia="zh-CN"/>
        </w:rPr>
        <w:t>）</w:t>
      </w:r>
      <w:r>
        <w:rPr>
          <w:rFonts w:hint="eastAsia"/>
          <w:color w:val="auto"/>
          <w:sz w:val="24"/>
        </w:rPr>
        <w:t>《环境影响评价公众参与办法》生态环境部令</w:t>
      </w:r>
      <w:r>
        <w:rPr>
          <w:color w:val="auto"/>
          <w:sz w:val="24"/>
        </w:rPr>
        <w:t xml:space="preserve"> </w:t>
      </w:r>
      <w:r>
        <w:rPr>
          <w:rFonts w:hint="eastAsia"/>
          <w:color w:val="auto"/>
          <w:sz w:val="24"/>
        </w:rPr>
        <w:t>第</w:t>
      </w:r>
      <w:r>
        <w:rPr>
          <w:color w:val="auto"/>
          <w:sz w:val="24"/>
        </w:rPr>
        <w:t>4</w:t>
      </w:r>
      <w:r>
        <w:rPr>
          <w:rFonts w:hint="eastAsia"/>
          <w:color w:val="auto"/>
          <w:sz w:val="24"/>
        </w:rPr>
        <w:t>号，</w:t>
      </w:r>
      <w:r>
        <w:rPr>
          <w:color w:val="auto"/>
          <w:sz w:val="24"/>
        </w:rPr>
        <w:t>2019</w:t>
      </w:r>
      <w:r>
        <w:rPr>
          <w:rFonts w:hint="eastAsia"/>
          <w:color w:val="auto"/>
          <w:sz w:val="24"/>
        </w:rPr>
        <w:t>年</w:t>
      </w:r>
      <w:r>
        <w:rPr>
          <w:color w:val="auto"/>
          <w:sz w:val="24"/>
        </w:rPr>
        <w:t>1</w:t>
      </w:r>
      <w:r>
        <w:rPr>
          <w:rFonts w:hint="eastAsia"/>
          <w:color w:val="auto"/>
          <w:sz w:val="24"/>
        </w:rPr>
        <w:t>月</w:t>
      </w:r>
      <w:r>
        <w:rPr>
          <w:color w:val="auto"/>
          <w:sz w:val="24"/>
        </w:rPr>
        <w:t>1</w:t>
      </w:r>
      <w:r>
        <w:rPr>
          <w:rFonts w:hint="eastAsia"/>
          <w:color w:val="auto"/>
          <w:sz w:val="24"/>
        </w:rPr>
        <w:t>日；</w:t>
      </w:r>
    </w:p>
    <w:p w14:paraId="1537E762">
      <w:pPr>
        <w:spacing w:line="360" w:lineRule="auto"/>
        <w:ind w:firstLine="450"/>
        <w:rPr>
          <w:rFonts w:hint="eastAsia" w:eastAsia="宋体"/>
          <w:color w:val="auto"/>
          <w:sz w:val="24"/>
          <w:lang w:eastAsia="zh-CN"/>
        </w:rPr>
      </w:pPr>
      <w:r>
        <w:rPr>
          <w:rFonts w:hint="eastAsia" w:eastAsia="宋体"/>
          <w:color w:val="auto"/>
          <w:sz w:val="24"/>
          <w:lang w:eastAsia="zh-CN"/>
        </w:rPr>
        <w:t>（</w:t>
      </w:r>
      <w:r>
        <w:rPr>
          <w:rFonts w:hint="eastAsia" w:ascii="Times New Roman" w:eastAsia="宋体"/>
          <w:color w:val="auto"/>
          <w:sz w:val="24"/>
          <w:lang w:val="en-US" w:eastAsia="zh-CN"/>
        </w:rPr>
        <w:t>1</w:t>
      </w:r>
      <w:r>
        <w:rPr>
          <w:rFonts w:hint="eastAsia"/>
          <w:color w:val="auto"/>
          <w:sz w:val="24"/>
          <w:lang w:val="en-US" w:eastAsia="zh-CN"/>
        </w:rPr>
        <w:t>8</w:t>
      </w:r>
      <w:r>
        <w:rPr>
          <w:rFonts w:hint="eastAsia" w:eastAsia="宋体"/>
          <w:color w:val="auto"/>
          <w:sz w:val="24"/>
          <w:lang w:eastAsia="zh-CN"/>
        </w:rPr>
        <w:t>）</w:t>
      </w:r>
      <w:r>
        <w:rPr>
          <w:rFonts w:hint="eastAsia"/>
          <w:color w:val="auto"/>
          <w:sz w:val="24"/>
        </w:rPr>
        <w:t>《关于进一步加强环境影响评价管理防范环境风险的通知》环发</w:t>
      </w:r>
      <w:r>
        <w:rPr>
          <w:color w:val="auto"/>
          <w:sz w:val="24"/>
        </w:rPr>
        <w:t>〔2012〕77</w:t>
      </w:r>
      <w:r>
        <w:rPr>
          <w:rFonts w:hint="eastAsia"/>
          <w:color w:val="auto"/>
          <w:sz w:val="24"/>
        </w:rPr>
        <w:t>号，</w:t>
      </w:r>
      <w:r>
        <w:rPr>
          <w:color w:val="auto"/>
          <w:sz w:val="24"/>
        </w:rPr>
        <w:t>2012</w:t>
      </w:r>
      <w:r>
        <w:rPr>
          <w:rFonts w:hint="eastAsia"/>
          <w:color w:val="auto"/>
          <w:sz w:val="24"/>
        </w:rPr>
        <w:t>年</w:t>
      </w:r>
      <w:r>
        <w:rPr>
          <w:color w:val="auto"/>
          <w:sz w:val="24"/>
        </w:rPr>
        <w:t>7</w:t>
      </w:r>
      <w:r>
        <w:rPr>
          <w:rFonts w:hint="eastAsia"/>
          <w:color w:val="auto"/>
          <w:sz w:val="24"/>
        </w:rPr>
        <w:t>月</w:t>
      </w:r>
      <w:r>
        <w:rPr>
          <w:color w:val="auto"/>
          <w:sz w:val="24"/>
        </w:rPr>
        <w:t>3</w:t>
      </w:r>
      <w:r>
        <w:rPr>
          <w:rFonts w:hint="eastAsia"/>
          <w:color w:val="auto"/>
          <w:sz w:val="24"/>
        </w:rPr>
        <w:t>日；</w:t>
      </w:r>
    </w:p>
    <w:p w14:paraId="1DAF2C16">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19</w:t>
      </w:r>
      <w:r>
        <w:rPr>
          <w:rFonts w:hint="eastAsia" w:eastAsia="宋体"/>
          <w:color w:val="auto"/>
          <w:sz w:val="24"/>
          <w:lang w:eastAsia="zh-CN"/>
        </w:rPr>
        <w:t>）</w:t>
      </w:r>
      <w:r>
        <w:rPr>
          <w:rFonts w:hint="eastAsia"/>
          <w:color w:val="auto"/>
          <w:sz w:val="24"/>
        </w:rPr>
        <w:t>《关于切实加强风险防范严格环境影响评价管理的通知》环发</w:t>
      </w:r>
      <w:r>
        <w:rPr>
          <w:color w:val="auto"/>
          <w:sz w:val="24"/>
        </w:rPr>
        <w:t>〔2012〕98号</w:t>
      </w:r>
      <w:r>
        <w:rPr>
          <w:rFonts w:hint="eastAsia"/>
          <w:color w:val="auto"/>
          <w:sz w:val="24"/>
        </w:rPr>
        <w:t>，</w:t>
      </w:r>
      <w:r>
        <w:rPr>
          <w:color w:val="auto"/>
          <w:sz w:val="24"/>
        </w:rPr>
        <w:t>2012</w:t>
      </w:r>
      <w:r>
        <w:rPr>
          <w:rFonts w:hint="eastAsia"/>
          <w:color w:val="auto"/>
          <w:sz w:val="24"/>
        </w:rPr>
        <w:t>年</w:t>
      </w:r>
      <w:r>
        <w:rPr>
          <w:color w:val="auto"/>
          <w:sz w:val="24"/>
        </w:rPr>
        <w:t>8</w:t>
      </w:r>
      <w:r>
        <w:rPr>
          <w:rFonts w:hint="eastAsia"/>
          <w:color w:val="auto"/>
          <w:sz w:val="24"/>
        </w:rPr>
        <w:t>月</w:t>
      </w:r>
      <w:r>
        <w:rPr>
          <w:color w:val="auto"/>
          <w:sz w:val="24"/>
        </w:rPr>
        <w:t>7</w:t>
      </w:r>
      <w:r>
        <w:rPr>
          <w:rFonts w:hint="eastAsia"/>
          <w:color w:val="auto"/>
          <w:sz w:val="24"/>
        </w:rPr>
        <w:t>日</w:t>
      </w:r>
      <w:r>
        <w:rPr>
          <w:color w:val="auto"/>
          <w:sz w:val="24"/>
        </w:rPr>
        <w:t>；</w:t>
      </w:r>
    </w:p>
    <w:p w14:paraId="2ECD7A85">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0</w:t>
      </w:r>
      <w:r>
        <w:rPr>
          <w:rFonts w:hint="eastAsia" w:eastAsia="宋体"/>
          <w:color w:val="auto"/>
          <w:sz w:val="24"/>
          <w:lang w:eastAsia="zh-CN"/>
        </w:rPr>
        <w:t>）</w:t>
      </w:r>
      <w:r>
        <w:rPr>
          <w:color w:val="auto"/>
          <w:sz w:val="24"/>
        </w:rPr>
        <w:t>《关于加强生产建设项目土地复垦管理工作的通知》国土资发〔2006〕225号</w:t>
      </w:r>
      <w:r>
        <w:rPr>
          <w:rFonts w:hint="eastAsia"/>
          <w:color w:val="auto"/>
          <w:sz w:val="24"/>
        </w:rPr>
        <w:t>，</w:t>
      </w:r>
      <w:r>
        <w:rPr>
          <w:color w:val="auto"/>
          <w:sz w:val="24"/>
        </w:rPr>
        <w:t>20</w:t>
      </w:r>
      <w:r>
        <w:rPr>
          <w:rFonts w:hint="eastAsia"/>
          <w:color w:val="auto"/>
          <w:sz w:val="24"/>
        </w:rPr>
        <w:t>06年9月30日</w:t>
      </w:r>
      <w:r>
        <w:rPr>
          <w:color w:val="auto"/>
          <w:sz w:val="24"/>
        </w:rPr>
        <w:t>；</w:t>
      </w:r>
    </w:p>
    <w:p w14:paraId="72F2079E">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1</w:t>
      </w:r>
      <w:r>
        <w:rPr>
          <w:rFonts w:hint="eastAsia" w:eastAsia="宋体"/>
          <w:color w:val="auto"/>
          <w:sz w:val="24"/>
          <w:lang w:eastAsia="zh-CN"/>
        </w:rPr>
        <w:t>）</w:t>
      </w:r>
      <w:r>
        <w:rPr>
          <w:color w:val="auto"/>
          <w:sz w:val="24"/>
        </w:rPr>
        <w:t>《关于发布</w:t>
      </w:r>
      <w:r>
        <w:rPr>
          <w:rFonts w:hint="eastAsia"/>
          <w:color w:val="auto"/>
          <w:sz w:val="24"/>
        </w:rPr>
        <w:t>&lt;</w:t>
      </w:r>
      <w:r>
        <w:rPr>
          <w:color w:val="auto"/>
          <w:sz w:val="24"/>
        </w:rPr>
        <w:t>环境空气细颗粒物污染综合防治技术政策</w:t>
      </w:r>
      <w:r>
        <w:rPr>
          <w:rFonts w:hint="eastAsia"/>
          <w:color w:val="auto"/>
          <w:sz w:val="24"/>
        </w:rPr>
        <w:t>&gt;</w:t>
      </w:r>
      <w:r>
        <w:rPr>
          <w:color w:val="auto"/>
          <w:sz w:val="24"/>
        </w:rPr>
        <w:t>的公告》，环保部2013第59号</w:t>
      </w:r>
      <w:r>
        <w:rPr>
          <w:rFonts w:hint="eastAsia"/>
          <w:color w:val="auto"/>
          <w:sz w:val="24"/>
        </w:rPr>
        <w:t>，</w:t>
      </w:r>
      <w:r>
        <w:rPr>
          <w:color w:val="auto"/>
          <w:sz w:val="24"/>
        </w:rPr>
        <w:t>2013</w:t>
      </w:r>
      <w:r>
        <w:rPr>
          <w:rFonts w:hint="eastAsia"/>
          <w:color w:val="auto"/>
          <w:sz w:val="24"/>
        </w:rPr>
        <w:t>年</w:t>
      </w:r>
      <w:r>
        <w:rPr>
          <w:color w:val="auto"/>
          <w:sz w:val="24"/>
        </w:rPr>
        <w:t>9</w:t>
      </w:r>
      <w:r>
        <w:rPr>
          <w:rFonts w:hint="eastAsia"/>
          <w:color w:val="auto"/>
          <w:sz w:val="24"/>
        </w:rPr>
        <w:t>月</w:t>
      </w:r>
      <w:r>
        <w:rPr>
          <w:color w:val="auto"/>
          <w:sz w:val="24"/>
        </w:rPr>
        <w:t>13</w:t>
      </w:r>
      <w:r>
        <w:rPr>
          <w:rFonts w:hint="eastAsia"/>
          <w:color w:val="auto"/>
          <w:sz w:val="24"/>
        </w:rPr>
        <w:t>日</w:t>
      </w:r>
      <w:r>
        <w:rPr>
          <w:color w:val="auto"/>
          <w:sz w:val="24"/>
        </w:rPr>
        <w:t>；</w:t>
      </w:r>
    </w:p>
    <w:p w14:paraId="6D78B23B">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2</w:t>
      </w:r>
      <w:r>
        <w:rPr>
          <w:rFonts w:hint="eastAsia" w:eastAsia="宋体"/>
          <w:color w:val="auto"/>
          <w:sz w:val="24"/>
          <w:lang w:eastAsia="zh-CN"/>
        </w:rPr>
        <w:t>）</w:t>
      </w:r>
      <w:r>
        <w:rPr>
          <w:color w:val="auto"/>
          <w:sz w:val="24"/>
        </w:rPr>
        <w:t>《国务院关于加快推进生态文明建设的意见》，2015</w:t>
      </w:r>
      <w:r>
        <w:rPr>
          <w:rFonts w:hint="eastAsia"/>
          <w:color w:val="auto"/>
          <w:sz w:val="24"/>
        </w:rPr>
        <w:t>年</w:t>
      </w:r>
      <w:r>
        <w:rPr>
          <w:color w:val="auto"/>
          <w:sz w:val="24"/>
        </w:rPr>
        <w:t>4</w:t>
      </w:r>
      <w:r>
        <w:rPr>
          <w:rFonts w:hint="eastAsia"/>
          <w:color w:val="auto"/>
          <w:sz w:val="24"/>
        </w:rPr>
        <w:t>月</w:t>
      </w:r>
      <w:r>
        <w:rPr>
          <w:color w:val="auto"/>
          <w:sz w:val="24"/>
        </w:rPr>
        <w:t>；</w:t>
      </w:r>
    </w:p>
    <w:p w14:paraId="2F139F2F">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3</w:t>
      </w:r>
      <w:r>
        <w:rPr>
          <w:rFonts w:hint="eastAsia" w:eastAsia="宋体"/>
          <w:color w:val="auto"/>
          <w:sz w:val="24"/>
          <w:lang w:eastAsia="zh-CN"/>
        </w:rPr>
        <w:t>）</w:t>
      </w:r>
      <w:r>
        <w:rPr>
          <w:color w:val="auto"/>
          <w:sz w:val="24"/>
        </w:rPr>
        <w:t>《突发环境事件应急管理办法》环境保护部令第34号</w:t>
      </w:r>
      <w:r>
        <w:rPr>
          <w:rFonts w:hint="eastAsia"/>
          <w:color w:val="auto"/>
          <w:sz w:val="24"/>
        </w:rPr>
        <w:t>，</w:t>
      </w:r>
      <w:r>
        <w:rPr>
          <w:color w:val="auto"/>
          <w:sz w:val="24"/>
        </w:rPr>
        <w:t>2015</w:t>
      </w:r>
      <w:r>
        <w:rPr>
          <w:rFonts w:hint="eastAsia"/>
          <w:color w:val="auto"/>
          <w:sz w:val="24"/>
        </w:rPr>
        <w:t>年</w:t>
      </w:r>
      <w:r>
        <w:rPr>
          <w:color w:val="auto"/>
          <w:sz w:val="24"/>
        </w:rPr>
        <w:t>4</w:t>
      </w:r>
      <w:r>
        <w:rPr>
          <w:rFonts w:hint="eastAsia"/>
          <w:color w:val="auto"/>
          <w:sz w:val="24"/>
        </w:rPr>
        <w:t>月</w:t>
      </w:r>
      <w:r>
        <w:rPr>
          <w:color w:val="auto"/>
          <w:sz w:val="24"/>
        </w:rPr>
        <w:t>；</w:t>
      </w:r>
    </w:p>
    <w:p w14:paraId="3960830E">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4</w:t>
      </w:r>
      <w:r>
        <w:rPr>
          <w:rFonts w:hint="eastAsia" w:eastAsia="宋体"/>
          <w:color w:val="auto"/>
          <w:sz w:val="24"/>
          <w:lang w:eastAsia="zh-CN"/>
        </w:rPr>
        <w:t>）</w:t>
      </w:r>
      <w:r>
        <w:rPr>
          <w:color w:val="auto"/>
          <w:sz w:val="24"/>
        </w:rPr>
        <w:t>《</w:t>
      </w:r>
      <w:r>
        <w:rPr>
          <w:rFonts w:hint="eastAsia"/>
          <w:color w:val="auto"/>
          <w:sz w:val="24"/>
        </w:rPr>
        <w:t>排污许可</w:t>
      </w:r>
      <w:r>
        <w:rPr>
          <w:rFonts w:hint="eastAsia"/>
          <w:color w:val="auto"/>
          <w:sz w:val="24"/>
          <w:lang w:val="en-US" w:eastAsia="zh-CN"/>
        </w:rPr>
        <w:t>管理</w:t>
      </w:r>
      <w:r>
        <w:rPr>
          <w:color w:val="auto"/>
          <w:sz w:val="24"/>
        </w:rPr>
        <w:t>条例》国务院令第736号</w:t>
      </w:r>
      <w:r>
        <w:rPr>
          <w:rFonts w:hint="eastAsia"/>
          <w:color w:val="auto"/>
          <w:sz w:val="24"/>
        </w:rPr>
        <w:t>，20</w:t>
      </w:r>
      <w:r>
        <w:rPr>
          <w:color w:val="auto"/>
          <w:sz w:val="24"/>
        </w:rPr>
        <w:t>21</w:t>
      </w:r>
      <w:r>
        <w:rPr>
          <w:rFonts w:hint="eastAsia"/>
          <w:color w:val="auto"/>
          <w:sz w:val="24"/>
        </w:rPr>
        <w:t>年</w:t>
      </w:r>
      <w:r>
        <w:rPr>
          <w:color w:val="auto"/>
          <w:sz w:val="24"/>
        </w:rPr>
        <w:t>3</w:t>
      </w:r>
      <w:r>
        <w:rPr>
          <w:rFonts w:hint="eastAsia"/>
          <w:color w:val="auto"/>
          <w:sz w:val="24"/>
        </w:rPr>
        <w:t>月1日</w:t>
      </w:r>
      <w:r>
        <w:rPr>
          <w:color w:val="auto"/>
          <w:sz w:val="24"/>
        </w:rPr>
        <w:t>；</w:t>
      </w:r>
    </w:p>
    <w:p w14:paraId="11342029">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5</w:t>
      </w:r>
      <w:r>
        <w:rPr>
          <w:rFonts w:hint="eastAsia" w:eastAsia="宋体"/>
          <w:color w:val="auto"/>
          <w:sz w:val="24"/>
          <w:lang w:eastAsia="zh-CN"/>
        </w:rPr>
        <w:t>）</w:t>
      </w:r>
      <w:r>
        <w:rPr>
          <w:color w:val="auto"/>
          <w:sz w:val="24"/>
        </w:rPr>
        <w:t>《中共中央、国务院关于深入打好污染防治攻坚战的意见》</w:t>
      </w:r>
      <w:r>
        <w:rPr>
          <w:rFonts w:hint="eastAsia"/>
          <w:color w:val="auto"/>
          <w:sz w:val="24"/>
        </w:rPr>
        <w:t>，20</w:t>
      </w:r>
      <w:r>
        <w:rPr>
          <w:color w:val="auto"/>
          <w:sz w:val="24"/>
        </w:rPr>
        <w:t>21</w:t>
      </w:r>
      <w:r>
        <w:rPr>
          <w:rFonts w:hint="eastAsia"/>
          <w:color w:val="auto"/>
          <w:sz w:val="24"/>
        </w:rPr>
        <w:t>年</w:t>
      </w:r>
      <w:r>
        <w:rPr>
          <w:color w:val="auto"/>
          <w:sz w:val="24"/>
        </w:rPr>
        <w:t>11</w:t>
      </w:r>
      <w:r>
        <w:rPr>
          <w:rFonts w:hint="eastAsia"/>
          <w:color w:val="auto"/>
          <w:sz w:val="24"/>
        </w:rPr>
        <w:t>月2日；</w:t>
      </w:r>
    </w:p>
    <w:p w14:paraId="2831FBA4">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6</w:t>
      </w:r>
      <w:r>
        <w:rPr>
          <w:rFonts w:hint="eastAsia" w:eastAsia="宋体"/>
          <w:color w:val="auto"/>
          <w:sz w:val="24"/>
          <w:lang w:eastAsia="zh-CN"/>
        </w:rPr>
        <w:t>）</w:t>
      </w:r>
      <w:r>
        <w:rPr>
          <w:color w:val="auto"/>
          <w:sz w:val="24"/>
        </w:rPr>
        <w:t>《</w:t>
      </w:r>
      <w:r>
        <w:rPr>
          <w:rFonts w:hint="eastAsia"/>
          <w:color w:val="auto"/>
          <w:sz w:val="24"/>
        </w:rPr>
        <w:t>地下水管理</w:t>
      </w:r>
      <w:r>
        <w:rPr>
          <w:color w:val="auto"/>
          <w:sz w:val="24"/>
        </w:rPr>
        <w:t>条例》国务院令第748号</w:t>
      </w:r>
      <w:r>
        <w:rPr>
          <w:rFonts w:hint="eastAsia"/>
          <w:color w:val="auto"/>
          <w:sz w:val="24"/>
        </w:rPr>
        <w:t>，20</w:t>
      </w:r>
      <w:r>
        <w:rPr>
          <w:color w:val="auto"/>
          <w:sz w:val="24"/>
        </w:rPr>
        <w:t>21</w:t>
      </w:r>
      <w:r>
        <w:rPr>
          <w:rFonts w:hint="eastAsia"/>
          <w:color w:val="auto"/>
          <w:sz w:val="24"/>
        </w:rPr>
        <w:t>年</w:t>
      </w:r>
      <w:r>
        <w:rPr>
          <w:color w:val="auto"/>
          <w:sz w:val="24"/>
        </w:rPr>
        <w:t>12</w:t>
      </w:r>
      <w:r>
        <w:rPr>
          <w:rFonts w:hint="eastAsia"/>
          <w:color w:val="auto"/>
          <w:sz w:val="24"/>
        </w:rPr>
        <w:t>月1日</w:t>
      </w:r>
      <w:r>
        <w:rPr>
          <w:color w:val="auto"/>
          <w:sz w:val="24"/>
        </w:rPr>
        <w:t>；</w:t>
      </w:r>
    </w:p>
    <w:p w14:paraId="5FBBCB8C">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w:t>
      </w:r>
      <w:r>
        <w:rPr>
          <w:rFonts w:hint="eastAsia"/>
          <w:color w:val="auto"/>
          <w:sz w:val="24"/>
          <w:lang w:val="en-US" w:eastAsia="zh-CN"/>
        </w:rPr>
        <w:t>7</w:t>
      </w:r>
      <w:r>
        <w:rPr>
          <w:rFonts w:hint="eastAsia" w:eastAsia="宋体"/>
          <w:color w:val="auto"/>
          <w:sz w:val="24"/>
          <w:lang w:eastAsia="zh-CN"/>
        </w:rPr>
        <w:t>）</w:t>
      </w:r>
      <w:r>
        <w:rPr>
          <w:color w:val="auto"/>
          <w:sz w:val="24"/>
        </w:rPr>
        <w:t>《</w:t>
      </w:r>
      <w:r>
        <w:rPr>
          <w:rFonts w:hint="eastAsia"/>
          <w:color w:val="auto"/>
          <w:sz w:val="24"/>
        </w:rPr>
        <w:t>关于加强高耗能、高排放建设项目生态环境源头防控的指导意见</w:t>
      </w:r>
      <w:r>
        <w:rPr>
          <w:color w:val="auto"/>
          <w:sz w:val="24"/>
        </w:rPr>
        <w:t>》</w:t>
      </w:r>
      <w:r>
        <w:rPr>
          <w:rFonts w:hint="eastAsia"/>
          <w:color w:val="auto"/>
          <w:sz w:val="24"/>
        </w:rPr>
        <w:t>环环评</w:t>
      </w:r>
      <w:r>
        <w:rPr>
          <w:color w:val="auto"/>
          <w:sz w:val="24"/>
        </w:rPr>
        <w:t>〔2021〕45号</w:t>
      </w:r>
      <w:r>
        <w:rPr>
          <w:rFonts w:hint="eastAsia"/>
          <w:color w:val="auto"/>
          <w:sz w:val="24"/>
        </w:rPr>
        <w:t>，20</w:t>
      </w:r>
      <w:r>
        <w:rPr>
          <w:color w:val="auto"/>
          <w:sz w:val="24"/>
        </w:rPr>
        <w:t>21</w:t>
      </w:r>
      <w:r>
        <w:rPr>
          <w:rFonts w:hint="eastAsia"/>
          <w:color w:val="auto"/>
          <w:sz w:val="24"/>
        </w:rPr>
        <w:t>年</w:t>
      </w:r>
      <w:r>
        <w:rPr>
          <w:color w:val="auto"/>
          <w:sz w:val="24"/>
        </w:rPr>
        <w:t>5</w:t>
      </w:r>
      <w:r>
        <w:rPr>
          <w:rFonts w:hint="eastAsia"/>
          <w:color w:val="auto"/>
          <w:sz w:val="24"/>
        </w:rPr>
        <w:t>月</w:t>
      </w:r>
      <w:r>
        <w:rPr>
          <w:color w:val="auto"/>
          <w:sz w:val="24"/>
        </w:rPr>
        <w:t>30</w:t>
      </w:r>
      <w:r>
        <w:rPr>
          <w:rFonts w:hint="eastAsia"/>
          <w:color w:val="auto"/>
          <w:sz w:val="24"/>
        </w:rPr>
        <w:t>日</w:t>
      </w:r>
      <w:r>
        <w:rPr>
          <w:color w:val="auto"/>
          <w:sz w:val="24"/>
        </w:rPr>
        <w:t>；</w:t>
      </w:r>
    </w:p>
    <w:p w14:paraId="44FA605B">
      <w:pPr>
        <w:spacing w:line="360" w:lineRule="auto"/>
        <w:ind w:firstLine="450"/>
        <w:rPr>
          <w:color w:val="auto"/>
          <w:sz w:val="24"/>
        </w:rPr>
      </w:pPr>
      <w:r>
        <w:rPr>
          <w:rFonts w:hint="eastAsia" w:eastAsia="宋体"/>
          <w:color w:val="auto"/>
          <w:sz w:val="24"/>
          <w:lang w:eastAsia="zh-CN"/>
        </w:rPr>
        <w:t>（</w:t>
      </w:r>
      <w:r>
        <w:rPr>
          <w:rFonts w:hint="eastAsia" w:ascii="Times New Roman" w:eastAsia="宋体"/>
          <w:color w:val="auto"/>
          <w:sz w:val="24"/>
          <w:lang w:val="en-US" w:eastAsia="zh-CN"/>
        </w:rPr>
        <w:t>28</w:t>
      </w:r>
      <w:r>
        <w:rPr>
          <w:rFonts w:hint="eastAsia" w:eastAsia="宋体"/>
          <w:color w:val="auto"/>
          <w:sz w:val="24"/>
          <w:lang w:eastAsia="zh-CN"/>
        </w:rPr>
        <w:t>）</w:t>
      </w:r>
      <w:r>
        <w:rPr>
          <w:rFonts w:hint="eastAsia"/>
          <w:color w:val="auto"/>
          <w:sz w:val="24"/>
        </w:rPr>
        <w:t>《关于</w:t>
      </w:r>
      <w:r>
        <w:rPr>
          <w:color w:val="auto"/>
          <w:sz w:val="24"/>
        </w:rPr>
        <w:t>发布</w:t>
      </w:r>
      <w:r>
        <w:rPr>
          <w:rFonts w:hint="eastAsia"/>
          <w:color w:val="auto"/>
          <w:sz w:val="24"/>
        </w:rPr>
        <w:t>&lt;矿产</w:t>
      </w:r>
      <w:r>
        <w:rPr>
          <w:color w:val="auto"/>
          <w:sz w:val="24"/>
        </w:rPr>
        <w:t>资源开发利用辐射环境监督管理名录</w:t>
      </w:r>
      <w:r>
        <w:rPr>
          <w:rFonts w:hint="eastAsia"/>
          <w:color w:val="auto"/>
          <w:sz w:val="24"/>
        </w:rPr>
        <w:t>&gt;的</w:t>
      </w:r>
      <w:r>
        <w:rPr>
          <w:color w:val="auto"/>
          <w:sz w:val="24"/>
        </w:rPr>
        <w:t>公告</w:t>
      </w:r>
      <w:r>
        <w:rPr>
          <w:rFonts w:hint="eastAsia"/>
          <w:color w:val="auto"/>
          <w:sz w:val="24"/>
        </w:rPr>
        <w:t>》生态环境部公告</w:t>
      </w:r>
      <w:r>
        <w:rPr>
          <w:color w:val="auto"/>
          <w:sz w:val="24"/>
        </w:rPr>
        <w:t>2020</w:t>
      </w:r>
      <w:r>
        <w:rPr>
          <w:rFonts w:hint="eastAsia"/>
          <w:color w:val="auto"/>
          <w:sz w:val="24"/>
        </w:rPr>
        <w:t>年第</w:t>
      </w:r>
      <w:r>
        <w:rPr>
          <w:color w:val="auto"/>
          <w:sz w:val="24"/>
        </w:rPr>
        <w:t>54</w:t>
      </w:r>
      <w:r>
        <w:rPr>
          <w:rFonts w:hint="eastAsia"/>
          <w:color w:val="auto"/>
          <w:sz w:val="24"/>
        </w:rPr>
        <w:t>号，</w:t>
      </w:r>
      <w:r>
        <w:rPr>
          <w:color w:val="auto"/>
          <w:sz w:val="24"/>
        </w:rPr>
        <w:t>2021</w:t>
      </w:r>
      <w:r>
        <w:rPr>
          <w:rFonts w:hint="eastAsia"/>
          <w:color w:val="auto"/>
          <w:sz w:val="24"/>
        </w:rPr>
        <w:t>年</w:t>
      </w:r>
      <w:r>
        <w:rPr>
          <w:color w:val="auto"/>
          <w:sz w:val="24"/>
        </w:rPr>
        <w:t>1</w:t>
      </w:r>
      <w:r>
        <w:rPr>
          <w:rFonts w:hint="eastAsia"/>
          <w:color w:val="auto"/>
          <w:sz w:val="24"/>
        </w:rPr>
        <w:t>月</w:t>
      </w:r>
      <w:r>
        <w:rPr>
          <w:color w:val="auto"/>
          <w:sz w:val="24"/>
        </w:rPr>
        <w:t>1</w:t>
      </w:r>
      <w:r>
        <w:rPr>
          <w:rFonts w:hint="eastAsia"/>
          <w:color w:val="auto"/>
          <w:sz w:val="24"/>
        </w:rPr>
        <w:t>日；</w:t>
      </w:r>
    </w:p>
    <w:p w14:paraId="2C4567E2">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29</w:t>
      </w:r>
      <w:r>
        <w:rPr>
          <w:rFonts w:hint="eastAsia" w:eastAsia="宋体"/>
          <w:color w:val="auto"/>
          <w:sz w:val="24"/>
          <w:lang w:eastAsia="zh-CN"/>
        </w:rPr>
        <w:t>）</w:t>
      </w:r>
      <w:r>
        <w:rPr>
          <w:rFonts w:hint="eastAsia" w:eastAsia="宋体"/>
          <w:color w:val="auto"/>
          <w:sz w:val="24"/>
          <w:lang w:val="en-US" w:eastAsia="zh-CN"/>
        </w:rPr>
        <w:t>《国家危险废物名录（2025年版）》，2025年1月1日</w:t>
      </w:r>
      <w:r>
        <w:rPr>
          <w:rFonts w:hint="eastAsia"/>
          <w:color w:val="auto"/>
          <w:sz w:val="24"/>
          <w:lang w:val="en-US" w:eastAsia="zh-CN"/>
        </w:rPr>
        <w:t>；</w:t>
      </w:r>
    </w:p>
    <w:p w14:paraId="1AE5C644">
      <w:pPr>
        <w:spacing w:line="360" w:lineRule="auto"/>
        <w:ind w:firstLine="450"/>
        <w:rPr>
          <w:rFonts w:hint="eastAsia" w:eastAsia="宋体"/>
          <w:color w:val="auto"/>
          <w:sz w:val="24"/>
          <w:lang w:eastAsia="zh-CN"/>
        </w:rPr>
      </w:pPr>
      <w:r>
        <w:rPr>
          <w:rFonts w:hint="eastAsia" w:eastAsia="宋体"/>
          <w:color w:val="auto"/>
          <w:sz w:val="24"/>
          <w:lang w:eastAsia="zh-CN"/>
        </w:rPr>
        <w:t>（</w:t>
      </w:r>
      <w:r>
        <w:rPr>
          <w:rFonts w:hint="eastAsia" w:ascii="Times New Roman" w:eastAsia="宋体"/>
          <w:color w:val="auto"/>
          <w:sz w:val="24"/>
          <w:lang w:val="en-US" w:eastAsia="zh-CN"/>
        </w:rPr>
        <w:t>30</w:t>
      </w:r>
      <w:r>
        <w:rPr>
          <w:rFonts w:hint="eastAsia" w:eastAsia="宋体"/>
          <w:color w:val="auto"/>
          <w:sz w:val="24"/>
          <w:lang w:eastAsia="zh-CN"/>
        </w:rPr>
        <w:t>）</w:t>
      </w:r>
      <w:r>
        <w:rPr>
          <w:rFonts w:hint="eastAsia"/>
          <w:color w:val="auto"/>
          <w:sz w:val="24"/>
        </w:rPr>
        <w:t>《尾矿污染环境防治管理办法》生态环境</w:t>
      </w:r>
      <w:r>
        <w:rPr>
          <w:color w:val="auto"/>
          <w:sz w:val="24"/>
        </w:rPr>
        <w:t>部令第26号</w:t>
      </w:r>
      <w:r>
        <w:rPr>
          <w:rFonts w:hint="eastAsia"/>
          <w:color w:val="auto"/>
          <w:sz w:val="24"/>
        </w:rPr>
        <w:t>，</w:t>
      </w:r>
      <w:r>
        <w:rPr>
          <w:color w:val="auto"/>
          <w:sz w:val="24"/>
        </w:rPr>
        <w:t>2022</w:t>
      </w:r>
      <w:r>
        <w:rPr>
          <w:rFonts w:hint="eastAsia"/>
          <w:color w:val="auto"/>
          <w:sz w:val="24"/>
        </w:rPr>
        <w:t>年</w:t>
      </w:r>
      <w:r>
        <w:rPr>
          <w:color w:val="auto"/>
          <w:sz w:val="24"/>
        </w:rPr>
        <w:t>7</w:t>
      </w:r>
      <w:r>
        <w:rPr>
          <w:rFonts w:hint="eastAsia"/>
          <w:color w:val="auto"/>
          <w:sz w:val="24"/>
        </w:rPr>
        <w:t>月1日</w:t>
      </w:r>
      <w:r>
        <w:rPr>
          <w:rFonts w:hint="eastAsia"/>
          <w:color w:val="auto"/>
          <w:sz w:val="24"/>
          <w:lang w:eastAsia="zh-CN"/>
        </w:rPr>
        <w:t>。</w:t>
      </w:r>
    </w:p>
    <w:p w14:paraId="7C7A4638">
      <w:pPr>
        <w:pStyle w:val="5"/>
        <w:bidi w:val="0"/>
        <w:rPr>
          <w:rFonts w:hint="eastAsia"/>
          <w:lang w:val="en-US" w:eastAsia="zh-CN"/>
        </w:rPr>
      </w:pPr>
      <w:r>
        <w:rPr>
          <w:rFonts w:hint="eastAsia"/>
          <w:lang w:val="en-US" w:eastAsia="zh-CN"/>
        </w:rPr>
        <w:t>2.1.2省、市环境保护法规、规章文件</w:t>
      </w:r>
    </w:p>
    <w:p w14:paraId="72B7DB76">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1</w:t>
      </w:r>
      <w:r>
        <w:rPr>
          <w:rFonts w:hint="eastAsia" w:eastAsia="宋体"/>
          <w:color w:val="auto"/>
          <w:sz w:val="24"/>
          <w:lang w:eastAsia="zh-CN"/>
        </w:rPr>
        <w:t>）</w:t>
      </w:r>
      <w:r>
        <w:rPr>
          <w:color w:val="auto"/>
          <w:sz w:val="24"/>
        </w:rPr>
        <w:t>《辽宁省环境保护条例》，2022</w:t>
      </w:r>
      <w:r>
        <w:rPr>
          <w:rFonts w:hint="eastAsia"/>
          <w:color w:val="auto"/>
          <w:sz w:val="24"/>
        </w:rPr>
        <w:t>年</w:t>
      </w:r>
      <w:r>
        <w:rPr>
          <w:color w:val="auto"/>
          <w:sz w:val="24"/>
        </w:rPr>
        <w:t>4</w:t>
      </w:r>
      <w:r>
        <w:rPr>
          <w:rFonts w:hint="eastAsia"/>
          <w:color w:val="auto"/>
          <w:sz w:val="24"/>
        </w:rPr>
        <w:t>月</w:t>
      </w:r>
      <w:r>
        <w:rPr>
          <w:color w:val="auto"/>
          <w:sz w:val="24"/>
        </w:rPr>
        <w:t>21</w:t>
      </w:r>
      <w:r>
        <w:rPr>
          <w:rFonts w:hint="eastAsia"/>
          <w:color w:val="auto"/>
          <w:sz w:val="24"/>
        </w:rPr>
        <w:t>日</w:t>
      </w:r>
      <w:r>
        <w:rPr>
          <w:color w:val="auto"/>
          <w:sz w:val="24"/>
        </w:rPr>
        <w:t>；</w:t>
      </w:r>
    </w:p>
    <w:p w14:paraId="4F55B68D">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2</w:t>
      </w:r>
      <w:r>
        <w:rPr>
          <w:rFonts w:hint="eastAsia" w:eastAsia="宋体"/>
          <w:color w:val="auto"/>
          <w:sz w:val="24"/>
          <w:lang w:eastAsia="zh-CN"/>
        </w:rPr>
        <w:t>）</w:t>
      </w:r>
      <w:r>
        <w:rPr>
          <w:rFonts w:hint="eastAsia"/>
          <w:color w:val="auto"/>
          <w:sz w:val="24"/>
        </w:rPr>
        <w:t>《辽宁省水污染防治条例》，</w:t>
      </w:r>
      <w:r>
        <w:rPr>
          <w:color w:val="auto"/>
          <w:sz w:val="24"/>
        </w:rPr>
        <w:t>2022</w:t>
      </w:r>
      <w:r>
        <w:rPr>
          <w:rFonts w:hint="eastAsia"/>
          <w:color w:val="auto"/>
          <w:sz w:val="24"/>
        </w:rPr>
        <w:t>年</w:t>
      </w:r>
      <w:r>
        <w:rPr>
          <w:color w:val="auto"/>
          <w:sz w:val="24"/>
        </w:rPr>
        <w:t>4</w:t>
      </w:r>
      <w:r>
        <w:rPr>
          <w:rFonts w:hint="eastAsia"/>
          <w:color w:val="auto"/>
          <w:sz w:val="24"/>
        </w:rPr>
        <w:t>月</w:t>
      </w:r>
      <w:r>
        <w:rPr>
          <w:color w:val="auto"/>
          <w:sz w:val="24"/>
        </w:rPr>
        <w:t>21</w:t>
      </w:r>
      <w:r>
        <w:rPr>
          <w:rFonts w:hint="eastAsia"/>
          <w:color w:val="auto"/>
          <w:sz w:val="24"/>
        </w:rPr>
        <w:t>日；</w:t>
      </w:r>
    </w:p>
    <w:p w14:paraId="509E2003">
      <w:pPr>
        <w:spacing w:line="360" w:lineRule="auto"/>
        <w:ind w:firstLine="450"/>
        <w:rPr>
          <w:color w:val="auto"/>
          <w:sz w:val="24"/>
        </w:rPr>
      </w:pPr>
      <w:r>
        <w:rPr>
          <w:rFonts w:hint="eastAsia"/>
          <w:color w:val="auto"/>
          <w:sz w:val="24"/>
          <w:lang w:eastAsia="zh-CN"/>
        </w:rPr>
        <w:t>（</w:t>
      </w:r>
      <w:r>
        <w:rPr>
          <w:rFonts w:hint="eastAsia"/>
          <w:color w:val="auto"/>
          <w:sz w:val="24"/>
          <w:lang w:val="en-US" w:eastAsia="zh-CN"/>
        </w:rPr>
        <w:t>3</w:t>
      </w:r>
      <w:r>
        <w:rPr>
          <w:rFonts w:hint="eastAsia"/>
          <w:color w:val="auto"/>
          <w:sz w:val="24"/>
          <w:lang w:eastAsia="zh-CN"/>
        </w:rPr>
        <w:t>）</w:t>
      </w:r>
      <w:r>
        <w:rPr>
          <w:rFonts w:hint="eastAsia"/>
          <w:color w:val="auto"/>
          <w:sz w:val="24"/>
        </w:rPr>
        <w:t>《辽宁省大气污染</w:t>
      </w:r>
      <w:r>
        <w:rPr>
          <w:color w:val="auto"/>
          <w:sz w:val="24"/>
        </w:rPr>
        <w:t>防治</w:t>
      </w:r>
      <w:r>
        <w:rPr>
          <w:rFonts w:hint="eastAsia"/>
          <w:color w:val="auto"/>
          <w:sz w:val="24"/>
        </w:rPr>
        <w:t>条例》，</w:t>
      </w:r>
      <w:r>
        <w:rPr>
          <w:color w:val="auto"/>
          <w:sz w:val="24"/>
        </w:rPr>
        <w:t>2022</w:t>
      </w:r>
      <w:r>
        <w:rPr>
          <w:rFonts w:hint="eastAsia"/>
          <w:color w:val="auto"/>
          <w:sz w:val="24"/>
        </w:rPr>
        <w:t>年4月</w:t>
      </w:r>
      <w:r>
        <w:rPr>
          <w:color w:val="auto"/>
          <w:sz w:val="24"/>
        </w:rPr>
        <w:t>21</w:t>
      </w:r>
      <w:r>
        <w:rPr>
          <w:rFonts w:hint="eastAsia"/>
          <w:color w:val="auto"/>
          <w:sz w:val="24"/>
        </w:rPr>
        <w:t>日；</w:t>
      </w:r>
    </w:p>
    <w:p w14:paraId="1EC589D4">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4</w:t>
      </w:r>
      <w:r>
        <w:rPr>
          <w:rFonts w:hint="eastAsia" w:eastAsia="宋体"/>
          <w:color w:val="auto"/>
          <w:sz w:val="24"/>
          <w:lang w:eastAsia="zh-CN"/>
        </w:rPr>
        <w:t>）</w:t>
      </w:r>
      <w:r>
        <w:rPr>
          <w:color w:val="auto"/>
          <w:sz w:val="24"/>
        </w:rPr>
        <w:t>《辽宁省固体废物污染环境防治办法》2017</w:t>
      </w:r>
      <w:r>
        <w:rPr>
          <w:rFonts w:hint="eastAsia"/>
          <w:color w:val="auto"/>
          <w:sz w:val="24"/>
        </w:rPr>
        <w:t>年</w:t>
      </w:r>
      <w:r>
        <w:rPr>
          <w:color w:val="auto"/>
          <w:sz w:val="24"/>
        </w:rPr>
        <w:t>11</w:t>
      </w:r>
      <w:r>
        <w:rPr>
          <w:rFonts w:hint="eastAsia"/>
          <w:color w:val="auto"/>
          <w:sz w:val="24"/>
        </w:rPr>
        <w:t>月</w:t>
      </w:r>
      <w:r>
        <w:rPr>
          <w:color w:val="auto"/>
          <w:sz w:val="24"/>
        </w:rPr>
        <w:t>29</w:t>
      </w:r>
      <w:r>
        <w:rPr>
          <w:rFonts w:hint="eastAsia"/>
          <w:color w:val="auto"/>
          <w:sz w:val="24"/>
        </w:rPr>
        <w:t>日</w:t>
      </w:r>
      <w:r>
        <w:rPr>
          <w:color w:val="auto"/>
          <w:sz w:val="24"/>
        </w:rPr>
        <w:t>；</w:t>
      </w:r>
    </w:p>
    <w:p w14:paraId="294534B1">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5</w:t>
      </w:r>
      <w:r>
        <w:rPr>
          <w:rFonts w:hint="eastAsia" w:eastAsia="宋体"/>
          <w:color w:val="auto"/>
          <w:sz w:val="24"/>
          <w:lang w:eastAsia="zh-CN"/>
        </w:rPr>
        <w:t>）</w:t>
      </w:r>
      <w:r>
        <w:rPr>
          <w:color w:val="auto"/>
          <w:sz w:val="24"/>
        </w:rPr>
        <w:t>《辽宁省地下水资源保护条例》2020</w:t>
      </w:r>
      <w:r>
        <w:rPr>
          <w:rFonts w:hint="eastAsia"/>
          <w:color w:val="auto"/>
          <w:sz w:val="24"/>
        </w:rPr>
        <w:t>年</w:t>
      </w:r>
      <w:r>
        <w:rPr>
          <w:color w:val="auto"/>
          <w:sz w:val="24"/>
        </w:rPr>
        <w:t>3</w:t>
      </w:r>
      <w:r>
        <w:rPr>
          <w:rFonts w:hint="eastAsia"/>
          <w:color w:val="auto"/>
          <w:sz w:val="24"/>
        </w:rPr>
        <w:t>月</w:t>
      </w:r>
      <w:r>
        <w:rPr>
          <w:color w:val="auto"/>
          <w:sz w:val="24"/>
        </w:rPr>
        <w:t>30</w:t>
      </w:r>
      <w:r>
        <w:rPr>
          <w:rFonts w:hint="eastAsia"/>
          <w:color w:val="auto"/>
          <w:sz w:val="24"/>
        </w:rPr>
        <w:t>日</w:t>
      </w:r>
      <w:r>
        <w:rPr>
          <w:color w:val="auto"/>
          <w:sz w:val="24"/>
        </w:rPr>
        <w:t>；</w:t>
      </w:r>
    </w:p>
    <w:p w14:paraId="0E1AC1BE">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6</w:t>
      </w:r>
      <w:r>
        <w:rPr>
          <w:rFonts w:hint="eastAsia" w:eastAsia="宋体"/>
          <w:color w:val="auto"/>
          <w:sz w:val="24"/>
          <w:lang w:eastAsia="zh-CN"/>
        </w:rPr>
        <w:t>）</w:t>
      </w:r>
      <w:r>
        <w:rPr>
          <w:color w:val="auto"/>
          <w:sz w:val="24"/>
        </w:rPr>
        <w:t>《辽宁省人民政府关于印发辽宁省</w:t>
      </w:r>
      <w:r>
        <w:rPr>
          <w:rFonts w:hint="eastAsia"/>
          <w:color w:val="auto"/>
          <w:sz w:val="24"/>
        </w:rPr>
        <w:t>土壤</w:t>
      </w:r>
      <w:r>
        <w:rPr>
          <w:color w:val="auto"/>
          <w:sz w:val="24"/>
        </w:rPr>
        <w:t>污染防治工作方案的通知》辽政发〔2016〕</w:t>
      </w:r>
      <w:r>
        <w:rPr>
          <w:rFonts w:hint="eastAsia"/>
          <w:color w:val="auto"/>
          <w:sz w:val="24"/>
        </w:rPr>
        <w:t>58</w:t>
      </w:r>
      <w:r>
        <w:rPr>
          <w:color w:val="auto"/>
          <w:sz w:val="24"/>
        </w:rPr>
        <w:t>号</w:t>
      </w:r>
      <w:r>
        <w:rPr>
          <w:rFonts w:hint="eastAsia"/>
          <w:color w:val="auto"/>
          <w:sz w:val="24"/>
        </w:rPr>
        <w:t>，201</w:t>
      </w:r>
      <w:r>
        <w:rPr>
          <w:color w:val="auto"/>
          <w:sz w:val="24"/>
        </w:rPr>
        <w:t>6</w:t>
      </w:r>
      <w:r>
        <w:rPr>
          <w:rFonts w:hint="eastAsia"/>
          <w:color w:val="auto"/>
          <w:sz w:val="24"/>
        </w:rPr>
        <w:t>年</w:t>
      </w:r>
      <w:r>
        <w:rPr>
          <w:color w:val="auto"/>
          <w:sz w:val="24"/>
        </w:rPr>
        <w:t>8</w:t>
      </w:r>
      <w:r>
        <w:rPr>
          <w:rFonts w:hint="eastAsia"/>
          <w:color w:val="auto"/>
          <w:sz w:val="24"/>
        </w:rPr>
        <w:t>月</w:t>
      </w:r>
      <w:r>
        <w:rPr>
          <w:color w:val="auto"/>
          <w:sz w:val="24"/>
        </w:rPr>
        <w:t>24</w:t>
      </w:r>
      <w:r>
        <w:rPr>
          <w:rFonts w:hint="eastAsia"/>
          <w:color w:val="auto"/>
          <w:sz w:val="24"/>
        </w:rPr>
        <w:t>日；</w:t>
      </w:r>
    </w:p>
    <w:p w14:paraId="424012A1">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7</w:t>
      </w:r>
      <w:r>
        <w:rPr>
          <w:rFonts w:hint="eastAsia" w:eastAsia="宋体"/>
          <w:color w:val="auto"/>
          <w:sz w:val="24"/>
          <w:lang w:eastAsia="zh-CN"/>
        </w:rPr>
        <w:t>）</w:t>
      </w:r>
      <w:r>
        <w:rPr>
          <w:color w:val="auto"/>
          <w:sz w:val="24"/>
        </w:rPr>
        <w:t>《辽宁省人民政府关于印发辽宁省水污染防治工作方案的通知》辽政发〔2015〕79号</w:t>
      </w:r>
      <w:r>
        <w:rPr>
          <w:rFonts w:hint="eastAsia"/>
          <w:color w:val="auto"/>
          <w:sz w:val="24"/>
        </w:rPr>
        <w:t>，201</w:t>
      </w:r>
      <w:r>
        <w:rPr>
          <w:color w:val="auto"/>
          <w:sz w:val="24"/>
        </w:rPr>
        <w:t>5</w:t>
      </w:r>
      <w:r>
        <w:rPr>
          <w:rFonts w:hint="eastAsia"/>
          <w:color w:val="auto"/>
          <w:sz w:val="24"/>
        </w:rPr>
        <w:t>年</w:t>
      </w:r>
      <w:r>
        <w:rPr>
          <w:color w:val="auto"/>
          <w:sz w:val="24"/>
        </w:rPr>
        <w:t>12</w:t>
      </w:r>
      <w:r>
        <w:rPr>
          <w:rFonts w:hint="eastAsia"/>
          <w:color w:val="auto"/>
          <w:sz w:val="24"/>
        </w:rPr>
        <w:t>月</w:t>
      </w:r>
      <w:r>
        <w:rPr>
          <w:color w:val="auto"/>
          <w:sz w:val="24"/>
        </w:rPr>
        <w:t>1</w:t>
      </w:r>
      <w:r>
        <w:rPr>
          <w:rFonts w:hint="eastAsia"/>
          <w:color w:val="auto"/>
          <w:sz w:val="24"/>
        </w:rPr>
        <w:t>日；</w:t>
      </w:r>
    </w:p>
    <w:p w14:paraId="47373919">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8</w:t>
      </w:r>
      <w:r>
        <w:rPr>
          <w:rFonts w:hint="eastAsia" w:eastAsia="宋体"/>
          <w:color w:val="auto"/>
          <w:sz w:val="24"/>
          <w:lang w:eastAsia="zh-CN"/>
        </w:rPr>
        <w:t>）</w:t>
      </w:r>
      <w:r>
        <w:rPr>
          <w:color w:val="auto"/>
          <w:sz w:val="24"/>
        </w:rPr>
        <w:t>《辽宁省人民政府关于印发辽宁省大气污染防治行动计划实施方案的通知》辽政发〔2014〕8号</w:t>
      </w:r>
      <w:r>
        <w:rPr>
          <w:rFonts w:hint="eastAsia"/>
          <w:color w:val="auto"/>
          <w:sz w:val="24"/>
        </w:rPr>
        <w:t>，201</w:t>
      </w:r>
      <w:r>
        <w:rPr>
          <w:color w:val="auto"/>
          <w:sz w:val="24"/>
        </w:rPr>
        <w:t>4</w:t>
      </w:r>
      <w:r>
        <w:rPr>
          <w:rFonts w:hint="eastAsia"/>
          <w:color w:val="auto"/>
          <w:sz w:val="24"/>
        </w:rPr>
        <w:t>年</w:t>
      </w:r>
      <w:r>
        <w:rPr>
          <w:color w:val="auto"/>
          <w:sz w:val="24"/>
        </w:rPr>
        <w:t>3</w:t>
      </w:r>
      <w:r>
        <w:rPr>
          <w:rFonts w:hint="eastAsia"/>
          <w:color w:val="auto"/>
          <w:sz w:val="24"/>
        </w:rPr>
        <w:t>月</w:t>
      </w:r>
      <w:r>
        <w:rPr>
          <w:color w:val="auto"/>
          <w:sz w:val="24"/>
        </w:rPr>
        <w:t>13</w:t>
      </w:r>
      <w:r>
        <w:rPr>
          <w:rFonts w:hint="eastAsia"/>
          <w:color w:val="auto"/>
          <w:sz w:val="24"/>
        </w:rPr>
        <w:t>日；</w:t>
      </w:r>
    </w:p>
    <w:p w14:paraId="3A308F2C">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9</w:t>
      </w:r>
      <w:r>
        <w:rPr>
          <w:rFonts w:hint="eastAsia" w:eastAsia="宋体"/>
          <w:color w:val="auto"/>
          <w:sz w:val="24"/>
          <w:lang w:eastAsia="zh-CN"/>
        </w:rPr>
        <w:t>）</w:t>
      </w:r>
      <w:r>
        <w:rPr>
          <w:color w:val="auto"/>
          <w:sz w:val="24"/>
        </w:rPr>
        <w:t>《辽宁省禁止提取地下水规定》辽宁省人民政府令第255号</w:t>
      </w:r>
      <w:r>
        <w:rPr>
          <w:rFonts w:hint="eastAsia"/>
          <w:color w:val="auto"/>
          <w:sz w:val="24"/>
        </w:rPr>
        <w:t>，201</w:t>
      </w:r>
      <w:r>
        <w:rPr>
          <w:color w:val="auto"/>
          <w:sz w:val="24"/>
        </w:rPr>
        <w:t>1</w:t>
      </w:r>
      <w:r>
        <w:rPr>
          <w:rFonts w:hint="eastAsia"/>
          <w:color w:val="auto"/>
          <w:sz w:val="24"/>
        </w:rPr>
        <w:t>年</w:t>
      </w:r>
      <w:r>
        <w:rPr>
          <w:color w:val="auto"/>
          <w:sz w:val="24"/>
        </w:rPr>
        <w:t>4</w:t>
      </w:r>
      <w:r>
        <w:rPr>
          <w:rFonts w:hint="eastAsia"/>
          <w:color w:val="auto"/>
          <w:sz w:val="24"/>
        </w:rPr>
        <w:t>月</w:t>
      </w:r>
      <w:r>
        <w:rPr>
          <w:color w:val="auto"/>
          <w:sz w:val="24"/>
        </w:rPr>
        <w:t>1</w:t>
      </w:r>
      <w:r>
        <w:rPr>
          <w:rFonts w:hint="eastAsia"/>
          <w:color w:val="auto"/>
          <w:sz w:val="24"/>
        </w:rPr>
        <w:t>日；</w:t>
      </w:r>
    </w:p>
    <w:p w14:paraId="45BE0A92">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10</w:t>
      </w:r>
      <w:r>
        <w:rPr>
          <w:rFonts w:hint="eastAsia" w:eastAsia="宋体"/>
          <w:color w:val="auto"/>
          <w:sz w:val="24"/>
          <w:lang w:eastAsia="zh-CN"/>
        </w:rPr>
        <w:t>）</w:t>
      </w:r>
      <w:r>
        <w:rPr>
          <w:color w:val="auto"/>
          <w:sz w:val="24"/>
        </w:rPr>
        <w:t>《进一步加强建设项目主要污染物排放总量指标审核和管理的通知》辽</w:t>
      </w:r>
      <w:r>
        <w:rPr>
          <w:rFonts w:hint="eastAsia"/>
          <w:color w:val="auto"/>
          <w:sz w:val="24"/>
        </w:rPr>
        <w:t>环综</w:t>
      </w:r>
      <w:r>
        <w:rPr>
          <w:color w:val="auto"/>
          <w:sz w:val="24"/>
        </w:rPr>
        <w:t>〔2020〕380号</w:t>
      </w:r>
      <w:r>
        <w:rPr>
          <w:rFonts w:hint="eastAsia"/>
          <w:color w:val="auto"/>
          <w:sz w:val="24"/>
        </w:rPr>
        <w:t>，202</w:t>
      </w:r>
      <w:r>
        <w:rPr>
          <w:color w:val="auto"/>
          <w:sz w:val="24"/>
        </w:rPr>
        <w:t>0</w:t>
      </w:r>
      <w:r>
        <w:rPr>
          <w:rFonts w:hint="eastAsia"/>
          <w:color w:val="auto"/>
          <w:sz w:val="24"/>
        </w:rPr>
        <w:t>年</w:t>
      </w:r>
      <w:r>
        <w:rPr>
          <w:color w:val="auto"/>
          <w:sz w:val="24"/>
        </w:rPr>
        <w:t>6</w:t>
      </w:r>
      <w:r>
        <w:rPr>
          <w:rFonts w:hint="eastAsia"/>
          <w:color w:val="auto"/>
          <w:sz w:val="24"/>
        </w:rPr>
        <w:t>月2</w:t>
      </w:r>
      <w:r>
        <w:rPr>
          <w:color w:val="auto"/>
          <w:sz w:val="24"/>
        </w:rPr>
        <w:t>3</w:t>
      </w:r>
      <w:r>
        <w:rPr>
          <w:rFonts w:hint="eastAsia"/>
          <w:color w:val="auto"/>
          <w:sz w:val="24"/>
        </w:rPr>
        <w:t>日；</w:t>
      </w:r>
    </w:p>
    <w:p w14:paraId="65DDF013">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11</w:t>
      </w:r>
      <w:r>
        <w:rPr>
          <w:rFonts w:hint="eastAsia" w:eastAsia="宋体"/>
          <w:color w:val="auto"/>
          <w:sz w:val="24"/>
          <w:lang w:eastAsia="zh-CN"/>
        </w:rPr>
        <w:t>）</w:t>
      </w:r>
      <w:r>
        <w:rPr>
          <w:rFonts w:hint="eastAsia"/>
          <w:color w:val="auto"/>
          <w:sz w:val="24"/>
        </w:rPr>
        <w:t>《关于加强全省高耗能高排放项目准入管理的意见</w:t>
      </w:r>
      <w:r>
        <w:rPr>
          <w:color w:val="auto"/>
          <w:sz w:val="24"/>
        </w:rPr>
        <w:t>》辽</w:t>
      </w:r>
      <w:r>
        <w:rPr>
          <w:rFonts w:hint="eastAsia"/>
          <w:color w:val="auto"/>
          <w:sz w:val="24"/>
        </w:rPr>
        <w:t>政办</w:t>
      </w:r>
      <w:r>
        <w:rPr>
          <w:color w:val="auto"/>
          <w:sz w:val="24"/>
        </w:rPr>
        <w:t>发〔2021〕6</w:t>
      </w:r>
      <w:r>
        <w:rPr>
          <w:rFonts w:hint="eastAsia"/>
          <w:color w:val="auto"/>
          <w:sz w:val="24"/>
        </w:rPr>
        <w:t>号，2021年2月26日；</w:t>
      </w:r>
    </w:p>
    <w:p w14:paraId="5384E8C6">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12</w:t>
      </w:r>
      <w:r>
        <w:rPr>
          <w:rFonts w:hint="eastAsia" w:eastAsia="宋体"/>
          <w:color w:val="auto"/>
          <w:sz w:val="24"/>
          <w:lang w:eastAsia="zh-CN"/>
        </w:rPr>
        <w:t>）</w:t>
      </w:r>
      <w:r>
        <w:rPr>
          <w:rFonts w:hint="eastAsia"/>
          <w:color w:val="auto"/>
          <w:sz w:val="24"/>
        </w:rPr>
        <w:t>《辽宁省人民政府关于实施“三线一单”生态环境分区管控的意见</w:t>
      </w:r>
      <w:r>
        <w:rPr>
          <w:color w:val="auto"/>
          <w:sz w:val="24"/>
        </w:rPr>
        <w:t>》辽</w:t>
      </w:r>
      <w:r>
        <w:rPr>
          <w:rFonts w:hint="eastAsia"/>
          <w:color w:val="auto"/>
          <w:sz w:val="24"/>
        </w:rPr>
        <w:t>政</w:t>
      </w:r>
      <w:r>
        <w:rPr>
          <w:color w:val="auto"/>
          <w:sz w:val="24"/>
        </w:rPr>
        <w:t>发〔2021〕6</w:t>
      </w:r>
      <w:r>
        <w:rPr>
          <w:rFonts w:hint="eastAsia"/>
          <w:color w:val="auto"/>
          <w:sz w:val="24"/>
        </w:rPr>
        <w:t>号，2021年2月2</w:t>
      </w:r>
      <w:r>
        <w:rPr>
          <w:color w:val="auto"/>
          <w:sz w:val="24"/>
        </w:rPr>
        <w:t>4</w:t>
      </w:r>
      <w:r>
        <w:rPr>
          <w:rFonts w:hint="eastAsia"/>
          <w:color w:val="auto"/>
          <w:sz w:val="24"/>
        </w:rPr>
        <w:t>日；</w:t>
      </w:r>
    </w:p>
    <w:p w14:paraId="0FA1BBD4">
      <w:pPr>
        <w:spacing w:line="360" w:lineRule="auto"/>
        <w:ind w:firstLine="450"/>
        <w:rPr>
          <w:color w:val="auto"/>
          <w:sz w:val="24"/>
        </w:rPr>
      </w:pPr>
      <w:r>
        <w:rPr>
          <w:rFonts w:hint="eastAsia" w:eastAsia="宋体"/>
          <w:color w:val="auto"/>
          <w:sz w:val="24"/>
          <w:lang w:eastAsia="zh-CN"/>
        </w:rPr>
        <w:t>（</w:t>
      </w:r>
      <w:r>
        <w:rPr>
          <w:rFonts w:hint="eastAsia"/>
          <w:color w:val="auto"/>
          <w:sz w:val="24"/>
          <w:lang w:val="en-US" w:eastAsia="zh-CN"/>
        </w:rPr>
        <w:t>13</w:t>
      </w:r>
      <w:r>
        <w:rPr>
          <w:rFonts w:hint="eastAsia" w:eastAsia="宋体"/>
          <w:color w:val="auto"/>
          <w:sz w:val="24"/>
          <w:lang w:eastAsia="zh-CN"/>
        </w:rPr>
        <w:t>）</w:t>
      </w:r>
      <w:r>
        <w:rPr>
          <w:rFonts w:hint="eastAsia"/>
          <w:color w:val="auto"/>
          <w:sz w:val="24"/>
        </w:rPr>
        <w:t>《关于印发&lt;辽宁省深入打好污染防治攻坚战实施方案&gt;的通知》（辽委发</w:t>
      </w:r>
      <w:r>
        <w:rPr>
          <w:color w:val="auto"/>
          <w:sz w:val="24"/>
        </w:rPr>
        <w:t>〔</w:t>
      </w:r>
      <w:r>
        <w:rPr>
          <w:rFonts w:hint="eastAsia"/>
          <w:color w:val="auto"/>
          <w:sz w:val="24"/>
        </w:rPr>
        <w:t>20</w:t>
      </w:r>
      <w:r>
        <w:rPr>
          <w:color w:val="auto"/>
          <w:sz w:val="24"/>
        </w:rPr>
        <w:t>22</w:t>
      </w:r>
      <w:r>
        <w:rPr>
          <w:rFonts w:hint="eastAsia"/>
          <w:color w:val="auto"/>
          <w:sz w:val="24"/>
        </w:rPr>
        <w:t>〕8号）。</w:t>
      </w:r>
    </w:p>
    <w:p w14:paraId="5D2BD598">
      <w:pPr>
        <w:pStyle w:val="5"/>
        <w:bidi w:val="0"/>
        <w:rPr>
          <w:rFonts w:hint="eastAsia"/>
          <w:lang w:val="en-US" w:eastAsia="zh-CN"/>
        </w:rPr>
      </w:pPr>
      <w:r>
        <w:rPr>
          <w:rFonts w:hint="eastAsia"/>
          <w:lang w:val="en-US" w:eastAsia="zh-CN"/>
        </w:rPr>
        <w:t>2.1.3相关规划</w:t>
      </w:r>
    </w:p>
    <w:p w14:paraId="761A0BD6">
      <w:pPr>
        <w:spacing w:line="360" w:lineRule="auto"/>
        <w:ind w:firstLine="450"/>
        <w:rPr>
          <w:rFonts w:hint="eastAsia"/>
          <w:color w:val="auto"/>
          <w:sz w:val="24"/>
          <w:lang w:val="en-US" w:eastAsia="zh-CN"/>
        </w:rPr>
      </w:pPr>
      <w:r>
        <w:rPr>
          <w:rFonts w:hint="eastAsia"/>
          <w:color w:val="auto"/>
          <w:sz w:val="24"/>
          <w:lang w:val="en-US" w:eastAsia="zh-CN"/>
        </w:rPr>
        <w:t>（1）《辽宁省矿产资源总体规划（2021-2025）》；</w:t>
      </w:r>
    </w:p>
    <w:p w14:paraId="6EFE29B7">
      <w:pPr>
        <w:spacing w:line="360" w:lineRule="auto"/>
        <w:ind w:firstLine="450"/>
        <w:rPr>
          <w:rFonts w:hint="eastAsia"/>
          <w:color w:val="auto"/>
          <w:sz w:val="24"/>
          <w:lang w:val="en-US" w:eastAsia="zh-CN"/>
        </w:rPr>
      </w:pPr>
      <w:r>
        <w:rPr>
          <w:rFonts w:hint="eastAsia" w:ascii="Times New Roman" w:eastAsia="宋体"/>
          <w:color w:val="auto"/>
          <w:sz w:val="24"/>
          <w:lang w:val="en-US" w:eastAsia="zh-CN"/>
        </w:rPr>
        <w:t>（</w:t>
      </w:r>
      <w:r>
        <w:rPr>
          <w:rFonts w:hint="eastAsia"/>
          <w:color w:val="auto"/>
          <w:sz w:val="24"/>
          <w:lang w:val="en-US" w:eastAsia="zh-CN"/>
        </w:rPr>
        <w:t>2</w:t>
      </w:r>
      <w:r>
        <w:rPr>
          <w:rFonts w:hint="eastAsia" w:ascii="Times New Roman" w:eastAsia="宋体"/>
          <w:color w:val="auto"/>
          <w:sz w:val="24"/>
          <w:lang w:val="en-US" w:eastAsia="zh-CN"/>
        </w:rPr>
        <w:t>）</w:t>
      </w:r>
      <w:r>
        <w:rPr>
          <w:rFonts w:hint="eastAsia"/>
          <w:color w:val="auto"/>
          <w:sz w:val="24"/>
          <w:lang w:val="en-US" w:eastAsia="zh-CN"/>
        </w:rPr>
        <w:t>《辽宁生态省建设规划纲要（2006-2025）》；</w:t>
      </w:r>
    </w:p>
    <w:p w14:paraId="3BDEA0BA">
      <w:pPr>
        <w:spacing w:line="360" w:lineRule="auto"/>
        <w:ind w:firstLine="450"/>
        <w:rPr>
          <w:rFonts w:hint="eastAsia"/>
          <w:color w:val="auto"/>
          <w:sz w:val="24"/>
          <w:lang w:val="en-US" w:eastAsia="zh-CN"/>
        </w:rPr>
      </w:pPr>
      <w:r>
        <w:rPr>
          <w:rFonts w:hint="eastAsia" w:ascii="Times New Roman" w:eastAsia="宋体"/>
          <w:color w:val="auto"/>
          <w:sz w:val="24"/>
          <w:lang w:val="en-US" w:eastAsia="zh-CN"/>
        </w:rPr>
        <w:t>（</w:t>
      </w:r>
      <w:r>
        <w:rPr>
          <w:rFonts w:hint="eastAsia"/>
          <w:color w:val="auto"/>
          <w:sz w:val="24"/>
          <w:lang w:val="en-US" w:eastAsia="zh-CN"/>
        </w:rPr>
        <w:t>3</w:t>
      </w:r>
      <w:r>
        <w:rPr>
          <w:rFonts w:hint="eastAsia" w:ascii="Times New Roman" w:eastAsia="宋体"/>
          <w:color w:val="auto"/>
          <w:sz w:val="24"/>
          <w:lang w:val="en-US" w:eastAsia="zh-CN"/>
        </w:rPr>
        <w:t>）</w:t>
      </w:r>
      <w:r>
        <w:rPr>
          <w:rFonts w:hint="eastAsia"/>
          <w:color w:val="auto"/>
          <w:sz w:val="24"/>
          <w:lang w:val="en-US" w:eastAsia="zh-CN"/>
        </w:rPr>
        <w:t>《辽宁省生态功能区划》，2004年4月；</w:t>
      </w:r>
    </w:p>
    <w:p w14:paraId="5E9674B6">
      <w:pPr>
        <w:spacing w:line="360" w:lineRule="auto"/>
        <w:ind w:firstLine="450"/>
        <w:rPr>
          <w:rFonts w:hint="eastAsia"/>
          <w:color w:val="auto"/>
          <w:sz w:val="24"/>
          <w:lang w:val="en-US" w:eastAsia="zh-CN"/>
        </w:rPr>
      </w:pPr>
      <w:r>
        <w:rPr>
          <w:rFonts w:hint="eastAsia"/>
          <w:color w:val="auto"/>
          <w:sz w:val="24"/>
          <w:lang w:val="en-US" w:eastAsia="zh-CN"/>
        </w:rPr>
        <w:t>（4）《关于印发&lt;辽宁省“十四五”生态环境保护规划&gt;的通知》辽政办发〔2022〕16号。</w:t>
      </w:r>
    </w:p>
    <w:p w14:paraId="3098EE1C">
      <w:pPr>
        <w:pStyle w:val="5"/>
        <w:bidi w:val="0"/>
        <w:rPr>
          <w:rFonts w:hint="eastAsia"/>
          <w:lang w:val="en-US" w:eastAsia="zh-CN"/>
        </w:rPr>
      </w:pPr>
      <w:r>
        <w:rPr>
          <w:rFonts w:hint="eastAsia"/>
          <w:lang w:val="en-US" w:eastAsia="zh-CN"/>
        </w:rPr>
        <w:t>2.1.4技术导则与规范</w:t>
      </w:r>
    </w:p>
    <w:p w14:paraId="236794A1">
      <w:pPr>
        <w:spacing w:line="360" w:lineRule="auto"/>
        <w:ind w:firstLine="480" w:firstLineChars="200"/>
        <w:jc w:val="left"/>
        <w:rPr>
          <w:color w:val="auto"/>
          <w:sz w:val="24"/>
        </w:rPr>
      </w:pPr>
      <w:r>
        <w:rPr>
          <w:color w:val="auto"/>
          <w:sz w:val="24"/>
        </w:rPr>
        <w:t>（1）《建设单位环境影响评价技术导则</w:t>
      </w:r>
      <w:r>
        <w:rPr>
          <w:rFonts w:hint="eastAsia"/>
          <w:color w:val="auto"/>
          <w:sz w:val="24"/>
          <w:lang w:val="en-US" w:eastAsia="zh-CN"/>
        </w:rPr>
        <w:t xml:space="preserve">  </w:t>
      </w:r>
      <w:r>
        <w:rPr>
          <w:color w:val="auto"/>
          <w:sz w:val="24"/>
        </w:rPr>
        <w:t>总纲》（HJ2.1-2016）；</w:t>
      </w:r>
    </w:p>
    <w:p w14:paraId="2DE05077">
      <w:pPr>
        <w:spacing w:line="360" w:lineRule="auto"/>
        <w:ind w:firstLine="480" w:firstLineChars="200"/>
        <w:jc w:val="left"/>
        <w:rPr>
          <w:color w:val="auto"/>
          <w:sz w:val="24"/>
        </w:rPr>
      </w:pPr>
      <w:r>
        <w:rPr>
          <w:color w:val="auto"/>
          <w:sz w:val="24"/>
        </w:rPr>
        <w:t>（2）《环境影响评价技术导则</w:t>
      </w:r>
      <w:r>
        <w:rPr>
          <w:rFonts w:hint="eastAsia"/>
          <w:color w:val="auto"/>
          <w:sz w:val="24"/>
          <w:lang w:val="en-US" w:eastAsia="zh-CN"/>
        </w:rPr>
        <w:t xml:space="preserve">  </w:t>
      </w:r>
      <w:r>
        <w:rPr>
          <w:color w:val="auto"/>
          <w:sz w:val="24"/>
        </w:rPr>
        <w:t>大气环境》（HJ2.2-2018）；</w:t>
      </w:r>
    </w:p>
    <w:p w14:paraId="5BC2EEF1">
      <w:pPr>
        <w:spacing w:line="360" w:lineRule="auto"/>
        <w:ind w:firstLine="480" w:firstLineChars="200"/>
        <w:jc w:val="left"/>
        <w:rPr>
          <w:color w:val="auto"/>
          <w:sz w:val="24"/>
        </w:rPr>
      </w:pPr>
      <w:r>
        <w:rPr>
          <w:color w:val="auto"/>
          <w:sz w:val="24"/>
        </w:rPr>
        <w:t>（3）《环境影响评价技术导则</w:t>
      </w:r>
      <w:r>
        <w:rPr>
          <w:rFonts w:hint="eastAsia"/>
          <w:color w:val="auto"/>
          <w:sz w:val="24"/>
          <w:lang w:val="en-US" w:eastAsia="zh-CN"/>
        </w:rPr>
        <w:t xml:space="preserve">  </w:t>
      </w:r>
      <w:r>
        <w:rPr>
          <w:color w:val="auto"/>
          <w:sz w:val="24"/>
        </w:rPr>
        <w:t>地</w:t>
      </w:r>
      <w:r>
        <w:rPr>
          <w:rFonts w:hint="eastAsia"/>
          <w:color w:val="auto"/>
          <w:sz w:val="24"/>
          <w:lang w:val="en-US" w:eastAsia="zh-CN"/>
        </w:rPr>
        <w:t>表</w:t>
      </w:r>
      <w:r>
        <w:rPr>
          <w:color w:val="auto"/>
          <w:sz w:val="24"/>
        </w:rPr>
        <w:t>水环境》（HJ/T2.3-2018）；</w:t>
      </w:r>
    </w:p>
    <w:p w14:paraId="618AA248">
      <w:pPr>
        <w:spacing w:line="360" w:lineRule="auto"/>
        <w:ind w:firstLine="480" w:firstLineChars="200"/>
        <w:jc w:val="left"/>
        <w:rPr>
          <w:color w:val="auto"/>
          <w:sz w:val="24"/>
        </w:rPr>
      </w:pPr>
      <w:r>
        <w:rPr>
          <w:color w:val="auto"/>
          <w:sz w:val="24"/>
        </w:rPr>
        <w:t>（4）《环境影响评价技术导则</w:t>
      </w:r>
      <w:r>
        <w:rPr>
          <w:rFonts w:hint="eastAsia"/>
          <w:color w:val="auto"/>
          <w:sz w:val="24"/>
          <w:lang w:val="en-US" w:eastAsia="zh-CN"/>
        </w:rPr>
        <w:t xml:space="preserve">  </w:t>
      </w:r>
      <w:r>
        <w:rPr>
          <w:color w:val="auto"/>
          <w:sz w:val="24"/>
        </w:rPr>
        <w:t>地下水环境》（HJ610-2016）；</w:t>
      </w:r>
    </w:p>
    <w:p w14:paraId="4477786E">
      <w:pPr>
        <w:spacing w:line="360" w:lineRule="auto"/>
        <w:ind w:firstLine="480" w:firstLineChars="200"/>
        <w:jc w:val="left"/>
        <w:rPr>
          <w:color w:val="auto"/>
          <w:sz w:val="24"/>
        </w:rPr>
      </w:pPr>
      <w:r>
        <w:rPr>
          <w:color w:val="auto"/>
          <w:sz w:val="24"/>
        </w:rPr>
        <w:t>（5）《环境影响评价技术导则</w:t>
      </w:r>
      <w:r>
        <w:rPr>
          <w:rFonts w:hint="eastAsia"/>
          <w:color w:val="auto"/>
          <w:sz w:val="24"/>
          <w:lang w:val="en-US" w:eastAsia="zh-CN"/>
        </w:rPr>
        <w:t xml:space="preserve">  </w:t>
      </w:r>
      <w:r>
        <w:rPr>
          <w:color w:val="auto"/>
          <w:sz w:val="24"/>
        </w:rPr>
        <w:t>声环境》（HJ2.4-20</w:t>
      </w:r>
      <w:r>
        <w:rPr>
          <w:rFonts w:hint="eastAsia"/>
          <w:color w:val="auto"/>
          <w:sz w:val="24"/>
          <w:lang w:val="en-US" w:eastAsia="zh-CN"/>
        </w:rPr>
        <w:t>21</w:t>
      </w:r>
      <w:r>
        <w:rPr>
          <w:color w:val="auto"/>
          <w:sz w:val="24"/>
        </w:rPr>
        <w:t>）；</w:t>
      </w:r>
    </w:p>
    <w:p w14:paraId="570BD230">
      <w:pPr>
        <w:autoSpaceDE w:val="0"/>
        <w:autoSpaceDN w:val="0"/>
        <w:spacing w:line="360" w:lineRule="auto"/>
        <w:ind w:firstLine="480" w:firstLineChars="200"/>
        <w:rPr>
          <w:color w:val="auto"/>
          <w:sz w:val="24"/>
        </w:rPr>
      </w:pPr>
      <w:r>
        <w:rPr>
          <w:color w:val="auto"/>
          <w:sz w:val="24"/>
        </w:rPr>
        <w:t>（6）《环境影响评价技术导则</w:t>
      </w:r>
      <w:r>
        <w:rPr>
          <w:rFonts w:hint="eastAsia"/>
          <w:color w:val="auto"/>
          <w:sz w:val="24"/>
          <w:lang w:val="en-US" w:eastAsia="zh-CN"/>
        </w:rPr>
        <w:t xml:space="preserve">  </w:t>
      </w:r>
      <w:r>
        <w:rPr>
          <w:color w:val="auto"/>
          <w:sz w:val="24"/>
        </w:rPr>
        <w:t>土壤环境（试行）》（HJ964-2018）</w:t>
      </w:r>
      <w:r>
        <w:rPr>
          <w:rFonts w:hint="eastAsia"/>
          <w:color w:val="auto"/>
          <w:sz w:val="24"/>
        </w:rPr>
        <w:t>；</w:t>
      </w:r>
    </w:p>
    <w:p w14:paraId="4317BCF6">
      <w:pPr>
        <w:spacing w:line="360" w:lineRule="auto"/>
        <w:ind w:firstLine="480" w:firstLineChars="200"/>
        <w:jc w:val="left"/>
        <w:rPr>
          <w:color w:val="auto"/>
          <w:sz w:val="24"/>
        </w:rPr>
      </w:pPr>
      <w:r>
        <w:rPr>
          <w:color w:val="auto"/>
          <w:sz w:val="24"/>
        </w:rPr>
        <w:t>（7）《环境影响评价技术导则</w:t>
      </w:r>
      <w:r>
        <w:rPr>
          <w:rFonts w:hint="eastAsia"/>
          <w:color w:val="auto"/>
          <w:sz w:val="24"/>
          <w:lang w:val="en-US" w:eastAsia="zh-CN"/>
        </w:rPr>
        <w:t xml:space="preserve">  </w:t>
      </w:r>
      <w:r>
        <w:rPr>
          <w:color w:val="auto"/>
          <w:sz w:val="24"/>
        </w:rPr>
        <w:t>生态影响》（HJ19-20</w:t>
      </w:r>
      <w:r>
        <w:rPr>
          <w:rFonts w:hint="eastAsia"/>
          <w:color w:val="auto"/>
          <w:sz w:val="24"/>
          <w:lang w:val="en-US" w:eastAsia="zh-CN"/>
        </w:rPr>
        <w:t>22</w:t>
      </w:r>
      <w:r>
        <w:rPr>
          <w:color w:val="auto"/>
          <w:sz w:val="24"/>
        </w:rPr>
        <w:t>）；</w:t>
      </w:r>
    </w:p>
    <w:p w14:paraId="723CB9C3">
      <w:pPr>
        <w:spacing w:line="360" w:lineRule="auto"/>
        <w:ind w:firstLine="480" w:firstLineChars="200"/>
        <w:jc w:val="left"/>
        <w:rPr>
          <w:color w:val="auto"/>
          <w:sz w:val="24"/>
        </w:rPr>
      </w:pPr>
      <w:r>
        <w:rPr>
          <w:color w:val="auto"/>
          <w:sz w:val="24"/>
        </w:rPr>
        <w:t>（8）《建设项目环境风险评价技术导则》（HJ/T169-2018）；</w:t>
      </w:r>
    </w:p>
    <w:p w14:paraId="30496C7B">
      <w:pPr>
        <w:spacing w:line="360" w:lineRule="auto"/>
        <w:ind w:firstLine="480" w:firstLineChars="200"/>
        <w:jc w:val="left"/>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9</w:t>
      </w:r>
      <w:r>
        <w:rPr>
          <w:rFonts w:hint="eastAsia"/>
          <w:color w:val="auto"/>
          <w:sz w:val="24"/>
          <w:lang w:eastAsia="zh-CN"/>
        </w:rPr>
        <w:t>）《固体废物鉴别标准</w:t>
      </w:r>
      <w:r>
        <w:rPr>
          <w:rFonts w:hint="eastAsia"/>
          <w:color w:val="auto"/>
          <w:sz w:val="24"/>
          <w:lang w:val="en-US" w:eastAsia="zh-CN"/>
        </w:rPr>
        <w:t xml:space="preserve"> </w:t>
      </w:r>
      <w:r>
        <w:rPr>
          <w:rFonts w:hint="eastAsia"/>
          <w:color w:val="auto"/>
          <w:sz w:val="24"/>
          <w:lang w:eastAsia="zh-CN"/>
        </w:rPr>
        <w:t>通则》（</w:t>
      </w:r>
      <w:r>
        <w:rPr>
          <w:rFonts w:hint="eastAsia"/>
          <w:color w:val="auto"/>
          <w:sz w:val="24"/>
          <w:lang w:val="en-US" w:eastAsia="zh-CN"/>
        </w:rPr>
        <w:t>GB34330-2017</w:t>
      </w:r>
      <w:r>
        <w:rPr>
          <w:rFonts w:hint="eastAsia"/>
          <w:color w:val="auto"/>
          <w:sz w:val="24"/>
          <w:lang w:eastAsia="zh-CN"/>
        </w:rPr>
        <w:t>）；</w:t>
      </w:r>
    </w:p>
    <w:p w14:paraId="5C588685">
      <w:pPr>
        <w:autoSpaceDE w:val="0"/>
        <w:autoSpaceDN w:val="0"/>
        <w:spacing w:line="360" w:lineRule="auto"/>
        <w:ind w:firstLine="480" w:firstLineChars="200"/>
        <w:rPr>
          <w:color w:val="auto"/>
          <w:sz w:val="24"/>
        </w:rPr>
      </w:pPr>
      <w:r>
        <w:rPr>
          <w:color w:val="auto"/>
          <w:sz w:val="24"/>
        </w:rPr>
        <w:t>（</w:t>
      </w:r>
      <w:r>
        <w:rPr>
          <w:rFonts w:hint="eastAsia"/>
          <w:color w:val="auto"/>
          <w:sz w:val="24"/>
          <w:lang w:val="en-US" w:eastAsia="zh-CN"/>
        </w:rPr>
        <w:t>10</w:t>
      </w:r>
      <w:r>
        <w:rPr>
          <w:color w:val="auto"/>
          <w:sz w:val="24"/>
        </w:rPr>
        <w:t>）《危险废物鉴别技术规范》（HJ/T298-20</w:t>
      </w:r>
      <w:r>
        <w:rPr>
          <w:rFonts w:hint="eastAsia"/>
          <w:color w:val="auto"/>
          <w:sz w:val="24"/>
          <w:lang w:val="en-US" w:eastAsia="zh-CN"/>
        </w:rPr>
        <w:t>19</w:t>
      </w:r>
      <w:r>
        <w:rPr>
          <w:color w:val="auto"/>
          <w:sz w:val="24"/>
        </w:rPr>
        <w:t>）；</w:t>
      </w:r>
    </w:p>
    <w:p w14:paraId="7808C858">
      <w:pPr>
        <w:spacing w:line="360" w:lineRule="auto"/>
        <w:ind w:firstLine="480" w:firstLineChars="200"/>
        <w:jc w:val="left"/>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11</w:t>
      </w:r>
      <w:r>
        <w:rPr>
          <w:rFonts w:hint="eastAsia"/>
          <w:color w:val="auto"/>
          <w:sz w:val="24"/>
          <w:lang w:eastAsia="zh-CN"/>
        </w:rPr>
        <w:t>）《危险废物鉴别标准</w:t>
      </w:r>
      <w:r>
        <w:rPr>
          <w:rFonts w:hint="eastAsia"/>
          <w:color w:val="auto"/>
          <w:sz w:val="24"/>
          <w:lang w:val="en-US" w:eastAsia="zh-CN"/>
        </w:rPr>
        <w:t xml:space="preserve"> 通则</w:t>
      </w:r>
      <w:r>
        <w:rPr>
          <w:rFonts w:hint="eastAsia"/>
          <w:color w:val="auto"/>
          <w:sz w:val="24"/>
          <w:lang w:eastAsia="zh-CN"/>
        </w:rPr>
        <w:t>》（</w:t>
      </w:r>
      <w:r>
        <w:rPr>
          <w:rFonts w:hint="eastAsia"/>
          <w:color w:val="auto"/>
          <w:sz w:val="24"/>
          <w:lang w:val="en-US" w:eastAsia="zh-CN"/>
        </w:rPr>
        <w:t>GB5085.7-2019</w:t>
      </w:r>
      <w:r>
        <w:rPr>
          <w:rFonts w:hint="eastAsia"/>
          <w:color w:val="auto"/>
          <w:sz w:val="24"/>
          <w:lang w:eastAsia="zh-CN"/>
        </w:rPr>
        <w:t>）；</w:t>
      </w:r>
    </w:p>
    <w:p w14:paraId="60FA558D">
      <w:pPr>
        <w:spacing w:line="360" w:lineRule="auto"/>
        <w:ind w:firstLine="480" w:firstLineChars="200"/>
        <w:jc w:val="left"/>
        <w:rPr>
          <w:rFonts w:hint="eastAsia" w:eastAsia="宋体"/>
          <w:color w:val="auto"/>
          <w:sz w:val="24"/>
          <w:lang w:eastAsia="zh-CN"/>
        </w:rPr>
      </w:pPr>
      <w:r>
        <w:rPr>
          <w:color w:val="auto"/>
          <w:sz w:val="24"/>
        </w:rPr>
        <w:t>（</w:t>
      </w:r>
      <w:r>
        <w:rPr>
          <w:rFonts w:hint="eastAsia"/>
          <w:color w:val="auto"/>
          <w:sz w:val="24"/>
          <w:lang w:val="en-US" w:eastAsia="zh-CN"/>
        </w:rPr>
        <w:t>12</w:t>
      </w:r>
      <w:r>
        <w:rPr>
          <w:color w:val="auto"/>
          <w:sz w:val="24"/>
        </w:rPr>
        <w:t>）《</w:t>
      </w:r>
      <w:r>
        <w:rPr>
          <w:rFonts w:hint="eastAsia"/>
          <w:color w:val="auto"/>
          <w:sz w:val="24"/>
          <w:lang w:eastAsia="zh-CN"/>
        </w:rPr>
        <w:t>一般工业</w:t>
      </w:r>
      <w:r>
        <w:rPr>
          <w:rFonts w:hint="eastAsia" w:eastAsia="宋体"/>
          <w:color w:val="auto"/>
          <w:sz w:val="24"/>
          <w:lang w:eastAsia="zh-CN"/>
        </w:rPr>
        <w:t>固体废物贮存和填埋污染控制标准》（</w:t>
      </w:r>
      <w:r>
        <w:rPr>
          <w:rFonts w:hint="eastAsia" w:eastAsia="宋体"/>
          <w:color w:val="auto"/>
          <w:sz w:val="24"/>
          <w:lang w:val="en-US" w:eastAsia="zh-CN"/>
        </w:rPr>
        <w:t>GB18599-2020</w:t>
      </w:r>
      <w:r>
        <w:rPr>
          <w:rFonts w:hint="eastAsia" w:eastAsia="宋体"/>
          <w:color w:val="auto"/>
          <w:sz w:val="24"/>
          <w:lang w:eastAsia="zh-CN"/>
        </w:rPr>
        <w:t>）；</w:t>
      </w:r>
    </w:p>
    <w:p w14:paraId="6DD02A1C">
      <w:pPr>
        <w:spacing w:line="360" w:lineRule="auto"/>
        <w:ind w:firstLine="480" w:firstLineChars="200"/>
        <w:jc w:val="left"/>
        <w:rPr>
          <w:rFonts w:hint="eastAsia" w:eastAsia="宋体"/>
          <w:color w:val="auto"/>
          <w:sz w:val="24"/>
          <w:lang w:eastAsia="zh-CN"/>
        </w:rPr>
      </w:pPr>
      <w:r>
        <w:rPr>
          <w:rFonts w:hint="eastAsia" w:eastAsia="宋体"/>
          <w:color w:val="auto"/>
          <w:sz w:val="24"/>
          <w:lang w:eastAsia="zh-CN"/>
        </w:rPr>
        <w:t>（</w:t>
      </w:r>
      <w:r>
        <w:rPr>
          <w:rFonts w:hint="eastAsia" w:eastAsia="宋体"/>
          <w:color w:val="auto"/>
          <w:sz w:val="24"/>
          <w:lang w:val="en-US" w:eastAsia="zh-CN"/>
        </w:rPr>
        <w:t>1</w:t>
      </w:r>
      <w:r>
        <w:rPr>
          <w:rFonts w:hint="eastAsia"/>
          <w:color w:val="auto"/>
          <w:sz w:val="24"/>
          <w:lang w:val="en-US" w:eastAsia="zh-CN"/>
        </w:rPr>
        <w:t>3</w:t>
      </w:r>
      <w:r>
        <w:rPr>
          <w:rFonts w:hint="eastAsia" w:eastAsia="宋体"/>
          <w:color w:val="auto"/>
          <w:sz w:val="24"/>
          <w:lang w:val="en-US" w:eastAsia="zh-CN"/>
        </w:rPr>
        <w:t>）《黄金行业绿色矿山建设规范》（</w:t>
      </w:r>
      <w:r>
        <w:rPr>
          <w:rFonts w:hint="default" w:eastAsia="宋体"/>
          <w:color w:val="auto"/>
          <w:sz w:val="24"/>
          <w:lang w:val="en-US" w:eastAsia="zh-CN"/>
        </w:rPr>
        <w:t>DZ/T0314-2018</w:t>
      </w:r>
      <w:r>
        <w:rPr>
          <w:rFonts w:hint="eastAsia" w:eastAsia="宋体"/>
          <w:color w:val="auto"/>
          <w:sz w:val="24"/>
          <w:lang w:val="en-US" w:eastAsia="zh-CN"/>
        </w:rPr>
        <w:t>）；</w:t>
      </w:r>
    </w:p>
    <w:p w14:paraId="60506263">
      <w:pPr>
        <w:spacing w:line="360" w:lineRule="auto"/>
        <w:ind w:firstLine="480" w:firstLineChars="200"/>
        <w:jc w:val="left"/>
        <w:rPr>
          <w:rFonts w:hint="eastAsia" w:ascii="Times New Roman" w:hAnsi="Times New Roman" w:eastAsia="宋体" w:cs="Times New Roman"/>
          <w:color w:val="auto"/>
          <w:sz w:val="24"/>
          <w:lang w:eastAsia="zh-CN"/>
        </w:rPr>
      </w:pPr>
      <w:r>
        <w:rPr>
          <w:rFonts w:hint="eastAsia" w:eastAsia="宋体"/>
          <w:color w:val="auto"/>
          <w:sz w:val="24"/>
          <w:lang w:val="en-US" w:eastAsia="zh-CN"/>
        </w:rPr>
        <w:t>（1</w:t>
      </w:r>
      <w:r>
        <w:rPr>
          <w:rFonts w:hint="eastAsia"/>
          <w:color w:val="auto"/>
          <w:sz w:val="24"/>
          <w:lang w:val="en-US" w:eastAsia="zh-CN"/>
        </w:rPr>
        <w:t>4</w:t>
      </w:r>
      <w:r>
        <w:rPr>
          <w:rFonts w:hint="eastAsia" w:eastAsia="宋体"/>
          <w:color w:val="auto"/>
          <w:sz w:val="24"/>
          <w:lang w:val="en-US" w:eastAsia="zh-CN"/>
        </w:rPr>
        <w:t>）《黄金工</w:t>
      </w:r>
      <w:r>
        <w:rPr>
          <w:rFonts w:hint="eastAsia" w:ascii="Times New Roman" w:hAnsi="Times New Roman" w:eastAsia="宋体" w:cs="Times New Roman"/>
          <w:color w:val="auto"/>
          <w:sz w:val="24"/>
          <w:lang w:val="en-US" w:eastAsia="zh-CN"/>
        </w:rPr>
        <w:t>业污染防治技术政策》（公告</w:t>
      </w:r>
      <w:r>
        <w:rPr>
          <w:rFonts w:hint="default" w:ascii="Times New Roman" w:hAnsi="Times New Roman" w:eastAsia="宋体" w:cs="Times New Roman"/>
          <w:color w:val="auto"/>
          <w:sz w:val="24"/>
          <w:lang w:val="en-US" w:eastAsia="zh-CN"/>
        </w:rPr>
        <w:t>2020</w:t>
      </w:r>
      <w:r>
        <w:rPr>
          <w:rFonts w:hint="eastAsia" w:ascii="Times New Roman" w:hAnsi="Times New Roman" w:eastAsia="宋体" w:cs="Times New Roman"/>
          <w:color w:val="auto"/>
          <w:sz w:val="24"/>
          <w:lang w:val="en-US" w:eastAsia="zh-CN"/>
        </w:rPr>
        <w:t>第</w:t>
      </w:r>
      <w:r>
        <w:rPr>
          <w:rFonts w:hint="default" w:ascii="Times New Roman" w:hAnsi="Times New Roman" w:eastAsia="宋体" w:cs="Times New Roman"/>
          <w:color w:val="auto"/>
          <w:sz w:val="24"/>
          <w:lang w:val="en-US" w:eastAsia="zh-CN"/>
        </w:rPr>
        <w:t>7</w:t>
      </w:r>
      <w:r>
        <w:rPr>
          <w:rFonts w:hint="eastAsia" w:ascii="Times New Roman" w:hAnsi="Times New Roman" w:eastAsia="宋体" w:cs="Times New Roman"/>
          <w:color w:val="auto"/>
          <w:sz w:val="24"/>
          <w:lang w:val="en-US" w:eastAsia="zh-CN"/>
        </w:rPr>
        <w:t>号），</w:t>
      </w:r>
      <w:r>
        <w:rPr>
          <w:rFonts w:hint="default" w:ascii="Times New Roman" w:hAnsi="Times New Roman" w:eastAsia="宋体" w:cs="Times New Roman"/>
          <w:color w:val="auto"/>
          <w:sz w:val="24"/>
          <w:lang w:val="en-US" w:eastAsia="zh-CN"/>
        </w:rPr>
        <w:t xml:space="preserve">2020 </w:t>
      </w:r>
      <w:r>
        <w:rPr>
          <w:rFonts w:hint="eastAsia" w:ascii="Times New Roman" w:hAnsi="Times New Roman" w:eastAsia="宋体" w:cs="Times New Roman"/>
          <w:color w:val="auto"/>
          <w:sz w:val="24"/>
          <w:lang w:val="en-US" w:eastAsia="zh-CN"/>
        </w:rPr>
        <w:t>年</w:t>
      </w:r>
      <w:r>
        <w:rPr>
          <w:rFonts w:hint="default" w:ascii="Times New Roman" w:hAnsi="Times New Roman" w:eastAsia="宋体" w:cs="Times New Roman"/>
          <w:color w:val="auto"/>
          <w:sz w:val="24"/>
          <w:lang w:val="en-US" w:eastAsia="zh-CN"/>
        </w:rPr>
        <w:t>1</w:t>
      </w:r>
      <w:r>
        <w:rPr>
          <w:rFonts w:hint="eastAsia" w:ascii="Times New Roman" w:hAnsi="Times New Roman" w:eastAsia="宋体" w:cs="Times New Roman"/>
          <w:color w:val="auto"/>
          <w:sz w:val="24"/>
          <w:lang w:val="en-US" w:eastAsia="zh-CN"/>
        </w:rPr>
        <w:t xml:space="preserve">月 </w:t>
      </w:r>
    </w:p>
    <w:p w14:paraId="00A8572D">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 xml:space="preserve">14 </w:t>
      </w:r>
      <w:r>
        <w:rPr>
          <w:rFonts w:hint="eastAsia" w:ascii="Times New Roman" w:hAnsi="Times New Roman" w:eastAsia="宋体" w:cs="Times New Roman"/>
          <w:color w:val="auto"/>
          <w:sz w:val="24"/>
          <w:lang w:val="en-US" w:eastAsia="zh-CN"/>
        </w:rPr>
        <w:t>日；</w:t>
      </w:r>
    </w:p>
    <w:p w14:paraId="7E2684F1">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（15）《有色金属行业绿色矿山建设规范》（DZ/T0320-2018）；</w:t>
      </w:r>
    </w:p>
    <w:p w14:paraId="7A27F855">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 xml:space="preserve">（16）《关于进一步加强重金属污染防控的意见》（环固体 </w:t>
      </w:r>
      <w:r>
        <w:rPr>
          <w:rFonts w:hint="default" w:ascii="Times New Roman" w:hAnsi="Times New Roman" w:eastAsia="宋体" w:cs="Times New Roman"/>
          <w:color w:val="auto"/>
          <w:sz w:val="24"/>
          <w:lang w:val="en-US" w:eastAsia="zh-CN"/>
        </w:rPr>
        <w:t>[2022]17</w:t>
      </w:r>
      <w:r>
        <w:rPr>
          <w:rFonts w:hint="eastAsia" w:ascii="Times New Roman" w:hAnsi="Times New Roman" w:eastAsia="宋体" w:cs="Times New Roman"/>
          <w:color w:val="auto"/>
          <w:sz w:val="24"/>
          <w:lang w:val="en-US" w:eastAsia="zh-CN"/>
        </w:rPr>
        <w:t>号）；</w:t>
      </w:r>
    </w:p>
    <w:p w14:paraId="2FA10C53">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（17）《工业和信息化部关于促进黄金行业持续健康发展的指导意见》（工信部原[2012]531号）；</w:t>
      </w:r>
    </w:p>
    <w:p w14:paraId="7AB117FB">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（18）《金矿资源合理开发利用</w:t>
      </w:r>
      <w:r>
        <w:rPr>
          <w:rFonts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三率</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指标要求（试行）》；</w:t>
      </w:r>
    </w:p>
    <w:p w14:paraId="2AC1DC78">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（19）《关于</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十四五</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大宗固体废弃物综合利用的指导意见》。</w:t>
      </w:r>
    </w:p>
    <w:p w14:paraId="401C2CA7">
      <w:pPr>
        <w:pStyle w:val="5"/>
        <w:bidi w:val="0"/>
        <w:rPr>
          <w:rFonts w:hint="eastAsia"/>
          <w:lang w:val="en-US" w:eastAsia="zh-CN"/>
        </w:rPr>
      </w:pPr>
      <w:r>
        <w:rPr>
          <w:rFonts w:hint="eastAsia"/>
          <w:lang w:val="en-US" w:eastAsia="zh-CN"/>
        </w:rPr>
        <w:t>2.1.5主要技术文件</w:t>
      </w:r>
    </w:p>
    <w:p w14:paraId="739298D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color w:val="auto"/>
          <w:sz w:val="24"/>
        </w:rPr>
      </w:pPr>
      <w:r>
        <w:rPr>
          <w:color w:val="auto"/>
          <w:sz w:val="24"/>
        </w:rPr>
        <w:t>（1）《</w:t>
      </w:r>
      <w:r>
        <w:rPr>
          <w:rFonts w:hint="eastAsia"/>
          <w:color w:val="auto"/>
          <w:sz w:val="24"/>
          <w:lang w:eastAsia="zh-CN"/>
        </w:rPr>
        <w:t>北票大力铁精粉精选厂年产30万吨铁精粉建设项目</w:t>
      </w:r>
      <w:r>
        <w:rPr>
          <w:color w:val="auto"/>
          <w:sz w:val="24"/>
        </w:rPr>
        <w:t>环境影响报</w:t>
      </w:r>
      <w:r>
        <w:rPr>
          <w:color w:val="auto"/>
          <w:sz w:val="24"/>
          <w:highlight w:val="none"/>
        </w:rPr>
        <w:t>告</w:t>
      </w:r>
      <w:r>
        <w:rPr>
          <w:rFonts w:hint="eastAsia"/>
          <w:color w:val="auto"/>
          <w:sz w:val="24"/>
          <w:highlight w:val="none"/>
          <w:lang w:val="en-US" w:eastAsia="zh-CN"/>
        </w:rPr>
        <w:t>表</w:t>
      </w:r>
      <w:r>
        <w:rPr>
          <w:color w:val="auto"/>
          <w:sz w:val="24"/>
        </w:rPr>
        <w:t>》</w:t>
      </w:r>
      <w:r>
        <w:rPr>
          <w:rFonts w:hint="eastAsia"/>
          <w:color w:val="auto"/>
          <w:sz w:val="24"/>
          <w:lang w:val="en-US" w:eastAsia="zh-CN"/>
        </w:rPr>
        <w:t>及环评批复</w:t>
      </w:r>
      <w:r>
        <w:rPr>
          <w:color w:val="auto"/>
          <w:sz w:val="24"/>
        </w:rPr>
        <w:t>；</w:t>
      </w:r>
    </w:p>
    <w:p w14:paraId="2B68DA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rFonts w:hint="default"/>
          <w:color w:val="auto"/>
          <w:sz w:val="24"/>
          <w:lang w:val="en-US" w:eastAsia="zh-CN"/>
        </w:rPr>
      </w:pPr>
      <w:r>
        <w:rPr>
          <w:rFonts w:hint="eastAsia"/>
          <w:color w:val="auto"/>
          <w:sz w:val="24"/>
          <w:lang w:eastAsia="zh-CN"/>
        </w:rPr>
        <w:t>（</w:t>
      </w:r>
      <w:r>
        <w:rPr>
          <w:rFonts w:hint="eastAsia"/>
          <w:color w:val="auto"/>
          <w:sz w:val="24"/>
          <w:lang w:val="en-US" w:eastAsia="zh-CN"/>
        </w:rPr>
        <w:t>2</w:t>
      </w:r>
      <w:r>
        <w:rPr>
          <w:rFonts w:hint="eastAsia"/>
          <w:color w:val="auto"/>
          <w:sz w:val="24"/>
          <w:lang w:eastAsia="zh-CN"/>
        </w:rPr>
        <w:t>）《北票大力铁精粉精选厂年产30万吨铁精粉建设项目</w:t>
      </w:r>
      <w:r>
        <w:rPr>
          <w:rFonts w:hint="eastAsia"/>
          <w:color w:val="auto"/>
          <w:sz w:val="24"/>
          <w:lang w:val="en-US" w:eastAsia="zh-CN"/>
        </w:rPr>
        <w:t>竣工环境保护验收监测报告</w:t>
      </w:r>
      <w:r>
        <w:rPr>
          <w:rFonts w:hint="eastAsia"/>
          <w:color w:val="auto"/>
          <w:sz w:val="24"/>
          <w:lang w:eastAsia="zh-CN"/>
        </w:rPr>
        <w:t>》</w:t>
      </w:r>
      <w:r>
        <w:rPr>
          <w:rFonts w:hint="eastAsia"/>
          <w:color w:val="auto"/>
          <w:sz w:val="24"/>
          <w:lang w:val="en-US" w:eastAsia="zh-CN"/>
        </w:rPr>
        <w:t>及验收意见；</w:t>
      </w:r>
    </w:p>
    <w:p w14:paraId="550E206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color w:val="auto"/>
          <w:sz w:val="24"/>
        </w:rPr>
      </w:pPr>
      <w:r>
        <w:rPr>
          <w:color w:val="auto"/>
          <w:sz w:val="24"/>
        </w:rPr>
        <w:t>（</w:t>
      </w:r>
      <w:r>
        <w:rPr>
          <w:rFonts w:hint="eastAsia"/>
          <w:color w:val="auto"/>
          <w:sz w:val="24"/>
          <w:lang w:val="en-US" w:eastAsia="zh-CN"/>
        </w:rPr>
        <w:t>3</w:t>
      </w:r>
      <w:r>
        <w:rPr>
          <w:color w:val="auto"/>
          <w:sz w:val="24"/>
        </w:rPr>
        <w:t>）</w:t>
      </w:r>
      <w:r>
        <w:rPr>
          <w:rFonts w:hint="eastAsia"/>
          <w:color w:val="auto"/>
          <w:sz w:val="24"/>
          <w:lang w:eastAsia="zh-CN"/>
        </w:rPr>
        <w:t>《北票大力铁精粉精选厂</w:t>
      </w:r>
      <w:r>
        <w:rPr>
          <w:rFonts w:hint="eastAsia"/>
          <w:color w:val="auto"/>
          <w:sz w:val="24"/>
          <w:lang w:val="en-US" w:eastAsia="zh-CN"/>
        </w:rPr>
        <w:t>改</w:t>
      </w:r>
      <w:r>
        <w:rPr>
          <w:rFonts w:hint="eastAsia"/>
          <w:color w:val="auto"/>
          <w:sz w:val="24"/>
          <w:lang w:eastAsia="zh-CN"/>
        </w:rPr>
        <w:t>扩建项目》</w:t>
      </w:r>
      <w:r>
        <w:rPr>
          <w:color w:val="auto"/>
          <w:sz w:val="24"/>
        </w:rPr>
        <w:t>环境影响评价委托书；</w:t>
      </w:r>
    </w:p>
    <w:p w14:paraId="620CF21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rPr>
          <w:color w:val="auto"/>
          <w:sz w:val="24"/>
        </w:rPr>
      </w:pPr>
      <w:r>
        <w:rPr>
          <w:color w:val="auto"/>
          <w:sz w:val="24"/>
        </w:rPr>
        <w:t>（</w:t>
      </w:r>
      <w:r>
        <w:rPr>
          <w:rFonts w:hint="eastAsia"/>
          <w:color w:val="auto"/>
          <w:sz w:val="24"/>
          <w:lang w:val="en-US" w:eastAsia="zh-CN"/>
        </w:rPr>
        <w:t>4</w:t>
      </w:r>
      <w:r>
        <w:rPr>
          <w:color w:val="auto"/>
          <w:sz w:val="24"/>
        </w:rPr>
        <w:t>）企业提供的其他资料。</w:t>
      </w:r>
    </w:p>
    <w:p w14:paraId="70FEB345">
      <w:pPr>
        <w:pStyle w:val="4"/>
        <w:bidi w:val="0"/>
        <w:rPr>
          <w:rFonts w:hint="default" w:ascii="Times New Roman" w:hAnsi="Times New Roman" w:cs="Times New Roman" w:eastAsiaTheme="minorEastAsia"/>
          <w:lang w:val="en-US" w:eastAsia="zh-CN"/>
        </w:rPr>
      </w:pPr>
      <w:bookmarkStart w:id="13" w:name="_Toc31781"/>
      <w:r>
        <w:rPr>
          <w:rFonts w:hint="default" w:ascii="Times New Roman" w:hAnsi="Times New Roman" w:cs="Times New Roman" w:eastAsiaTheme="minorEastAsia"/>
          <w:lang w:val="en-US" w:eastAsia="zh-CN"/>
        </w:rPr>
        <w:t>2.2评价目的与评价原则</w:t>
      </w:r>
      <w:bookmarkEnd w:id="13"/>
    </w:p>
    <w:p w14:paraId="22121C92">
      <w:pPr>
        <w:pStyle w:val="5"/>
        <w:bidi w:val="0"/>
        <w:rPr>
          <w:rFonts w:hint="eastAsia"/>
          <w:lang w:val="en-US" w:eastAsia="zh-CN"/>
        </w:rPr>
      </w:pPr>
      <w:r>
        <w:rPr>
          <w:rFonts w:hint="eastAsia"/>
          <w:lang w:val="en-US" w:eastAsia="zh-CN"/>
        </w:rPr>
        <w:t>2.2.1评价目的</w:t>
      </w:r>
    </w:p>
    <w:p w14:paraId="1DAA4342">
      <w:pPr>
        <w:spacing w:line="360" w:lineRule="auto"/>
        <w:ind w:firstLine="480" w:firstLineChars="200"/>
        <w:jc w:val="left"/>
        <w:rPr>
          <w:color w:val="auto"/>
          <w:sz w:val="24"/>
        </w:rPr>
      </w:pPr>
      <w:r>
        <w:rPr>
          <w:color w:val="auto"/>
          <w:sz w:val="24"/>
        </w:rPr>
        <w:t>（1）通过对项目所在地区环境质量现状调查及监测，分析和掌握建设项目所在区域的污染现状、环境质量现状环境敏感点和主要环境问题。</w:t>
      </w:r>
    </w:p>
    <w:p w14:paraId="4C3D9F5E">
      <w:pPr>
        <w:spacing w:line="360" w:lineRule="auto"/>
        <w:ind w:firstLine="480" w:firstLineChars="200"/>
        <w:jc w:val="left"/>
        <w:rPr>
          <w:color w:val="auto"/>
          <w:sz w:val="24"/>
        </w:rPr>
      </w:pPr>
      <w:r>
        <w:rPr>
          <w:color w:val="auto"/>
          <w:sz w:val="24"/>
        </w:rPr>
        <w:t>（2）通过建设项目工程分析，掌握建设项目</w:t>
      </w:r>
      <w:r>
        <w:rPr>
          <w:rFonts w:hint="eastAsia"/>
          <w:color w:val="auto"/>
          <w:sz w:val="24"/>
          <w:lang w:eastAsia="zh-CN"/>
        </w:rPr>
        <w:t>“</w:t>
      </w:r>
      <w:r>
        <w:rPr>
          <w:rFonts w:hint="eastAsia"/>
          <w:color w:val="auto"/>
          <w:sz w:val="24"/>
          <w:lang w:val="en-US" w:eastAsia="zh-CN"/>
        </w:rPr>
        <w:t>三废</w:t>
      </w:r>
      <w:r>
        <w:rPr>
          <w:rFonts w:hint="eastAsia"/>
          <w:color w:val="auto"/>
          <w:sz w:val="24"/>
          <w:lang w:eastAsia="zh-CN"/>
        </w:rPr>
        <w:t>”</w:t>
      </w:r>
      <w:r>
        <w:rPr>
          <w:color w:val="auto"/>
          <w:sz w:val="24"/>
        </w:rPr>
        <w:t>排放特征和</w:t>
      </w:r>
      <w:r>
        <w:rPr>
          <w:rFonts w:hint="eastAsia"/>
          <w:color w:val="auto"/>
          <w:sz w:val="24"/>
        </w:rPr>
        <w:t>拟</w:t>
      </w:r>
      <w:r>
        <w:rPr>
          <w:color w:val="auto"/>
          <w:sz w:val="24"/>
        </w:rPr>
        <w:t>采取的防治措施，评述建设项目</w:t>
      </w:r>
      <w:r>
        <w:rPr>
          <w:rFonts w:hint="eastAsia"/>
          <w:color w:val="auto"/>
          <w:sz w:val="24"/>
        </w:rPr>
        <w:t>选矿</w:t>
      </w:r>
      <w:r>
        <w:rPr>
          <w:color w:val="auto"/>
          <w:sz w:val="24"/>
        </w:rPr>
        <w:t>污染防治措施的可行性，确定建设项目对环境的影响因素，污染物种类、浓度和排污负荷，核定污染物排放总量，为各专题提供污染源源强参数。</w:t>
      </w:r>
    </w:p>
    <w:p w14:paraId="75837624">
      <w:pPr>
        <w:spacing w:line="360" w:lineRule="auto"/>
        <w:ind w:firstLine="480" w:firstLineChars="200"/>
        <w:jc w:val="left"/>
        <w:rPr>
          <w:color w:val="auto"/>
          <w:sz w:val="24"/>
        </w:rPr>
      </w:pPr>
      <w:r>
        <w:rPr>
          <w:color w:val="auto"/>
          <w:sz w:val="24"/>
        </w:rPr>
        <w:t>（3）选用适宜的模式和方法，预测并评价建设项目实施后对周围环境可能造成的影响范围和程度，并提出相应的环境保护措施。</w:t>
      </w:r>
    </w:p>
    <w:p w14:paraId="2EE56D9B">
      <w:pPr>
        <w:spacing w:line="360" w:lineRule="auto"/>
        <w:ind w:firstLine="480" w:firstLineChars="200"/>
        <w:jc w:val="left"/>
        <w:rPr>
          <w:color w:val="auto"/>
          <w:sz w:val="24"/>
        </w:rPr>
      </w:pPr>
      <w:r>
        <w:rPr>
          <w:color w:val="auto"/>
          <w:sz w:val="24"/>
        </w:rPr>
        <w:t>（4）通过环境经济损益分析，论证建设项目在经济、社会和环境效益三方面的统一性。</w:t>
      </w:r>
    </w:p>
    <w:p w14:paraId="2B0ECD63">
      <w:pPr>
        <w:spacing w:line="360" w:lineRule="auto"/>
        <w:ind w:firstLine="480" w:firstLineChars="200"/>
        <w:jc w:val="left"/>
        <w:rPr>
          <w:color w:val="auto"/>
          <w:sz w:val="24"/>
        </w:rPr>
      </w:pPr>
      <w:r>
        <w:rPr>
          <w:color w:val="auto"/>
          <w:sz w:val="24"/>
        </w:rPr>
        <w:t>通过上述工作，论证建设项目环境保护措施的可行性，提出环境影响评价结论。为工程设计、施工、建成投产后的环境管理提供科学依据，为环境管理部门提供决策依据。</w:t>
      </w:r>
    </w:p>
    <w:p w14:paraId="72EC20DB">
      <w:pPr>
        <w:pStyle w:val="5"/>
        <w:bidi w:val="0"/>
        <w:rPr>
          <w:rFonts w:hint="eastAsia"/>
          <w:lang w:val="en-US" w:eastAsia="zh-CN"/>
        </w:rPr>
      </w:pPr>
      <w:r>
        <w:rPr>
          <w:rFonts w:hint="eastAsia"/>
          <w:lang w:val="en-US" w:eastAsia="zh-CN"/>
        </w:rPr>
        <w:t>2.2.2评价原则</w:t>
      </w:r>
    </w:p>
    <w:p w14:paraId="726F77AA">
      <w:pPr>
        <w:spacing w:line="360" w:lineRule="auto"/>
        <w:ind w:firstLine="480" w:firstLineChars="200"/>
        <w:jc w:val="left"/>
        <w:rPr>
          <w:color w:val="auto"/>
          <w:sz w:val="24"/>
        </w:rPr>
      </w:pPr>
      <w:r>
        <w:rPr>
          <w:rFonts w:hint="eastAsia"/>
          <w:color w:val="auto"/>
          <w:sz w:val="24"/>
          <w:lang w:val="en-US" w:eastAsia="zh-CN"/>
        </w:rPr>
        <w:t>突出环境影响评价的源头预防作用，坚持保护和改善环境质量。</w:t>
      </w:r>
    </w:p>
    <w:p w14:paraId="182BB29D">
      <w:pPr>
        <w:spacing w:line="360" w:lineRule="auto"/>
        <w:ind w:firstLine="480" w:firstLineChars="200"/>
        <w:jc w:val="left"/>
        <w:rPr>
          <w:color w:val="auto"/>
          <w:sz w:val="24"/>
        </w:rPr>
      </w:pP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）依法评价</w:t>
      </w:r>
    </w:p>
    <w:p w14:paraId="4BCED4BE">
      <w:pPr>
        <w:spacing w:line="360" w:lineRule="auto"/>
        <w:ind w:firstLine="480" w:firstLineChars="200"/>
        <w:jc w:val="left"/>
        <w:rPr>
          <w:color w:val="auto"/>
          <w:sz w:val="24"/>
        </w:rPr>
      </w:pPr>
      <w:r>
        <w:rPr>
          <w:rFonts w:hint="eastAsia"/>
          <w:color w:val="auto"/>
          <w:sz w:val="24"/>
          <w:lang w:val="en-US" w:eastAsia="zh-CN"/>
        </w:rPr>
        <w:t>贯彻执行我国环境保护相关法律法规、标准、政策和规划等，优化项目建设，服务环境管理。</w:t>
      </w:r>
    </w:p>
    <w:p w14:paraId="0DE6EC0D">
      <w:pPr>
        <w:spacing w:line="360" w:lineRule="auto"/>
        <w:ind w:firstLine="480" w:firstLineChars="200"/>
        <w:jc w:val="left"/>
        <w:rPr>
          <w:color w:val="auto"/>
          <w:sz w:val="24"/>
        </w:rPr>
      </w:pPr>
      <w:r>
        <w:rPr>
          <w:rFonts w:hint="eastAsia"/>
          <w:color w:val="auto"/>
          <w:sz w:val="24"/>
          <w:lang w:val="en-US" w:eastAsia="zh-CN"/>
        </w:rPr>
        <w:t>（</w:t>
      </w:r>
      <w:r>
        <w:rPr>
          <w:rFonts w:hint="default"/>
          <w:color w:val="auto"/>
          <w:sz w:val="24"/>
          <w:lang w:val="en-US" w:eastAsia="zh-CN"/>
        </w:rPr>
        <w:t>2</w:t>
      </w:r>
      <w:r>
        <w:rPr>
          <w:rFonts w:hint="eastAsia"/>
          <w:color w:val="auto"/>
          <w:sz w:val="24"/>
          <w:lang w:val="en-US" w:eastAsia="zh-CN"/>
        </w:rPr>
        <w:t>）科学评价</w:t>
      </w:r>
    </w:p>
    <w:p w14:paraId="67A62C49">
      <w:pPr>
        <w:spacing w:line="360" w:lineRule="auto"/>
        <w:ind w:firstLine="480" w:firstLineChars="200"/>
        <w:jc w:val="left"/>
        <w:rPr>
          <w:color w:val="auto"/>
          <w:sz w:val="24"/>
        </w:rPr>
      </w:pPr>
      <w:r>
        <w:rPr>
          <w:rFonts w:hint="eastAsia"/>
          <w:color w:val="auto"/>
          <w:sz w:val="24"/>
          <w:lang w:val="en-US" w:eastAsia="zh-CN"/>
        </w:rPr>
        <w:t>规范环境影响评价方法，科学分析项目建设对环境质量的影响。</w:t>
      </w:r>
    </w:p>
    <w:p w14:paraId="14CAB001">
      <w:pPr>
        <w:spacing w:line="360" w:lineRule="auto"/>
        <w:ind w:firstLine="480" w:firstLineChars="200"/>
        <w:jc w:val="left"/>
        <w:rPr>
          <w:color w:val="auto"/>
          <w:sz w:val="24"/>
        </w:rPr>
      </w:pPr>
      <w:r>
        <w:rPr>
          <w:rFonts w:hint="eastAsia"/>
          <w:color w:val="auto"/>
          <w:sz w:val="24"/>
          <w:lang w:val="en-US" w:eastAsia="zh-CN"/>
        </w:rPr>
        <w:t>（</w:t>
      </w:r>
      <w:r>
        <w:rPr>
          <w:rFonts w:hint="default"/>
          <w:color w:val="auto"/>
          <w:sz w:val="24"/>
          <w:lang w:val="en-US" w:eastAsia="zh-CN"/>
        </w:rPr>
        <w:t>3</w:t>
      </w:r>
      <w:r>
        <w:rPr>
          <w:rFonts w:hint="eastAsia"/>
          <w:color w:val="auto"/>
          <w:sz w:val="24"/>
          <w:lang w:val="en-US" w:eastAsia="zh-CN"/>
        </w:rPr>
        <w:t>）突出重点</w:t>
      </w:r>
    </w:p>
    <w:p w14:paraId="59903C5E">
      <w:pPr>
        <w:spacing w:line="360" w:lineRule="auto"/>
        <w:ind w:firstLine="480" w:firstLineChars="200"/>
        <w:jc w:val="left"/>
        <w:rPr>
          <w:color w:val="auto"/>
          <w:sz w:val="24"/>
        </w:rPr>
      </w:pPr>
      <w:r>
        <w:rPr>
          <w:rFonts w:hint="eastAsia"/>
          <w:color w:val="auto"/>
          <w:sz w:val="24"/>
          <w:lang w:val="en-US" w:eastAsia="zh-CN"/>
        </w:rPr>
        <w:t>根据建设项目的工程内容及其特点，明确与环境要素间的作用效应关系，根据规划环境影响评价结论和审查意见，充分利用符合时效的数据资料及成果，对建设项目主要环境影响予以重点分析和评价。</w:t>
      </w:r>
    </w:p>
    <w:p w14:paraId="5D122200">
      <w:pPr>
        <w:pStyle w:val="4"/>
        <w:bidi w:val="0"/>
        <w:rPr>
          <w:rFonts w:hint="default" w:ascii="Times New Roman" w:hAnsi="Times New Roman" w:cs="Times New Roman" w:eastAsiaTheme="minorEastAsia"/>
          <w:lang w:val="en-US" w:eastAsia="zh-CN"/>
        </w:rPr>
      </w:pPr>
      <w:bookmarkStart w:id="14" w:name="_Toc29759"/>
      <w:r>
        <w:rPr>
          <w:rFonts w:hint="default" w:ascii="Times New Roman" w:hAnsi="Times New Roman" w:cs="Times New Roman" w:eastAsiaTheme="minorEastAsia"/>
          <w:lang w:val="en-US" w:eastAsia="zh-CN"/>
        </w:rPr>
        <w:t>2.3环境影响识别与评价因子筛选</w:t>
      </w:r>
      <w:bookmarkEnd w:id="14"/>
    </w:p>
    <w:p w14:paraId="50D8C605">
      <w:pPr>
        <w:pStyle w:val="5"/>
        <w:bidi w:val="0"/>
        <w:rPr>
          <w:rFonts w:hint="eastAsia"/>
          <w:lang w:val="en-US" w:eastAsia="zh-CN"/>
        </w:rPr>
      </w:pPr>
      <w:r>
        <w:rPr>
          <w:rFonts w:hint="eastAsia"/>
          <w:lang w:val="en-US" w:eastAsia="zh-CN"/>
        </w:rPr>
        <w:t>2.3.1环境影响因素识别</w:t>
      </w:r>
    </w:p>
    <w:p w14:paraId="22B542F3">
      <w:pPr>
        <w:spacing w:line="360" w:lineRule="auto"/>
        <w:ind w:firstLine="482"/>
        <w:rPr>
          <w:color w:val="auto"/>
          <w:sz w:val="24"/>
        </w:rPr>
      </w:pPr>
      <w:r>
        <w:rPr>
          <w:rFonts w:hint="eastAsia"/>
          <w:color w:val="auto"/>
          <w:sz w:val="24"/>
          <w:lang w:val="en-US" w:eastAsia="zh-CN"/>
        </w:rPr>
        <w:t>根据工程拟采取得工艺流程和排污特性以及建设地区的环境状况，采用矩阵法对可能受本工程影响的因素进行识别，</w:t>
      </w:r>
      <w:r>
        <w:rPr>
          <w:color w:val="auto"/>
          <w:sz w:val="24"/>
        </w:rPr>
        <w:t>环境影响因素识别见</w:t>
      </w:r>
      <w:r>
        <w:rPr>
          <w:rFonts w:hint="eastAsia"/>
          <w:color w:val="auto"/>
          <w:sz w:val="24"/>
          <w:lang w:eastAsia="zh-CN"/>
        </w:rPr>
        <w:t>下</w:t>
      </w:r>
      <w:r>
        <w:rPr>
          <w:color w:val="auto"/>
          <w:sz w:val="24"/>
        </w:rPr>
        <w:t>表。</w:t>
      </w:r>
    </w:p>
    <w:p w14:paraId="243F84D8">
      <w:pPr>
        <w:spacing w:line="360" w:lineRule="auto"/>
        <w:jc w:val="center"/>
        <w:rPr>
          <w:b/>
          <w:color w:val="auto"/>
          <w:szCs w:val="21"/>
          <w:highlight w:val="none"/>
        </w:rPr>
      </w:pPr>
      <w:r>
        <w:rPr>
          <w:b/>
          <w:color w:val="auto"/>
          <w:sz w:val="24"/>
          <w:szCs w:val="24"/>
          <w:highlight w:val="none"/>
        </w:rPr>
        <w:t>表2</w:t>
      </w:r>
      <w:r>
        <w:rPr>
          <w:rFonts w:hint="eastAsia"/>
          <w:b/>
          <w:color w:val="auto"/>
          <w:sz w:val="24"/>
          <w:szCs w:val="24"/>
          <w:highlight w:val="none"/>
          <w:lang w:val="en-US" w:eastAsia="zh-CN"/>
        </w:rPr>
        <w:t>.3</w:t>
      </w:r>
      <w:r>
        <w:rPr>
          <w:b/>
          <w:color w:val="auto"/>
          <w:sz w:val="24"/>
          <w:szCs w:val="24"/>
          <w:highlight w:val="none"/>
        </w:rPr>
        <w:t>-1   主要环境要素影响识别矩阵</w:t>
      </w:r>
    </w:p>
    <w:tbl>
      <w:tblPr>
        <w:tblStyle w:val="75"/>
        <w:tblW w:w="8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17"/>
        <w:gridCol w:w="717"/>
        <w:gridCol w:w="717"/>
        <w:gridCol w:w="717"/>
        <w:gridCol w:w="717"/>
        <w:gridCol w:w="717"/>
        <w:gridCol w:w="717"/>
        <w:gridCol w:w="717"/>
        <w:gridCol w:w="717"/>
        <w:gridCol w:w="717"/>
      </w:tblGrid>
      <w:tr w14:paraId="0A353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74" w:type="dxa"/>
            <w:vMerge w:val="restart"/>
            <w:noWrap w:val="0"/>
            <w:vAlign w:val="center"/>
          </w:tcPr>
          <w:p w14:paraId="56731759">
            <w:pPr>
              <w:jc w:val="center"/>
              <w:rPr>
                <w:color w:val="auto"/>
                <w:szCs w:val="21"/>
                <w:highlight w:val="none"/>
              </w:rPr>
            </w:pPr>
            <w:r>
              <w:rPr>
                <w:color w:val="auto"/>
                <w:szCs w:val="21"/>
                <w:highlight w:val="none"/>
              </w:rPr>
              <w:t>环境要素</w:t>
            </w:r>
          </w:p>
        </w:tc>
        <w:tc>
          <w:tcPr>
            <w:tcW w:w="7170" w:type="dxa"/>
            <w:gridSpan w:val="10"/>
            <w:noWrap w:val="0"/>
            <w:vAlign w:val="center"/>
          </w:tcPr>
          <w:p w14:paraId="2C477442">
            <w:pPr>
              <w:jc w:val="center"/>
              <w:rPr>
                <w:rFonts w:hint="eastAsia"/>
                <w:color w:val="auto"/>
                <w:szCs w:val="21"/>
                <w:highlight w:val="none"/>
                <w:lang w:eastAsia="zh-CN"/>
              </w:rPr>
            </w:pPr>
            <w:r>
              <w:rPr>
                <w:rFonts w:hint="eastAsia"/>
                <w:color w:val="auto"/>
                <w:szCs w:val="21"/>
                <w:highlight w:val="none"/>
                <w:lang w:val="en-US" w:eastAsia="zh-CN"/>
              </w:rPr>
              <w:t>施工</w:t>
            </w:r>
            <w:r>
              <w:rPr>
                <w:rFonts w:hint="eastAsia"/>
                <w:color w:val="auto"/>
                <w:szCs w:val="21"/>
                <w:highlight w:val="none"/>
                <w:lang w:eastAsia="zh-CN"/>
              </w:rPr>
              <w:t>期</w:t>
            </w:r>
          </w:p>
        </w:tc>
      </w:tr>
      <w:tr w14:paraId="64BF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74" w:type="dxa"/>
            <w:vMerge w:val="continue"/>
            <w:noWrap w:val="0"/>
            <w:vAlign w:val="center"/>
          </w:tcPr>
          <w:p w14:paraId="5F00E6A4">
            <w:pPr>
              <w:jc w:val="center"/>
              <w:rPr>
                <w:color w:val="auto"/>
                <w:szCs w:val="21"/>
                <w:highlight w:val="none"/>
              </w:rPr>
            </w:pPr>
          </w:p>
        </w:tc>
        <w:tc>
          <w:tcPr>
            <w:tcW w:w="717" w:type="dxa"/>
            <w:noWrap w:val="0"/>
            <w:vAlign w:val="center"/>
          </w:tcPr>
          <w:p w14:paraId="69B4FA76">
            <w:pPr>
              <w:jc w:val="center"/>
              <w:rPr>
                <w:rFonts w:hint="eastAsia" w:eastAsia="宋体"/>
                <w:color w:val="auto"/>
                <w:szCs w:val="21"/>
                <w:highlight w:val="none"/>
                <w:lang w:eastAsia="zh-CN"/>
              </w:rPr>
            </w:pPr>
            <w:r>
              <w:rPr>
                <w:rFonts w:hint="eastAsia"/>
                <w:color w:val="auto"/>
                <w:szCs w:val="21"/>
                <w:highlight w:val="none"/>
                <w:lang w:eastAsia="zh-CN"/>
              </w:rPr>
              <w:t>有利</w:t>
            </w:r>
          </w:p>
        </w:tc>
        <w:tc>
          <w:tcPr>
            <w:tcW w:w="717" w:type="dxa"/>
            <w:noWrap w:val="0"/>
            <w:vAlign w:val="center"/>
          </w:tcPr>
          <w:p w14:paraId="608D587B">
            <w:pPr>
              <w:jc w:val="center"/>
              <w:rPr>
                <w:rFonts w:hint="eastAsia"/>
                <w:color w:val="auto"/>
                <w:szCs w:val="21"/>
                <w:highlight w:val="none"/>
                <w:lang w:eastAsia="zh-CN"/>
              </w:rPr>
            </w:pPr>
            <w:r>
              <w:rPr>
                <w:rFonts w:hint="eastAsia"/>
                <w:color w:val="auto"/>
                <w:szCs w:val="21"/>
                <w:highlight w:val="none"/>
                <w:lang w:eastAsia="zh-CN"/>
              </w:rPr>
              <w:t>不利</w:t>
            </w:r>
          </w:p>
        </w:tc>
        <w:tc>
          <w:tcPr>
            <w:tcW w:w="717" w:type="dxa"/>
            <w:noWrap w:val="0"/>
            <w:vAlign w:val="center"/>
          </w:tcPr>
          <w:p w14:paraId="5B5193EE">
            <w:pPr>
              <w:jc w:val="center"/>
              <w:rPr>
                <w:rFonts w:hint="eastAsia"/>
                <w:color w:val="auto"/>
                <w:szCs w:val="21"/>
                <w:highlight w:val="none"/>
                <w:lang w:eastAsia="zh-CN"/>
              </w:rPr>
            </w:pPr>
            <w:r>
              <w:rPr>
                <w:rFonts w:hint="eastAsia"/>
                <w:color w:val="auto"/>
                <w:szCs w:val="21"/>
                <w:highlight w:val="none"/>
                <w:lang w:eastAsia="zh-CN"/>
              </w:rPr>
              <w:t>长期</w:t>
            </w:r>
          </w:p>
        </w:tc>
        <w:tc>
          <w:tcPr>
            <w:tcW w:w="717" w:type="dxa"/>
            <w:noWrap w:val="0"/>
            <w:vAlign w:val="center"/>
          </w:tcPr>
          <w:p w14:paraId="0B8C5357">
            <w:pPr>
              <w:jc w:val="center"/>
              <w:rPr>
                <w:rFonts w:hint="eastAsia"/>
                <w:color w:val="auto"/>
                <w:szCs w:val="21"/>
                <w:highlight w:val="none"/>
                <w:lang w:eastAsia="zh-CN"/>
              </w:rPr>
            </w:pPr>
            <w:r>
              <w:rPr>
                <w:rFonts w:hint="eastAsia"/>
                <w:color w:val="auto"/>
                <w:szCs w:val="21"/>
                <w:highlight w:val="none"/>
                <w:lang w:eastAsia="zh-CN"/>
              </w:rPr>
              <w:t>短期</w:t>
            </w:r>
          </w:p>
        </w:tc>
        <w:tc>
          <w:tcPr>
            <w:tcW w:w="717" w:type="dxa"/>
            <w:noWrap w:val="0"/>
            <w:vAlign w:val="center"/>
          </w:tcPr>
          <w:p w14:paraId="34D75480">
            <w:pPr>
              <w:jc w:val="center"/>
              <w:rPr>
                <w:rFonts w:hint="eastAsia"/>
                <w:color w:val="auto"/>
                <w:szCs w:val="21"/>
                <w:highlight w:val="none"/>
                <w:lang w:eastAsia="zh-CN"/>
              </w:rPr>
            </w:pPr>
            <w:r>
              <w:rPr>
                <w:rFonts w:hint="eastAsia"/>
                <w:color w:val="auto"/>
                <w:szCs w:val="21"/>
                <w:highlight w:val="none"/>
                <w:lang w:eastAsia="zh-CN"/>
              </w:rPr>
              <w:t>可逆</w:t>
            </w:r>
          </w:p>
        </w:tc>
        <w:tc>
          <w:tcPr>
            <w:tcW w:w="717" w:type="dxa"/>
            <w:noWrap w:val="0"/>
            <w:vAlign w:val="center"/>
          </w:tcPr>
          <w:p w14:paraId="26526EC3">
            <w:pPr>
              <w:jc w:val="center"/>
              <w:rPr>
                <w:rFonts w:hint="eastAsia"/>
                <w:color w:val="auto"/>
                <w:szCs w:val="21"/>
                <w:highlight w:val="none"/>
                <w:lang w:eastAsia="zh-CN"/>
              </w:rPr>
            </w:pPr>
            <w:r>
              <w:rPr>
                <w:rFonts w:hint="eastAsia"/>
                <w:color w:val="auto"/>
                <w:szCs w:val="21"/>
                <w:highlight w:val="none"/>
                <w:lang w:eastAsia="zh-CN"/>
              </w:rPr>
              <w:t>不可逆</w:t>
            </w:r>
          </w:p>
        </w:tc>
        <w:tc>
          <w:tcPr>
            <w:tcW w:w="717" w:type="dxa"/>
            <w:noWrap w:val="0"/>
            <w:vAlign w:val="center"/>
          </w:tcPr>
          <w:p w14:paraId="3900DE85">
            <w:pPr>
              <w:jc w:val="center"/>
              <w:rPr>
                <w:rFonts w:hint="eastAsia"/>
                <w:color w:val="auto"/>
                <w:szCs w:val="21"/>
                <w:highlight w:val="none"/>
                <w:lang w:eastAsia="zh-CN"/>
              </w:rPr>
            </w:pPr>
            <w:r>
              <w:rPr>
                <w:rFonts w:hint="eastAsia"/>
                <w:color w:val="auto"/>
                <w:szCs w:val="21"/>
                <w:highlight w:val="none"/>
                <w:lang w:eastAsia="zh-CN"/>
              </w:rPr>
              <w:t>直接</w:t>
            </w:r>
          </w:p>
        </w:tc>
        <w:tc>
          <w:tcPr>
            <w:tcW w:w="717" w:type="dxa"/>
            <w:noWrap w:val="0"/>
            <w:vAlign w:val="center"/>
          </w:tcPr>
          <w:p w14:paraId="6DCF21D5">
            <w:pPr>
              <w:jc w:val="center"/>
              <w:rPr>
                <w:rFonts w:hint="eastAsia"/>
                <w:color w:val="auto"/>
                <w:szCs w:val="21"/>
                <w:highlight w:val="none"/>
                <w:lang w:eastAsia="zh-CN"/>
              </w:rPr>
            </w:pPr>
            <w:r>
              <w:rPr>
                <w:rFonts w:hint="eastAsia"/>
                <w:color w:val="auto"/>
                <w:szCs w:val="21"/>
                <w:highlight w:val="none"/>
                <w:lang w:eastAsia="zh-CN"/>
              </w:rPr>
              <w:t>间接</w:t>
            </w:r>
          </w:p>
        </w:tc>
        <w:tc>
          <w:tcPr>
            <w:tcW w:w="717" w:type="dxa"/>
            <w:noWrap w:val="0"/>
            <w:vAlign w:val="center"/>
          </w:tcPr>
          <w:p w14:paraId="0FA589B2">
            <w:pPr>
              <w:jc w:val="center"/>
              <w:rPr>
                <w:rFonts w:hint="eastAsia"/>
                <w:color w:val="auto"/>
                <w:szCs w:val="21"/>
                <w:highlight w:val="none"/>
                <w:lang w:eastAsia="zh-CN"/>
              </w:rPr>
            </w:pPr>
            <w:r>
              <w:rPr>
                <w:rFonts w:hint="eastAsia"/>
                <w:color w:val="auto"/>
                <w:szCs w:val="21"/>
                <w:highlight w:val="none"/>
                <w:lang w:eastAsia="zh-CN"/>
              </w:rPr>
              <w:t>累积</w:t>
            </w:r>
          </w:p>
        </w:tc>
        <w:tc>
          <w:tcPr>
            <w:tcW w:w="717" w:type="dxa"/>
            <w:noWrap w:val="0"/>
            <w:vAlign w:val="center"/>
          </w:tcPr>
          <w:p w14:paraId="0C6FFBBA">
            <w:pPr>
              <w:jc w:val="center"/>
              <w:rPr>
                <w:rFonts w:hint="eastAsia"/>
                <w:color w:val="auto"/>
                <w:szCs w:val="21"/>
                <w:highlight w:val="none"/>
                <w:lang w:eastAsia="zh-CN"/>
              </w:rPr>
            </w:pPr>
            <w:r>
              <w:rPr>
                <w:rFonts w:hint="eastAsia"/>
                <w:color w:val="auto"/>
                <w:szCs w:val="21"/>
                <w:highlight w:val="none"/>
                <w:lang w:eastAsia="zh-CN"/>
              </w:rPr>
              <w:t>非累积</w:t>
            </w:r>
          </w:p>
        </w:tc>
      </w:tr>
      <w:tr w14:paraId="0C4A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15BA62A2">
            <w:pPr>
              <w:jc w:val="center"/>
              <w:rPr>
                <w:color w:val="auto"/>
                <w:szCs w:val="21"/>
                <w:highlight w:val="none"/>
              </w:rPr>
            </w:pPr>
            <w:r>
              <w:rPr>
                <w:color w:val="auto"/>
                <w:szCs w:val="21"/>
                <w:highlight w:val="none"/>
              </w:rPr>
              <w:t>大气</w:t>
            </w:r>
          </w:p>
        </w:tc>
        <w:tc>
          <w:tcPr>
            <w:tcW w:w="717" w:type="dxa"/>
            <w:noWrap w:val="0"/>
            <w:vAlign w:val="center"/>
          </w:tcPr>
          <w:p w14:paraId="5E7A1A3A">
            <w:pPr>
              <w:jc w:val="center"/>
              <w:rPr>
                <w:rFonts w:hint="eastAsia" w:eastAsia="宋体"/>
                <w:color w:val="auto"/>
                <w:szCs w:val="21"/>
                <w:highlight w:val="none"/>
                <w:lang w:eastAsia="zh-CN"/>
              </w:rPr>
            </w:pPr>
          </w:p>
        </w:tc>
        <w:tc>
          <w:tcPr>
            <w:tcW w:w="717" w:type="dxa"/>
            <w:noWrap w:val="0"/>
            <w:vAlign w:val="center"/>
          </w:tcPr>
          <w:p w14:paraId="61C4CB89">
            <w:pPr>
              <w:jc w:val="center"/>
              <w:rPr>
                <w:color w:val="auto"/>
                <w:szCs w:val="21"/>
                <w:highlight w:val="none"/>
              </w:rPr>
            </w:pPr>
            <w:r>
              <w:rPr>
                <w:rFonts w:hint="eastAsia"/>
                <w:color w:val="auto"/>
                <w:szCs w:val="21"/>
                <w:highlight w:val="none"/>
                <w:lang w:val="en-US" w:eastAsia="zh-CN"/>
              </w:rPr>
              <w:t>-</w:t>
            </w:r>
          </w:p>
        </w:tc>
        <w:tc>
          <w:tcPr>
            <w:tcW w:w="717" w:type="dxa"/>
            <w:noWrap w:val="0"/>
            <w:vAlign w:val="center"/>
          </w:tcPr>
          <w:p w14:paraId="2A2E0CB9">
            <w:pPr>
              <w:jc w:val="center"/>
              <w:rPr>
                <w:color w:val="auto"/>
                <w:szCs w:val="21"/>
                <w:highlight w:val="none"/>
              </w:rPr>
            </w:pPr>
          </w:p>
        </w:tc>
        <w:tc>
          <w:tcPr>
            <w:tcW w:w="717" w:type="dxa"/>
            <w:noWrap w:val="0"/>
            <w:vAlign w:val="center"/>
          </w:tcPr>
          <w:p w14:paraId="00A8389F">
            <w:pPr>
              <w:jc w:val="center"/>
              <w:rPr>
                <w:color w:val="auto"/>
                <w:szCs w:val="21"/>
                <w:highlight w:val="none"/>
              </w:rPr>
            </w:pPr>
            <w:r>
              <w:rPr>
                <w:color w:val="auto"/>
                <w:szCs w:val="21"/>
                <w:highlight w:val="none"/>
              </w:rPr>
              <w:t>+</w:t>
            </w:r>
          </w:p>
        </w:tc>
        <w:tc>
          <w:tcPr>
            <w:tcW w:w="717" w:type="dxa"/>
            <w:noWrap w:val="0"/>
            <w:vAlign w:val="center"/>
          </w:tcPr>
          <w:p w14:paraId="69B97312">
            <w:pPr>
              <w:jc w:val="center"/>
              <w:rPr>
                <w:color w:val="auto"/>
                <w:szCs w:val="21"/>
                <w:highlight w:val="none"/>
              </w:rPr>
            </w:pPr>
          </w:p>
        </w:tc>
        <w:tc>
          <w:tcPr>
            <w:tcW w:w="717" w:type="dxa"/>
            <w:noWrap w:val="0"/>
            <w:vAlign w:val="center"/>
          </w:tcPr>
          <w:p w14:paraId="0DBBB5B9">
            <w:pPr>
              <w:jc w:val="center"/>
              <w:rPr>
                <w:rFonts w:hint="eastAsia" w:eastAsia="宋体"/>
                <w:color w:val="auto"/>
                <w:szCs w:val="21"/>
                <w:highlight w:val="none"/>
                <w:lang w:val="en-US" w:eastAsia="zh-CN"/>
              </w:rPr>
            </w:pPr>
          </w:p>
        </w:tc>
        <w:tc>
          <w:tcPr>
            <w:tcW w:w="717" w:type="dxa"/>
            <w:noWrap w:val="0"/>
            <w:vAlign w:val="center"/>
          </w:tcPr>
          <w:p w14:paraId="7E85E9D9">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6D9016D0">
            <w:pPr>
              <w:jc w:val="center"/>
              <w:rPr>
                <w:rFonts w:hint="eastAsia" w:eastAsia="宋体"/>
                <w:color w:val="auto"/>
                <w:szCs w:val="21"/>
                <w:highlight w:val="none"/>
                <w:lang w:val="en-US" w:eastAsia="zh-CN"/>
              </w:rPr>
            </w:pPr>
          </w:p>
        </w:tc>
        <w:tc>
          <w:tcPr>
            <w:tcW w:w="717" w:type="dxa"/>
            <w:noWrap w:val="0"/>
            <w:vAlign w:val="center"/>
          </w:tcPr>
          <w:p w14:paraId="660E6AC6">
            <w:pPr>
              <w:jc w:val="center"/>
              <w:rPr>
                <w:rFonts w:hint="eastAsia" w:eastAsia="宋体"/>
                <w:color w:val="auto"/>
                <w:szCs w:val="21"/>
                <w:highlight w:val="none"/>
                <w:lang w:val="en-US" w:eastAsia="zh-CN"/>
              </w:rPr>
            </w:pPr>
          </w:p>
        </w:tc>
        <w:tc>
          <w:tcPr>
            <w:tcW w:w="717" w:type="dxa"/>
            <w:noWrap w:val="0"/>
            <w:vAlign w:val="center"/>
          </w:tcPr>
          <w:p w14:paraId="34CE064E">
            <w:pPr>
              <w:jc w:val="center"/>
              <w:rPr>
                <w:rFonts w:hint="eastAsia" w:eastAsia="宋体"/>
                <w:color w:val="auto"/>
                <w:szCs w:val="21"/>
                <w:highlight w:val="none"/>
                <w:lang w:val="en-US" w:eastAsia="zh-CN"/>
              </w:rPr>
            </w:pPr>
          </w:p>
        </w:tc>
      </w:tr>
      <w:tr w14:paraId="623AD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13A7C6AE">
            <w:pPr>
              <w:jc w:val="center"/>
              <w:rPr>
                <w:color w:val="auto"/>
                <w:szCs w:val="21"/>
                <w:highlight w:val="none"/>
              </w:rPr>
            </w:pPr>
            <w:r>
              <w:rPr>
                <w:color w:val="auto"/>
                <w:szCs w:val="21"/>
                <w:highlight w:val="none"/>
              </w:rPr>
              <w:t>地</w:t>
            </w:r>
            <w:r>
              <w:rPr>
                <w:rFonts w:hint="eastAsia"/>
                <w:color w:val="auto"/>
                <w:szCs w:val="21"/>
                <w:highlight w:val="none"/>
              </w:rPr>
              <w:t>表</w:t>
            </w:r>
            <w:r>
              <w:rPr>
                <w:color w:val="auto"/>
                <w:szCs w:val="21"/>
                <w:highlight w:val="none"/>
              </w:rPr>
              <w:t>水</w:t>
            </w:r>
          </w:p>
        </w:tc>
        <w:tc>
          <w:tcPr>
            <w:tcW w:w="717" w:type="dxa"/>
            <w:noWrap w:val="0"/>
            <w:vAlign w:val="center"/>
          </w:tcPr>
          <w:p w14:paraId="120F745E">
            <w:pPr>
              <w:jc w:val="center"/>
              <w:rPr>
                <w:rFonts w:hint="eastAsia" w:eastAsia="宋体"/>
                <w:color w:val="auto"/>
                <w:szCs w:val="21"/>
                <w:highlight w:val="none"/>
                <w:lang w:eastAsia="zh-CN"/>
              </w:rPr>
            </w:pPr>
          </w:p>
        </w:tc>
        <w:tc>
          <w:tcPr>
            <w:tcW w:w="717" w:type="dxa"/>
            <w:noWrap w:val="0"/>
            <w:vAlign w:val="center"/>
          </w:tcPr>
          <w:p w14:paraId="76A91560">
            <w:pPr>
              <w:jc w:val="center"/>
              <w:rPr>
                <w:color w:val="auto"/>
                <w:szCs w:val="21"/>
                <w:highlight w:val="none"/>
              </w:rPr>
            </w:pPr>
            <w:r>
              <w:rPr>
                <w:rFonts w:hint="eastAsia"/>
                <w:color w:val="auto"/>
                <w:szCs w:val="21"/>
                <w:highlight w:val="none"/>
                <w:lang w:val="en-US" w:eastAsia="zh-CN"/>
              </w:rPr>
              <w:t>-</w:t>
            </w:r>
          </w:p>
        </w:tc>
        <w:tc>
          <w:tcPr>
            <w:tcW w:w="717" w:type="dxa"/>
            <w:noWrap w:val="0"/>
            <w:vAlign w:val="center"/>
          </w:tcPr>
          <w:p w14:paraId="68C92650">
            <w:pPr>
              <w:jc w:val="center"/>
              <w:rPr>
                <w:color w:val="auto"/>
                <w:szCs w:val="21"/>
                <w:highlight w:val="none"/>
              </w:rPr>
            </w:pPr>
          </w:p>
        </w:tc>
        <w:tc>
          <w:tcPr>
            <w:tcW w:w="717" w:type="dxa"/>
            <w:noWrap w:val="0"/>
            <w:vAlign w:val="center"/>
          </w:tcPr>
          <w:p w14:paraId="5F852353">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5723BD2A">
            <w:pPr>
              <w:jc w:val="center"/>
              <w:rPr>
                <w:rFonts w:hint="eastAsia" w:eastAsia="宋体"/>
                <w:color w:val="auto"/>
                <w:szCs w:val="21"/>
                <w:highlight w:val="none"/>
                <w:lang w:val="en-US" w:eastAsia="zh-CN"/>
              </w:rPr>
            </w:pPr>
          </w:p>
        </w:tc>
        <w:tc>
          <w:tcPr>
            <w:tcW w:w="717" w:type="dxa"/>
            <w:noWrap w:val="0"/>
            <w:vAlign w:val="center"/>
          </w:tcPr>
          <w:p w14:paraId="492F53A6">
            <w:pPr>
              <w:jc w:val="center"/>
              <w:rPr>
                <w:rFonts w:hint="eastAsia" w:eastAsia="宋体"/>
                <w:color w:val="auto"/>
                <w:szCs w:val="21"/>
                <w:highlight w:val="none"/>
                <w:lang w:val="en-US" w:eastAsia="zh-CN"/>
              </w:rPr>
            </w:pPr>
          </w:p>
        </w:tc>
        <w:tc>
          <w:tcPr>
            <w:tcW w:w="717" w:type="dxa"/>
            <w:noWrap w:val="0"/>
            <w:vAlign w:val="center"/>
          </w:tcPr>
          <w:p w14:paraId="3ECD8DBD">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214A9D32">
            <w:pPr>
              <w:jc w:val="center"/>
              <w:rPr>
                <w:rFonts w:hint="eastAsia" w:eastAsia="宋体"/>
                <w:color w:val="auto"/>
                <w:szCs w:val="21"/>
                <w:highlight w:val="none"/>
                <w:lang w:val="en-US" w:eastAsia="zh-CN"/>
              </w:rPr>
            </w:pPr>
          </w:p>
        </w:tc>
        <w:tc>
          <w:tcPr>
            <w:tcW w:w="717" w:type="dxa"/>
            <w:noWrap w:val="0"/>
            <w:vAlign w:val="center"/>
          </w:tcPr>
          <w:p w14:paraId="17FAD081">
            <w:pPr>
              <w:jc w:val="center"/>
              <w:rPr>
                <w:rFonts w:hint="eastAsia" w:eastAsia="宋体"/>
                <w:color w:val="auto"/>
                <w:szCs w:val="21"/>
                <w:highlight w:val="none"/>
                <w:lang w:val="en-US" w:eastAsia="zh-CN"/>
              </w:rPr>
            </w:pPr>
          </w:p>
        </w:tc>
        <w:tc>
          <w:tcPr>
            <w:tcW w:w="717" w:type="dxa"/>
            <w:noWrap w:val="0"/>
            <w:vAlign w:val="center"/>
          </w:tcPr>
          <w:p w14:paraId="68F20FA9">
            <w:pPr>
              <w:jc w:val="center"/>
              <w:rPr>
                <w:rFonts w:hint="eastAsia" w:eastAsia="宋体"/>
                <w:color w:val="auto"/>
                <w:szCs w:val="21"/>
                <w:highlight w:val="none"/>
                <w:lang w:val="en-US" w:eastAsia="zh-CN"/>
              </w:rPr>
            </w:pPr>
          </w:p>
        </w:tc>
      </w:tr>
      <w:tr w14:paraId="4C515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2C510043">
            <w:pPr>
              <w:jc w:val="center"/>
              <w:rPr>
                <w:color w:val="auto"/>
                <w:szCs w:val="21"/>
                <w:highlight w:val="none"/>
              </w:rPr>
            </w:pPr>
            <w:r>
              <w:rPr>
                <w:color w:val="auto"/>
                <w:szCs w:val="21"/>
                <w:highlight w:val="none"/>
              </w:rPr>
              <w:t>地下</w:t>
            </w:r>
            <w:r>
              <w:rPr>
                <w:rFonts w:hint="eastAsia"/>
                <w:color w:val="auto"/>
                <w:szCs w:val="21"/>
                <w:highlight w:val="none"/>
              </w:rPr>
              <w:t>水</w:t>
            </w:r>
          </w:p>
        </w:tc>
        <w:tc>
          <w:tcPr>
            <w:tcW w:w="717" w:type="dxa"/>
            <w:noWrap w:val="0"/>
            <w:vAlign w:val="center"/>
          </w:tcPr>
          <w:p w14:paraId="43429403">
            <w:pPr>
              <w:jc w:val="center"/>
              <w:rPr>
                <w:rFonts w:hint="eastAsia" w:eastAsia="宋体"/>
                <w:color w:val="auto"/>
                <w:szCs w:val="21"/>
                <w:highlight w:val="none"/>
                <w:lang w:eastAsia="zh-CN"/>
              </w:rPr>
            </w:pPr>
          </w:p>
        </w:tc>
        <w:tc>
          <w:tcPr>
            <w:tcW w:w="717" w:type="dxa"/>
            <w:noWrap w:val="0"/>
            <w:vAlign w:val="center"/>
          </w:tcPr>
          <w:p w14:paraId="0F7F0584">
            <w:pPr>
              <w:jc w:val="center"/>
              <w:rPr>
                <w:color w:val="auto"/>
                <w:szCs w:val="21"/>
                <w:highlight w:val="none"/>
              </w:rPr>
            </w:pPr>
            <w:r>
              <w:rPr>
                <w:rFonts w:hint="eastAsia"/>
                <w:color w:val="auto"/>
                <w:szCs w:val="21"/>
                <w:highlight w:val="none"/>
                <w:lang w:val="en-US" w:eastAsia="zh-CN"/>
              </w:rPr>
              <w:t>-</w:t>
            </w:r>
          </w:p>
        </w:tc>
        <w:tc>
          <w:tcPr>
            <w:tcW w:w="717" w:type="dxa"/>
            <w:noWrap w:val="0"/>
            <w:vAlign w:val="center"/>
          </w:tcPr>
          <w:p w14:paraId="3CFDEC24">
            <w:pPr>
              <w:jc w:val="center"/>
              <w:rPr>
                <w:color w:val="auto"/>
                <w:szCs w:val="21"/>
                <w:highlight w:val="none"/>
              </w:rPr>
            </w:pPr>
          </w:p>
        </w:tc>
        <w:tc>
          <w:tcPr>
            <w:tcW w:w="717" w:type="dxa"/>
            <w:noWrap w:val="0"/>
            <w:vAlign w:val="center"/>
          </w:tcPr>
          <w:p w14:paraId="6F4C3A13">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74700F9C">
            <w:pPr>
              <w:jc w:val="center"/>
              <w:rPr>
                <w:rFonts w:hint="eastAsia" w:eastAsia="宋体"/>
                <w:color w:val="auto"/>
                <w:szCs w:val="21"/>
                <w:highlight w:val="none"/>
                <w:lang w:val="en-US" w:eastAsia="zh-CN"/>
              </w:rPr>
            </w:pPr>
          </w:p>
        </w:tc>
        <w:tc>
          <w:tcPr>
            <w:tcW w:w="717" w:type="dxa"/>
            <w:noWrap w:val="0"/>
            <w:vAlign w:val="center"/>
          </w:tcPr>
          <w:p w14:paraId="09EBB754">
            <w:pPr>
              <w:jc w:val="center"/>
              <w:rPr>
                <w:rFonts w:hint="eastAsia" w:eastAsia="宋体"/>
                <w:color w:val="auto"/>
                <w:szCs w:val="21"/>
                <w:highlight w:val="none"/>
                <w:lang w:val="en-US" w:eastAsia="zh-CN"/>
              </w:rPr>
            </w:pPr>
          </w:p>
        </w:tc>
        <w:tc>
          <w:tcPr>
            <w:tcW w:w="717" w:type="dxa"/>
            <w:noWrap w:val="0"/>
            <w:vAlign w:val="center"/>
          </w:tcPr>
          <w:p w14:paraId="44550A2E">
            <w:pPr>
              <w:jc w:val="center"/>
              <w:rPr>
                <w:rFonts w:hint="eastAsia" w:eastAsia="宋体"/>
                <w:color w:val="auto"/>
                <w:szCs w:val="21"/>
                <w:highlight w:val="none"/>
                <w:lang w:val="en-US" w:eastAsia="zh-CN"/>
              </w:rPr>
            </w:pPr>
          </w:p>
        </w:tc>
        <w:tc>
          <w:tcPr>
            <w:tcW w:w="717" w:type="dxa"/>
            <w:noWrap w:val="0"/>
            <w:vAlign w:val="center"/>
          </w:tcPr>
          <w:p w14:paraId="5B3121DF">
            <w:pPr>
              <w:jc w:val="center"/>
              <w:rPr>
                <w:rFonts w:hint="eastAsia" w:eastAsia="宋体"/>
                <w:color w:val="auto"/>
                <w:szCs w:val="21"/>
                <w:highlight w:val="none"/>
                <w:lang w:val="en-US" w:eastAsia="zh-CN"/>
              </w:rPr>
            </w:pPr>
          </w:p>
        </w:tc>
        <w:tc>
          <w:tcPr>
            <w:tcW w:w="717" w:type="dxa"/>
            <w:noWrap w:val="0"/>
            <w:vAlign w:val="center"/>
          </w:tcPr>
          <w:p w14:paraId="0ECF8C0E">
            <w:pPr>
              <w:jc w:val="center"/>
              <w:rPr>
                <w:rFonts w:hint="eastAsia" w:eastAsia="宋体"/>
                <w:color w:val="auto"/>
                <w:szCs w:val="21"/>
                <w:highlight w:val="none"/>
                <w:lang w:val="en-US" w:eastAsia="zh-CN"/>
              </w:rPr>
            </w:pPr>
          </w:p>
        </w:tc>
        <w:tc>
          <w:tcPr>
            <w:tcW w:w="717" w:type="dxa"/>
            <w:noWrap w:val="0"/>
            <w:vAlign w:val="center"/>
          </w:tcPr>
          <w:p w14:paraId="11EC75E3">
            <w:pPr>
              <w:jc w:val="center"/>
              <w:rPr>
                <w:rFonts w:hint="eastAsia" w:eastAsia="宋体"/>
                <w:color w:val="auto"/>
                <w:szCs w:val="21"/>
                <w:highlight w:val="none"/>
                <w:lang w:val="en-US" w:eastAsia="zh-CN"/>
              </w:rPr>
            </w:pPr>
          </w:p>
        </w:tc>
      </w:tr>
      <w:tr w14:paraId="35C1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4934F0CC">
            <w:pPr>
              <w:jc w:val="center"/>
              <w:rPr>
                <w:color w:val="auto"/>
                <w:szCs w:val="21"/>
                <w:highlight w:val="none"/>
              </w:rPr>
            </w:pPr>
            <w:r>
              <w:rPr>
                <w:color w:val="auto"/>
                <w:szCs w:val="21"/>
                <w:highlight w:val="none"/>
              </w:rPr>
              <w:t>生态</w:t>
            </w:r>
          </w:p>
        </w:tc>
        <w:tc>
          <w:tcPr>
            <w:tcW w:w="717" w:type="dxa"/>
            <w:noWrap w:val="0"/>
            <w:vAlign w:val="center"/>
          </w:tcPr>
          <w:p w14:paraId="2DEB1B99">
            <w:pPr>
              <w:jc w:val="center"/>
              <w:rPr>
                <w:rFonts w:hint="eastAsia" w:eastAsia="宋体"/>
                <w:color w:val="auto"/>
                <w:szCs w:val="21"/>
                <w:highlight w:val="none"/>
                <w:lang w:eastAsia="zh-CN"/>
              </w:rPr>
            </w:pPr>
          </w:p>
        </w:tc>
        <w:tc>
          <w:tcPr>
            <w:tcW w:w="717" w:type="dxa"/>
            <w:noWrap w:val="0"/>
            <w:vAlign w:val="center"/>
          </w:tcPr>
          <w:p w14:paraId="75612B10">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095017B4">
            <w:pPr>
              <w:jc w:val="center"/>
              <w:rPr>
                <w:rFonts w:hint="default"/>
                <w:color w:val="auto"/>
                <w:szCs w:val="21"/>
                <w:highlight w:val="none"/>
                <w:lang w:val="en-US" w:eastAsia="zh-CN"/>
              </w:rPr>
            </w:pPr>
          </w:p>
        </w:tc>
        <w:tc>
          <w:tcPr>
            <w:tcW w:w="717" w:type="dxa"/>
            <w:noWrap w:val="0"/>
            <w:vAlign w:val="center"/>
          </w:tcPr>
          <w:p w14:paraId="5C822E88">
            <w:pPr>
              <w:jc w:val="center"/>
              <w:rPr>
                <w:rFonts w:hint="default"/>
                <w:color w:val="auto"/>
                <w:szCs w:val="21"/>
                <w:highlight w:val="none"/>
                <w:lang w:val="en-US" w:eastAsia="zh-CN"/>
              </w:rPr>
            </w:pPr>
          </w:p>
        </w:tc>
        <w:tc>
          <w:tcPr>
            <w:tcW w:w="717" w:type="dxa"/>
            <w:noWrap w:val="0"/>
            <w:vAlign w:val="center"/>
          </w:tcPr>
          <w:p w14:paraId="7801488C">
            <w:pPr>
              <w:jc w:val="center"/>
              <w:rPr>
                <w:rFonts w:hint="default"/>
                <w:color w:val="auto"/>
                <w:szCs w:val="21"/>
                <w:highlight w:val="none"/>
                <w:lang w:val="en-US" w:eastAsia="zh-CN"/>
              </w:rPr>
            </w:pPr>
          </w:p>
        </w:tc>
        <w:tc>
          <w:tcPr>
            <w:tcW w:w="717" w:type="dxa"/>
            <w:noWrap w:val="0"/>
            <w:vAlign w:val="center"/>
          </w:tcPr>
          <w:p w14:paraId="21D0F95C">
            <w:pPr>
              <w:jc w:val="center"/>
              <w:rPr>
                <w:rFonts w:hint="default"/>
                <w:color w:val="auto"/>
                <w:szCs w:val="21"/>
                <w:highlight w:val="none"/>
                <w:lang w:val="en-US" w:eastAsia="zh-CN"/>
              </w:rPr>
            </w:pPr>
          </w:p>
        </w:tc>
        <w:tc>
          <w:tcPr>
            <w:tcW w:w="717" w:type="dxa"/>
            <w:noWrap w:val="0"/>
            <w:vAlign w:val="center"/>
          </w:tcPr>
          <w:p w14:paraId="21E325AD">
            <w:pPr>
              <w:jc w:val="center"/>
              <w:rPr>
                <w:rFonts w:hint="default"/>
                <w:color w:val="auto"/>
                <w:szCs w:val="21"/>
                <w:highlight w:val="none"/>
                <w:lang w:val="en-US" w:eastAsia="zh-CN"/>
              </w:rPr>
            </w:pPr>
          </w:p>
        </w:tc>
        <w:tc>
          <w:tcPr>
            <w:tcW w:w="717" w:type="dxa"/>
            <w:noWrap w:val="0"/>
            <w:vAlign w:val="center"/>
          </w:tcPr>
          <w:p w14:paraId="1E5EFCCA">
            <w:pPr>
              <w:jc w:val="center"/>
              <w:rPr>
                <w:rFonts w:hint="default"/>
                <w:color w:val="auto"/>
                <w:szCs w:val="21"/>
                <w:highlight w:val="none"/>
                <w:lang w:val="en-US" w:eastAsia="zh-CN"/>
              </w:rPr>
            </w:pPr>
          </w:p>
        </w:tc>
        <w:tc>
          <w:tcPr>
            <w:tcW w:w="717" w:type="dxa"/>
            <w:noWrap w:val="0"/>
            <w:vAlign w:val="center"/>
          </w:tcPr>
          <w:p w14:paraId="0AB19CDC">
            <w:pPr>
              <w:jc w:val="center"/>
              <w:rPr>
                <w:rFonts w:hint="default"/>
                <w:color w:val="auto"/>
                <w:szCs w:val="21"/>
                <w:highlight w:val="none"/>
                <w:lang w:val="en-US" w:eastAsia="zh-CN"/>
              </w:rPr>
            </w:pPr>
          </w:p>
        </w:tc>
        <w:tc>
          <w:tcPr>
            <w:tcW w:w="717" w:type="dxa"/>
            <w:noWrap w:val="0"/>
            <w:vAlign w:val="center"/>
          </w:tcPr>
          <w:p w14:paraId="6F396FE7">
            <w:pPr>
              <w:jc w:val="center"/>
              <w:rPr>
                <w:rFonts w:hint="default"/>
                <w:color w:val="auto"/>
                <w:szCs w:val="21"/>
                <w:highlight w:val="none"/>
                <w:lang w:val="en-US" w:eastAsia="zh-CN"/>
              </w:rPr>
            </w:pPr>
          </w:p>
        </w:tc>
      </w:tr>
      <w:tr w14:paraId="18C2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79A0837E">
            <w:pPr>
              <w:jc w:val="center"/>
              <w:rPr>
                <w:color w:val="auto"/>
                <w:szCs w:val="21"/>
                <w:highlight w:val="none"/>
              </w:rPr>
            </w:pPr>
            <w:r>
              <w:rPr>
                <w:color w:val="auto"/>
                <w:szCs w:val="21"/>
                <w:highlight w:val="none"/>
              </w:rPr>
              <w:t>声环境</w:t>
            </w:r>
          </w:p>
        </w:tc>
        <w:tc>
          <w:tcPr>
            <w:tcW w:w="717" w:type="dxa"/>
            <w:noWrap w:val="0"/>
            <w:vAlign w:val="center"/>
          </w:tcPr>
          <w:p w14:paraId="5EAC9DBB">
            <w:pPr>
              <w:jc w:val="center"/>
              <w:rPr>
                <w:rFonts w:hint="eastAsia" w:eastAsia="宋体"/>
                <w:color w:val="auto"/>
                <w:szCs w:val="21"/>
                <w:highlight w:val="none"/>
                <w:lang w:eastAsia="zh-CN"/>
              </w:rPr>
            </w:pPr>
          </w:p>
        </w:tc>
        <w:tc>
          <w:tcPr>
            <w:tcW w:w="717" w:type="dxa"/>
            <w:noWrap w:val="0"/>
            <w:vAlign w:val="center"/>
          </w:tcPr>
          <w:p w14:paraId="4D228E3B">
            <w:pPr>
              <w:jc w:val="center"/>
              <w:rPr>
                <w:color w:val="auto"/>
                <w:szCs w:val="21"/>
                <w:highlight w:val="none"/>
              </w:rPr>
            </w:pPr>
            <w:r>
              <w:rPr>
                <w:rFonts w:hint="eastAsia"/>
                <w:color w:val="auto"/>
                <w:szCs w:val="21"/>
                <w:highlight w:val="none"/>
                <w:lang w:val="en-US" w:eastAsia="zh-CN"/>
              </w:rPr>
              <w:t>-</w:t>
            </w:r>
          </w:p>
        </w:tc>
        <w:tc>
          <w:tcPr>
            <w:tcW w:w="717" w:type="dxa"/>
            <w:noWrap w:val="0"/>
            <w:vAlign w:val="center"/>
          </w:tcPr>
          <w:p w14:paraId="050CC6DE">
            <w:pPr>
              <w:jc w:val="center"/>
              <w:rPr>
                <w:color w:val="auto"/>
                <w:szCs w:val="21"/>
                <w:highlight w:val="none"/>
              </w:rPr>
            </w:pPr>
          </w:p>
        </w:tc>
        <w:tc>
          <w:tcPr>
            <w:tcW w:w="717" w:type="dxa"/>
            <w:noWrap w:val="0"/>
            <w:vAlign w:val="center"/>
          </w:tcPr>
          <w:p w14:paraId="7527A0C6">
            <w:pPr>
              <w:jc w:val="center"/>
              <w:rPr>
                <w:color w:val="auto"/>
                <w:szCs w:val="21"/>
                <w:highlight w:val="none"/>
              </w:rPr>
            </w:pPr>
            <w:r>
              <w:rPr>
                <w:color w:val="auto"/>
                <w:szCs w:val="21"/>
                <w:highlight w:val="none"/>
              </w:rPr>
              <w:t>+</w:t>
            </w:r>
          </w:p>
        </w:tc>
        <w:tc>
          <w:tcPr>
            <w:tcW w:w="717" w:type="dxa"/>
            <w:noWrap w:val="0"/>
            <w:vAlign w:val="center"/>
          </w:tcPr>
          <w:p w14:paraId="3D57BA43">
            <w:pPr>
              <w:jc w:val="center"/>
              <w:rPr>
                <w:rFonts w:hint="eastAsia" w:eastAsia="宋体"/>
                <w:color w:val="auto"/>
                <w:szCs w:val="21"/>
                <w:highlight w:val="none"/>
                <w:lang w:val="en-US" w:eastAsia="zh-CN"/>
              </w:rPr>
            </w:pPr>
          </w:p>
        </w:tc>
        <w:tc>
          <w:tcPr>
            <w:tcW w:w="717" w:type="dxa"/>
            <w:noWrap w:val="0"/>
            <w:vAlign w:val="center"/>
          </w:tcPr>
          <w:p w14:paraId="0AD6C498">
            <w:pPr>
              <w:jc w:val="center"/>
              <w:rPr>
                <w:rFonts w:hint="eastAsia" w:eastAsia="宋体"/>
                <w:color w:val="auto"/>
                <w:szCs w:val="21"/>
                <w:highlight w:val="none"/>
                <w:lang w:val="en-US" w:eastAsia="zh-CN"/>
              </w:rPr>
            </w:pPr>
          </w:p>
        </w:tc>
        <w:tc>
          <w:tcPr>
            <w:tcW w:w="717" w:type="dxa"/>
            <w:noWrap w:val="0"/>
            <w:vAlign w:val="center"/>
          </w:tcPr>
          <w:p w14:paraId="35323460">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7010C50F">
            <w:pPr>
              <w:jc w:val="center"/>
              <w:rPr>
                <w:rFonts w:hint="eastAsia" w:eastAsia="宋体"/>
                <w:color w:val="auto"/>
                <w:szCs w:val="21"/>
                <w:highlight w:val="none"/>
                <w:lang w:val="en-US" w:eastAsia="zh-CN"/>
              </w:rPr>
            </w:pPr>
          </w:p>
        </w:tc>
        <w:tc>
          <w:tcPr>
            <w:tcW w:w="717" w:type="dxa"/>
            <w:noWrap w:val="0"/>
            <w:vAlign w:val="center"/>
          </w:tcPr>
          <w:p w14:paraId="12B8B263">
            <w:pPr>
              <w:jc w:val="center"/>
              <w:rPr>
                <w:rFonts w:hint="eastAsia" w:eastAsia="宋体"/>
                <w:color w:val="auto"/>
                <w:szCs w:val="21"/>
                <w:highlight w:val="none"/>
                <w:lang w:val="en-US" w:eastAsia="zh-CN"/>
              </w:rPr>
            </w:pPr>
          </w:p>
        </w:tc>
        <w:tc>
          <w:tcPr>
            <w:tcW w:w="717" w:type="dxa"/>
            <w:noWrap w:val="0"/>
            <w:vAlign w:val="center"/>
          </w:tcPr>
          <w:p w14:paraId="559154D2">
            <w:pPr>
              <w:jc w:val="center"/>
              <w:rPr>
                <w:rFonts w:hint="eastAsia" w:eastAsia="宋体"/>
                <w:color w:val="auto"/>
                <w:szCs w:val="21"/>
                <w:highlight w:val="none"/>
                <w:lang w:val="en-US" w:eastAsia="zh-CN"/>
              </w:rPr>
            </w:pPr>
          </w:p>
        </w:tc>
      </w:tr>
      <w:tr w14:paraId="197E7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3C710FD7">
            <w:pPr>
              <w:jc w:val="center"/>
              <w:rPr>
                <w:color w:val="auto"/>
                <w:szCs w:val="21"/>
                <w:highlight w:val="none"/>
              </w:rPr>
            </w:pPr>
            <w:r>
              <w:rPr>
                <w:rFonts w:hint="eastAsia"/>
                <w:color w:val="auto"/>
                <w:szCs w:val="21"/>
                <w:highlight w:val="none"/>
              </w:rPr>
              <w:t>土壤</w:t>
            </w:r>
          </w:p>
        </w:tc>
        <w:tc>
          <w:tcPr>
            <w:tcW w:w="717" w:type="dxa"/>
            <w:noWrap w:val="0"/>
            <w:vAlign w:val="center"/>
          </w:tcPr>
          <w:p w14:paraId="7403BF6D">
            <w:pPr>
              <w:jc w:val="center"/>
              <w:rPr>
                <w:rFonts w:hint="eastAsia" w:eastAsia="宋体"/>
                <w:color w:val="auto"/>
                <w:szCs w:val="21"/>
                <w:highlight w:val="none"/>
                <w:lang w:val="en-US" w:eastAsia="zh-CN"/>
              </w:rPr>
            </w:pPr>
          </w:p>
        </w:tc>
        <w:tc>
          <w:tcPr>
            <w:tcW w:w="717" w:type="dxa"/>
            <w:noWrap w:val="0"/>
            <w:vAlign w:val="center"/>
          </w:tcPr>
          <w:p w14:paraId="1E097A10">
            <w:pPr>
              <w:jc w:val="center"/>
              <w:rPr>
                <w:color w:val="auto"/>
                <w:szCs w:val="21"/>
                <w:highlight w:val="none"/>
              </w:rPr>
            </w:pPr>
          </w:p>
        </w:tc>
        <w:tc>
          <w:tcPr>
            <w:tcW w:w="717" w:type="dxa"/>
            <w:noWrap w:val="0"/>
            <w:vAlign w:val="center"/>
          </w:tcPr>
          <w:p w14:paraId="60745DA8">
            <w:pPr>
              <w:jc w:val="center"/>
              <w:rPr>
                <w:rFonts w:hint="eastAsia" w:eastAsia="宋体"/>
                <w:color w:val="auto"/>
                <w:szCs w:val="21"/>
                <w:highlight w:val="none"/>
                <w:lang w:eastAsia="zh-CN"/>
              </w:rPr>
            </w:pPr>
          </w:p>
        </w:tc>
        <w:tc>
          <w:tcPr>
            <w:tcW w:w="717" w:type="dxa"/>
            <w:noWrap w:val="0"/>
            <w:vAlign w:val="center"/>
          </w:tcPr>
          <w:p w14:paraId="14AFFB73">
            <w:pPr>
              <w:jc w:val="center"/>
              <w:rPr>
                <w:rFonts w:hint="eastAsia" w:eastAsia="宋体"/>
                <w:color w:val="auto"/>
                <w:szCs w:val="21"/>
                <w:highlight w:val="none"/>
                <w:lang w:eastAsia="zh-CN"/>
              </w:rPr>
            </w:pPr>
          </w:p>
        </w:tc>
        <w:tc>
          <w:tcPr>
            <w:tcW w:w="717" w:type="dxa"/>
            <w:noWrap w:val="0"/>
            <w:vAlign w:val="center"/>
          </w:tcPr>
          <w:p w14:paraId="0972ABB4">
            <w:pPr>
              <w:jc w:val="center"/>
              <w:rPr>
                <w:rFonts w:hint="default" w:eastAsia="宋体"/>
                <w:color w:val="auto"/>
                <w:szCs w:val="21"/>
                <w:highlight w:val="none"/>
                <w:lang w:val="en-US" w:eastAsia="zh-CN"/>
              </w:rPr>
            </w:pPr>
          </w:p>
        </w:tc>
        <w:tc>
          <w:tcPr>
            <w:tcW w:w="717" w:type="dxa"/>
            <w:noWrap w:val="0"/>
            <w:vAlign w:val="center"/>
          </w:tcPr>
          <w:p w14:paraId="668F3888">
            <w:pPr>
              <w:jc w:val="center"/>
              <w:rPr>
                <w:rFonts w:hint="eastAsia" w:eastAsia="宋体"/>
                <w:color w:val="auto"/>
                <w:szCs w:val="21"/>
                <w:highlight w:val="none"/>
                <w:lang w:val="en-US" w:eastAsia="zh-CN"/>
              </w:rPr>
            </w:pPr>
          </w:p>
        </w:tc>
        <w:tc>
          <w:tcPr>
            <w:tcW w:w="717" w:type="dxa"/>
            <w:noWrap w:val="0"/>
            <w:vAlign w:val="center"/>
          </w:tcPr>
          <w:p w14:paraId="5BF3F9AE">
            <w:pPr>
              <w:jc w:val="center"/>
              <w:rPr>
                <w:rFonts w:hint="eastAsia" w:eastAsia="宋体"/>
                <w:color w:val="auto"/>
                <w:szCs w:val="21"/>
                <w:highlight w:val="none"/>
                <w:lang w:val="en-US" w:eastAsia="zh-CN"/>
              </w:rPr>
            </w:pPr>
          </w:p>
        </w:tc>
        <w:tc>
          <w:tcPr>
            <w:tcW w:w="717" w:type="dxa"/>
            <w:noWrap w:val="0"/>
            <w:vAlign w:val="center"/>
          </w:tcPr>
          <w:p w14:paraId="05D310DF">
            <w:pPr>
              <w:jc w:val="center"/>
              <w:rPr>
                <w:rFonts w:hint="eastAsia" w:eastAsia="宋体"/>
                <w:color w:val="auto"/>
                <w:szCs w:val="21"/>
                <w:highlight w:val="none"/>
                <w:lang w:val="en-US" w:eastAsia="zh-CN"/>
              </w:rPr>
            </w:pPr>
          </w:p>
        </w:tc>
        <w:tc>
          <w:tcPr>
            <w:tcW w:w="717" w:type="dxa"/>
            <w:noWrap w:val="0"/>
            <w:vAlign w:val="center"/>
          </w:tcPr>
          <w:p w14:paraId="7FE03976">
            <w:pPr>
              <w:jc w:val="center"/>
              <w:rPr>
                <w:rFonts w:hint="eastAsia" w:eastAsia="宋体"/>
                <w:color w:val="auto"/>
                <w:szCs w:val="21"/>
                <w:highlight w:val="none"/>
                <w:lang w:val="en-US" w:eastAsia="zh-CN"/>
              </w:rPr>
            </w:pPr>
          </w:p>
        </w:tc>
        <w:tc>
          <w:tcPr>
            <w:tcW w:w="717" w:type="dxa"/>
            <w:noWrap w:val="0"/>
            <w:vAlign w:val="center"/>
          </w:tcPr>
          <w:p w14:paraId="75965A22">
            <w:pPr>
              <w:jc w:val="center"/>
              <w:rPr>
                <w:rFonts w:hint="eastAsia" w:eastAsia="宋体"/>
                <w:color w:val="auto"/>
                <w:szCs w:val="21"/>
                <w:highlight w:val="none"/>
                <w:lang w:val="en-US" w:eastAsia="zh-CN"/>
              </w:rPr>
            </w:pPr>
          </w:p>
        </w:tc>
      </w:tr>
      <w:tr w14:paraId="1FC7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174" w:type="dxa"/>
            <w:vMerge w:val="restart"/>
            <w:noWrap w:val="0"/>
            <w:vAlign w:val="center"/>
          </w:tcPr>
          <w:p w14:paraId="10C933CA">
            <w:pPr>
              <w:jc w:val="center"/>
              <w:rPr>
                <w:color w:val="auto"/>
                <w:szCs w:val="21"/>
                <w:highlight w:val="none"/>
              </w:rPr>
            </w:pPr>
            <w:r>
              <w:rPr>
                <w:color w:val="auto"/>
                <w:szCs w:val="21"/>
                <w:highlight w:val="none"/>
              </w:rPr>
              <w:t>环境要素</w:t>
            </w:r>
          </w:p>
        </w:tc>
        <w:tc>
          <w:tcPr>
            <w:tcW w:w="7170" w:type="dxa"/>
            <w:gridSpan w:val="10"/>
            <w:noWrap w:val="0"/>
            <w:vAlign w:val="center"/>
          </w:tcPr>
          <w:p w14:paraId="7258B3CE">
            <w:pPr>
              <w:jc w:val="center"/>
              <w:rPr>
                <w:rFonts w:hint="eastAsia"/>
                <w:color w:val="auto"/>
                <w:szCs w:val="21"/>
                <w:highlight w:val="none"/>
                <w:lang w:eastAsia="zh-CN"/>
              </w:rPr>
            </w:pPr>
            <w:r>
              <w:rPr>
                <w:rFonts w:hint="eastAsia"/>
                <w:color w:val="auto"/>
                <w:szCs w:val="21"/>
                <w:highlight w:val="none"/>
                <w:lang w:eastAsia="zh-CN"/>
              </w:rPr>
              <w:t>运营期</w:t>
            </w:r>
          </w:p>
        </w:tc>
      </w:tr>
      <w:tr w14:paraId="215C1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174" w:type="dxa"/>
            <w:vMerge w:val="continue"/>
            <w:noWrap w:val="0"/>
            <w:vAlign w:val="center"/>
          </w:tcPr>
          <w:p w14:paraId="3990EFB5">
            <w:pPr>
              <w:jc w:val="center"/>
              <w:rPr>
                <w:color w:val="auto"/>
                <w:szCs w:val="21"/>
                <w:highlight w:val="none"/>
              </w:rPr>
            </w:pPr>
          </w:p>
        </w:tc>
        <w:tc>
          <w:tcPr>
            <w:tcW w:w="717" w:type="dxa"/>
            <w:noWrap w:val="0"/>
            <w:vAlign w:val="center"/>
          </w:tcPr>
          <w:p w14:paraId="7964BC0D">
            <w:pPr>
              <w:jc w:val="center"/>
              <w:rPr>
                <w:rFonts w:hint="eastAsia" w:eastAsia="宋体"/>
                <w:color w:val="auto"/>
                <w:szCs w:val="21"/>
                <w:highlight w:val="none"/>
                <w:lang w:eastAsia="zh-CN"/>
              </w:rPr>
            </w:pPr>
            <w:r>
              <w:rPr>
                <w:rFonts w:hint="eastAsia"/>
                <w:color w:val="auto"/>
                <w:szCs w:val="21"/>
                <w:highlight w:val="none"/>
                <w:lang w:eastAsia="zh-CN"/>
              </w:rPr>
              <w:t>有利</w:t>
            </w:r>
          </w:p>
        </w:tc>
        <w:tc>
          <w:tcPr>
            <w:tcW w:w="717" w:type="dxa"/>
            <w:noWrap w:val="0"/>
            <w:vAlign w:val="center"/>
          </w:tcPr>
          <w:p w14:paraId="4D666569">
            <w:pPr>
              <w:jc w:val="center"/>
              <w:rPr>
                <w:rFonts w:hint="eastAsia"/>
                <w:color w:val="auto"/>
                <w:szCs w:val="21"/>
                <w:highlight w:val="none"/>
                <w:lang w:eastAsia="zh-CN"/>
              </w:rPr>
            </w:pPr>
            <w:r>
              <w:rPr>
                <w:rFonts w:hint="eastAsia"/>
                <w:color w:val="auto"/>
                <w:szCs w:val="21"/>
                <w:highlight w:val="none"/>
                <w:lang w:eastAsia="zh-CN"/>
              </w:rPr>
              <w:t>不利</w:t>
            </w:r>
          </w:p>
        </w:tc>
        <w:tc>
          <w:tcPr>
            <w:tcW w:w="717" w:type="dxa"/>
            <w:noWrap w:val="0"/>
            <w:vAlign w:val="center"/>
          </w:tcPr>
          <w:p w14:paraId="04F4F26C">
            <w:pPr>
              <w:jc w:val="center"/>
              <w:rPr>
                <w:rFonts w:hint="eastAsia"/>
                <w:color w:val="auto"/>
                <w:szCs w:val="21"/>
                <w:highlight w:val="none"/>
                <w:lang w:eastAsia="zh-CN"/>
              </w:rPr>
            </w:pPr>
            <w:r>
              <w:rPr>
                <w:rFonts w:hint="eastAsia"/>
                <w:color w:val="auto"/>
                <w:szCs w:val="21"/>
                <w:highlight w:val="none"/>
                <w:lang w:eastAsia="zh-CN"/>
              </w:rPr>
              <w:t>长期</w:t>
            </w:r>
          </w:p>
        </w:tc>
        <w:tc>
          <w:tcPr>
            <w:tcW w:w="717" w:type="dxa"/>
            <w:noWrap w:val="0"/>
            <w:vAlign w:val="center"/>
          </w:tcPr>
          <w:p w14:paraId="1CDD846F">
            <w:pPr>
              <w:jc w:val="center"/>
              <w:rPr>
                <w:rFonts w:hint="eastAsia"/>
                <w:color w:val="auto"/>
                <w:szCs w:val="21"/>
                <w:highlight w:val="none"/>
                <w:lang w:eastAsia="zh-CN"/>
              </w:rPr>
            </w:pPr>
            <w:r>
              <w:rPr>
                <w:rFonts w:hint="eastAsia"/>
                <w:color w:val="auto"/>
                <w:szCs w:val="21"/>
                <w:highlight w:val="none"/>
                <w:lang w:eastAsia="zh-CN"/>
              </w:rPr>
              <w:t>短期</w:t>
            </w:r>
          </w:p>
        </w:tc>
        <w:tc>
          <w:tcPr>
            <w:tcW w:w="717" w:type="dxa"/>
            <w:noWrap w:val="0"/>
            <w:vAlign w:val="center"/>
          </w:tcPr>
          <w:p w14:paraId="5DB83F09">
            <w:pPr>
              <w:jc w:val="center"/>
              <w:rPr>
                <w:rFonts w:hint="eastAsia"/>
                <w:color w:val="auto"/>
                <w:szCs w:val="21"/>
                <w:highlight w:val="none"/>
                <w:lang w:eastAsia="zh-CN"/>
              </w:rPr>
            </w:pPr>
            <w:r>
              <w:rPr>
                <w:rFonts w:hint="eastAsia"/>
                <w:color w:val="auto"/>
                <w:szCs w:val="21"/>
                <w:highlight w:val="none"/>
                <w:lang w:eastAsia="zh-CN"/>
              </w:rPr>
              <w:t>可逆</w:t>
            </w:r>
          </w:p>
        </w:tc>
        <w:tc>
          <w:tcPr>
            <w:tcW w:w="717" w:type="dxa"/>
            <w:noWrap w:val="0"/>
            <w:vAlign w:val="center"/>
          </w:tcPr>
          <w:p w14:paraId="4B778456">
            <w:pPr>
              <w:jc w:val="center"/>
              <w:rPr>
                <w:rFonts w:hint="eastAsia"/>
                <w:color w:val="auto"/>
                <w:szCs w:val="21"/>
                <w:highlight w:val="none"/>
                <w:lang w:eastAsia="zh-CN"/>
              </w:rPr>
            </w:pPr>
            <w:r>
              <w:rPr>
                <w:rFonts w:hint="eastAsia"/>
                <w:color w:val="auto"/>
                <w:szCs w:val="21"/>
                <w:highlight w:val="none"/>
                <w:lang w:eastAsia="zh-CN"/>
              </w:rPr>
              <w:t>不可逆</w:t>
            </w:r>
          </w:p>
        </w:tc>
        <w:tc>
          <w:tcPr>
            <w:tcW w:w="717" w:type="dxa"/>
            <w:noWrap w:val="0"/>
            <w:vAlign w:val="center"/>
          </w:tcPr>
          <w:p w14:paraId="3B320DCE">
            <w:pPr>
              <w:jc w:val="center"/>
              <w:rPr>
                <w:rFonts w:hint="eastAsia"/>
                <w:color w:val="auto"/>
                <w:szCs w:val="21"/>
                <w:highlight w:val="none"/>
                <w:lang w:eastAsia="zh-CN"/>
              </w:rPr>
            </w:pPr>
            <w:r>
              <w:rPr>
                <w:rFonts w:hint="eastAsia"/>
                <w:color w:val="auto"/>
                <w:szCs w:val="21"/>
                <w:highlight w:val="none"/>
                <w:lang w:eastAsia="zh-CN"/>
              </w:rPr>
              <w:t>直接</w:t>
            </w:r>
          </w:p>
        </w:tc>
        <w:tc>
          <w:tcPr>
            <w:tcW w:w="717" w:type="dxa"/>
            <w:noWrap w:val="0"/>
            <w:vAlign w:val="center"/>
          </w:tcPr>
          <w:p w14:paraId="6F1ADBD1">
            <w:pPr>
              <w:jc w:val="center"/>
              <w:rPr>
                <w:rFonts w:hint="eastAsia"/>
                <w:color w:val="auto"/>
                <w:szCs w:val="21"/>
                <w:highlight w:val="none"/>
                <w:lang w:eastAsia="zh-CN"/>
              </w:rPr>
            </w:pPr>
            <w:r>
              <w:rPr>
                <w:rFonts w:hint="eastAsia"/>
                <w:color w:val="auto"/>
                <w:szCs w:val="21"/>
                <w:highlight w:val="none"/>
                <w:lang w:eastAsia="zh-CN"/>
              </w:rPr>
              <w:t>间接</w:t>
            </w:r>
          </w:p>
        </w:tc>
        <w:tc>
          <w:tcPr>
            <w:tcW w:w="717" w:type="dxa"/>
            <w:noWrap w:val="0"/>
            <w:vAlign w:val="center"/>
          </w:tcPr>
          <w:p w14:paraId="17C8D8A7">
            <w:pPr>
              <w:jc w:val="center"/>
              <w:rPr>
                <w:rFonts w:hint="eastAsia"/>
                <w:color w:val="auto"/>
                <w:szCs w:val="21"/>
                <w:highlight w:val="none"/>
                <w:lang w:eastAsia="zh-CN"/>
              </w:rPr>
            </w:pPr>
            <w:r>
              <w:rPr>
                <w:rFonts w:hint="eastAsia"/>
                <w:color w:val="auto"/>
                <w:szCs w:val="21"/>
                <w:highlight w:val="none"/>
                <w:lang w:eastAsia="zh-CN"/>
              </w:rPr>
              <w:t>累积</w:t>
            </w:r>
          </w:p>
        </w:tc>
        <w:tc>
          <w:tcPr>
            <w:tcW w:w="717" w:type="dxa"/>
            <w:noWrap w:val="0"/>
            <w:vAlign w:val="center"/>
          </w:tcPr>
          <w:p w14:paraId="2DF0C456">
            <w:pPr>
              <w:jc w:val="center"/>
              <w:rPr>
                <w:rFonts w:hint="eastAsia"/>
                <w:color w:val="auto"/>
                <w:szCs w:val="21"/>
                <w:highlight w:val="none"/>
                <w:lang w:eastAsia="zh-CN"/>
              </w:rPr>
            </w:pPr>
            <w:r>
              <w:rPr>
                <w:rFonts w:hint="eastAsia"/>
                <w:color w:val="auto"/>
                <w:szCs w:val="21"/>
                <w:highlight w:val="none"/>
                <w:lang w:eastAsia="zh-CN"/>
              </w:rPr>
              <w:t>非累积</w:t>
            </w:r>
          </w:p>
        </w:tc>
      </w:tr>
      <w:tr w14:paraId="3089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632BDEFD">
            <w:pPr>
              <w:jc w:val="center"/>
              <w:rPr>
                <w:color w:val="auto"/>
                <w:szCs w:val="21"/>
                <w:highlight w:val="none"/>
              </w:rPr>
            </w:pPr>
            <w:r>
              <w:rPr>
                <w:color w:val="auto"/>
                <w:szCs w:val="21"/>
                <w:highlight w:val="none"/>
              </w:rPr>
              <w:t>大气</w:t>
            </w:r>
          </w:p>
        </w:tc>
        <w:tc>
          <w:tcPr>
            <w:tcW w:w="717" w:type="dxa"/>
            <w:noWrap w:val="0"/>
            <w:vAlign w:val="center"/>
          </w:tcPr>
          <w:p w14:paraId="634426AF">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4A4FCC70">
            <w:pPr>
              <w:jc w:val="center"/>
              <w:rPr>
                <w:color w:val="auto"/>
                <w:szCs w:val="21"/>
                <w:highlight w:val="none"/>
              </w:rPr>
            </w:pPr>
            <w:r>
              <w:rPr>
                <w:color w:val="auto"/>
                <w:szCs w:val="21"/>
                <w:highlight w:val="none"/>
              </w:rPr>
              <w:t>++</w:t>
            </w:r>
          </w:p>
        </w:tc>
        <w:tc>
          <w:tcPr>
            <w:tcW w:w="717" w:type="dxa"/>
            <w:noWrap w:val="0"/>
            <w:vAlign w:val="center"/>
          </w:tcPr>
          <w:p w14:paraId="4DBD557F">
            <w:pPr>
              <w:jc w:val="center"/>
              <w:rPr>
                <w:color w:val="auto"/>
                <w:szCs w:val="21"/>
                <w:highlight w:val="none"/>
              </w:rPr>
            </w:pPr>
            <w:r>
              <w:rPr>
                <w:color w:val="auto"/>
                <w:szCs w:val="21"/>
                <w:highlight w:val="none"/>
              </w:rPr>
              <w:t>+</w:t>
            </w:r>
          </w:p>
        </w:tc>
        <w:tc>
          <w:tcPr>
            <w:tcW w:w="717" w:type="dxa"/>
            <w:noWrap w:val="0"/>
            <w:vAlign w:val="center"/>
          </w:tcPr>
          <w:p w14:paraId="1700B6D4">
            <w:pPr>
              <w:jc w:val="center"/>
              <w:rPr>
                <w:color w:val="auto"/>
                <w:szCs w:val="21"/>
                <w:highlight w:val="none"/>
              </w:rPr>
            </w:pPr>
            <w:r>
              <w:rPr>
                <w:color w:val="auto"/>
                <w:szCs w:val="21"/>
                <w:highlight w:val="none"/>
              </w:rPr>
              <w:t>+</w:t>
            </w:r>
          </w:p>
        </w:tc>
        <w:tc>
          <w:tcPr>
            <w:tcW w:w="717" w:type="dxa"/>
            <w:noWrap w:val="0"/>
            <w:vAlign w:val="center"/>
          </w:tcPr>
          <w:p w14:paraId="52BF9161">
            <w:pPr>
              <w:jc w:val="center"/>
              <w:rPr>
                <w:color w:val="auto"/>
                <w:szCs w:val="21"/>
                <w:highlight w:val="none"/>
              </w:rPr>
            </w:pPr>
            <w:r>
              <w:rPr>
                <w:color w:val="auto"/>
                <w:szCs w:val="21"/>
                <w:highlight w:val="none"/>
              </w:rPr>
              <w:t>+</w:t>
            </w:r>
          </w:p>
        </w:tc>
        <w:tc>
          <w:tcPr>
            <w:tcW w:w="717" w:type="dxa"/>
            <w:noWrap w:val="0"/>
            <w:vAlign w:val="center"/>
          </w:tcPr>
          <w:p w14:paraId="0CD89223">
            <w:pPr>
              <w:jc w:val="center"/>
              <w:rPr>
                <w:rFonts w:hint="eastAsia" w:eastAsia="宋体"/>
                <w:color w:val="auto"/>
                <w:szCs w:val="21"/>
                <w:highlight w:val="none"/>
                <w:lang w:val="en-US" w:eastAsia="zh-CN"/>
              </w:rPr>
            </w:pPr>
          </w:p>
        </w:tc>
        <w:tc>
          <w:tcPr>
            <w:tcW w:w="717" w:type="dxa"/>
            <w:noWrap w:val="0"/>
            <w:vAlign w:val="center"/>
          </w:tcPr>
          <w:p w14:paraId="4187D181">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29FA1068">
            <w:pPr>
              <w:jc w:val="center"/>
              <w:rPr>
                <w:rFonts w:hint="eastAsia" w:eastAsia="宋体"/>
                <w:color w:val="auto"/>
                <w:szCs w:val="21"/>
                <w:highlight w:val="none"/>
                <w:lang w:val="en-US" w:eastAsia="zh-CN"/>
              </w:rPr>
            </w:pPr>
          </w:p>
        </w:tc>
        <w:tc>
          <w:tcPr>
            <w:tcW w:w="717" w:type="dxa"/>
            <w:noWrap w:val="0"/>
            <w:vAlign w:val="center"/>
          </w:tcPr>
          <w:p w14:paraId="20B83AA3">
            <w:pPr>
              <w:jc w:val="center"/>
              <w:rPr>
                <w:rFonts w:hint="eastAsia" w:eastAsia="宋体"/>
                <w:color w:val="auto"/>
                <w:szCs w:val="21"/>
                <w:highlight w:val="none"/>
                <w:lang w:val="en-US" w:eastAsia="zh-CN"/>
              </w:rPr>
            </w:pPr>
          </w:p>
        </w:tc>
        <w:tc>
          <w:tcPr>
            <w:tcW w:w="717" w:type="dxa"/>
            <w:noWrap w:val="0"/>
            <w:vAlign w:val="center"/>
          </w:tcPr>
          <w:p w14:paraId="1335FEFF">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2AC3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0A2ACAAD">
            <w:pPr>
              <w:jc w:val="center"/>
              <w:rPr>
                <w:color w:val="auto"/>
                <w:szCs w:val="21"/>
                <w:highlight w:val="none"/>
              </w:rPr>
            </w:pPr>
            <w:r>
              <w:rPr>
                <w:color w:val="auto"/>
                <w:szCs w:val="21"/>
                <w:highlight w:val="none"/>
              </w:rPr>
              <w:t>地</w:t>
            </w:r>
            <w:r>
              <w:rPr>
                <w:rFonts w:hint="eastAsia"/>
                <w:color w:val="auto"/>
                <w:szCs w:val="21"/>
                <w:highlight w:val="none"/>
              </w:rPr>
              <w:t>表</w:t>
            </w:r>
            <w:r>
              <w:rPr>
                <w:color w:val="auto"/>
                <w:szCs w:val="21"/>
                <w:highlight w:val="none"/>
              </w:rPr>
              <w:t>水</w:t>
            </w:r>
          </w:p>
        </w:tc>
        <w:tc>
          <w:tcPr>
            <w:tcW w:w="717" w:type="dxa"/>
            <w:noWrap w:val="0"/>
            <w:vAlign w:val="center"/>
          </w:tcPr>
          <w:p w14:paraId="4052CF03">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13008482">
            <w:pPr>
              <w:jc w:val="center"/>
              <w:rPr>
                <w:color w:val="auto"/>
                <w:szCs w:val="21"/>
                <w:highlight w:val="none"/>
              </w:rPr>
            </w:pPr>
            <w:r>
              <w:rPr>
                <w:color w:val="auto"/>
                <w:szCs w:val="21"/>
                <w:highlight w:val="none"/>
              </w:rPr>
              <w:t>+</w:t>
            </w:r>
          </w:p>
        </w:tc>
        <w:tc>
          <w:tcPr>
            <w:tcW w:w="717" w:type="dxa"/>
            <w:noWrap w:val="0"/>
            <w:vAlign w:val="center"/>
          </w:tcPr>
          <w:p w14:paraId="321664D2">
            <w:pPr>
              <w:jc w:val="center"/>
              <w:rPr>
                <w:color w:val="auto"/>
                <w:szCs w:val="21"/>
                <w:highlight w:val="none"/>
              </w:rPr>
            </w:pPr>
            <w:r>
              <w:rPr>
                <w:color w:val="auto"/>
                <w:szCs w:val="21"/>
                <w:highlight w:val="none"/>
              </w:rPr>
              <w:t>+</w:t>
            </w:r>
          </w:p>
        </w:tc>
        <w:tc>
          <w:tcPr>
            <w:tcW w:w="717" w:type="dxa"/>
            <w:noWrap w:val="0"/>
            <w:vAlign w:val="center"/>
          </w:tcPr>
          <w:p w14:paraId="215E9434">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786CBB79">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0D45EB65">
            <w:pPr>
              <w:jc w:val="center"/>
              <w:rPr>
                <w:rFonts w:hint="eastAsia" w:eastAsia="宋体"/>
                <w:color w:val="auto"/>
                <w:szCs w:val="21"/>
                <w:highlight w:val="none"/>
                <w:lang w:val="en-US" w:eastAsia="zh-CN"/>
              </w:rPr>
            </w:pPr>
          </w:p>
        </w:tc>
        <w:tc>
          <w:tcPr>
            <w:tcW w:w="717" w:type="dxa"/>
            <w:noWrap w:val="0"/>
            <w:vAlign w:val="center"/>
          </w:tcPr>
          <w:p w14:paraId="035AECA2">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6382A0B8">
            <w:pPr>
              <w:jc w:val="center"/>
              <w:rPr>
                <w:rFonts w:hint="eastAsia" w:eastAsia="宋体"/>
                <w:color w:val="auto"/>
                <w:szCs w:val="21"/>
                <w:highlight w:val="none"/>
                <w:lang w:val="en-US" w:eastAsia="zh-CN"/>
              </w:rPr>
            </w:pPr>
          </w:p>
        </w:tc>
        <w:tc>
          <w:tcPr>
            <w:tcW w:w="717" w:type="dxa"/>
            <w:noWrap w:val="0"/>
            <w:vAlign w:val="center"/>
          </w:tcPr>
          <w:p w14:paraId="55A8E9FF">
            <w:pPr>
              <w:jc w:val="center"/>
              <w:rPr>
                <w:rFonts w:hint="eastAsia" w:eastAsia="宋体"/>
                <w:color w:val="auto"/>
                <w:szCs w:val="21"/>
                <w:highlight w:val="none"/>
                <w:lang w:val="en-US" w:eastAsia="zh-CN"/>
              </w:rPr>
            </w:pPr>
          </w:p>
        </w:tc>
        <w:tc>
          <w:tcPr>
            <w:tcW w:w="717" w:type="dxa"/>
            <w:noWrap w:val="0"/>
            <w:vAlign w:val="center"/>
          </w:tcPr>
          <w:p w14:paraId="521E3740">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7F737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2110D022">
            <w:pPr>
              <w:jc w:val="center"/>
              <w:rPr>
                <w:color w:val="auto"/>
                <w:szCs w:val="21"/>
                <w:highlight w:val="none"/>
              </w:rPr>
            </w:pPr>
            <w:r>
              <w:rPr>
                <w:color w:val="auto"/>
                <w:szCs w:val="21"/>
                <w:highlight w:val="none"/>
              </w:rPr>
              <w:t>地下</w:t>
            </w:r>
            <w:r>
              <w:rPr>
                <w:rFonts w:hint="eastAsia"/>
                <w:color w:val="auto"/>
                <w:szCs w:val="21"/>
                <w:highlight w:val="none"/>
              </w:rPr>
              <w:t>水</w:t>
            </w:r>
          </w:p>
        </w:tc>
        <w:tc>
          <w:tcPr>
            <w:tcW w:w="717" w:type="dxa"/>
            <w:noWrap w:val="0"/>
            <w:vAlign w:val="center"/>
          </w:tcPr>
          <w:p w14:paraId="61E9C6E4">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7CD7157A">
            <w:pPr>
              <w:jc w:val="center"/>
              <w:rPr>
                <w:color w:val="auto"/>
                <w:szCs w:val="21"/>
                <w:highlight w:val="none"/>
              </w:rPr>
            </w:pPr>
            <w:r>
              <w:rPr>
                <w:color w:val="auto"/>
                <w:szCs w:val="21"/>
                <w:highlight w:val="none"/>
              </w:rPr>
              <w:t>+</w:t>
            </w:r>
          </w:p>
        </w:tc>
        <w:tc>
          <w:tcPr>
            <w:tcW w:w="717" w:type="dxa"/>
            <w:noWrap w:val="0"/>
            <w:vAlign w:val="center"/>
          </w:tcPr>
          <w:p w14:paraId="76696CAB">
            <w:pPr>
              <w:jc w:val="center"/>
              <w:rPr>
                <w:color w:val="auto"/>
                <w:szCs w:val="21"/>
                <w:highlight w:val="none"/>
              </w:rPr>
            </w:pPr>
            <w:r>
              <w:rPr>
                <w:color w:val="auto"/>
                <w:szCs w:val="21"/>
                <w:highlight w:val="none"/>
              </w:rPr>
              <w:t>+</w:t>
            </w:r>
          </w:p>
        </w:tc>
        <w:tc>
          <w:tcPr>
            <w:tcW w:w="717" w:type="dxa"/>
            <w:noWrap w:val="0"/>
            <w:vAlign w:val="center"/>
          </w:tcPr>
          <w:p w14:paraId="492A1E91">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44E07D6C">
            <w:pPr>
              <w:jc w:val="center"/>
              <w:rPr>
                <w:rFonts w:hint="eastAsia" w:eastAsia="宋体"/>
                <w:color w:val="auto"/>
                <w:szCs w:val="21"/>
                <w:highlight w:val="none"/>
                <w:lang w:val="en-US" w:eastAsia="zh-CN"/>
              </w:rPr>
            </w:pPr>
          </w:p>
        </w:tc>
        <w:tc>
          <w:tcPr>
            <w:tcW w:w="717" w:type="dxa"/>
            <w:noWrap w:val="0"/>
            <w:vAlign w:val="center"/>
          </w:tcPr>
          <w:p w14:paraId="332594AA">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24A26E70">
            <w:pPr>
              <w:jc w:val="center"/>
              <w:rPr>
                <w:rFonts w:hint="eastAsia" w:eastAsia="宋体"/>
                <w:color w:val="auto"/>
                <w:szCs w:val="21"/>
                <w:highlight w:val="none"/>
                <w:lang w:val="en-US" w:eastAsia="zh-CN"/>
              </w:rPr>
            </w:pPr>
          </w:p>
        </w:tc>
        <w:tc>
          <w:tcPr>
            <w:tcW w:w="717" w:type="dxa"/>
            <w:noWrap w:val="0"/>
            <w:vAlign w:val="center"/>
          </w:tcPr>
          <w:p w14:paraId="59A66678">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0CDE4D7D">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10C85919">
            <w:pPr>
              <w:jc w:val="center"/>
              <w:rPr>
                <w:rFonts w:hint="eastAsia" w:eastAsia="宋体"/>
                <w:color w:val="auto"/>
                <w:szCs w:val="21"/>
                <w:highlight w:val="none"/>
                <w:lang w:val="en-US" w:eastAsia="zh-CN"/>
              </w:rPr>
            </w:pPr>
          </w:p>
        </w:tc>
      </w:tr>
      <w:tr w14:paraId="3830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17EDCABB">
            <w:pPr>
              <w:jc w:val="center"/>
              <w:rPr>
                <w:color w:val="auto"/>
                <w:szCs w:val="21"/>
                <w:highlight w:val="none"/>
              </w:rPr>
            </w:pPr>
            <w:r>
              <w:rPr>
                <w:color w:val="auto"/>
                <w:szCs w:val="21"/>
                <w:highlight w:val="none"/>
              </w:rPr>
              <w:t>生态</w:t>
            </w:r>
          </w:p>
        </w:tc>
        <w:tc>
          <w:tcPr>
            <w:tcW w:w="717" w:type="dxa"/>
            <w:noWrap w:val="0"/>
            <w:vAlign w:val="center"/>
          </w:tcPr>
          <w:p w14:paraId="3978F173">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0498B094">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17EAECF9">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42ABBD4E">
            <w:pPr>
              <w:jc w:val="center"/>
              <w:rPr>
                <w:rFonts w:hint="default"/>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28566273">
            <w:pPr>
              <w:jc w:val="center"/>
              <w:rPr>
                <w:rFonts w:hint="default"/>
                <w:color w:val="auto"/>
                <w:szCs w:val="21"/>
                <w:highlight w:val="none"/>
                <w:lang w:val="en-US" w:eastAsia="zh-CN"/>
              </w:rPr>
            </w:pPr>
          </w:p>
        </w:tc>
        <w:tc>
          <w:tcPr>
            <w:tcW w:w="717" w:type="dxa"/>
            <w:noWrap w:val="0"/>
            <w:vAlign w:val="center"/>
          </w:tcPr>
          <w:p w14:paraId="3732145D">
            <w:pPr>
              <w:jc w:val="center"/>
              <w:rPr>
                <w:rFonts w:hint="default"/>
                <w:color w:val="auto"/>
                <w:szCs w:val="21"/>
                <w:highlight w:val="none"/>
                <w:lang w:val="en-US" w:eastAsia="zh-CN"/>
              </w:rPr>
            </w:pPr>
          </w:p>
        </w:tc>
        <w:tc>
          <w:tcPr>
            <w:tcW w:w="717" w:type="dxa"/>
            <w:noWrap w:val="0"/>
            <w:vAlign w:val="center"/>
          </w:tcPr>
          <w:p w14:paraId="5D2E7975">
            <w:pPr>
              <w:jc w:val="center"/>
              <w:rPr>
                <w:rFonts w:hint="default"/>
                <w:color w:val="auto"/>
                <w:szCs w:val="21"/>
                <w:highlight w:val="none"/>
                <w:lang w:val="en-US" w:eastAsia="zh-CN"/>
              </w:rPr>
            </w:pPr>
          </w:p>
        </w:tc>
        <w:tc>
          <w:tcPr>
            <w:tcW w:w="717" w:type="dxa"/>
            <w:noWrap w:val="0"/>
            <w:vAlign w:val="center"/>
          </w:tcPr>
          <w:p w14:paraId="1FB21714">
            <w:pPr>
              <w:jc w:val="center"/>
              <w:rPr>
                <w:rFonts w:hint="default"/>
                <w:color w:val="auto"/>
                <w:szCs w:val="21"/>
                <w:highlight w:val="none"/>
                <w:lang w:val="en-US" w:eastAsia="zh-CN"/>
              </w:rPr>
            </w:pPr>
          </w:p>
        </w:tc>
        <w:tc>
          <w:tcPr>
            <w:tcW w:w="717" w:type="dxa"/>
            <w:noWrap w:val="0"/>
            <w:vAlign w:val="center"/>
          </w:tcPr>
          <w:p w14:paraId="3C952E43">
            <w:pPr>
              <w:jc w:val="center"/>
              <w:rPr>
                <w:rFonts w:hint="default"/>
                <w:color w:val="auto"/>
                <w:szCs w:val="21"/>
                <w:highlight w:val="none"/>
                <w:lang w:val="en-US" w:eastAsia="zh-CN"/>
              </w:rPr>
            </w:pPr>
          </w:p>
        </w:tc>
        <w:tc>
          <w:tcPr>
            <w:tcW w:w="717" w:type="dxa"/>
            <w:noWrap w:val="0"/>
            <w:vAlign w:val="center"/>
          </w:tcPr>
          <w:p w14:paraId="666BAE01">
            <w:pPr>
              <w:jc w:val="center"/>
              <w:rPr>
                <w:rFonts w:hint="default"/>
                <w:color w:val="auto"/>
                <w:szCs w:val="21"/>
                <w:highlight w:val="none"/>
                <w:lang w:val="en-US" w:eastAsia="zh-CN"/>
              </w:rPr>
            </w:pPr>
          </w:p>
        </w:tc>
      </w:tr>
      <w:tr w14:paraId="08BA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2B4BD9F2">
            <w:pPr>
              <w:jc w:val="center"/>
              <w:rPr>
                <w:color w:val="auto"/>
                <w:szCs w:val="21"/>
                <w:highlight w:val="none"/>
              </w:rPr>
            </w:pPr>
            <w:r>
              <w:rPr>
                <w:color w:val="auto"/>
                <w:szCs w:val="21"/>
                <w:highlight w:val="none"/>
              </w:rPr>
              <w:t>声环境</w:t>
            </w:r>
          </w:p>
        </w:tc>
        <w:tc>
          <w:tcPr>
            <w:tcW w:w="717" w:type="dxa"/>
            <w:noWrap w:val="0"/>
            <w:vAlign w:val="center"/>
          </w:tcPr>
          <w:p w14:paraId="26F16DDE">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67197C4C">
            <w:pPr>
              <w:jc w:val="center"/>
              <w:rPr>
                <w:color w:val="auto"/>
                <w:szCs w:val="21"/>
                <w:highlight w:val="none"/>
              </w:rPr>
            </w:pPr>
            <w:r>
              <w:rPr>
                <w:color w:val="auto"/>
                <w:szCs w:val="21"/>
                <w:highlight w:val="none"/>
              </w:rPr>
              <w:t>+</w:t>
            </w:r>
          </w:p>
        </w:tc>
        <w:tc>
          <w:tcPr>
            <w:tcW w:w="717" w:type="dxa"/>
            <w:noWrap w:val="0"/>
            <w:vAlign w:val="center"/>
          </w:tcPr>
          <w:p w14:paraId="17683BB1">
            <w:pPr>
              <w:jc w:val="center"/>
              <w:rPr>
                <w:color w:val="auto"/>
                <w:szCs w:val="21"/>
                <w:highlight w:val="none"/>
              </w:rPr>
            </w:pPr>
            <w:r>
              <w:rPr>
                <w:color w:val="auto"/>
                <w:szCs w:val="21"/>
                <w:highlight w:val="none"/>
              </w:rPr>
              <w:t>+</w:t>
            </w:r>
          </w:p>
        </w:tc>
        <w:tc>
          <w:tcPr>
            <w:tcW w:w="717" w:type="dxa"/>
            <w:noWrap w:val="0"/>
            <w:vAlign w:val="center"/>
          </w:tcPr>
          <w:p w14:paraId="09F0E0FF">
            <w:pPr>
              <w:jc w:val="center"/>
              <w:rPr>
                <w:color w:val="auto"/>
                <w:szCs w:val="21"/>
                <w:highlight w:val="none"/>
              </w:rPr>
            </w:pPr>
            <w:r>
              <w:rPr>
                <w:color w:val="auto"/>
                <w:szCs w:val="21"/>
                <w:highlight w:val="none"/>
              </w:rPr>
              <w:t>+</w:t>
            </w:r>
          </w:p>
        </w:tc>
        <w:tc>
          <w:tcPr>
            <w:tcW w:w="717" w:type="dxa"/>
            <w:noWrap w:val="0"/>
            <w:vAlign w:val="center"/>
          </w:tcPr>
          <w:p w14:paraId="6DE2FD86">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2B012A2A">
            <w:pPr>
              <w:jc w:val="center"/>
              <w:rPr>
                <w:rFonts w:hint="eastAsia" w:eastAsia="宋体"/>
                <w:color w:val="auto"/>
                <w:szCs w:val="21"/>
                <w:highlight w:val="none"/>
                <w:lang w:val="en-US" w:eastAsia="zh-CN"/>
              </w:rPr>
            </w:pPr>
          </w:p>
        </w:tc>
        <w:tc>
          <w:tcPr>
            <w:tcW w:w="717" w:type="dxa"/>
            <w:noWrap w:val="0"/>
            <w:vAlign w:val="center"/>
          </w:tcPr>
          <w:p w14:paraId="303DCAD5">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6BD74F94">
            <w:pPr>
              <w:jc w:val="center"/>
              <w:rPr>
                <w:rFonts w:hint="eastAsia" w:eastAsia="宋体"/>
                <w:color w:val="auto"/>
                <w:szCs w:val="21"/>
                <w:highlight w:val="none"/>
                <w:lang w:val="en-US" w:eastAsia="zh-CN"/>
              </w:rPr>
            </w:pPr>
          </w:p>
        </w:tc>
        <w:tc>
          <w:tcPr>
            <w:tcW w:w="717" w:type="dxa"/>
            <w:noWrap w:val="0"/>
            <w:vAlign w:val="center"/>
          </w:tcPr>
          <w:p w14:paraId="3383A69A">
            <w:pPr>
              <w:jc w:val="center"/>
              <w:rPr>
                <w:rFonts w:hint="eastAsia" w:eastAsia="宋体"/>
                <w:color w:val="auto"/>
                <w:szCs w:val="21"/>
                <w:highlight w:val="none"/>
                <w:lang w:val="en-US" w:eastAsia="zh-CN"/>
              </w:rPr>
            </w:pPr>
          </w:p>
        </w:tc>
        <w:tc>
          <w:tcPr>
            <w:tcW w:w="717" w:type="dxa"/>
            <w:noWrap w:val="0"/>
            <w:vAlign w:val="center"/>
          </w:tcPr>
          <w:p w14:paraId="063EB8A6">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r>
      <w:tr w14:paraId="3288E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4" w:type="dxa"/>
            <w:noWrap w:val="0"/>
            <w:vAlign w:val="center"/>
          </w:tcPr>
          <w:p w14:paraId="7F3702B3">
            <w:pPr>
              <w:jc w:val="center"/>
              <w:rPr>
                <w:color w:val="auto"/>
                <w:szCs w:val="21"/>
                <w:highlight w:val="none"/>
              </w:rPr>
            </w:pPr>
            <w:r>
              <w:rPr>
                <w:rFonts w:hint="eastAsia"/>
                <w:color w:val="auto"/>
                <w:szCs w:val="21"/>
                <w:highlight w:val="none"/>
              </w:rPr>
              <w:t>土壤</w:t>
            </w:r>
          </w:p>
        </w:tc>
        <w:tc>
          <w:tcPr>
            <w:tcW w:w="717" w:type="dxa"/>
            <w:noWrap w:val="0"/>
            <w:vAlign w:val="center"/>
          </w:tcPr>
          <w:p w14:paraId="4389C498">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36A4186C">
            <w:pPr>
              <w:jc w:val="center"/>
              <w:rPr>
                <w:color w:val="auto"/>
                <w:szCs w:val="21"/>
                <w:highlight w:val="none"/>
              </w:rPr>
            </w:pPr>
            <w:r>
              <w:rPr>
                <w:color w:val="auto"/>
                <w:szCs w:val="21"/>
                <w:highlight w:val="none"/>
              </w:rPr>
              <w:t>+</w:t>
            </w:r>
          </w:p>
        </w:tc>
        <w:tc>
          <w:tcPr>
            <w:tcW w:w="717" w:type="dxa"/>
            <w:noWrap w:val="0"/>
            <w:vAlign w:val="center"/>
          </w:tcPr>
          <w:p w14:paraId="03DF1FFA">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4C82AEDA">
            <w:pPr>
              <w:jc w:val="center"/>
              <w:rPr>
                <w:rFonts w:hint="eastAsia" w:eastAsia="宋体"/>
                <w:color w:val="auto"/>
                <w:szCs w:val="21"/>
                <w:highlight w:val="none"/>
                <w:lang w:eastAsia="zh-CN"/>
              </w:rPr>
            </w:pPr>
            <w:r>
              <w:rPr>
                <w:rFonts w:hint="eastAsia"/>
                <w:color w:val="auto"/>
                <w:szCs w:val="21"/>
                <w:highlight w:val="none"/>
                <w:lang w:val="en-US" w:eastAsia="zh-CN"/>
              </w:rPr>
              <w:t>-</w:t>
            </w:r>
          </w:p>
        </w:tc>
        <w:tc>
          <w:tcPr>
            <w:tcW w:w="717" w:type="dxa"/>
            <w:noWrap w:val="0"/>
            <w:vAlign w:val="center"/>
          </w:tcPr>
          <w:p w14:paraId="10E31953">
            <w:pPr>
              <w:jc w:val="center"/>
              <w:rPr>
                <w:rFonts w:hint="default" w:eastAsia="宋体"/>
                <w:color w:val="auto"/>
                <w:szCs w:val="21"/>
                <w:highlight w:val="none"/>
                <w:lang w:val="en-US" w:eastAsia="zh-CN"/>
              </w:rPr>
            </w:pPr>
          </w:p>
        </w:tc>
        <w:tc>
          <w:tcPr>
            <w:tcW w:w="717" w:type="dxa"/>
            <w:noWrap w:val="0"/>
            <w:vAlign w:val="center"/>
          </w:tcPr>
          <w:p w14:paraId="4304D7AB">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2479CAD1">
            <w:pPr>
              <w:jc w:val="center"/>
              <w:rPr>
                <w:rFonts w:hint="eastAsia" w:eastAsia="宋体"/>
                <w:color w:val="auto"/>
                <w:szCs w:val="21"/>
                <w:highlight w:val="none"/>
                <w:lang w:val="en-US" w:eastAsia="zh-CN"/>
              </w:rPr>
            </w:pPr>
          </w:p>
        </w:tc>
        <w:tc>
          <w:tcPr>
            <w:tcW w:w="717" w:type="dxa"/>
            <w:noWrap w:val="0"/>
            <w:vAlign w:val="center"/>
          </w:tcPr>
          <w:p w14:paraId="60DFAE33">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6F4F88DD">
            <w:pPr>
              <w:jc w:val="center"/>
              <w:rPr>
                <w:rFonts w:hint="eastAsia" w:eastAsia="宋体"/>
                <w:color w:val="auto"/>
                <w:szCs w:val="21"/>
                <w:highlight w:val="none"/>
                <w:lang w:val="en-US" w:eastAsia="zh-CN"/>
              </w:rPr>
            </w:pPr>
            <w:r>
              <w:rPr>
                <w:rFonts w:hint="eastAsia"/>
                <w:color w:val="auto"/>
                <w:szCs w:val="21"/>
                <w:highlight w:val="none"/>
                <w:lang w:val="en-US" w:eastAsia="zh-CN"/>
              </w:rPr>
              <w:t>+</w:t>
            </w:r>
          </w:p>
        </w:tc>
        <w:tc>
          <w:tcPr>
            <w:tcW w:w="717" w:type="dxa"/>
            <w:noWrap w:val="0"/>
            <w:vAlign w:val="center"/>
          </w:tcPr>
          <w:p w14:paraId="0C0B013E">
            <w:pPr>
              <w:jc w:val="center"/>
              <w:rPr>
                <w:rFonts w:hint="eastAsia" w:eastAsia="宋体"/>
                <w:color w:val="auto"/>
                <w:szCs w:val="21"/>
                <w:highlight w:val="none"/>
                <w:lang w:val="en-US" w:eastAsia="zh-CN"/>
              </w:rPr>
            </w:pPr>
          </w:p>
        </w:tc>
      </w:tr>
    </w:tbl>
    <w:p w14:paraId="527BFC6B">
      <w:pPr>
        <w:pStyle w:val="1514"/>
        <w:adjustRightInd/>
        <w:snapToGrid/>
        <w:spacing w:line="240" w:lineRule="auto"/>
        <w:ind w:left="0" w:leftChars="0" w:firstLine="0" w:firstLineChars="0"/>
        <w:jc w:val="both"/>
        <w:rPr>
          <w:rFonts w:hint="eastAsia"/>
          <w:color w:val="auto"/>
          <w:sz w:val="21"/>
          <w:szCs w:val="21"/>
          <w:highlight w:val="none"/>
          <w:lang w:eastAsia="zh-CN"/>
        </w:rPr>
      </w:pPr>
      <w:r>
        <w:rPr>
          <w:rFonts w:hint="eastAsia"/>
          <w:color w:val="auto"/>
          <w:sz w:val="21"/>
          <w:szCs w:val="21"/>
          <w:highlight w:val="none"/>
          <w:lang w:eastAsia="zh-CN"/>
        </w:rPr>
        <w:t>注：“-”影响轻微或无影响；“+”轻度影响；“++”中度影响；“+++”重度影响；“</w:t>
      </w:r>
      <w:r>
        <w:rPr>
          <w:rFonts w:hint="eastAsia"/>
          <w:color w:val="auto"/>
          <w:sz w:val="21"/>
          <w:szCs w:val="21"/>
          <w:highlight w:val="none"/>
          <w:lang w:val="en-US" w:eastAsia="zh-CN"/>
        </w:rPr>
        <w:t>/</w:t>
      </w:r>
      <w:r>
        <w:rPr>
          <w:rFonts w:hint="eastAsia"/>
          <w:color w:val="auto"/>
          <w:sz w:val="21"/>
          <w:szCs w:val="21"/>
          <w:highlight w:val="none"/>
          <w:lang w:eastAsia="zh-CN"/>
        </w:rPr>
        <w:t>”不涉及。</w:t>
      </w:r>
    </w:p>
    <w:p w14:paraId="2F80B47E">
      <w:pPr>
        <w:spacing w:line="360" w:lineRule="auto"/>
        <w:ind w:firstLine="482"/>
        <w:rPr>
          <w:color w:val="auto"/>
          <w:szCs w:val="21"/>
        </w:rPr>
      </w:pPr>
      <w:r>
        <w:rPr>
          <w:rFonts w:hint="eastAsia" w:ascii="Times New Roman" w:hAnsi="Times New Roman" w:eastAsia="宋体" w:cs="Times New Roman"/>
          <w:bCs w:val="0"/>
          <w:color w:val="auto"/>
          <w:kern w:val="2"/>
          <w:sz w:val="24"/>
          <w:szCs w:val="24"/>
          <w:highlight w:val="none"/>
          <w:lang w:val="en-US" w:eastAsia="zh-CN" w:bidi="ar-SA"/>
        </w:rPr>
        <w:t>由上表可知，本项目的建设对自然环境、生态环境的影响是多方面的，既存在短期、局部及可恢复的有利、不利影响，也存在长期的或有利或不利的影响。施工期主要表现在对自然环境要素产生一定程度的不利影响，主要环境影响因素为环境空气、声环境、水环境和土壤环境，</w:t>
      </w:r>
      <w:r>
        <w:rPr>
          <w:rFonts w:hint="eastAsia" w:cs="Times New Roman"/>
          <w:bCs w:val="0"/>
          <w:color w:val="auto"/>
          <w:kern w:val="2"/>
          <w:sz w:val="24"/>
          <w:szCs w:val="24"/>
          <w:highlight w:val="none"/>
          <w:lang w:val="en-US" w:eastAsia="zh-CN" w:bidi="ar-SA"/>
        </w:rPr>
        <w:t>但本项目</w:t>
      </w:r>
      <w:r>
        <w:rPr>
          <w:rFonts w:hint="eastAsia" w:ascii="Times New Roman" w:hAnsi="Times New Roman" w:eastAsia="宋体" w:cs="Times New Roman"/>
          <w:bCs w:val="0"/>
          <w:color w:val="auto"/>
          <w:kern w:val="2"/>
          <w:sz w:val="24"/>
          <w:szCs w:val="24"/>
          <w:highlight w:val="none"/>
          <w:lang w:val="en-US" w:eastAsia="zh-CN" w:bidi="ar-SA"/>
        </w:rPr>
        <w:t>施工期</w:t>
      </w:r>
      <w:r>
        <w:rPr>
          <w:rFonts w:hint="eastAsia" w:cs="Times New Roman"/>
          <w:bCs w:val="0"/>
          <w:color w:val="auto"/>
          <w:kern w:val="2"/>
          <w:sz w:val="24"/>
          <w:szCs w:val="24"/>
          <w:highlight w:val="none"/>
          <w:lang w:val="en-US" w:eastAsia="zh-CN" w:bidi="ar-SA"/>
        </w:rPr>
        <w:t>已结束，并在施工期间采取了相应的污染防治措施，对环境质量的污染较小，现已消失</w:t>
      </w:r>
      <w:r>
        <w:rPr>
          <w:rFonts w:hint="eastAsia" w:ascii="Times New Roman" w:hAnsi="Times New Roman" w:eastAsia="宋体" w:cs="Times New Roman"/>
          <w:bCs w:val="0"/>
          <w:color w:val="auto"/>
          <w:kern w:val="2"/>
          <w:sz w:val="24"/>
          <w:szCs w:val="24"/>
          <w:highlight w:val="none"/>
          <w:lang w:val="en-US" w:eastAsia="zh-CN" w:bidi="ar-SA"/>
        </w:rPr>
        <w:t>；营运期对环境的不利影响是长期存在的，在生产过程中，主要影响因素表现在环境空气、水环境、声环境和生态环境四个方面，采取</w:t>
      </w:r>
      <w:r>
        <w:rPr>
          <w:rFonts w:hint="eastAsia" w:cs="Times New Roman"/>
          <w:bCs w:val="0"/>
          <w:color w:val="auto"/>
          <w:kern w:val="2"/>
          <w:sz w:val="24"/>
          <w:szCs w:val="24"/>
          <w:highlight w:val="none"/>
          <w:lang w:val="en-US" w:eastAsia="zh-CN" w:bidi="ar-SA"/>
        </w:rPr>
        <w:t>本次环评提出的</w:t>
      </w:r>
      <w:r>
        <w:rPr>
          <w:rFonts w:hint="eastAsia" w:ascii="Times New Roman" w:hAnsi="Times New Roman" w:eastAsia="宋体" w:cs="Times New Roman"/>
          <w:bCs w:val="0"/>
          <w:color w:val="auto"/>
          <w:kern w:val="2"/>
          <w:sz w:val="24"/>
          <w:szCs w:val="24"/>
          <w:highlight w:val="none"/>
          <w:lang w:val="en-US" w:eastAsia="zh-CN" w:bidi="ar-SA"/>
        </w:rPr>
        <w:t>相应</w:t>
      </w:r>
      <w:r>
        <w:rPr>
          <w:rFonts w:hint="eastAsia" w:cs="Times New Roman"/>
          <w:bCs w:val="0"/>
          <w:color w:val="auto"/>
          <w:kern w:val="2"/>
          <w:sz w:val="24"/>
          <w:szCs w:val="24"/>
          <w:highlight w:val="none"/>
          <w:lang w:val="en-US" w:eastAsia="zh-CN" w:bidi="ar-SA"/>
        </w:rPr>
        <w:t>污染防治</w:t>
      </w:r>
      <w:r>
        <w:rPr>
          <w:rFonts w:hint="eastAsia" w:ascii="Times New Roman" w:hAnsi="Times New Roman" w:eastAsia="宋体" w:cs="Times New Roman"/>
          <w:bCs w:val="0"/>
          <w:color w:val="auto"/>
          <w:kern w:val="2"/>
          <w:sz w:val="24"/>
          <w:szCs w:val="24"/>
          <w:highlight w:val="none"/>
          <w:lang w:val="en-US" w:eastAsia="zh-CN" w:bidi="ar-SA"/>
        </w:rPr>
        <w:t>措施后</w:t>
      </w:r>
      <w:r>
        <w:rPr>
          <w:rFonts w:hint="eastAsia" w:cs="Times New Roman"/>
          <w:bCs w:val="0"/>
          <w:color w:val="auto"/>
          <w:kern w:val="2"/>
          <w:sz w:val="24"/>
          <w:szCs w:val="24"/>
          <w:highlight w:val="none"/>
          <w:lang w:val="en-US" w:eastAsia="zh-CN" w:bidi="ar-SA"/>
        </w:rPr>
        <w:t>，</w:t>
      </w:r>
      <w:r>
        <w:rPr>
          <w:rFonts w:hint="eastAsia" w:ascii="Times New Roman" w:hAnsi="Times New Roman" w:eastAsia="宋体" w:cs="Times New Roman"/>
          <w:bCs w:val="0"/>
          <w:color w:val="auto"/>
          <w:kern w:val="2"/>
          <w:sz w:val="24"/>
          <w:szCs w:val="24"/>
          <w:highlight w:val="none"/>
          <w:lang w:val="en-US" w:eastAsia="zh-CN" w:bidi="ar-SA"/>
        </w:rPr>
        <w:t>本项目对环境的</w:t>
      </w:r>
      <w:r>
        <w:rPr>
          <w:rFonts w:hint="eastAsia" w:cs="Times New Roman"/>
          <w:bCs w:val="0"/>
          <w:color w:val="auto"/>
          <w:kern w:val="2"/>
          <w:sz w:val="24"/>
          <w:szCs w:val="24"/>
          <w:highlight w:val="none"/>
          <w:lang w:val="en-US" w:eastAsia="zh-CN" w:bidi="ar-SA"/>
        </w:rPr>
        <w:t>不利</w:t>
      </w:r>
      <w:r>
        <w:rPr>
          <w:rFonts w:hint="eastAsia" w:ascii="Times New Roman" w:hAnsi="Times New Roman" w:eastAsia="宋体" w:cs="Times New Roman"/>
          <w:bCs w:val="0"/>
          <w:color w:val="auto"/>
          <w:kern w:val="2"/>
          <w:sz w:val="24"/>
          <w:szCs w:val="24"/>
          <w:highlight w:val="none"/>
          <w:lang w:val="en-US" w:eastAsia="zh-CN" w:bidi="ar-SA"/>
        </w:rPr>
        <w:t>影响可接受。</w:t>
      </w:r>
    </w:p>
    <w:p w14:paraId="5C567989">
      <w:pPr>
        <w:pStyle w:val="5"/>
        <w:bidi w:val="0"/>
        <w:rPr>
          <w:rFonts w:hint="eastAsia"/>
          <w:lang w:val="en-US" w:eastAsia="zh-CN"/>
        </w:rPr>
      </w:pPr>
      <w:r>
        <w:rPr>
          <w:rFonts w:hint="eastAsia"/>
          <w:lang w:val="en-US" w:eastAsia="zh-CN"/>
        </w:rPr>
        <w:t>2.3.2评价因子筛选</w:t>
      </w:r>
    </w:p>
    <w:p w14:paraId="0B8A3F1C">
      <w:pPr>
        <w:pStyle w:val="127"/>
        <w:spacing w:line="360" w:lineRule="auto"/>
        <w:ind w:firstLine="480" w:firstLineChars="200"/>
        <w:rPr>
          <w:color w:val="auto"/>
          <w:kern w:val="2"/>
          <w:szCs w:val="22"/>
        </w:rPr>
      </w:pPr>
      <w:r>
        <w:rPr>
          <w:rFonts w:hint="eastAsia"/>
          <w:color w:val="auto"/>
          <w:kern w:val="2"/>
          <w:szCs w:val="22"/>
          <w:lang w:val="en-US" w:eastAsia="zh-CN"/>
        </w:rPr>
        <w:t>根据环境影响要素识别结果，结合周围区域环境质量现状及本项目的工艺特点、污染物排放特征，确</w:t>
      </w:r>
      <w:r>
        <w:rPr>
          <w:rFonts w:hint="eastAsia"/>
          <w:color w:val="auto"/>
          <w:kern w:val="2"/>
          <w:szCs w:val="22"/>
          <w:lang w:eastAsia="zh-CN"/>
        </w:rPr>
        <w:t>定本项目主要评价因子</w:t>
      </w:r>
      <w:r>
        <w:rPr>
          <w:color w:val="auto"/>
          <w:kern w:val="2"/>
          <w:szCs w:val="22"/>
        </w:rPr>
        <w:t>见</w:t>
      </w:r>
      <w:r>
        <w:rPr>
          <w:rFonts w:hint="eastAsia"/>
          <w:color w:val="auto"/>
          <w:kern w:val="2"/>
          <w:szCs w:val="22"/>
          <w:lang w:eastAsia="zh-CN"/>
        </w:rPr>
        <w:t>下</w:t>
      </w:r>
      <w:r>
        <w:rPr>
          <w:color w:val="auto"/>
          <w:kern w:val="2"/>
          <w:szCs w:val="22"/>
        </w:rPr>
        <w:t>表。</w:t>
      </w:r>
    </w:p>
    <w:p w14:paraId="71BFB3D8">
      <w:pPr>
        <w:pStyle w:val="59"/>
        <w:tabs>
          <w:tab w:val="left" w:pos="720"/>
        </w:tabs>
        <w:spacing w:after="0" w:line="360" w:lineRule="auto"/>
        <w:ind w:left="0" w:leftChars="0"/>
        <w:jc w:val="center"/>
        <w:rPr>
          <w:rFonts w:hint="eastAsia"/>
          <w:b/>
          <w:color w:val="auto"/>
          <w:sz w:val="21"/>
          <w:szCs w:val="21"/>
          <w:lang w:val="en-US" w:eastAsia="zh-CN"/>
        </w:rPr>
      </w:pPr>
      <w:r>
        <w:rPr>
          <w:rFonts w:hint="eastAsia"/>
          <w:b/>
          <w:color w:val="auto"/>
          <w:sz w:val="24"/>
          <w:szCs w:val="24"/>
          <w:lang w:val="en-US" w:eastAsia="zh-CN"/>
        </w:rPr>
        <mc:AlternateContent>
          <mc:Choice Requires="wps">
            <w:drawing>
              <wp:anchor distT="0" distB="0" distL="0" distR="0" simplePos="0" relativeHeight="251661312" behindDoc="1" locked="0" layoutInCell="1" allowOverlap="1">
                <wp:simplePos x="0" y="0"/>
                <wp:positionH relativeFrom="page">
                  <wp:posOffset>1188720</wp:posOffset>
                </wp:positionH>
                <wp:positionV relativeFrom="paragraph">
                  <wp:posOffset>179070</wp:posOffset>
                </wp:positionV>
                <wp:extent cx="526415" cy="394335"/>
                <wp:effectExtent l="0" t="0" r="0" b="0"/>
                <wp:wrapNone/>
                <wp:docPr id="30" name="_x0000_s2050"/>
                <wp:cNvGraphicFramePr/>
                <a:graphic xmlns:a="http://schemas.openxmlformats.org/drawingml/2006/main">
                  <a:graphicData uri="http://schemas.microsoft.com/office/word/2010/wordprocessingShape">
                    <wps:wsp>
                      <wps:cNvSpPr/>
                      <wps:spPr>
                        <a:xfrm>
                          <a:off x="0" y="0"/>
                          <a:ext cx="526415" cy="394335"/>
                        </a:xfrm>
                        <a:prstGeom prst="rect">
                          <a:avLst/>
                        </a:prstGeom>
                      </wps:spPr>
                      <wps:bodyPr rot="0" vert="horz" wrap="square" lIns="91440" tIns="45720" rIns="91440" bIns="45720" anchor="t" anchorCtr="0"/>
                    </wps:wsp>
                  </a:graphicData>
                </a:graphic>
              </wp:anchor>
            </w:drawing>
          </mc:Choice>
          <mc:Fallback>
            <w:pict>
              <v:rect id="_x0000_s2050" o:spid="_x0000_s1026" o:spt="1" style="position:absolute;left:0pt;margin-left:93.6pt;margin-top:14.1pt;height:31.05pt;width:41.45pt;mso-position-horizontal-relative:page;z-index:-251655168;mso-width-relative:page;mso-height-relative:page;" filled="f" stroked="f" coordsize="21600,21600" o:gfxdata="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YpcIjZAAAACQEAAA8AAAAAAAAAAQAgAAAAIgAAAGRycy9kb3ducmV2LnhtbFBLAQIU&#10;ABQAAAAIAIdO4kBVux91uQEAAHoDAAAOAAAAAAAAAAEAIAAAACgBAABkcnMvZTJvRG9jLnhtbFBL&#10;BQYAAAAABgAGAFkBAABTBQAAAAA=&#10;">
                <v:fill on="f" focussize="0,0"/>
                <v:stroke on="f"/>
                <v:imagedata o:title=""/>
                <o:lock v:ext="edit" aspectratio="f"/>
              </v:rect>
            </w:pict>
          </mc:Fallback>
        </mc:AlternateContent>
      </w:r>
      <w:r>
        <w:rPr>
          <w:rFonts w:hint="eastAsia"/>
          <w:b/>
          <w:color w:val="auto"/>
          <w:sz w:val="24"/>
          <w:szCs w:val="24"/>
          <w:lang w:val="en-US" w:eastAsia="zh-CN"/>
        </w:rPr>
        <w:t>表2.3-2</w:t>
      </w:r>
      <w:r>
        <w:rPr>
          <w:rFonts w:hint="eastAsia"/>
          <w:b/>
          <w:color w:val="auto"/>
          <w:sz w:val="24"/>
          <w:szCs w:val="24"/>
          <w:lang w:val="en-US" w:eastAsia="zh-CN"/>
        </w:rPr>
        <w:tab/>
      </w:r>
      <w:r>
        <w:rPr>
          <w:rFonts w:hint="eastAsia"/>
          <w:b/>
          <w:color w:val="auto"/>
          <w:sz w:val="24"/>
          <w:szCs w:val="24"/>
          <w:lang w:val="en-US" w:eastAsia="zh-CN"/>
        </w:rPr>
        <w:t xml:space="preserve">    环境影响评价因子一览表</w:t>
      </w:r>
    </w:p>
    <w:tbl>
      <w:tblPr>
        <w:tblStyle w:val="75"/>
        <w:tblW w:w="500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6"/>
        <w:gridCol w:w="1678"/>
        <w:gridCol w:w="5597"/>
      </w:tblGrid>
      <w:tr w14:paraId="2E8B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tcBorders>
              <w:tl2br w:val="nil"/>
              <w:tr2bl w:val="nil"/>
            </w:tcBorders>
            <w:vAlign w:val="center"/>
          </w:tcPr>
          <w:p w14:paraId="50D6CF6D">
            <w:pPr>
              <w:jc w:val="center"/>
              <w:rPr>
                <w:rFonts w:hint="eastAsia"/>
                <w:lang w:eastAsia="zh-CN"/>
              </w:rPr>
            </w:pPr>
            <w:r>
              <w:rPr>
                <w:rFonts w:hint="eastAsia"/>
                <w:lang w:eastAsia="zh-CN"/>
              </w:rPr>
              <w:t>环境要素</w:t>
            </w:r>
          </w:p>
        </w:tc>
        <w:tc>
          <w:tcPr>
            <w:tcW w:w="984" w:type="pct"/>
            <w:tcBorders>
              <w:tl2br w:val="nil"/>
              <w:tr2bl w:val="nil"/>
            </w:tcBorders>
            <w:vAlign w:val="center"/>
          </w:tcPr>
          <w:p w14:paraId="422C405B">
            <w:pPr>
              <w:jc w:val="center"/>
              <w:rPr>
                <w:rFonts w:hint="eastAsia"/>
                <w:lang w:eastAsia="zh-CN"/>
              </w:rPr>
            </w:pPr>
            <w:r>
              <w:rPr>
                <w:rFonts w:hint="eastAsia"/>
                <w:lang w:eastAsia="zh-CN"/>
              </w:rPr>
              <w:t>评价类别</w:t>
            </w:r>
          </w:p>
        </w:tc>
        <w:tc>
          <w:tcPr>
            <w:tcW w:w="3283" w:type="pct"/>
            <w:tcBorders>
              <w:tl2br w:val="nil"/>
              <w:tr2bl w:val="nil"/>
            </w:tcBorders>
            <w:vAlign w:val="center"/>
          </w:tcPr>
          <w:p w14:paraId="76822AE7">
            <w:pPr>
              <w:jc w:val="center"/>
              <w:rPr>
                <w:rFonts w:hint="eastAsia"/>
                <w:lang w:eastAsia="zh-CN"/>
              </w:rPr>
            </w:pPr>
            <w:r>
              <w:rPr>
                <w:rFonts w:hint="eastAsia"/>
                <w:lang w:eastAsia="zh-CN"/>
              </w:rPr>
              <w:t>评价因子</w:t>
            </w:r>
          </w:p>
        </w:tc>
      </w:tr>
      <w:tr w14:paraId="4849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restart"/>
            <w:tcBorders>
              <w:tl2br w:val="nil"/>
              <w:tr2bl w:val="nil"/>
            </w:tcBorders>
            <w:vAlign w:val="center"/>
          </w:tcPr>
          <w:p w14:paraId="0F75C2A4">
            <w:pPr>
              <w:jc w:val="center"/>
              <w:rPr>
                <w:rFonts w:hint="eastAsia"/>
                <w:lang w:eastAsia="zh-CN"/>
              </w:rPr>
            </w:pPr>
            <w:r>
              <w:rPr>
                <w:rFonts w:hint="eastAsia"/>
                <w:lang w:eastAsia="zh-CN"/>
              </w:rPr>
              <w:t>大气环境</w:t>
            </w:r>
          </w:p>
        </w:tc>
        <w:tc>
          <w:tcPr>
            <w:tcW w:w="984" w:type="pct"/>
            <w:tcBorders>
              <w:tl2br w:val="nil"/>
              <w:tr2bl w:val="nil"/>
            </w:tcBorders>
            <w:vAlign w:val="center"/>
          </w:tcPr>
          <w:p w14:paraId="5A160C2D">
            <w:pPr>
              <w:jc w:val="center"/>
              <w:rPr>
                <w:rFonts w:hint="default"/>
                <w:lang w:val="en-US" w:eastAsia="zh-CN"/>
              </w:rPr>
            </w:pPr>
            <w:r>
              <w:rPr>
                <w:rFonts w:hint="eastAsia"/>
                <w:lang w:val="en-US" w:eastAsia="zh-CN"/>
              </w:rPr>
              <w:t>现状评价</w:t>
            </w:r>
          </w:p>
        </w:tc>
        <w:tc>
          <w:tcPr>
            <w:tcW w:w="3283" w:type="pct"/>
            <w:tcBorders>
              <w:tl2br w:val="nil"/>
              <w:tr2bl w:val="nil"/>
            </w:tcBorders>
            <w:vAlign w:val="center"/>
          </w:tcPr>
          <w:p w14:paraId="47D356E5">
            <w:pPr>
              <w:jc w:val="center"/>
            </w:pPr>
            <w:r>
              <w:rPr>
                <w:rFonts w:hint="default"/>
                <w:lang w:val="en-US" w:eastAsia="zh-CN"/>
              </w:rPr>
              <w:t>TSP</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w:t>
            </w:r>
            <w:r>
              <w:rPr>
                <w:rFonts w:hint="default"/>
                <w:lang w:val="en-US" w:eastAsia="zh-CN"/>
              </w:rPr>
              <w:t>PM</w:t>
            </w:r>
            <w:r>
              <w:rPr>
                <w:rFonts w:hint="default"/>
                <w:vertAlign w:val="subscript"/>
                <w:lang w:val="en-US" w:eastAsia="zh-CN"/>
              </w:rPr>
              <w:t>2.5</w:t>
            </w:r>
            <w:r>
              <w:rPr>
                <w:rFonts w:hint="eastAsia"/>
                <w:lang w:val="en-US" w:eastAsia="zh-CN"/>
              </w:rPr>
              <w:t>、</w:t>
            </w:r>
            <w:r>
              <w:rPr>
                <w:rFonts w:hint="default"/>
                <w:lang w:val="en-US" w:eastAsia="zh-CN"/>
              </w:rPr>
              <w:t>SO</w:t>
            </w:r>
            <w:r>
              <w:rPr>
                <w:rFonts w:hint="default"/>
                <w:vertAlign w:val="subscript"/>
                <w:lang w:val="en-US" w:eastAsia="zh-CN"/>
              </w:rPr>
              <w:t>2</w:t>
            </w:r>
            <w:r>
              <w:rPr>
                <w:rFonts w:hint="eastAsia"/>
                <w:lang w:val="en-US" w:eastAsia="zh-CN"/>
              </w:rPr>
              <w:t>、</w:t>
            </w:r>
            <w:r>
              <w:rPr>
                <w:rFonts w:hint="default"/>
                <w:lang w:val="en-US" w:eastAsia="zh-CN"/>
              </w:rPr>
              <w:t>NO</w:t>
            </w:r>
            <w:r>
              <w:rPr>
                <w:rFonts w:hint="default"/>
                <w:vertAlign w:val="subscript"/>
                <w:lang w:val="en-US" w:eastAsia="zh-CN"/>
              </w:rPr>
              <w:t>2</w:t>
            </w:r>
            <w:r>
              <w:rPr>
                <w:rFonts w:hint="eastAsia"/>
                <w:lang w:val="en-US" w:eastAsia="zh-CN"/>
              </w:rPr>
              <w:t>、</w:t>
            </w:r>
            <w:r>
              <w:rPr>
                <w:rFonts w:hint="default"/>
                <w:lang w:val="en-US" w:eastAsia="zh-CN"/>
              </w:rPr>
              <w:t>CO</w:t>
            </w:r>
            <w:r>
              <w:rPr>
                <w:rFonts w:hint="eastAsia"/>
                <w:lang w:val="en-US" w:eastAsia="zh-CN"/>
              </w:rPr>
              <w:t>、</w:t>
            </w:r>
            <w:r>
              <w:rPr>
                <w:rFonts w:hint="default"/>
                <w:lang w:val="en-US" w:eastAsia="zh-CN"/>
              </w:rPr>
              <w:t>O</w:t>
            </w:r>
            <w:r>
              <w:rPr>
                <w:rFonts w:hint="default"/>
                <w:vertAlign w:val="subscript"/>
                <w:lang w:val="en-US" w:eastAsia="zh-CN"/>
              </w:rPr>
              <w:t>3</w:t>
            </w:r>
          </w:p>
        </w:tc>
      </w:tr>
      <w:tr w14:paraId="5E113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312DFD98">
            <w:pPr>
              <w:jc w:val="center"/>
              <w:rPr>
                <w:rFonts w:hint="eastAsia"/>
                <w:lang w:eastAsia="zh-CN"/>
              </w:rPr>
            </w:pPr>
          </w:p>
        </w:tc>
        <w:tc>
          <w:tcPr>
            <w:tcW w:w="984" w:type="pct"/>
            <w:tcBorders>
              <w:tl2br w:val="nil"/>
              <w:tr2bl w:val="nil"/>
            </w:tcBorders>
            <w:vAlign w:val="center"/>
          </w:tcPr>
          <w:p w14:paraId="766695D8">
            <w:pPr>
              <w:jc w:val="center"/>
              <w:rPr>
                <w:rFonts w:hint="eastAsia"/>
                <w:lang w:eastAsia="zh-CN"/>
              </w:rPr>
            </w:pPr>
            <w:r>
              <w:rPr>
                <w:rFonts w:hint="eastAsia"/>
                <w:lang w:eastAsia="zh-CN"/>
              </w:rPr>
              <w:t>影响</w:t>
            </w:r>
            <w:r>
              <w:rPr>
                <w:rFonts w:hint="eastAsia"/>
                <w:lang w:val="en-US" w:eastAsia="zh-CN"/>
              </w:rPr>
              <w:t>评价</w:t>
            </w:r>
          </w:p>
        </w:tc>
        <w:tc>
          <w:tcPr>
            <w:tcW w:w="3283" w:type="pct"/>
            <w:tcBorders>
              <w:tl2br w:val="nil"/>
              <w:tr2bl w:val="nil"/>
            </w:tcBorders>
            <w:vAlign w:val="center"/>
          </w:tcPr>
          <w:p w14:paraId="62B6A8B9">
            <w:pPr>
              <w:jc w:val="center"/>
            </w:pPr>
            <w:r>
              <w:rPr>
                <w:rFonts w:hint="eastAsia"/>
                <w:lang w:val="en-US" w:eastAsia="zh-CN"/>
              </w:rPr>
              <w:t>颗粒物（</w:t>
            </w:r>
            <w:r>
              <w:rPr>
                <w:rFonts w:hint="default"/>
                <w:lang w:val="en-US" w:eastAsia="zh-CN"/>
              </w:rPr>
              <w:t>TSP</w:t>
            </w:r>
            <w:r>
              <w:rPr>
                <w:rFonts w:hint="eastAsia"/>
                <w:lang w:val="en-US" w:eastAsia="zh-CN"/>
              </w:rPr>
              <w:t>、</w:t>
            </w:r>
            <w:r>
              <w:rPr>
                <w:rFonts w:hint="default"/>
                <w:lang w:val="en-US" w:eastAsia="zh-CN"/>
              </w:rPr>
              <w:t>PM</w:t>
            </w:r>
            <w:r>
              <w:rPr>
                <w:rFonts w:hint="default"/>
                <w:vertAlign w:val="subscript"/>
                <w:lang w:val="en-US" w:eastAsia="zh-CN"/>
              </w:rPr>
              <w:t>10</w:t>
            </w:r>
            <w:r>
              <w:rPr>
                <w:rFonts w:hint="eastAsia"/>
                <w:lang w:val="en-US" w:eastAsia="zh-CN"/>
              </w:rPr>
              <w:t>）</w:t>
            </w:r>
          </w:p>
        </w:tc>
      </w:tr>
      <w:tr w14:paraId="1454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restart"/>
            <w:tcBorders>
              <w:tl2br w:val="nil"/>
              <w:tr2bl w:val="nil"/>
            </w:tcBorders>
            <w:vAlign w:val="center"/>
          </w:tcPr>
          <w:p w14:paraId="7707FF6C">
            <w:pPr>
              <w:jc w:val="center"/>
              <w:rPr>
                <w:rFonts w:hint="eastAsia"/>
                <w:lang w:eastAsia="zh-CN"/>
              </w:rPr>
            </w:pPr>
            <w:r>
              <w:t>地下水</w:t>
            </w:r>
            <w:r>
              <w:rPr>
                <w:rFonts w:hint="eastAsia"/>
                <w:lang w:eastAsia="zh-CN"/>
              </w:rPr>
              <w:t>环境</w:t>
            </w:r>
          </w:p>
        </w:tc>
        <w:tc>
          <w:tcPr>
            <w:tcW w:w="984" w:type="pct"/>
            <w:tcBorders>
              <w:tl2br w:val="nil"/>
              <w:tr2bl w:val="nil"/>
            </w:tcBorders>
            <w:vAlign w:val="center"/>
          </w:tcPr>
          <w:p w14:paraId="50DE405D">
            <w:pPr>
              <w:jc w:val="center"/>
            </w:pPr>
            <w:r>
              <w:rPr>
                <w:rFonts w:hint="eastAsia"/>
                <w:lang w:val="en-US" w:eastAsia="zh-CN"/>
              </w:rPr>
              <w:t>现状评价</w:t>
            </w:r>
          </w:p>
        </w:tc>
        <w:tc>
          <w:tcPr>
            <w:tcW w:w="3283" w:type="pct"/>
            <w:tcBorders>
              <w:tl2br w:val="nil"/>
              <w:tr2bl w:val="nil"/>
            </w:tcBorders>
            <w:vAlign w:val="center"/>
          </w:tcPr>
          <w:p w14:paraId="04788531">
            <w:pPr>
              <w:numPr>
                <w:ilvl w:val="0"/>
                <w:numId w:val="0"/>
              </w:numPr>
              <w:jc w:val="both"/>
              <w:rPr>
                <w:rFonts w:hint="default"/>
                <w:lang w:val="en-US"/>
              </w:rPr>
            </w:pPr>
            <w:r>
              <w:rPr>
                <w:rFonts w:hint="default" w:ascii="Times New Roman" w:hAnsi="Times New Roman" w:eastAsia="宋体" w:cs="Times New Roman"/>
                <w:b w:val="0"/>
                <w:bCs w:val="0"/>
                <w:color w:val="auto"/>
                <w:sz w:val="21"/>
                <w:szCs w:val="21"/>
                <w:vertAlign w:val="baseline"/>
                <w:lang w:val="en-US" w:eastAsia="zh-CN"/>
              </w:rPr>
              <w:t>K</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、Na</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、Ca</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、Mg</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、HCO</w:t>
            </w:r>
            <w:r>
              <w:rPr>
                <w:rFonts w:hint="default" w:ascii="Times New Roman" w:hAnsi="Times New Roman" w:eastAsia="宋体" w:cs="Times New Roman"/>
                <w:b w:val="0"/>
                <w:bCs w:val="0"/>
                <w:color w:val="auto"/>
                <w:sz w:val="21"/>
                <w:szCs w:val="21"/>
                <w:vertAlign w:val="subscript"/>
                <w:lang w:val="en-US" w:eastAsia="zh-CN"/>
              </w:rPr>
              <w:t>3</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、Cl</w:t>
            </w:r>
            <w:r>
              <w:rPr>
                <w:rFonts w:hint="default" w:ascii="Times New Roman" w:hAnsi="Times New Roman" w:eastAsia="宋体" w:cs="Times New Roman"/>
                <w:b w:val="0"/>
                <w:bCs w:val="0"/>
                <w:color w:val="auto"/>
                <w:sz w:val="21"/>
                <w:szCs w:val="21"/>
                <w:vertAlign w:val="superscript"/>
                <w:lang w:val="en-US" w:eastAsia="zh-CN"/>
              </w:rPr>
              <w:t>-</w:t>
            </w:r>
            <w:r>
              <w:rPr>
                <w:rFonts w:hint="default" w:ascii="Times New Roman" w:hAnsi="Times New Roman" w:eastAsia="宋体" w:cs="Times New Roman"/>
                <w:b w:val="0"/>
                <w:bCs w:val="0"/>
                <w:color w:val="auto"/>
                <w:sz w:val="21"/>
                <w:szCs w:val="21"/>
                <w:vertAlign w:val="baseline"/>
                <w:lang w:val="en-US" w:eastAsia="zh-CN"/>
              </w:rPr>
              <w:t>、SO</w:t>
            </w:r>
            <w:r>
              <w:rPr>
                <w:rFonts w:hint="default" w:ascii="Times New Roman" w:hAnsi="Times New Roman" w:eastAsia="宋体" w:cs="Times New Roman"/>
                <w:b w:val="0"/>
                <w:bCs w:val="0"/>
                <w:color w:val="auto"/>
                <w:sz w:val="21"/>
                <w:szCs w:val="21"/>
                <w:vertAlign w:val="subscript"/>
                <w:lang w:val="en-US" w:eastAsia="zh-CN"/>
              </w:rPr>
              <w:t>4</w:t>
            </w:r>
            <w:r>
              <w:rPr>
                <w:rFonts w:hint="default" w:ascii="Times New Roman" w:hAnsi="Times New Roman" w:eastAsia="宋体" w:cs="Times New Roman"/>
                <w:b w:val="0"/>
                <w:bCs w:val="0"/>
                <w:color w:val="auto"/>
                <w:sz w:val="21"/>
                <w:szCs w:val="21"/>
                <w:vertAlign w:val="superscript"/>
                <w:lang w:val="en-US" w:eastAsia="zh-CN"/>
              </w:rPr>
              <w:t>2-</w:t>
            </w:r>
            <w:r>
              <w:rPr>
                <w:rFonts w:hint="default" w:ascii="Times New Roman" w:hAnsi="Times New Roman" w:eastAsia="宋体" w:cs="Times New Roman"/>
                <w:b w:val="0"/>
                <w:bCs w:val="0"/>
                <w:color w:val="auto"/>
                <w:sz w:val="21"/>
                <w:szCs w:val="21"/>
                <w:vertAlign w:val="baseline"/>
                <w:lang w:val="en-US" w:eastAsia="zh-CN"/>
              </w:rPr>
              <w:t>、</w:t>
            </w: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、氨氮、硝酸盐、亚硝酸盐、挥发性酚类、氰化物、砷、汞、铬</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六价</w:t>
            </w:r>
            <w:r>
              <w:rPr>
                <w:rFonts w:hint="default" w:ascii="Times New Roman" w:hAnsi="Times New Roman" w:eastAsia="宋体" w:cs="Times New Roman"/>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、总硬度、铅、氟、镉、铁、锰、溶解性总固体、高锰酸盐指数、硫酸盐、氯化物、总大肠菌群、细菌总数</w:t>
            </w:r>
            <w:r>
              <w:rPr>
                <w:rFonts w:hint="eastAsia" w:ascii="宋体" w:hAnsi="宋体" w:cs="宋体"/>
                <w:color w:val="000000"/>
                <w:kern w:val="0"/>
                <w:sz w:val="21"/>
                <w:szCs w:val="21"/>
                <w:lang w:val="en-US" w:eastAsia="zh-CN" w:bidi="ar"/>
              </w:rPr>
              <w:t>、</w:t>
            </w:r>
            <w:r>
              <w:rPr>
                <w:rFonts w:hint="eastAsia" w:ascii="Times New Roman" w:hAnsi="Times New Roman" w:eastAsia="宋体" w:cs="Times New Roman"/>
                <w:b w:val="0"/>
                <w:bCs w:val="0"/>
                <w:color w:val="auto"/>
                <w:sz w:val="21"/>
                <w:szCs w:val="21"/>
                <w:vertAlign w:val="baseline"/>
                <w:lang w:val="en-US" w:eastAsia="zh-CN"/>
              </w:rPr>
              <w:t>石油类</w:t>
            </w:r>
            <w:r>
              <w:rPr>
                <w:rFonts w:hint="eastAsia" w:cs="Times New Roman"/>
                <w:b w:val="0"/>
                <w:bCs w:val="0"/>
                <w:color w:val="auto"/>
                <w:sz w:val="21"/>
                <w:szCs w:val="21"/>
                <w:vertAlign w:val="baseline"/>
                <w:lang w:val="en-US" w:eastAsia="zh-CN"/>
              </w:rPr>
              <w:t>、铜、锌</w:t>
            </w:r>
          </w:p>
        </w:tc>
      </w:tr>
      <w:tr w14:paraId="1BF3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2AA41ACB">
            <w:pPr>
              <w:jc w:val="center"/>
            </w:pPr>
          </w:p>
        </w:tc>
        <w:tc>
          <w:tcPr>
            <w:tcW w:w="984" w:type="pct"/>
            <w:tcBorders>
              <w:tl2br w:val="nil"/>
              <w:tr2bl w:val="nil"/>
            </w:tcBorders>
            <w:vAlign w:val="center"/>
          </w:tcPr>
          <w:p w14:paraId="27796124">
            <w:pPr>
              <w:jc w:val="center"/>
            </w:pPr>
            <w:r>
              <w:rPr>
                <w:rFonts w:hint="eastAsia"/>
                <w:lang w:eastAsia="zh-CN"/>
              </w:rPr>
              <w:t>影响</w:t>
            </w:r>
            <w:r>
              <w:rPr>
                <w:rFonts w:hint="eastAsia"/>
                <w:lang w:val="en-US" w:eastAsia="zh-CN"/>
              </w:rPr>
              <w:t>评价</w:t>
            </w:r>
          </w:p>
        </w:tc>
        <w:tc>
          <w:tcPr>
            <w:tcW w:w="3283" w:type="pct"/>
            <w:tcBorders>
              <w:tl2br w:val="nil"/>
              <w:tr2bl w:val="nil"/>
            </w:tcBorders>
            <w:vAlign w:val="center"/>
          </w:tcPr>
          <w:p w14:paraId="5AE2E939">
            <w:pPr>
              <w:jc w:val="center"/>
              <w:rPr>
                <w:rFonts w:hint="default"/>
                <w:highlight w:val="none"/>
                <w:lang w:val="en-US"/>
              </w:rPr>
            </w:pPr>
            <w:r>
              <w:rPr>
                <w:rFonts w:hint="eastAsia"/>
                <w:highlight w:val="none"/>
                <w:lang w:val="en-US" w:eastAsia="zh-CN"/>
              </w:rPr>
              <w:t>/</w:t>
            </w:r>
          </w:p>
        </w:tc>
      </w:tr>
      <w:tr w14:paraId="666B3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31" w:type="pct"/>
            <w:vMerge w:val="restart"/>
            <w:tcBorders>
              <w:tl2br w:val="nil"/>
              <w:tr2bl w:val="nil"/>
            </w:tcBorders>
            <w:vAlign w:val="center"/>
          </w:tcPr>
          <w:p w14:paraId="5EE2A24C">
            <w:pPr>
              <w:jc w:val="center"/>
            </w:pPr>
            <w:r>
              <w:t>噪声</w:t>
            </w:r>
          </w:p>
        </w:tc>
        <w:tc>
          <w:tcPr>
            <w:tcW w:w="984" w:type="pct"/>
            <w:tcBorders>
              <w:tl2br w:val="nil"/>
              <w:tr2bl w:val="nil"/>
            </w:tcBorders>
            <w:vAlign w:val="center"/>
          </w:tcPr>
          <w:p w14:paraId="54EC9E7C">
            <w:pPr>
              <w:jc w:val="center"/>
            </w:pPr>
            <w:r>
              <w:rPr>
                <w:rFonts w:hint="eastAsia"/>
                <w:lang w:val="en-US" w:eastAsia="zh-CN"/>
              </w:rPr>
              <w:t>现状评价</w:t>
            </w:r>
          </w:p>
        </w:tc>
        <w:tc>
          <w:tcPr>
            <w:tcW w:w="3283" w:type="pct"/>
            <w:tcBorders>
              <w:tl2br w:val="nil"/>
              <w:tr2bl w:val="nil"/>
            </w:tcBorders>
            <w:vAlign w:val="center"/>
          </w:tcPr>
          <w:p w14:paraId="25C5623A">
            <w:pPr>
              <w:jc w:val="center"/>
              <w:rPr>
                <w:rFonts w:hint="eastAsia"/>
                <w:lang w:eastAsia="zh-CN"/>
              </w:rPr>
            </w:pPr>
            <w:r>
              <w:rPr>
                <w:rFonts w:hint="eastAsia"/>
              </w:rPr>
              <w:t>L</w:t>
            </w:r>
            <w:r>
              <w:rPr>
                <w:rFonts w:hint="eastAsia"/>
                <w:vertAlign w:val="subscript"/>
              </w:rPr>
              <w:t>eq</w:t>
            </w:r>
            <w:r>
              <w:rPr>
                <w:rFonts w:hint="eastAsia"/>
                <w:lang w:eastAsia="zh-CN"/>
              </w:rPr>
              <w:t>（</w:t>
            </w:r>
            <w:r>
              <w:rPr>
                <w:rFonts w:hint="eastAsia"/>
                <w:lang w:val="en-US" w:eastAsia="zh-CN"/>
              </w:rPr>
              <w:t>A</w:t>
            </w:r>
            <w:r>
              <w:rPr>
                <w:rFonts w:hint="eastAsia"/>
                <w:lang w:eastAsia="zh-CN"/>
              </w:rPr>
              <w:t>）</w:t>
            </w:r>
          </w:p>
        </w:tc>
      </w:tr>
      <w:tr w14:paraId="440A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304F6A22">
            <w:pPr>
              <w:jc w:val="center"/>
            </w:pPr>
          </w:p>
        </w:tc>
        <w:tc>
          <w:tcPr>
            <w:tcW w:w="984" w:type="pct"/>
            <w:tcBorders>
              <w:tl2br w:val="nil"/>
              <w:tr2bl w:val="nil"/>
            </w:tcBorders>
            <w:vAlign w:val="center"/>
          </w:tcPr>
          <w:p w14:paraId="056C201B">
            <w:pPr>
              <w:jc w:val="center"/>
            </w:pPr>
            <w:r>
              <w:rPr>
                <w:rFonts w:hint="eastAsia"/>
                <w:lang w:eastAsia="zh-CN"/>
              </w:rPr>
              <w:t>影响</w:t>
            </w:r>
            <w:r>
              <w:rPr>
                <w:rFonts w:hint="eastAsia"/>
                <w:lang w:val="en-US" w:eastAsia="zh-CN"/>
              </w:rPr>
              <w:t>评价</w:t>
            </w:r>
          </w:p>
        </w:tc>
        <w:tc>
          <w:tcPr>
            <w:tcW w:w="3283" w:type="pct"/>
            <w:tcBorders>
              <w:tl2br w:val="nil"/>
              <w:tr2bl w:val="nil"/>
            </w:tcBorders>
            <w:vAlign w:val="center"/>
          </w:tcPr>
          <w:p w14:paraId="3B17E617">
            <w:pPr>
              <w:jc w:val="center"/>
              <w:rPr>
                <w:rFonts w:hint="eastAsia"/>
              </w:rPr>
            </w:pPr>
            <w:r>
              <w:rPr>
                <w:rFonts w:hint="eastAsia"/>
              </w:rPr>
              <w:t>L</w:t>
            </w:r>
            <w:r>
              <w:rPr>
                <w:rFonts w:hint="eastAsia"/>
                <w:vertAlign w:val="subscript"/>
              </w:rPr>
              <w:t>eq</w:t>
            </w:r>
            <w:r>
              <w:rPr>
                <w:rFonts w:hint="eastAsia"/>
                <w:lang w:eastAsia="zh-CN"/>
              </w:rPr>
              <w:t>（</w:t>
            </w:r>
            <w:r>
              <w:rPr>
                <w:rFonts w:hint="eastAsia"/>
                <w:lang w:val="en-US" w:eastAsia="zh-CN"/>
              </w:rPr>
              <w:t>A</w:t>
            </w:r>
            <w:r>
              <w:rPr>
                <w:rFonts w:hint="eastAsia"/>
                <w:lang w:eastAsia="zh-CN"/>
              </w:rPr>
              <w:t>）</w:t>
            </w:r>
          </w:p>
        </w:tc>
      </w:tr>
      <w:tr w14:paraId="2181E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restart"/>
            <w:tcBorders>
              <w:tl2br w:val="nil"/>
              <w:tr2bl w:val="nil"/>
            </w:tcBorders>
            <w:vAlign w:val="center"/>
          </w:tcPr>
          <w:p w14:paraId="3857ADEB">
            <w:pPr>
              <w:jc w:val="center"/>
              <w:rPr>
                <w:rFonts w:hint="eastAsia"/>
                <w:lang w:eastAsia="zh-CN"/>
              </w:rPr>
            </w:pPr>
            <w:r>
              <w:rPr>
                <w:rFonts w:hint="eastAsia"/>
                <w:lang w:eastAsia="zh-CN"/>
              </w:rPr>
              <w:t>土壤环境</w:t>
            </w:r>
          </w:p>
        </w:tc>
        <w:tc>
          <w:tcPr>
            <w:tcW w:w="984" w:type="pct"/>
            <w:tcBorders>
              <w:tl2br w:val="nil"/>
              <w:tr2bl w:val="nil"/>
            </w:tcBorders>
            <w:vAlign w:val="center"/>
          </w:tcPr>
          <w:p w14:paraId="4701E3A9">
            <w:pPr>
              <w:jc w:val="center"/>
              <w:rPr>
                <w:rFonts w:hint="eastAsia"/>
                <w:lang w:eastAsia="zh-CN"/>
              </w:rPr>
            </w:pPr>
            <w:r>
              <w:rPr>
                <w:rFonts w:hint="eastAsia"/>
                <w:lang w:val="en-US" w:eastAsia="zh-CN"/>
              </w:rPr>
              <w:t>现状评价</w:t>
            </w:r>
          </w:p>
        </w:tc>
        <w:tc>
          <w:tcPr>
            <w:tcW w:w="3283" w:type="pct"/>
            <w:tcBorders>
              <w:tl2br w:val="nil"/>
              <w:tr2bl w:val="nil"/>
            </w:tcBorders>
            <w:vAlign w:val="center"/>
          </w:tcPr>
          <w:p w14:paraId="725D7F9E">
            <w:pPr>
              <w:jc w:val="center"/>
              <w:rPr>
                <w:rFonts w:hint="eastAsia"/>
                <w:lang w:eastAsia="zh-CN"/>
              </w:rPr>
            </w:pPr>
            <w:r>
              <w:rPr>
                <w:rFonts w:hint="eastAsia"/>
                <w:lang w:eastAsia="zh-CN"/>
              </w:rPr>
              <w:t>建设用地</w:t>
            </w:r>
            <w:r>
              <w:rPr>
                <w:rFonts w:hint="eastAsia"/>
              </w:rPr>
              <w:t>：pH、砷、镉、六价铬、铜、铅、汞、镍、四氯化碳、氯仿、氯甲烷、</w:t>
            </w:r>
            <w:r>
              <w:t>1,1-</w:t>
            </w:r>
            <w:r>
              <w:rPr>
                <w:rFonts w:hint="eastAsia"/>
              </w:rPr>
              <w:t>二氯乙烷、</w:t>
            </w:r>
            <w:r>
              <w:t>1,2-</w:t>
            </w:r>
            <w:r>
              <w:rPr>
                <w:rFonts w:hint="eastAsia"/>
              </w:rPr>
              <w:t>二氯乙烷、</w:t>
            </w:r>
            <w:r>
              <w:t>1,1-</w:t>
            </w:r>
            <w:r>
              <w:rPr>
                <w:rFonts w:hint="eastAsia"/>
              </w:rPr>
              <w:t>二氯乙烯、顺</w:t>
            </w:r>
            <w:r>
              <w:t>-1,2-</w:t>
            </w:r>
            <w:r>
              <w:rPr>
                <w:rFonts w:hint="eastAsia"/>
              </w:rPr>
              <w:t>二氯乙烯、反</w:t>
            </w:r>
            <w:r>
              <w:t>-1,2-</w:t>
            </w:r>
            <w:r>
              <w:rPr>
                <w:rFonts w:hint="eastAsia"/>
              </w:rPr>
              <w:t>二氯乙烯、二氯甲烷、</w:t>
            </w:r>
            <w:r>
              <w:t>1,2-</w:t>
            </w:r>
            <w:r>
              <w:rPr>
                <w:rFonts w:hint="eastAsia"/>
              </w:rPr>
              <w:t>二氯丙烷、</w:t>
            </w:r>
            <w:r>
              <w:t>1,1,1,2-</w:t>
            </w:r>
            <w:r>
              <w:rPr>
                <w:rFonts w:hint="eastAsia"/>
              </w:rPr>
              <w:t>四氯乙烷、</w:t>
            </w:r>
            <w:r>
              <w:t>1,1,2,2-</w:t>
            </w:r>
            <w:r>
              <w:rPr>
                <w:rFonts w:hint="eastAsia"/>
              </w:rPr>
              <w:t>四氯乙烷、四氯乙烯、</w:t>
            </w:r>
            <w:r>
              <w:t>1,1,1-</w:t>
            </w:r>
            <w:r>
              <w:rPr>
                <w:rFonts w:hint="eastAsia"/>
              </w:rPr>
              <w:t>三氯乙烷、</w:t>
            </w:r>
            <w:r>
              <w:t>1,1,2-</w:t>
            </w:r>
            <w:r>
              <w:rPr>
                <w:rFonts w:hint="eastAsia"/>
              </w:rPr>
              <w:t>三氯乙烷、三氯乙烯、</w:t>
            </w:r>
            <w:r>
              <w:t>1,2,3-</w:t>
            </w:r>
            <w:r>
              <w:rPr>
                <w:rFonts w:hint="eastAsia"/>
              </w:rPr>
              <w:t>三氯丙烷、氯乙烯、苯、氯苯、</w:t>
            </w:r>
            <w:r>
              <w:t>1,2-</w:t>
            </w:r>
            <w:r>
              <w:rPr>
                <w:rFonts w:hint="eastAsia"/>
              </w:rPr>
              <w:t>二氯苯、</w:t>
            </w:r>
            <w:r>
              <w:t>1,4-</w:t>
            </w:r>
            <w:r>
              <w:rPr>
                <w:rFonts w:hint="eastAsia"/>
              </w:rPr>
              <w:t>二氯苯、乙苯、苯乙烯、甲苯、间二甲苯</w:t>
            </w:r>
            <w:r>
              <w:t>+</w:t>
            </w:r>
            <w:r>
              <w:rPr>
                <w:rFonts w:hint="eastAsia"/>
              </w:rPr>
              <w:t>对二甲苯、邻二甲苯、硝基苯、苯胺、</w:t>
            </w:r>
            <w:r>
              <w:t>2-</w:t>
            </w:r>
            <w:r>
              <w:rPr>
                <w:rFonts w:hint="eastAsia"/>
              </w:rPr>
              <w:t>氯酚、苯并</w:t>
            </w:r>
            <w:r>
              <w:t>[a]</w:t>
            </w:r>
            <w:r>
              <w:rPr>
                <w:rFonts w:hint="eastAsia"/>
              </w:rPr>
              <w:t>蒽、苯并</w:t>
            </w:r>
            <w:r>
              <w:t>[a]</w:t>
            </w:r>
            <w:r>
              <w:rPr>
                <w:rFonts w:hint="eastAsia"/>
              </w:rPr>
              <w:t>芘、苯并</w:t>
            </w:r>
            <w:r>
              <w:t>[b]</w:t>
            </w:r>
            <w:r>
              <w:rPr>
                <w:rFonts w:hint="eastAsia"/>
              </w:rPr>
              <w:t>荧蒽、苯并</w:t>
            </w:r>
            <w:r>
              <w:t>[k]</w:t>
            </w:r>
            <w:r>
              <w:rPr>
                <w:rFonts w:hint="eastAsia"/>
              </w:rPr>
              <w:t>荧蒽、䓛、二苯并</w:t>
            </w:r>
            <w:r>
              <w:t>[</w:t>
            </w:r>
            <w:r>
              <w:rPr>
                <w:rFonts w:hint="eastAsia"/>
              </w:rPr>
              <w:t>a,h]蒽、茚并[1,2,3-cd]芘、萘、石油烃</w:t>
            </w:r>
            <w:r>
              <w:rPr>
                <w:rFonts w:hint="eastAsia"/>
                <w:lang w:eastAsia="zh-CN"/>
              </w:rPr>
              <w:t>。</w:t>
            </w:r>
          </w:p>
          <w:p w14:paraId="1E5E5464">
            <w:pPr>
              <w:numPr>
                <w:ilvl w:val="0"/>
                <w:numId w:val="0"/>
              </w:numPr>
              <w:jc w:val="center"/>
              <w:rPr>
                <w:rFonts w:hint="eastAsia"/>
                <w:lang w:eastAsia="zh-CN"/>
              </w:rPr>
            </w:pPr>
            <w:r>
              <w:rPr>
                <w:rFonts w:hint="eastAsia"/>
                <w:lang w:eastAsia="zh-CN"/>
              </w:rPr>
              <w:t>农用地：</w:t>
            </w:r>
            <w:r>
              <w:rPr>
                <w:rFonts w:hint="default" w:ascii="Times New Roman" w:hAnsi="Times New Roman" w:eastAsia="宋体" w:cs="Times New Roman"/>
                <w:b w:val="0"/>
                <w:bCs w:val="0"/>
                <w:color w:val="auto"/>
                <w:sz w:val="21"/>
                <w:szCs w:val="21"/>
                <w:vertAlign w:val="baseline"/>
                <w:lang w:val="en-US" w:eastAsia="zh-CN"/>
              </w:rPr>
              <w:t>pH、砷、镉、六价铬、铜、铅、汞、镍、石油烃</w:t>
            </w:r>
            <w:r>
              <w:rPr>
                <w:rFonts w:hint="eastAsia"/>
                <w:lang w:val="en-US" w:eastAsia="zh-CN"/>
              </w:rPr>
              <w:t>。</w:t>
            </w:r>
          </w:p>
        </w:tc>
      </w:tr>
      <w:tr w14:paraId="477E8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56011A02">
            <w:pPr>
              <w:jc w:val="center"/>
            </w:pPr>
          </w:p>
        </w:tc>
        <w:tc>
          <w:tcPr>
            <w:tcW w:w="984" w:type="pct"/>
            <w:tcBorders>
              <w:tl2br w:val="nil"/>
              <w:tr2bl w:val="nil"/>
            </w:tcBorders>
            <w:vAlign w:val="center"/>
          </w:tcPr>
          <w:p w14:paraId="566797E3">
            <w:pPr>
              <w:jc w:val="center"/>
              <w:rPr>
                <w:rFonts w:hint="eastAsia"/>
                <w:lang w:eastAsia="zh-CN"/>
              </w:rPr>
            </w:pPr>
            <w:r>
              <w:rPr>
                <w:rFonts w:hint="eastAsia"/>
                <w:lang w:val="en-US" w:eastAsia="zh-CN"/>
              </w:rPr>
              <w:t>影响</w:t>
            </w:r>
            <w:r>
              <w:rPr>
                <w:rFonts w:hint="eastAsia"/>
                <w:lang w:eastAsia="zh-CN"/>
              </w:rPr>
              <w:t>评价</w:t>
            </w:r>
          </w:p>
        </w:tc>
        <w:tc>
          <w:tcPr>
            <w:tcW w:w="3283" w:type="pct"/>
            <w:tcBorders>
              <w:tl2br w:val="nil"/>
              <w:tr2bl w:val="nil"/>
            </w:tcBorders>
            <w:vAlign w:val="center"/>
          </w:tcPr>
          <w:p w14:paraId="11147E04">
            <w:pPr>
              <w:keepNext w:val="0"/>
              <w:keepLines w:val="0"/>
              <w:widowControl/>
              <w:suppressLineNumbers w:val="0"/>
              <w:jc w:val="center"/>
              <w:rPr>
                <w:rFonts w:hint="eastAsia"/>
                <w:lang w:eastAsia="zh-CN"/>
              </w:rPr>
            </w:pPr>
            <w:r>
              <w:rPr>
                <w:rFonts w:hint="eastAsia"/>
                <w:lang w:eastAsia="zh-CN"/>
              </w:rPr>
              <w:t>铅、锌、铬、砷、镍、钴</w:t>
            </w:r>
          </w:p>
        </w:tc>
      </w:tr>
      <w:tr w14:paraId="219D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731" w:type="pct"/>
            <w:vMerge w:val="restart"/>
            <w:tcBorders>
              <w:tl2br w:val="nil"/>
              <w:tr2bl w:val="nil"/>
            </w:tcBorders>
            <w:vAlign w:val="center"/>
          </w:tcPr>
          <w:p w14:paraId="30313DFE">
            <w:pPr>
              <w:jc w:val="center"/>
              <w:rPr>
                <w:rFonts w:hint="eastAsia"/>
                <w:lang w:eastAsia="zh-CN"/>
              </w:rPr>
            </w:pPr>
            <w:r>
              <w:rPr>
                <w:rFonts w:hint="eastAsia"/>
                <w:lang w:eastAsia="zh-CN"/>
              </w:rPr>
              <w:t>固体废物</w:t>
            </w:r>
          </w:p>
        </w:tc>
        <w:tc>
          <w:tcPr>
            <w:tcW w:w="984" w:type="pct"/>
            <w:tcBorders>
              <w:tl2br w:val="nil"/>
              <w:tr2bl w:val="nil"/>
            </w:tcBorders>
            <w:vAlign w:val="center"/>
          </w:tcPr>
          <w:p w14:paraId="1B97D1A9">
            <w:pPr>
              <w:jc w:val="center"/>
              <w:rPr>
                <w:rFonts w:hint="eastAsia"/>
                <w:lang w:eastAsia="zh-CN"/>
              </w:rPr>
            </w:pPr>
            <w:r>
              <w:rPr>
                <w:rFonts w:hint="eastAsia"/>
                <w:lang w:val="en-US" w:eastAsia="zh-CN"/>
              </w:rPr>
              <w:t>现状</w:t>
            </w:r>
            <w:r>
              <w:rPr>
                <w:rFonts w:hint="eastAsia"/>
                <w:lang w:eastAsia="zh-CN"/>
              </w:rPr>
              <w:t>评价</w:t>
            </w:r>
          </w:p>
        </w:tc>
        <w:tc>
          <w:tcPr>
            <w:tcW w:w="3283" w:type="pct"/>
            <w:tcBorders>
              <w:tl2br w:val="nil"/>
              <w:tr2bl w:val="nil"/>
            </w:tcBorders>
            <w:vAlign w:val="center"/>
          </w:tcPr>
          <w:p w14:paraId="6678D8F7">
            <w:pPr>
              <w:jc w:val="center"/>
              <w:rPr>
                <w:rFonts w:hint="default"/>
                <w:lang w:val="en-US"/>
              </w:rPr>
            </w:pPr>
            <w:r>
              <w:rPr>
                <w:rFonts w:hint="eastAsia"/>
                <w:lang w:val="en-US" w:eastAsia="zh-CN"/>
              </w:rPr>
              <w:t>干排尾矿、除尘灰、尾矿、废机油、废机油桶、浮选药剂废包装、生活垃圾</w:t>
            </w:r>
          </w:p>
        </w:tc>
      </w:tr>
      <w:tr w14:paraId="228F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62F8C469">
            <w:pPr>
              <w:jc w:val="center"/>
            </w:pPr>
          </w:p>
        </w:tc>
        <w:tc>
          <w:tcPr>
            <w:tcW w:w="984" w:type="pct"/>
            <w:tcBorders>
              <w:tl2br w:val="nil"/>
              <w:tr2bl w:val="nil"/>
            </w:tcBorders>
            <w:vAlign w:val="center"/>
          </w:tcPr>
          <w:p w14:paraId="2BD742F0">
            <w:pPr>
              <w:jc w:val="center"/>
              <w:rPr>
                <w:rFonts w:hint="default"/>
                <w:lang w:val="en-US" w:eastAsia="zh-CN"/>
              </w:rPr>
            </w:pPr>
            <w:r>
              <w:rPr>
                <w:rFonts w:hint="eastAsia"/>
                <w:lang w:eastAsia="zh-CN"/>
              </w:rPr>
              <w:t>影响分析</w:t>
            </w:r>
          </w:p>
        </w:tc>
        <w:tc>
          <w:tcPr>
            <w:tcW w:w="3283" w:type="pct"/>
            <w:tcBorders>
              <w:tl2br w:val="nil"/>
              <w:tr2bl w:val="nil"/>
            </w:tcBorders>
            <w:vAlign w:val="center"/>
          </w:tcPr>
          <w:p w14:paraId="41FA3935">
            <w:pPr>
              <w:jc w:val="center"/>
              <w:rPr>
                <w:rFonts w:hint="eastAsia"/>
              </w:rPr>
            </w:pPr>
            <w:r>
              <w:rPr>
                <w:rFonts w:hint="eastAsia"/>
                <w:lang w:val="en-US" w:eastAsia="zh-CN"/>
              </w:rPr>
              <w:t>干排尾矿、除尘灰、尾矿、废机油、废机油桶、浮选药剂废包装、生活垃圾</w:t>
            </w:r>
          </w:p>
        </w:tc>
      </w:tr>
      <w:tr w14:paraId="5DD5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restart"/>
            <w:tcBorders>
              <w:tl2br w:val="nil"/>
              <w:tr2bl w:val="nil"/>
            </w:tcBorders>
            <w:vAlign w:val="center"/>
          </w:tcPr>
          <w:p w14:paraId="2AF5F8DE">
            <w:pPr>
              <w:jc w:val="center"/>
              <w:rPr>
                <w:rFonts w:hint="eastAsia" w:eastAsia="宋体"/>
                <w:lang w:eastAsia="zh-CN"/>
              </w:rPr>
            </w:pPr>
            <w:r>
              <w:rPr>
                <w:rFonts w:hint="eastAsia"/>
                <w:lang w:eastAsia="zh-CN"/>
              </w:rPr>
              <w:t>生态环境</w:t>
            </w:r>
          </w:p>
        </w:tc>
        <w:tc>
          <w:tcPr>
            <w:tcW w:w="984" w:type="pct"/>
            <w:tcBorders>
              <w:tl2br w:val="nil"/>
              <w:tr2bl w:val="nil"/>
            </w:tcBorders>
            <w:vAlign w:val="center"/>
          </w:tcPr>
          <w:p w14:paraId="6DF89847">
            <w:pPr>
              <w:jc w:val="center"/>
              <w:rPr>
                <w:rFonts w:hint="eastAsia"/>
                <w:lang w:eastAsia="zh-CN"/>
              </w:rPr>
            </w:pPr>
            <w:r>
              <w:rPr>
                <w:rFonts w:hint="eastAsia"/>
                <w:lang w:eastAsia="zh-CN"/>
              </w:rPr>
              <w:t>现状调查与分析</w:t>
            </w:r>
          </w:p>
        </w:tc>
        <w:tc>
          <w:tcPr>
            <w:tcW w:w="3283" w:type="pct"/>
            <w:tcBorders>
              <w:tl2br w:val="nil"/>
              <w:tr2bl w:val="nil"/>
            </w:tcBorders>
            <w:vAlign w:val="center"/>
          </w:tcPr>
          <w:p w14:paraId="1FA8A462">
            <w:pPr>
              <w:keepNext w:val="0"/>
              <w:keepLines w:val="0"/>
              <w:widowControl/>
              <w:suppressLineNumbers w:val="0"/>
              <w:jc w:val="center"/>
              <w:rPr>
                <w:rFonts w:hint="eastAsia" w:eastAsia="宋体"/>
                <w:lang w:eastAsia="zh-CN"/>
              </w:rPr>
            </w:pPr>
            <w:r>
              <w:rPr>
                <w:rFonts w:hint="eastAsia"/>
                <w:lang w:eastAsia="zh-CN"/>
              </w:rPr>
              <w:t>—</w:t>
            </w:r>
          </w:p>
        </w:tc>
      </w:tr>
      <w:tr w14:paraId="35CEC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5ABA079D">
            <w:pPr>
              <w:jc w:val="center"/>
            </w:pPr>
          </w:p>
        </w:tc>
        <w:tc>
          <w:tcPr>
            <w:tcW w:w="984" w:type="pct"/>
            <w:tcBorders>
              <w:tl2br w:val="nil"/>
              <w:tr2bl w:val="nil"/>
            </w:tcBorders>
            <w:vAlign w:val="center"/>
          </w:tcPr>
          <w:p w14:paraId="51400500">
            <w:pPr>
              <w:jc w:val="center"/>
              <w:rPr>
                <w:rFonts w:hint="eastAsia"/>
                <w:lang w:eastAsia="zh-CN"/>
              </w:rPr>
            </w:pPr>
            <w:r>
              <w:rPr>
                <w:rFonts w:hint="eastAsia"/>
                <w:lang w:eastAsia="zh-CN"/>
              </w:rPr>
              <w:t>影响分析</w:t>
            </w:r>
          </w:p>
        </w:tc>
        <w:tc>
          <w:tcPr>
            <w:tcW w:w="3283" w:type="pct"/>
            <w:tcBorders>
              <w:tl2br w:val="nil"/>
              <w:tr2bl w:val="nil"/>
            </w:tcBorders>
            <w:vAlign w:val="center"/>
          </w:tcPr>
          <w:p w14:paraId="3FCF59E2">
            <w:pPr>
              <w:jc w:val="center"/>
              <w:rPr>
                <w:rFonts w:hint="eastAsia"/>
              </w:rPr>
            </w:pPr>
            <w:r>
              <w:rPr>
                <w:rFonts w:hint="eastAsia"/>
                <w:lang w:eastAsia="zh-CN"/>
              </w:rPr>
              <w:t>—</w:t>
            </w:r>
          </w:p>
        </w:tc>
      </w:tr>
      <w:tr w14:paraId="1A12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restart"/>
            <w:tcBorders>
              <w:tl2br w:val="nil"/>
              <w:tr2bl w:val="nil"/>
            </w:tcBorders>
            <w:vAlign w:val="center"/>
          </w:tcPr>
          <w:p w14:paraId="18CE83B1">
            <w:pPr>
              <w:jc w:val="center"/>
              <w:rPr>
                <w:rFonts w:hint="default"/>
                <w:lang w:val="en-US" w:eastAsia="zh-CN"/>
              </w:rPr>
            </w:pPr>
            <w:r>
              <w:rPr>
                <w:rFonts w:hint="eastAsia"/>
                <w:lang w:val="en-US" w:eastAsia="zh-CN"/>
              </w:rPr>
              <w:t>环境风险</w:t>
            </w:r>
          </w:p>
        </w:tc>
        <w:tc>
          <w:tcPr>
            <w:tcW w:w="984" w:type="pct"/>
            <w:tcBorders>
              <w:tl2br w:val="nil"/>
              <w:tr2bl w:val="nil"/>
            </w:tcBorders>
            <w:vAlign w:val="center"/>
          </w:tcPr>
          <w:p w14:paraId="600851BD">
            <w:pPr>
              <w:jc w:val="center"/>
              <w:rPr>
                <w:rFonts w:hint="default"/>
                <w:lang w:val="en-US" w:eastAsia="zh-CN"/>
              </w:rPr>
            </w:pPr>
            <w:r>
              <w:rPr>
                <w:rFonts w:hint="eastAsia"/>
                <w:lang w:val="en-US" w:eastAsia="zh-CN"/>
              </w:rPr>
              <w:t>风险识别</w:t>
            </w:r>
          </w:p>
        </w:tc>
        <w:tc>
          <w:tcPr>
            <w:tcW w:w="3283" w:type="pct"/>
            <w:vMerge w:val="restart"/>
            <w:tcBorders>
              <w:tl2br w:val="nil"/>
              <w:tr2bl w:val="nil"/>
            </w:tcBorders>
            <w:vAlign w:val="center"/>
          </w:tcPr>
          <w:p w14:paraId="705B6BD3">
            <w:pPr>
              <w:keepNext w:val="0"/>
              <w:keepLines w:val="0"/>
              <w:widowControl/>
              <w:suppressLineNumbers w:val="0"/>
              <w:jc w:val="center"/>
              <w:rPr>
                <w:rFonts w:hint="eastAsia"/>
                <w:lang w:eastAsia="zh-CN"/>
              </w:rPr>
            </w:pPr>
            <w:r>
              <w:rPr>
                <w:rFonts w:hint="eastAsia"/>
                <w:lang w:val="en-US" w:eastAsia="zh-CN"/>
              </w:rPr>
              <w:t>浮选药剂、浮选药剂废包装、废机油、废油桶</w:t>
            </w:r>
          </w:p>
        </w:tc>
      </w:tr>
      <w:tr w14:paraId="70B0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trPr>
        <w:tc>
          <w:tcPr>
            <w:tcW w:w="731" w:type="pct"/>
            <w:vMerge w:val="continue"/>
            <w:tcBorders>
              <w:tl2br w:val="nil"/>
              <w:tr2bl w:val="nil"/>
            </w:tcBorders>
            <w:vAlign w:val="center"/>
          </w:tcPr>
          <w:p w14:paraId="546A1C03">
            <w:pPr>
              <w:jc w:val="center"/>
            </w:pPr>
          </w:p>
        </w:tc>
        <w:tc>
          <w:tcPr>
            <w:tcW w:w="984" w:type="pct"/>
            <w:tcBorders>
              <w:tl2br w:val="nil"/>
              <w:tr2bl w:val="nil"/>
            </w:tcBorders>
            <w:vAlign w:val="center"/>
          </w:tcPr>
          <w:p w14:paraId="26DF1F7A">
            <w:pPr>
              <w:jc w:val="center"/>
              <w:rPr>
                <w:rFonts w:hint="eastAsia" w:eastAsia="宋体"/>
                <w:lang w:eastAsia="zh-CN"/>
              </w:rPr>
            </w:pPr>
            <w:r>
              <w:rPr>
                <w:rFonts w:hint="eastAsia"/>
                <w:lang w:eastAsia="zh-CN"/>
              </w:rPr>
              <w:t>风险评价</w:t>
            </w:r>
          </w:p>
        </w:tc>
        <w:tc>
          <w:tcPr>
            <w:tcW w:w="3283" w:type="pct"/>
            <w:vMerge w:val="continue"/>
            <w:tcBorders>
              <w:tl2br w:val="nil"/>
              <w:tr2bl w:val="nil"/>
            </w:tcBorders>
            <w:vAlign w:val="center"/>
          </w:tcPr>
          <w:p w14:paraId="2A4D10E2">
            <w:pPr>
              <w:keepNext w:val="0"/>
              <w:keepLines w:val="0"/>
              <w:widowControl/>
              <w:suppressLineNumbers w:val="0"/>
              <w:jc w:val="center"/>
            </w:pPr>
          </w:p>
        </w:tc>
      </w:tr>
    </w:tbl>
    <w:p w14:paraId="1A01AE72">
      <w:pPr>
        <w:pStyle w:val="5"/>
        <w:bidi w:val="0"/>
        <w:rPr>
          <w:rFonts w:hint="eastAsia"/>
          <w:lang w:val="en-US" w:eastAsia="zh-CN"/>
        </w:rPr>
      </w:pPr>
      <w:r>
        <w:rPr>
          <w:rFonts w:hint="eastAsia"/>
          <w:lang w:val="en-US" w:eastAsia="zh-CN"/>
        </w:rPr>
        <w:t>2.3.3评价标准和功能区划</w:t>
      </w:r>
    </w:p>
    <w:p w14:paraId="625D0F39">
      <w:pPr>
        <w:pStyle w:val="6"/>
        <w:bidi w:val="0"/>
        <w:rPr>
          <w:rFonts w:hint="default" w:ascii="Times New Roman" w:hAnsi="Times New Roman" w:cs="Times New Roman" w:eastAsiaTheme="minorEastAsia"/>
        </w:rPr>
      </w:pP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rPr>
        <w:t>.3.</w:t>
      </w:r>
      <w:r>
        <w:rPr>
          <w:rFonts w:hint="default" w:ascii="Times New Roman" w:hAnsi="Times New Roman" w:cs="Times New Roman" w:eastAsiaTheme="minorEastAsia"/>
          <w:lang w:val="en-US" w:eastAsia="zh-CN"/>
        </w:rPr>
        <w:t>3</w:t>
      </w:r>
      <w:r>
        <w:rPr>
          <w:rFonts w:hint="default" w:ascii="Times New Roman" w:hAnsi="Times New Roman" w:cs="Times New Roman" w:eastAsiaTheme="minorEastAsia"/>
        </w:rPr>
        <w:t>.1环境质量标准</w:t>
      </w:r>
    </w:p>
    <w:p w14:paraId="6EE4B50A">
      <w:pPr>
        <w:pStyle w:val="127"/>
        <w:spacing w:line="360" w:lineRule="auto"/>
        <w:ind w:left="0" w:leftChars="0" w:firstLine="0" w:firstLineChars="0"/>
        <w:rPr>
          <w:b/>
          <w:bCs/>
          <w:color w:val="auto"/>
          <w:kern w:val="2"/>
          <w:sz w:val="24"/>
          <w:szCs w:val="24"/>
        </w:rPr>
      </w:pPr>
      <w:r>
        <w:rPr>
          <w:rFonts w:hint="eastAsia"/>
          <w:b/>
          <w:bCs/>
          <w:color w:val="auto"/>
          <w:kern w:val="2"/>
          <w:sz w:val="24"/>
          <w:szCs w:val="24"/>
          <w:lang w:val="en-US" w:eastAsia="zh-CN"/>
        </w:rPr>
        <w:t>1、</w:t>
      </w:r>
      <w:r>
        <w:rPr>
          <w:b/>
          <w:bCs/>
          <w:color w:val="auto"/>
          <w:kern w:val="2"/>
          <w:sz w:val="24"/>
          <w:szCs w:val="24"/>
        </w:rPr>
        <w:t>环境空气</w:t>
      </w:r>
    </w:p>
    <w:p w14:paraId="220624C2">
      <w:pPr>
        <w:pStyle w:val="127"/>
        <w:spacing w:line="360" w:lineRule="auto"/>
        <w:ind w:firstLine="480" w:firstLineChars="200"/>
        <w:rPr>
          <w:color w:val="auto"/>
          <w:kern w:val="2"/>
        </w:rPr>
      </w:pPr>
      <w:r>
        <w:rPr>
          <w:rFonts w:hint="eastAsia"/>
          <w:color w:val="auto"/>
          <w:kern w:val="2"/>
          <w:lang w:val="en-US" w:eastAsia="zh-CN"/>
        </w:rPr>
        <w:t>本项目</w:t>
      </w:r>
      <w:r>
        <w:rPr>
          <w:color w:val="auto"/>
          <w:kern w:val="2"/>
        </w:rPr>
        <w:t>评价区属于二类功能区，区内环境空气质量标准执行《环境空气质量标准》</w:t>
      </w:r>
      <w:r>
        <w:rPr>
          <w:rFonts w:hint="eastAsia"/>
          <w:color w:val="auto"/>
          <w:kern w:val="2"/>
        </w:rPr>
        <w:t>（</w:t>
      </w:r>
      <w:r>
        <w:rPr>
          <w:color w:val="auto"/>
          <w:kern w:val="2"/>
        </w:rPr>
        <w:t>GB3095－2012</w:t>
      </w:r>
      <w:r>
        <w:rPr>
          <w:rFonts w:hint="eastAsia"/>
          <w:color w:val="auto"/>
          <w:kern w:val="2"/>
        </w:rPr>
        <w:t>）</w:t>
      </w:r>
      <w:r>
        <w:rPr>
          <w:color w:val="auto"/>
          <w:kern w:val="2"/>
        </w:rPr>
        <w:t>中的二级标准，</w:t>
      </w:r>
      <w:r>
        <w:rPr>
          <w:rFonts w:hint="eastAsia"/>
          <w:color w:val="auto"/>
          <w:kern w:val="2"/>
          <w:lang w:val="en-US" w:eastAsia="zh-CN"/>
        </w:rPr>
        <w:t>具体标准限值见下表</w:t>
      </w:r>
      <w:r>
        <w:rPr>
          <w:color w:val="auto"/>
          <w:kern w:val="2"/>
        </w:rPr>
        <w:t>。</w:t>
      </w:r>
    </w:p>
    <w:p w14:paraId="7717132C">
      <w:pPr>
        <w:pStyle w:val="59"/>
        <w:tabs>
          <w:tab w:val="left" w:pos="720"/>
        </w:tabs>
        <w:spacing w:after="0" w:line="360" w:lineRule="auto"/>
        <w:ind w:left="0" w:leftChars="0"/>
        <w:jc w:val="center"/>
        <w:rPr>
          <w:rFonts w:hint="eastAsia"/>
          <w:b/>
          <w:color w:val="auto"/>
          <w:sz w:val="21"/>
          <w:szCs w:val="21"/>
          <w:lang w:val="en-US" w:eastAsia="zh-CN"/>
        </w:rPr>
      </w:pPr>
      <w:r>
        <w:rPr>
          <w:rFonts w:hint="eastAsia"/>
          <w:b/>
          <w:color w:val="auto"/>
          <w:sz w:val="24"/>
          <w:szCs w:val="24"/>
          <w:lang w:val="en-US" w:eastAsia="zh-CN"/>
        </w:rPr>
        <w:t>表2.3-3    环境空气质量标准（GB3095－2012二级标准）</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835"/>
        <w:gridCol w:w="1148"/>
        <w:gridCol w:w="1188"/>
        <w:gridCol w:w="3053"/>
      </w:tblGrid>
      <w:tr w14:paraId="09D0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04" w:type="dxa"/>
            <w:vAlign w:val="center"/>
          </w:tcPr>
          <w:p w14:paraId="3EE70CB7">
            <w:pPr>
              <w:kinsoku w:val="0"/>
              <w:overflowPunct w:val="0"/>
              <w:autoSpaceDE w:val="0"/>
              <w:autoSpaceDN w:val="0"/>
              <w:adjustRightInd w:val="0"/>
              <w:snapToGrid w:val="0"/>
              <w:jc w:val="center"/>
              <w:rPr>
                <w:color w:val="auto"/>
                <w:kern w:val="0"/>
                <w:szCs w:val="21"/>
              </w:rPr>
            </w:pPr>
            <w:r>
              <w:rPr>
                <w:b/>
                <w:bCs/>
                <w:color w:val="auto"/>
                <w:kern w:val="0"/>
                <w:szCs w:val="21"/>
              </w:rPr>
              <w:t>污染物名称</w:t>
            </w:r>
          </w:p>
        </w:tc>
        <w:tc>
          <w:tcPr>
            <w:tcW w:w="1835" w:type="dxa"/>
            <w:vAlign w:val="center"/>
          </w:tcPr>
          <w:p w14:paraId="7B17EFFE">
            <w:pPr>
              <w:kinsoku w:val="0"/>
              <w:overflowPunct w:val="0"/>
              <w:autoSpaceDE w:val="0"/>
              <w:autoSpaceDN w:val="0"/>
              <w:adjustRightInd w:val="0"/>
              <w:snapToGrid w:val="0"/>
              <w:jc w:val="center"/>
              <w:rPr>
                <w:color w:val="auto"/>
                <w:kern w:val="0"/>
                <w:szCs w:val="21"/>
              </w:rPr>
            </w:pPr>
            <w:r>
              <w:rPr>
                <w:b/>
                <w:bCs/>
                <w:color w:val="auto"/>
                <w:spacing w:val="1"/>
                <w:kern w:val="0"/>
                <w:szCs w:val="21"/>
              </w:rPr>
              <w:t>取值时间</w:t>
            </w:r>
          </w:p>
        </w:tc>
        <w:tc>
          <w:tcPr>
            <w:tcW w:w="1148" w:type="dxa"/>
            <w:vAlign w:val="center"/>
          </w:tcPr>
          <w:p w14:paraId="18AD9FD6">
            <w:pPr>
              <w:kinsoku w:val="0"/>
              <w:overflowPunct w:val="0"/>
              <w:autoSpaceDE w:val="0"/>
              <w:autoSpaceDN w:val="0"/>
              <w:adjustRightInd w:val="0"/>
              <w:snapToGrid w:val="0"/>
              <w:jc w:val="center"/>
              <w:rPr>
                <w:color w:val="auto"/>
                <w:kern w:val="0"/>
                <w:szCs w:val="21"/>
              </w:rPr>
            </w:pPr>
            <w:r>
              <w:rPr>
                <w:b/>
                <w:bCs/>
                <w:color w:val="auto"/>
                <w:spacing w:val="1"/>
                <w:kern w:val="0"/>
                <w:szCs w:val="21"/>
              </w:rPr>
              <w:t>浓度限值</w:t>
            </w:r>
          </w:p>
        </w:tc>
        <w:tc>
          <w:tcPr>
            <w:tcW w:w="1188" w:type="dxa"/>
            <w:vAlign w:val="center"/>
          </w:tcPr>
          <w:p w14:paraId="6FA4BDD1">
            <w:pPr>
              <w:kinsoku w:val="0"/>
              <w:overflowPunct w:val="0"/>
              <w:autoSpaceDE w:val="0"/>
              <w:autoSpaceDN w:val="0"/>
              <w:adjustRightInd w:val="0"/>
              <w:snapToGrid w:val="0"/>
              <w:jc w:val="center"/>
              <w:rPr>
                <w:color w:val="auto"/>
                <w:kern w:val="0"/>
                <w:szCs w:val="21"/>
              </w:rPr>
            </w:pPr>
            <w:r>
              <w:rPr>
                <w:b/>
                <w:bCs/>
                <w:color w:val="auto"/>
                <w:spacing w:val="1"/>
                <w:kern w:val="0"/>
                <w:szCs w:val="21"/>
              </w:rPr>
              <w:t>单位</w:t>
            </w:r>
          </w:p>
        </w:tc>
        <w:tc>
          <w:tcPr>
            <w:tcW w:w="3053" w:type="dxa"/>
            <w:vAlign w:val="center"/>
          </w:tcPr>
          <w:p w14:paraId="0EAEB80C">
            <w:pPr>
              <w:kinsoku w:val="0"/>
              <w:overflowPunct w:val="0"/>
              <w:autoSpaceDE w:val="0"/>
              <w:autoSpaceDN w:val="0"/>
              <w:adjustRightInd w:val="0"/>
              <w:snapToGrid w:val="0"/>
              <w:jc w:val="center"/>
              <w:rPr>
                <w:color w:val="auto"/>
                <w:kern w:val="0"/>
                <w:szCs w:val="21"/>
              </w:rPr>
            </w:pPr>
            <w:r>
              <w:rPr>
                <w:b/>
                <w:bCs/>
                <w:color w:val="auto"/>
                <w:spacing w:val="1"/>
                <w:kern w:val="0"/>
                <w:szCs w:val="21"/>
              </w:rPr>
              <w:t>标准来源</w:t>
            </w:r>
          </w:p>
        </w:tc>
      </w:tr>
      <w:tr w14:paraId="646EE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55170E23">
            <w:pPr>
              <w:kinsoku w:val="0"/>
              <w:overflowPunct w:val="0"/>
              <w:autoSpaceDE w:val="0"/>
              <w:autoSpaceDN w:val="0"/>
              <w:adjustRightInd w:val="0"/>
              <w:snapToGrid w:val="0"/>
              <w:jc w:val="center"/>
              <w:rPr>
                <w:color w:val="auto"/>
                <w:kern w:val="0"/>
                <w:szCs w:val="21"/>
                <w:highlight w:val="yellow"/>
              </w:rPr>
            </w:pPr>
            <w:r>
              <w:rPr>
                <w:color w:val="auto"/>
                <w:kern w:val="0"/>
                <w:szCs w:val="21"/>
              </w:rPr>
              <w:t>PM</w:t>
            </w:r>
            <w:r>
              <w:rPr>
                <w:color w:val="auto"/>
                <w:kern w:val="0"/>
                <w:position w:val="-2"/>
                <w:szCs w:val="21"/>
                <w:vertAlign w:val="subscript"/>
              </w:rPr>
              <w:t>10</w:t>
            </w:r>
          </w:p>
        </w:tc>
        <w:tc>
          <w:tcPr>
            <w:tcW w:w="1835" w:type="dxa"/>
            <w:vAlign w:val="center"/>
          </w:tcPr>
          <w:p w14:paraId="44808EC8">
            <w:pPr>
              <w:kinsoku w:val="0"/>
              <w:overflowPunct w:val="0"/>
              <w:autoSpaceDE w:val="0"/>
              <w:autoSpaceDN w:val="0"/>
              <w:adjustRightInd w:val="0"/>
              <w:snapToGrid w:val="0"/>
              <w:jc w:val="center"/>
              <w:rPr>
                <w:color w:val="auto"/>
                <w:kern w:val="0"/>
                <w:szCs w:val="21"/>
              </w:rPr>
            </w:pPr>
            <w:r>
              <w:rPr>
                <w:color w:val="auto"/>
                <w:kern w:val="0"/>
                <w:szCs w:val="21"/>
              </w:rPr>
              <w:t>年平均</w:t>
            </w:r>
          </w:p>
        </w:tc>
        <w:tc>
          <w:tcPr>
            <w:tcW w:w="1148" w:type="dxa"/>
            <w:vAlign w:val="center"/>
          </w:tcPr>
          <w:p w14:paraId="218C075C">
            <w:pPr>
              <w:kinsoku w:val="0"/>
              <w:overflowPunct w:val="0"/>
              <w:autoSpaceDE w:val="0"/>
              <w:autoSpaceDN w:val="0"/>
              <w:adjustRightInd w:val="0"/>
              <w:snapToGrid w:val="0"/>
              <w:jc w:val="center"/>
              <w:rPr>
                <w:color w:val="auto"/>
                <w:kern w:val="0"/>
                <w:szCs w:val="21"/>
              </w:rPr>
            </w:pPr>
            <w:r>
              <w:rPr>
                <w:color w:val="auto"/>
                <w:kern w:val="0"/>
                <w:szCs w:val="21"/>
              </w:rPr>
              <w:t>70</w:t>
            </w:r>
          </w:p>
        </w:tc>
        <w:tc>
          <w:tcPr>
            <w:tcW w:w="1188" w:type="dxa"/>
            <w:vAlign w:val="center"/>
          </w:tcPr>
          <w:p w14:paraId="25B8E273">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restart"/>
            <w:vAlign w:val="center"/>
          </w:tcPr>
          <w:p w14:paraId="4FC4B784">
            <w:pPr>
              <w:kinsoku w:val="0"/>
              <w:overflowPunct w:val="0"/>
              <w:autoSpaceDE w:val="0"/>
              <w:autoSpaceDN w:val="0"/>
              <w:adjustRightInd w:val="0"/>
              <w:snapToGrid w:val="0"/>
              <w:jc w:val="center"/>
              <w:rPr>
                <w:color w:val="auto"/>
                <w:kern w:val="0"/>
                <w:szCs w:val="21"/>
              </w:rPr>
            </w:pPr>
            <w:r>
              <w:rPr>
                <w:color w:val="auto"/>
                <w:kern w:val="0"/>
                <w:szCs w:val="21"/>
              </w:rPr>
              <w:t>《环境空气质量标准》</w:t>
            </w:r>
          </w:p>
          <w:p w14:paraId="355AC888">
            <w:pPr>
              <w:kinsoku w:val="0"/>
              <w:overflowPunct w:val="0"/>
              <w:autoSpaceDE w:val="0"/>
              <w:autoSpaceDN w:val="0"/>
              <w:adjustRightInd w:val="0"/>
              <w:snapToGrid w:val="0"/>
              <w:jc w:val="center"/>
              <w:rPr>
                <w:b/>
                <w:bCs/>
                <w:color w:val="auto"/>
                <w:spacing w:val="1"/>
                <w:kern w:val="0"/>
                <w:szCs w:val="21"/>
              </w:rPr>
            </w:pPr>
            <w:r>
              <w:rPr>
                <w:color w:val="auto"/>
                <w:spacing w:val="-1"/>
                <w:kern w:val="0"/>
                <w:szCs w:val="21"/>
              </w:rPr>
              <w:t>(GB3095-2012)二级标准</w:t>
            </w:r>
          </w:p>
        </w:tc>
      </w:tr>
      <w:tr w14:paraId="73032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56A2188B">
            <w:pPr>
              <w:widowControl/>
              <w:jc w:val="left"/>
              <w:rPr>
                <w:color w:val="auto"/>
                <w:kern w:val="0"/>
                <w:szCs w:val="21"/>
                <w:highlight w:val="yellow"/>
              </w:rPr>
            </w:pPr>
          </w:p>
        </w:tc>
        <w:tc>
          <w:tcPr>
            <w:tcW w:w="1835" w:type="dxa"/>
            <w:vAlign w:val="center"/>
          </w:tcPr>
          <w:p w14:paraId="2DB93783">
            <w:pPr>
              <w:kinsoku w:val="0"/>
              <w:overflowPunct w:val="0"/>
              <w:autoSpaceDE w:val="0"/>
              <w:autoSpaceDN w:val="0"/>
              <w:adjustRightInd w:val="0"/>
              <w:snapToGrid w:val="0"/>
              <w:jc w:val="center"/>
              <w:rPr>
                <w:color w:val="auto"/>
                <w:kern w:val="0"/>
                <w:szCs w:val="21"/>
              </w:rPr>
            </w:pPr>
            <w:r>
              <w:rPr>
                <w:color w:val="auto"/>
                <w:kern w:val="0"/>
                <w:szCs w:val="21"/>
              </w:rPr>
              <w:t>24小时平均</w:t>
            </w:r>
          </w:p>
        </w:tc>
        <w:tc>
          <w:tcPr>
            <w:tcW w:w="1148" w:type="dxa"/>
            <w:vAlign w:val="center"/>
          </w:tcPr>
          <w:p w14:paraId="6239A5CC">
            <w:pPr>
              <w:kinsoku w:val="0"/>
              <w:overflowPunct w:val="0"/>
              <w:autoSpaceDE w:val="0"/>
              <w:autoSpaceDN w:val="0"/>
              <w:adjustRightInd w:val="0"/>
              <w:snapToGrid w:val="0"/>
              <w:jc w:val="center"/>
              <w:rPr>
                <w:color w:val="auto"/>
                <w:kern w:val="0"/>
                <w:szCs w:val="21"/>
              </w:rPr>
            </w:pPr>
            <w:r>
              <w:rPr>
                <w:color w:val="auto"/>
                <w:kern w:val="0"/>
                <w:szCs w:val="21"/>
              </w:rPr>
              <w:t>150</w:t>
            </w:r>
          </w:p>
        </w:tc>
        <w:tc>
          <w:tcPr>
            <w:tcW w:w="1188" w:type="dxa"/>
            <w:vAlign w:val="center"/>
          </w:tcPr>
          <w:p w14:paraId="2DAAB476">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2C624FC5">
            <w:pPr>
              <w:widowControl/>
              <w:jc w:val="left"/>
              <w:rPr>
                <w:b/>
                <w:bCs/>
                <w:color w:val="auto"/>
                <w:spacing w:val="1"/>
                <w:kern w:val="0"/>
                <w:szCs w:val="21"/>
              </w:rPr>
            </w:pPr>
          </w:p>
        </w:tc>
      </w:tr>
      <w:tr w14:paraId="2FDE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1A83423E">
            <w:pPr>
              <w:kinsoku w:val="0"/>
              <w:overflowPunct w:val="0"/>
              <w:autoSpaceDE w:val="0"/>
              <w:autoSpaceDN w:val="0"/>
              <w:adjustRightInd w:val="0"/>
              <w:snapToGrid w:val="0"/>
              <w:jc w:val="center"/>
              <w:rPr>
                <w:color w:val="auto"/>
                <w:kern w:val="0"/>
                <w:szCs w:val="21"/>
              </w:rPr>
            </w:pPr>
            <w:r>
              <w:rPr>
                <w:color w:val="auto"/>
                <w:kern w:val="0"/>
                <w:szCs w:val="21"/>
              </w:rPr>
              <w:t>PM</w:t>
            </w:r>
            <w:r>
              <w:rPr>
                <w:color w:val="auto"/>
                <w:kern w:val="0"/>
                <w:position w:val="-2"/>
                <w:szCs w:val="21"/>
                <w:vertAlign w:val="subscript"/>
              </w:rPr>
              <w:t>2.5</w:t>
            </w:r>
          </w:p>
        </w:tc>
        <w:tc>
          <w:tcPr>
            <w:tcW w:w="1835" w:type="dxa"/>
            <w:vAlign w:val="center"/>
          </w:tcPr>
          <w:p w14:paraId="5F300EBE">
            <w:pPr>
              <w:kinsoku w:val="0"/>
              <w:overflowPunct w:val="0"/>
              <w:autoSpaceDE w:val="0"/>
              <w:autoSpaceDN w:val="0"/>
              <w:adjustRightInd w:val="0"/>
              <w:snapToGrid w:val="0"/>
              <w:jc w:val="center"/>
              <w:rPr>
                <w:color w:val="auto"/>
                <w:kern w:val="0"/>
                <w:szCs w:val="21"/>
              </w:rPr>
            </w:pPr>
            <w:r>
              <w:rPr>
                <w:color w:val="auto"/>
                <w:kern w:val="0"/>
                <w:szCs w:val="21"/>
              </w:rPr>
              <w:t>年平均</w:t>
            </w:r>
          </w:p>
        </w:tc>
        <w:tc>
          <w:tcPr>
            <w:tcW w:w="1148" w:type="dxa"/>
            <w:vAlign w:val="center"/>
          </w:tcPr>
          <w:p w14:paraId="10A64EDC">
            <w:pPr>
              <w:kinsoku w:val="0"/>
              <w:overflowPunct w:val="0"/>
              <w:autoSpaceDE w:val="0"/>
              <w:autoSpaceDN w:val="0"/>
              <w:adjustRightInd w:val="0"/>
              <w:snapToGrid w:val="0"/>
              <w:jc w:val="center"/>
              <w:rPr>
                <w:color w:val="auto"/>
                <w:kern w:val="0"/>
                <w:szCs w:val="21"/>
              </w:rPr>
            </w:pPr>
            <w:r>
              <w:rPr>
                <w:color w:val="auto"/>
                <w:kern w:val="0"/>
                <w:szCs w:val="21"/>
              </w:rPr>
              <w:t>35</w:t>
            </w:r>
          </w:p>
        </w:tc>
        <w:tc>
          <w:tcPr>
            <w:tcW w:w="1188" w:type="dxa"/>
            <w:vAlign w:val="center"/>
          </w:tcPr>
          <w:p w14:paraId="3C8A2954">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43142AE9">
            <w:pPr>
              <w:widowControl/>
              <w:jc w:val="left"/>
              <w:rPr>
                <w:b/>
                <w:bCs/>
                <w:color w:val="auto"/>
                <w:spacing w:val="1"/>
                <w:kern w:val="0"/>
                <w:szCs w:val="21"/>
              </w:rPr>
            </w:pPr>
          </w:p>
        </w:tc>
      </w:tr>
      <w:tr w14:paraId="5743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6B278DFB">
            <w:pPr>
              <w:widowControl/>
              <w:jc w:val="left"/>
              <w:rPr>
                <w:color w:val="auto"/>
                <w:kern w:val="0"/>
                <w:szCs w:val="21"/>
              </w:rPr>
            </w:pPr>
          </w:p>
        </w:tc>
        <w:tc>
          <w:tcPr>
            <w:tcW w:w="1835" w:type="dxa"/>
            <w:vAlign w:val="center"/>
          </w:tcPr>
          <w:p w14:paraId="693F3FFF">
            <w:pPr>
              <w:kinsoku w:val="0"/>
              <w:overflowPunct w:val="0"/>
              <w:autoSpaceDE w:val="0"/>
              <w:autoSpaceDN w:val="0"/>
              <w:adjustRightInd w:val="0"/>
              <w:snapToGrid w:val="0"/>
              <w:jc w:val="center"/>
              <w:rPr>
                <w:color w:val="auto"/>
                <w:kern w:val="0"/>
                <w:szCs w:val="21"/>
              </w:rPr>
            </w:pPr>
            <w:r>
              <w:rPr>
                <w:color w:val="auto"/>
                <w:kern w:val="0"/>
                <w:szCs w:val="21"/>
              </w:rPr>
              <w:t>24小时平均</w:t>
            </w:r>
          </w:p>
        </w:tc>
        <w:tc>
          <w:tcPr>
            <w:tcW w:w="1148" w:type="dxa"/>
            <w:vAlign w:val="center"/>
          </w:tcPr>
          <w:p w14:paraId="4D840AD8">
            <w:pPr>
              <w:kinsoku w:val="0"/>
              <w:overflowPunct w:val="0"/>
              <w:autoSpaceDE w:val="0"/>
              <w:autoSpaceDN w:val="0"/>
              <w:adjustRightInd w:val="0"/>
              <w:snapToGrid w:val="0"/>
              <w:jc w:val="center"/>
              <w:rPr>
                <w:color w:val="auto"/>
                <w:kern w:val="0"/>
                <w:szCs w:val="21"/>
              </w:rPr>
            </w:pPr>
            <w:r>
              <w:rPr>
                <w:color w:val="auto"/>
                <w:kern w:val="0"/>
                <w:szCs w:val="21"/>
              </w:rPr>
              <w:t>75</w:t>
            </w:r>
          </w:p>
        </w:tc>
        <w:tc>
          <w:tcPr>
            <w:tcW w:w="1188" w:type="dxa"/>
            <w:vAlign w:val="center"/>
          </w:tcPr>
          <w:p w14:paraId="7036A757">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775EC463">
            <w:pPr>
              <w:widowControl/>
              <w:jc w:val="left"/>
              <w:rPr>
                <w:b/>
                <w:bCs/>
                <w:color w:val="auto"/>
                <w:spacing w:val="1"/>
                <w:kern w:val="0"/>
                <w:szCs w:val="21"/>
              </w:rPr>
            </w:pPr>
          </w:p>
        </w:tc>
      </w:tr>
      <w:tr w14:paraId="586C0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05CC9EAF">
            <w:pPr>
              <w:kinsoku w:val="0"/>
              <w:overflowPunct w:val="0"/>
              <w:autoSpaceDE w:val="0"/>
              <w:autoSpaceDN w:val="0"/>
              <w:adjustRightInd w:val="0"/>
              <w:snapToGrid w:val="0"/>
              <w:jc w:val="center"/>
              <w:rPr>
                <w:color w:val="auto"/>
                <w:kern w:val="0"/>
                <w:szCs w:val="21"/>
              </w:rPr>
            </w:pPr>
            <w:r>
              <w:rPr>
                <w:color w:val="auto"/>
                <w:kern w:val="0"/>
                <w:position w:val="1"/>
                <w:szCs w:val="21"/>
              </w:rPr>
              <w:t>SO</w:t>
            </w:r>
            <w:r>
              <w:rPr>
                <w:color w:val="auto"/>
                <w:kern w:val="0"/>
                <w:szCs w:val="21"/>
                <w:vertAlign w:val="subscript"/>
              </w:rPr>
              <w:t>2</w:t>
            </w:r>
          </w:p>
        </w:tc>
        <w:tc>
          <w:tcPr>
            <w:tcW w:w="1835" w:type="dxa"/>
            <w:vAlign w:val="center"/>
          </w:tcPr>
          <w:p w14:paraId="3C82F696">
            <w:pPr>
              <w:kinsoku w:val="0"/>
              <w:overflowPunct w:val="0"/>
              <w:autoSpaceDE w:val="0"/>
              <w:autoSpaceDN w:val="0"/>
              <w:adjustRightInd w:val="0"/>
              <w:snapToGrid w:val="0"/>
              <w:jc w:val="center"/>
              <w:rPr>
                <w:color w:val="auto"/>
                <w:kern w:val="0"/>
                <w:szCs w:val="21"/>
              </w:rPr>
            </w:pPr>
            <w:r>
              <w:rPr>
                <w:color w:val="auto"/>
                <w:kern w:val="0"/>
                <w:szCs w:val="21"/>
              </w:rPr>
              <w:t>年平均</w:t>
            </w:r>
          </w:p>
        </w:tc>
        <w:tc>
          <w:tcPr>
            <w:tcW w:w="1148" w:type="dxa"/>
            <w:vAlign w:val="center"/>
          </w:tcPr>
          <w:p w14:paraId="414229C5">
            <w:pPr>
              <w:kinsoku w:val="0"/>
              <w:overflowPunct w:val="0"/>
              <w:autoSpaceDE w:val="0"/>
              <w:autoSpaceDN w:val="0"/>
              <w:adjustRightInd w:val="0"/>
              <w:snapToGrid w:val="0"/>
              <w:jc w:val="center"/>
              <w:rPr>
                <w:color w:val="auto"/>
                <w:kern w:val="0"/>
                <w:szCs w:val="21"/>
              </w:rPr>
            </w:pPr>
            <w:r>
              <w:rPr>
                <w:color w:val="auto"/>
                <w:kern w:val="0"/>
                <w:szCs w:val="21"/>
              </w:rPr>
              <w:t>60</w:t>
            </w:r>
          </w:p>
        </w:tc>
        <w:tc>
          <w:tcPr>
            <w:tcW w:w="1188" w:type="dxa"/>
            <w:vAlign w:val="center"/>
          </w:tcPr>
          <w:p w14:paraId="2C004154">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7CFC8545">
            <w:pPr>
              <w:widowControl/>
              <w:jc w:val="left"/>
              <w:rPr>
                <w:b/>
                <w:bCs/>
                <w:color w:val="auto"/>
                <w:spacing w:val="1"/>
                <w:kern w:val="0"/>
                <w:szCs w:val="21"/>
              </w:rPr>
            </w:pPr>
          </w:p>
        </w:tc>
      </w:tr>
      <w:tr w14:paraId="1B803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0C691722">
            <w:pPr>
              <w:widowControl/>
              <w:jc w:val="left"/>
              <w:rPr>
                <w:color w:val="auto"/>
                <w:kern w:val="0"/>
                <w:szCs w:val="21"/>
              </w:rPr>
            </w:pPr>
          </w:p>
        </w:tc>
        <w:tc>
          <w:tcPr>
            <w:tcW w:w="1835" w:type="dxa"/>
            <w:vAlign w:val="center"/>
          </w:tcPr>
          <w:p w14:paraId="0242BEE8">
            <w:pPr>
              <w:kinsoku w:val="0"/>
              <w:overflowPunct w:val="0"/>
              <w:autoSpaceDE w:val="0"/>
              <w:autoSpaceDN w:val="0"/>
              <w:adjustRightInd w:val="0"/>
              <w:snapToGrid w:val="0"/>
              <w:jc w:val="center"/>
              <w:rPr>
                <w:color w:val="auto"/>
                <w:kern w:val="0"/>
                <w:szCs w:val="21"/>
              </w:rPr>
            </w:pPr>
            <w:r>
              <w:rPr>
                <w:color w:val="auto"/>
                <w:kern w:val="0"/>
                <w:szCs w:val="21"/>
              </w:rPr>
              <w:t>24小时平均</w:t>
            </w:r>
          </w:p>
        </w:tc>
        <w:tc>
          <w:tcPr>
            <w:tcW w:w="1148" w:type="dxa"/>
            <w:vAlign w:val="center"/>
          </w:tcPr>
          <w:p w14:paraId="5B88C932">
            <w:pPr>
              <w:kinsoku w:val="0"/>
              <w:overflowPunct w:val="0"/>
              <w:autoSpaceDE w:val="0"/>
              <w:autoSpaceDN w:val="0"/>
              <w:adjustRightInd w:val="0"/>
              <w:snapToGrid w:val="0"/>
              <w:jc w:val="center"/>
              <w:rPr>
                <w:color w:val="auto"/>
                <w:kern w:val="0"/>
                <w:szCs w:val="21"/>
              </w:rPr>
            </w:pPr>
            <w:r>
              <w:rPr>
                <w:color w:val="auto"/>
                <w:kern w:val="0"/>
                <w:szCs w:val="21"/>
              </w:rPr>
              <w:t>150</w:t>
            </w:r>
          </w:p>
        </w:tc>
        <w:tc>
          <w:tcPr>
            <w:tcW w:w="1188" w:type="dxa"/>
            <w:vAlign w:val="center"/>
          </w:tcPr>
          <w:p w14:paraId="06344C38">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2B51EC52">
            <w:pPr>
              <w:widowControl/>
              <w:jc w:val="left"/>
              <w:rPr>
                <w:b/>
                <w:bCs/>
                <w:color w:val="auto"/>
                <w:spacing w:val="1"/>
                <w:kern w:val="0"/>
                <w:szCs w:val="21"/>
              </w:rPr>
            </w:pPr>
          </w:p>
        </w:tc>
      </w:tr>
      <w:tr w14:paraId="78CC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04" w:type="dxa"/>
            <w:vMerge w:val="restart"/>
            <w:vAlign w:val="center"/>
          </w:tcPr>
          <w:p w14:paraId="5C41506F">
            <w:pPr>
              <w:kinsoku w:val="0"/>
              <w:overflowPunct w:val="0"/>
              <w:autoSpaceDE w:val="0"/>
              <w:autoSpaceDN w:val="0"/>
              <w:adjustRightInd w:val="0"/>
              <w:snapToGrid w:val="0"/>
              <w:jc w:val="center"/>
              <w:rPr>
                <w:color w:val="auto"/>
                <w:kern w:val="0"/>
                <w:szCs w:val="21"/>
              </w:rPr>
            </w:pPr>
            <w:r>
              <w:rPr>
                <w:color w:val="auto"/>
                <w:kern w:val="0"/>
                <w:position w:val="1"/>
                <w:szCs w:val="21"/>
              </w:rPr>
              <w:t>NO</w:t>
            </w:r>
            <w:r>
              <w:rPr>
                <w:color w:val="auto"/>
                <w:kern w:val="0"/>
                <w:szCs w:val="21"/>
                <w:vertAlign w:val="subscript"/>
              </w:rPr>
              <w:t>2</w:t>
            </w:r>
          </w:p>
        </w:tc>
        <w:tc>
          <w:tcPr>
            <w:tcW w:w="1835" w:type="dxa"/>
            <w:vAlign w:val="center"/>
          </w:tcPr>
          <w:p w14:paraId="3E6F02FB">
            <w:pPr>
              <w:kinsoku w:val="0"/>
              <w:overflowPunct w:val="0"/>
              <w:autoSpaceDE w:val="0"/>
              <w:autoSpaceDN w:val="0"/>
              <w:adjustRightInd w:val="0"/>
              <w:snapToGrid w:val="0"/>
              <w:jc w:val="center"/>
              <w:rPr>
                <w:color w:val="auto"/>
                <w:kern w:val="0"/>
                <w:szCs w:val="21"/>
              </w:rPr>
            </w:pPr>
            <w:r>
              <w:rPr>
                <w:color w:val="auto"/>
                <w:kern w:val="0"/>
                <w:szCs w:val="21"/>
              </w:rPr>
              <w:t>年平均</w:t>
            </w:r>
          </w:p>
        </w:tc>
        <w:tc>
          <w:tcPr>
            <w:tcW w:w="1148" w:type="dxa"/>
            <w:vAlign w:val="center"/>
          </w:tcPr>
          <w:p w14:paraId="436EC577">
            <w:pPr>
              <w:kinsoku w:val="0"/>
              <w:overflowPunct w:val="0"/>
              <w:autoSpaceDE w:val="0"/>
              <w:autoSpaceDN w:val="0"/>
              <w:adjustRightInd w:val="0"/>
              <w:snapToGrid w:val="0"/>
              <w:jc w:val="center"/>
              <w:rPr>
                <w:color w:val="auto"/>
                <w:kern w:val="0"/>
                <w:szCs w:val="21"/>
              </w:rPr>
            </w:pPr>
            <w:r>
              <w:rPr>
                <w:color w:val="auto"/>
                <w:kern w:val="0"/>
                <w:szCs w:val="21"/>
              </w:rPr>
              <w:t>40</w:t>
            </w:r>
          </w:p>
        </w:tc>
        <w:tc>
          <w:tcPr>
            <w:tcW w:w="1188" w:type="dxa"/>
            <w:vAlign w:val="center"/>
          </w:tcPr>
          <w:p w14:paraId="277C8B64">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75F4B8B4">
            <w:pPr>
              <w:widowControl/>
              <w:jc w:val="left"/>
              <w:rPr>
                <w:b/>
                <w:bCs/>
                <w:color w:val="auto"/>
                <w:spacing w:val="1"/>
                <w:kern w:val="0"/>
                <w:szCs w:val="21"/>
              </w:rPr>
            </w:pPr>
          </w:p>
        </w:tc>
      </w:tr>
      <w:tr w14:paraId="542CB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1FD9E621">
            <w:pPr>
              <w:widowControl/>
              <w:jc w:val="left"/>
              <w:rPr>
                <w:color w:val="auto"/>
                <w:kern w:val="0"/>
                <w:szCs w:val="21"/>
              </w:rPr>
            </w:pPr>
          </w:p>
        </w:tc>
        <w:tc>
          <w:tcPr>
            <w:tcW w:w="1835" w:type="dxa"/>
            <w:vAlign w:val="center"/>
          </w:tcPr>
          <w:p w14:paraId="70B6DA03">
            <w:pPr>
              <w:kinsoku w:val="0"/>
              <w:overflowPunct w:val="0"/>
              <w:autoSpaceDE w:val="0"/>
              <w:autoSpaceDN w:val="0"/>
              <w:adjustRightInd w:val="0"/>
              <w:snapToGrid w:val="0"/>
              <w:jc w:val="center"/>
              <w:rPr>
                <w:color w:val="auto"/>
                <w:kern w:val="0"/>
                <w:szCs w:val="21"/>
              </w:rPr>
            </w:pPr>
            <w:r>
              <w:rPr>
                <w:color w:val="auto"/>
                <w:kern w:val="0"/>
                <w:szCs w:val="21"/>
              </w:rPr>
              <w:t>24小时平均</w:t>
            </w:r>
          </w:p>
        </w:tc>
        <w:tc>
          <w:tcPr>
            <w:tcW w:w="1148" w:type="dxa"/>
            <w:vAlign w:val="center"/>
          </w:tcPr>
          <w:p w14:paraId="5E9B7236">
            <w:pPr>
              <w:kinsoku w:val="0"/>
              <w:overflowPunct w:val="0"/>
              <w:autoSpaceDE w:val="0"/>
              <w:autoSpaceDN w:val="0"/>
              <w:adjustRightInd w:val="0"/>
              <w:snapToGrid w:val="0"/>
              <w:jc w:val="center"/>
              <w:rPr>
                <w:color w:val="auto"/>
                <w:kern w:val="0"/>
                <w:szCs w:val="21"/>
              </w:rPr>
            </w:pPr>
            <w:r>
              <w:rPr>
                <w:color w:val="auto"/>
                <w:kern w:val="0"/>
                <w:szCs w:val="21"/>
              </w:rPr>
              <w:t>80</w:t>
            </w:r>
          </w:p>
        </w:tc>
        <w:tc>
          <w:tcPr>
            <w:tcW w:w="1188" w:type="dxa"/>
            <w:vAlign w:val="center"/>
          </w:tcPr>
          <w:p w14:paraId="7CF8EBD5">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127937FC">
            <w:pPr>
              <w:widowControl/>
              <w:jc w:val="left"/>
              <w:rPr>
                <w:b/>
                <w:bCs/>
                <w:color w:val="auto"/>
                <w:spacing w:val="1"/>
                <w:kern w:val="0"/>
                <w:szCs w:val="21"/>
              </w:rPr>
            </w:pPr>
          </w:p>
        </w:tc>
      </w:tr>
      <w:tr w14:paraId="63DE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2038F126">
            <w:pPr>
              <w:kinsoku w:val="0"/>
              <w:overflowPunct w:val="0"/>
              <w:autoSpaceDE w:val="0"/>
              <w:autoSpaceDN w:val="0"/>
              <w:adjustRightInd w:val="0"/>
              <w:snapToGrid w:val="0"/>
              <w:jc w:val="center"/>
              <w:rPr>
                <w:color w:val="auto"/>
                <w:kern w:val="0"/>
                <w:szCs w:val="21"/>
              </w:rPr>
            </w:pPr>
            <w:r>
              <w:rPr>
                <w:color w:val="auto"/>
                <w:kern w:val="0"/>
                <w:szCs w:val="21"/>
              </w:rPr>
              <w:t>CO</w:t>
            </w:r>
          </w:p>
        </w:tc>
        <w:tc>
          <w:tcPr>
            <w:tcW w:w="1835" w:type="dxa"/>
            <w:vAlign w:val="center"/>
          </w:tcPr>
          <w:p w14:paraId="78EBD5C9">
            <w:pPr>
              <w:kinsoku w:val="0"/>
              <w:overflowPunct w:val="0"/>
              <w:autoSpaceDE w:val="0"/>
              <w:autoSpaceDN w:val="0"/>
              <w:adjustRightInd w:val="0"/>
              <w:snapToGrid w:val="0"/>
              <w:jc w:val="center"/>
              <w:rPr>
                <w:color w:val="auto"/>
                <w:kern w:val="0"/>
                <w:szCs w:val="21"/>
              </w:rPr>
            </w:pPr>
            <w:r>
              <w:rPr>
                <w:color w:val="auto"/>
                <w:kern w:val="0"/>
                <w:szCs w:val="21"/>
              </w:rPr>
              <w:t>24小时平均</w:t>
            </w:r>
          </w:p>
        </w:tc>
        <w:tc>
          <w:tcPr>
            <w:tcW w:w="1148" w:type="dxa"/>
            <w:vAlign w:val="center"/>
          </w:tcPr>
          <w:p w14:paraId="4D999FF9">
            <w:pPr>
              <w:kinsoku w:val="0"/>
              <w:overflowPunct w:val="0"/>
              <w:autoSpaceDE w:val="0"/>
              <w:autoSpaceDN w:val="0"/>
              <w:adjustRightInd w:val="0"/>
              <w:snapToGrid w:val="0"/>
              <w:jc w:val="center"/>
              <w:rPr>
                <w:color w:val="auto"/>
                <w:kern w:val="0"/>
                <w:szCs w:val="21"/>
              </w:rPr>
            </w:pPr>
            <w:r>
              <w:rPr>
                <w:color w:val="auto"/>
                <w:kern w:val="0"/>
                <w:szCs w:val="21"/>
              </w:rPr>
              <w:t>4</w:t>
            </w:r>
          </w:p>
        </w:tc>
        <w:tc>
          <w:tcPr>
            <w:tcW w:w="1188" w:type="dxa"/>
            <w:vAlign w:val="center"/>
          </w:tcPr>
          <w:p w14:paraId="2386C158">
            <w:pPr>
              <w:adjustRightInd w:val="0"/>
              <w:snapToGrid w:val="0"/>
              <w:jc w:val="center"/>
              <w:rPr>
                <w:color w:val="auto"/>
                <w:szCs w:val="21"/>
              </w:rPr>
            </w:pPr>
            <w:r>
              <w:rPr>
                <w:color w:val="auto"/>
                <w:kern w:val="0"/>
                <w:szCs w:val="21"/>
              </w:rPr>
              <w:t>mg/m</w:t>
            </w:r>
            <w:r>
              <w:rPr>
                <w:color w:val="auto"/>
                <w:kern w:val="0"/>
                <w:szCs w:val="21"/>
                <w:vertAlign w:val="superscript"/>
              </w:rPr>
              <w:t>3</w:t>
            </w:r>
          </w:p>
        </w:tc>
        <w:tc>
          <w:tcPr>
            <w:tcW w:w="3053" w:type="dxa"/>
            <w:vMerge w:val="continue"/>
            <w:vAlign w:val="center"/>
          </w:tcPr>
          <w:p w14:paraId="217C4A8A">
            <w:pPr>
              <w:widowControl/>
              <w:jc w:val="left"/>
              <w:rPr>
                <w:b/>
                <w:bCs/>
                <w:color w:val="auto"/>
                <w:spacing w:val="1"/>
                <w:kern w:val="0"/>
                <w:szCs w:val="21"/>
              </w:rPr>
            </w:pPr>
          </w:p>
        </w:tc>
      </w:tr>
      <w:tr w14:paraId="0B35B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0D910280">
            <w:pPr>
              <w:widowControl/>
              <w:jc w:val="left"/>
              <w:rPr>
                <w:color w:val="auto"/>
                <w:kern w:val="0"/>
                <w:szCs w:val="21"/>
              </w:rPr>
            </w:pPr>
          </w:p>
        </w:tc>
        <w:tc>
          <w:tcPr>
            <w:tcW w:w="1835" w:type="dxa"/>
            <w:vAlign w:val="center"/>
          </w:tcPr>
          <w:p w14:paraId="49A827FB">
            <w:pPr>
              <w:kinsoku w:val="0"/>
              <w:overflowPunct w:val="0"/>
              <w:autoSpaceDE w:val="0"/>
              <w:autoSpaceDN w:val="0"/>
              <w:adjustRightInd w:val="0"/>
              <w:snapToGrid w:val="0"/>
              <w:jc w:val="center"/>
              <w:rPr>
                <w:color w:val="auto"/>
                <w:kern w:val="0"/>
                <w:szCs w:val="21"/>
              </w:rPr>
            </w:pPr>
            <w:r>
              <w:rPr>
                <w:color w:val="auto"/>
                <w:kern w:val="0"/>
                <w:szCs w:val="21"/>
              </w:rPr>
              <w:t>1小时平均</w:t>
            </w:r>
          </w:p>
        </w:tc>
        <w:tc>
          <w:tcPr>
            <w:tcW w:w="1148" w:type="dxa"/>
            <w:vAlign w:val="center"/>
          </w:tcPr>
          <w:p w14:paraId="121D0974">
            <w:pPr>
              <w:kinsoku w:val="0"/>
              <w:overflowPunct w:val="0"/>
              <w:autoSpaceDE w:val="0"/>
              <w:autoSpaceDN w:val="0"/>
              <w:adjustRightInd w:val="0"/>
              <w:snapToGrid w:val="0"/>
              <w:jc w:val="center"/>
              <w:rPr>
                <w:color w:val="auto"/>
                <w:kern w:val="0"/>
                <w:szCs w:val="21"/>
              </w:rPr>
            </w:pPr>
            <w:r>
              <w:rPr>
                <w:color w:val="auto"/>
                <w:kern w:val="0"/>
                <w:szCs w:val="21"/>
              </w:rPr>
              <w:t>10</w:t>
            </w:r>
          </w:p>
        </w:tc>
        <w:tc>
          <w:tcPr>
            <w:tcW w:w="1188" w:type="dxa"/>
            <w:vAlign w:val="center"/>
          </w:tcPr>
          <w:p w14:paraId="76AA6E65">
            <w:pPr>
              <w:adjustRightInd w:val="0"/>
              <w:snapToGrid w:val="0"/>
              <w:jc w:val="center"/>
              <w:rPr>
                <w:color w:val="auto"/>
                <w:szCs w:val="21"/>
              </w:rPr>
            </w:pPr>
            <w:r>
              <w:rPr>
                <w:color w:val="auto"/>
                <w:kern w:val="0"/>
                <w:szCs w:val="21"/>
              </w:rPr>
              <w:t>mg/m</w:t>
            </w:r>
            <w:r>
              <w:rPr>
                <w:color w:val="auto"/>
                <w:kern w:val="0"/>
                <w:szCs w:val="21"/>
                <w:vertAlign w:val="superscript"/>
              </w:rPr>
              <w:t>3</w:t>
            </w:r>
          </w:p>
        </w:tc>
        <w:tc>
          <w:tcPr>
            <w:tcW w:w="3053" w:type="dxa"/>
            <w:vMerge w:val="continue"/>
            <w:vAlign w:val="center"/>
          </w:tcPr>
          <w:p w14:paraId="51C0C973">
            <w:pPr>
              <w:widowControl/>
              <w:jc w:val="left"/>
              <w:rPr>
                <w:b/>
                <w:bCs/>
                <w:color w:val="auto"/>
                <w:spacing w:val="1"/>
                <w:kern w:val="0"/>
                <w:szCs w:val="21"/>
              </w:rPr>
            </w:pPr>
          </w:p>
        </w:tc>
      </w:tr>
      <w:tr w14:paraId="6E66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restart"/>
            <w:vAlign w:val="center"/>
          </w:tcPr>
          <w:p w14:paraId="39D6F96B">
            <w:pPr>
              <w:kinsoku w:val="0"/>
              <w:overflowPunct w:val="0"/>
              <w:autoSpaceDE w:val="0"/>
              <w:autoSpaceDN w:val="0"/>
              <w:adjustRightInd w:val="0"/>
              <w:snapToGrid w:val="0"/>
              <w:jc w:val="center"/>
              <w:rPr>
                <w:color w:val="auto"/>
                <w:kern w:val="0"/>
                <w:szCs w:val="21"/>
              </w:rPr>
            </w:pPr>
            <w:r>
              <w:rPr>
                <w:color w:val="auto"/>
                <w:kern w:val="0"/>
                <w:szCs w:val="21"/>
              </w:rPr>
              <w:t>O</w:t>
            </w:r>
            <w:r>
              <w:rPr>
                <w:color w:val="auto"/>
                <w:kern w:val="0"/>
                <w:szCs w:val="21"/>
                <w:vertAlign w:val="subscript"/>
              </w:rPr>
              <w:t>3</w:t>
            </w:r>
          </w:p>
        </w:tc>
        <w:tc>
          <w:tcPr>
            <w:tcW w:w="1835" w:type="dxa"/>
            <w:vAlign w:val="center"/>
          </w:tcPr>
          <w:p w14:paraId="26E93719">
            <w:pPr>
              <w:kinsoku w:val="0"/>
              <w:overflowPunct w:val="0"/>
              <w:autoSpaceDE w:val="0"/>
              <w:autoSpaceDN w:val="0"/>
              <w:adjustRightInd w:val="0"/>
              <w:snapToGrid w:val="0"/>
              <w:jc w:val="center"/>
              <w:rPr>
                <w:color w:val="auto"/>
                <w:kern w:val="0"/>
                <w:szCs w:val="21"/>
              </w:rPr>
            </w:pPr>
            <w:r>
              <w:rPr>
                <w:color w:val="auto"/>
                <w:kern w:val="0"/>
                <w:szCs w:val="21"/>
              </w:rPr>
              <w:t>日最大8小时平均</w:t>
            </w:r>
          </w:p>
        </w:tc>
        <w:tc>
          <w:tcPr>
            <w:tcW w:w="1148" w:type="dxa"/>
            <w:vAlign w:val="center"/>
          </w:tcPr>
          <w:p w14:paraId="0BB661E0">
            <w:pPr>
              <w:kinsoku w:val="0"/>
              <w:overflowPunct w:val="0"/>
              <w:autoSpaceDE w:val="0"/>
              <w:autoSpaceDN w:val="0"/>
              <w:adjustRightInd w:val="0"/>
              <w:snapToGrid w:val="0"/>
              <w:jc w:val="center"/>
              <w:rPr>
                <w:color w:val="auto"/>
                <w:kern w:val="0"/>
                <w:szCs w:val="21"/>
              </w:rPr>
            </w:pPr>
            <w:r>
              <w:rPr>
                <w:color w:val="auto"/>
                <w:kern w:val="0"/>
                <w:szCs w:val="21"/>
              </w:rPr>
              <w:t>160</w:t>
            </w:r>
          </w:p>
        </w:tc>
        <w:tc>
          <w:tcPr>
            <w:tcW w:w="1188" w:type="dxa"/>
            <w:vAlign w:val="center"/>
          </w:tcPr>
          <w:p w14:paraId="33AC413B">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0F360C12">
            <w:pPr>
              <w:widowControl/>
              <w:jc w:val="left"/>
              <w:rPr>
                <w:b/>
                <w:bCs/>
                <w:color w:val="auto"/>
                <w:spacing w:val="1"/>
                <w:kern w:val="0"/>
                <w:szCs w:val="21"/>
              </w:rPr>
            </w:pPr>
          </w:p>
        </w:tc>
      </w:tr>
      <w:tr w14:paraId="3CF02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2DADC47E">
            <w:pPr>
              <w:widowControl/>
              <w:jc w:val="left"/>
              <w:rPr>
                <w:color w:val="auto"/>
                <w:kern w:val="0"/>
                <w:szCs w:val="21"/>
              </w:rPr>
            </w:pPr>
          </w:p>
        </w:tc>
        <w:tc>
          <w:tcPr>
            <w:tcW w:w="1835" w:type="dxa"/>
            <w:vAlign w:val="center"/>
          </w:tcPr>
          <w:p w14:paraId="6385FF7D">
            <w:pPr>
              <w:kinsoku w:val="0"/>
              <w:overflowPunct w:val="0"/>
              <w:autoSpaceDE w:val="0"/>
              <w:autoSpaceDN w:val="0"/>
              <w:adjustRightInd w:val="0"/>
              <w:snapToGrid w:val="0"/>
              <w:jc w:val="center"/>
              <w:rPr>
                <w:color w:val="auto"/>
                <w:kern w:val="0"/>
                <w:szCs w:val="21"/>
              </w:rPr>
            </w:pPr>
            <w:r>
              <w:rPr>
                <w:color w:val="auto"/>
                <w:kern w:val="0"/>
                <w:szCs w:val="21"/>
              </w:rPr>
              <w:t>1小时平均</w:t>
            </w:r>
          </w:p>
        </w:tc>
        <w:tc>
          <w:tcPr>
            <w:tcW w:w="1148" w:type="dxa"/>
            <w:vAlign w:val="center"/>
          </w:tcPr>
          <w:p w14:paraId="6C5CF431">
            <w:pPr>
              <w:kinsoku w:val="0"/>
              <w:overflowPunct w:val="0"/>
              <w:autoSpaceDE w:val="0"/>
              <w:autoSpaceDN w:val="0"/>
              <w:adjustRightInd w:val="0"/>
              <w:snapToGrid w:val="0"/>
              <w:jc w:val="center"/>
              <w:rPr>
                <w:color w:val="auto"/>
                <w:kern w:val="0"/>
                <w:szCs w:val="21"/>
              </w:rPr>
            </w:pPr>
            <w:r>
              <w:rPr>
                <w:color w:val="auto"/>
                <w:kern w:val="0"/>
                <w:szCs w:val="21"/>
              </w:rPr>
              <w:t>200</w:t>
            </w:r>
          </w:p>
        </w:tc>
        <w:tc>
          <w:tcPr>
            <w:tcW w:w="1188" w:type="dxa"/>
            <w:vAlign w:val="center"/>
          </w:tcPr>
          <w:p w14:paraId="4D8CB1B2">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284DD87D">
            <w:pPr>
              <w:widowControl/>
              <w:jc w:val="left"/>
              <w:rPr>
                <w:b/>
                <w:bCs/>
                <w:color w:val="auto"/>
                <w:spacing w:val="1"/>
                <w:kern w:val="0"/>
                <w:szCs w:val="21"/>
              </w:rPr>
            </w:pPr>
          </w:p>
        </w:tc>
      </w:tr>
      <w:tr w14:paraId="10E3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04" w:type="dxa"/>
            <w:vMerge w:val="restart"/>
            <w:vAlign w:val="center"/>
          </w:tcPr>
          <w:p w14:paraId="0D85D59D">
            <w:pPr>
              <w:widowControl/>
              <w:jc w:val="center"/>
              <w:rPr>
                <w:rFonts w:hint="default" w:eastAsia="宋体"/>
                <w:color w:val="auto"/>
                <w:kern w:val="0"/>
                <w:szCs w:val="21"/>
                <w:lang w:val="en-US" w:eastAsia="zh-CN"/>
              </w:rPr>
            </w:pPr>
            <w:r>
              <w:rPr>
                <w:rFonts w:hint="eastAsia"/>
                <w:color w:val="auto"/>
                <w:kern w:val="0"/>
                <w:szCs w:val="21"/>
                <w:lang w:val="en-US" w:eastAsia="zh-CN"/>
              </w:rPr>
              <w:t>TSP</w:t>
            </w:r>
          </w:p>
        </w:tc>
        <w:tc>
          <w:tcPr>
            <w:tcW w:w="1835" w:type="dxa"/>
            <w:vAlign w:val="center"/>
          </w:tcPr>
          <w:p w14:paraId="602B7D06">
            <w:pPr>
              <w:kinsoku w:val="0"/>
              <w:overflowPunct w:val="0"/>
              <w:autoSpaceDE w:val="0"/>
              <w:autoSpaceDN w:val="0"/>
              <w:adjustRightInd w:val="0"/>
              <w:snapToGrid w:val="0"/>
              <w:jc w:val="center"/>
              <w:rPr>
                <w:color w:val="auto"/>
                <w:kern w:val="0"/>
                <w:szCs w:val="21"/>
              </w:rPr>
            </w:pPr>
            <w:r>
              <w:rPr>
                <w:color w:val="auto"/>
                <w:kern w:val="0"/>
                <w:szCs w:val="21"/>
              </w:rPr>
              <w:t>年平均</w:t>
            </w:r>
          </w:p>
        </w:tc>
        <w:tc>
          <w:tcPr>
            <w:tcW w:w="1148" w:type="dxa"/>
            <w:vAlign w:val="center"/>
          </w:tcPr>
          <w:p w14:paraId="70E7F47C">
            <w:pPr>
              <w:kinsoku w:val="0"/>
              <w:overflowPunct w:val="0"/>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200</w:t>
            </w:r>
          </w:p>
        </w:tc>
        <w:tc>
          <w:tcPr>
            <w:tcW w:w="1188" w:type="dxa"/>
            <w:vAlign w:val="center"/>
          </w:tcPr>
          <w:p w14:paraId="77195AD2">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2D6C83F3">
            <w:pPr>
              <w:widowControl/>
              <w:jc w:val="left"/>
              <w:rPr>
                <w:b/>
                <w:bCs/>
                <w:color w:val="auto"/>
                <w:spacing w:val="1"/>
                <w:kern w:val="0"/>
                <w:szCs w:val="21"/>
              </w:rPr>
            </w:pPr>
          </w:p>
        </w:tc>
      </w:tr>
      <w:tr w14:paraId="557D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04" w:type="dxa"/>
            <w:vMerge w:val="continue"/>
            <w:vAlign w:val="center"/>
          </w:tcPr>
          <w:p w14:paraId="29C659C2">
            <w:pPr>
              <w:widowControl/>
              <w:jc w:val="left"/>
              <w:rPr>
                <w:rFonts w:hint="eastAsia"/>
                <w:color w:val="auto"/>
                <w:kern w:val="0"/>
                <w:szCs w:val="21"/>
                <w:lang w:val="en-US" w:eastAsia="zh-CN"/>
              </w:rPr>
            </w:pPr>
          </w:p>
        </w:tc>
        <w:tc>
          <w:tcPr>
            <w:tcW w:w="1835" w:type="dxa"/>
            <w:vAlign w:val="center"/>
          </w:tcPr>
          <w:p w14:paraId="0B363D40">
            <w:pPr>
              <w:kinsoku w:val="0"/>
              <w:overflowPunct w:val="0"/>
              <w:autoSpaceDE w:val="0"/>
              <w:autoSpaceDN w:val="0"/>
              <w:adjustRightInd w:val="0"/>
              <w:snapToGrid w:val="0"/>
              <w:jc w:val="center"/>
              <w:rPr>
                <w:color w:val="auto"/>
                <w:kern w:val="0"/>
                <w:szCs w:val="21"/>
              </w:rPr>
            </w:pPr>
            <w:r>
              <w:rPr>
                <w:color w:val="auto"/>
                <w:kern w:val="0"/>
                <w:szCs w:val="21"/>
              </w:rPr>
              <w:t>24小时平均</w:t>
            </w:r>
          </w:p>
        </w:tc>
        <w:tc>
          <w:tcPr>
            <w:tcW w:w="1148" w:type="dxa"/>
            <w:vAlign w:val="center"/>
          </w:tcPr>
          <w:p w14:paraId="36EFFBD5">
            <w:pPr>
              <w:kinsoku w:val="0"/>
              <w:overflowPunct w:val="0"/>
              <w:autoSpaceDE w:val="0"/>
              <w:autoSpaceDN w:val="0"/>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300</w:t>
            </w:r>
          </w:p>
        </w:tc>
        <w:tc>
          <w:tcPr>
            <w:tcW w:w="1188" w:type="dxa"/>
            <w:vAlign w:val="center"/>
          </w:tcPr>
          <w:p w14:paraId="31E20D37">
            <w:pPr>
              <w:adjustRightInd w:val="0"/>
              <w:snapToGrid w:val="0"/>
              <w:jc w:val="center"/>
              <w:rPr>
                <w:color w:val="auto"/>
                <w:szCs w:val="21"/>
              </w:rPr>
            </w:pPr>
            <w:r>
              <w:rPr>
                <w:color w:val="auto"/>
                <w:szCs w:val="21"/>
              </w:rPr>
              <w:t>μg/m</w:t>
            </w:r>
            <w:r>
              <w:rPr>
                <w:color w:val="auto"/>
                <w:szCs w:val="21"/>
                <w:vertAlign w:val="superscript"/>
              </w:rPr>
              <w:t>3</w:t>
            </w:r>
          </w:p>
        </w:tc>
        <w:tc>
          <w:tcPr>
            <w:tcW w:w="3053" w:type="dxa"/>
            <w:vMerge w:val="continue"/>
            <w:vAlign w:val="center"/>
          </w:tcPr>
          <w:p w14:paraId="7FC59B0A">
            <w:pPr>
              <w:widowControl/>
              <w:jc w:val="left"/>
              <w:rPr>
                <w:b/>
                <w:bCs/>
                <w:color w:val="auto"/>
                <w:spacing w:val="1"/>
                <w:kern w:val="0"/>
                <w:szCs w:val="21"/>
              </w:rPr>
            </w:pPr>
          </w:p>
        </w:tc>
      </w:tr>
    </w:tbl>
    <w:p w14:paraId="09E0B5B4">
      <w:pPr>
        <w:pStyle w:val="127"/>
        <w:spacing w:line="360" w:lineRule="auto"/>
        <w:ind w:left="0" w:leftChars="0" w:firstLine="0" w:firstLineChars="0"/>
        <w:rPr>
          <w:rFonts w:hint="default" w:eastAsia="宋体"/>
          <w:b/>
          <w:bCs/>
          <w:color w:val="auto"/>
          <w:kern w:val="2"/>
          <w:lang w:val="en-US" w:eastAsia="zh-CN"/>
        </w:rPr>
      </w:pPr>
      <w:r>
        <w:rPr>
          <w:rFonts w:hint="eastAsia"/>
          <w:b/>
          <w:bCs/>
          <w:color w:val="auto"/>
          <w:kern w:val="2"/>
          <w:lang w:val="en-US" w:eastAsia="zh-CN"/>
        </w:rPr>
        <w:t>2、地表水环境</w:t>
      </w:r>
    </w:p>
    <w:p w14:paraId="22693867">
      <w:pPr>
        <w:pStyle w:val="127"/>
        <w:spacing w:line="360" w:lineRule="auto"/>
        <w:ind w:firstLine="480" w:firstLineChars="200"/>
        <w:rPr>
          <w:rFonts w:hint="default" w:eastAsia="宋体"/>
          <w:color w:val="auto"/>
          <w:kern w:val="2"/>
          <w:lang w:val="en-US" w:eastAsia="zh-CN"/>
        </w:rPr>
      </w:pPr>
      <w:r>
        <w:rPr>
          <w:rFonts w:hint="eastAsia"/>
          <w:color w:val="auto"/>
          <w:kern w:val="2"/>
          <w:lang w:val="en-US" w:eastAsia="zh-CN"/>
        </w:rPr>
        <w:t>本项目产生的废水为生产废水和生活污水，其中生产废水全部回用于选矿工序，无外排废水；生活污水排入现有旱厕后，定期清掏，不外排。</w:t>
      </w:r>
    </w:p>
    <w:p w14:paraId="65D82DC2">
      <w:pPr>
        <w:pStyle w:val="127"/>
        <w:spacing w:line="360" w:lineRule="auto"/>
        <w:ind w:left="0" w:leftChars="0" w:firstLine="0" w:firstLineChars="0"/>
        <w:rPr>
          <w:b/>
          <w:bCs/>
          <w:color w:val="auto"/>
          <w:kern w:val="2"/>
        </w:rPr>
      </w:pPr>
      <w:r>
        <w:rPr>
          <w:rFonts w:hint="eastAsia"/>
          <w:b/>
          <w:bCs/>
          <w:color w:val="auto"/>
          <w:kern w:val="2"/>
          <w:lang w:val="en-US" w:eastAsia="zh-CN"/>
        </w:rPr>
        <w:t>3、</w:t>
      </w:r>
      <w:r>
        <w:rPr>
          <w:b/>
          <w:bCs/>
          <w:color w:val="auto"/>
          <w:kern w:val="2"/>
        </w:rPr>
        <w:t>地下水环境</w:t>
      </w:r>
    </w:p>
    <w:p w14:paraId="662B7B9A">
      <w:pPr>
        <w:spacing w:line="360" w:lineRule="auto"/>
        <w:ind w:firstLine="480" w:firstLineChars="200"/>
        <w:rPr>
          <w:rFonts w:hint="eastAsia"/>
          <w:b/>
          <w:color w:val="auto"/>
          <w:sz w:val="21"/>
          <w:szCs w:val="21"/>
          <w:lang w:val="en-US" w:eastAsia="zh-CN"/>
        </w:rPr>
      </w:pPr>
      <w:r>
        <w:rPr>
          <w:color w:val="auto"/>
          <w:sz w:val="24"/>
        </w:rPr>
        <w:t>本项目地下水水质执行《地下水质量标准》（GB/T14848-2017）中III类标准，</w:t>
      </w:r>
      <w:r>
        <w:rPr>
          <w:rFonts w:hint="eastAsia"/>
          <w:color w:val="auto"/>
          <w:sz w:val="24"/>
          <w:lang w:val="en-US" w:eastAsia="zh-CN"/>
        </w:rPr>
        <w:t>具体标准限值见下表</w:t>
      </w:r>
      <w:r>
        <w:rPr>
          <w:color w:val="auto"/>
          <w:sz w:val="24"/>
        </w:rPr>
        <w:t>。</w:t>
      </w:r>
    </w:p>
    <w:p w14:paraId="12A0E478">
      <w:pPr>
        <w:pStyle w:val="59"/>
        <w:tabs>
          <w:tab w:val="left" w:pos="720"/>
        </w:tabs>
        <w:spacing w:after="0" w:line="360" w:lineRule="auto"/>
        <w:ind w:left="0" w:leftChars="0"/>
        <w:jc w:val="center"/>
        <w:rPr>
          <w:rFonts w:hint="eastAsia"/>
          <w:b/>
          <w:color w:val="auto"/>
          <w:sz w:val="21"/>
          <w:szCs w:val="21"/>
          <w:lang w:val="en-US" w:eastAsia="zh-CN"/>
        </w:rPr>
      </w:pPr>
      <w:r>
        <w:rPr>
          <w:rFonts w:hint="eastAsia"/>
          <w:b/>
          <w:color w:val="auto"/>
          <w:sz w:val="24"/>
          <w:szCs w:val="24"/>
          <w:lang w:val="en-US" w:eastAsia="zh-CN"/>
        </w:rPr>
        <w:t>表2.3-4      地下水质量标准     单位：mg/L（pH除外）</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7"/>
        <w:gridCol w:w="2993"/>
        <w:gridCol w:w="2097"/>
        <w:gridCol w:w="2130"/>
      </w:tblGrid>
      <w:tr w14:paraId="6389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8" w:type="pct"/>
            <w:tcBorders>
              <w:tl2br w:val="nil"/>
              <w:tr2bl w:val="nil"/>
            </w:tcBorders>
            <w:vAlign w:val="center"/>
          </w:tcPr>
          <w:p w14:paraId="402B6898">
            <w:pPr>
              <w:jc w:val="center"/>
            </w:pPr>
            <w:r>
              <w:t>序号</w:t>
            </w:r>
          </w:p>
        </w:tc>
        <w:tc>
          <w:tcPr>
            <w:tcW w:w="1716" w:type="pct"/>
            <w:tcBorders>
              <w:tl2br w:val="nil"/>
              <w:tr2bl w:val="nil"/>
            </w:tcBorders>
            <w:vAlign w:val="center"/>
          </w:tcPr>
          <w:p w14:paraId="755D3366">
            <w:pPr>
              <w:pStyle w:val="171"/>
              <w:spacing w:before="0" w:after="0" w:line="240" w:lineRule="auto"/>
              <w:rPr>
                <w:color w:val="auto"/>
                <w:sz w:val="21"/>
                <w:szCs w:val="21"/>
              </w:rPr>
            </w:pPr>
            <w:r>
              <w:rPr>
                <w:color w:val="auto"/>
                <w:sz w:val="21"/>
                <w:szCs w:val="21"/>
              </w:rPr>
              <w:t>污染物名称</w:t>
            </w:r>
          </w:p>
        </w:tc>
        <w:tc>
          <w:tcPr>
            <w:tcW w:w="1202" w:type="pct"/>
            <w:tcBorders>
              <w:tl2br w:val="nil"/>
              <w:tr2bl w:val="nil"/>
            </w:tcBorders>
            <w:vAlign w:val="center"/>
          </w:tcPr>
          <w:p w14:paraId="168C8F6F">
            <w:pPr>
              <w:pStyle w:val="171"/>
              <w:spacing w:before="0" w:after="0" w:line="240" w:lineRule="auto"/>
              <w:rPr>
                <w:color w:val="auto"/>
                <w:sz w:val="21"/>
                <w:szCs w:val="21"/>
              </w:rPr>
            </w:pPr>
            <w:r>
              <w:rPr>
                <w:color w:val="auto"/>
                <w:sz w:val="21"/>
                <w:szCs w:val="21"/>
              </w:rPr>
              <w:t>标准值</w:t>
            </w:r>
          </w:p>
        </w:tc>
        <w:tc>
          <w:tcPr>
            <w:tcW w:w="1221" w:type="pct"/>
            <w:tcBorders>
              <w:tl2br w:val="nil"/>
              <w:tr2bl w:val="nil"/>
            </w:tcBorders>
            <w:vAlign w:val="center"/>
          </w:tcPr>
          <w:p w14:paraId="18C2C2BF">
            <w:pPr>
              <w:pStyle w:val="171"/>
              <w:spacing w:before="0" w:after="0" w:line="240" w:lineRule="auto"/>
              <w:rPr>
                <w:rFonts w:hint="eastAsia" w:eastAsia="宋体"/>
                <w:color w:val="auto"/>
                <w:sz w:val="21"/>
                <w:szCs w:val="21"/>
                <w:lang w:eastAsia="zh-CN"/>
              </w:rPr>
            </w:pPr>
            <w:r>
              <w:rPr>
                <w:rFonts w:hint="eastAsia"/>
                <w:color w:val="auto"/>
                <w:sz w:val="21"/>
                <w:szCs w:val="21"/>
                <w:lang w:eastAsia="zh-CN"/>
              </w:rPr>
              <w:t>标准来源</w:t>
            </w:r>
          </w:p>
        </w:tc>
      </w:tr>
      <w:tr w14:paraId="3EA9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56F727DD">
            <w:pPr>
              <w:jc w:val="center"/>
            </w:pPr>
            <w:r>
              <w:t>1</w:t>
            </w:r>
          </w:p>
        </w:tc>
        <w:tc>
          <w:tcPr>
            <w:tcW w:w="1716" w:type="pct"/>
            <w:tcBorders>
              <w:tl2br w:val="nil"/>
              <w:tr2bl w:val="nil"/>
            </w:tcBorders>
            <w:vAlign w:val="center"/>
          </w:tcPr>
          <w:p w14:paraId="72B4F675">
            <w:pPr>
              <w:pStyle w:val="184"/>
              <w:spacing w:line="240" w:lineRule="auto"/>
              <w:rPr>
                <w:color w:val="auto"/>
                <w:sz w:val="21"/>
                <w:szCs w:val="21"/>
              </w:rPr>
            </w:pPr>
            <w:r>
              <w:rPr>
                <w:color w:val="auto"/>
                <w:sz w:val="21"/>
                <w:szCs w:val="21"/>
              </w:rPr>
              <w:t>pH</w:t>
            </w:r>
          </w:p>
        </w:tc>
        <w:tc>
          <w:tcPr>
            <w:tcW w:w="1202" w:type="pct"/>
            <w:tcBorders>
              <w:tl2br w:val="nil"/>
              <w:tr2bl w:val="nil"/>
            </w:tcBorders>
            <w:vAlign w:val="center"/>
          </w:tcPr>
          <w:p w14:paraId="205580F5">
            <w:pPr>
              <w:pStyle w:val="184"/>
              <w:spacing w:line="240" w:lineRule="auto"/>
              <w:rPr>
                <w:color w:val="auto"/>
                <w:sz w:val="21"/>
                <w:szCs w:val="21"/>
              </w:rPr>
            </w:pPr>
            <w:r>
              <w:rPr>
                <w:color w:val="auto"/>
                <w:sz w:val="21"/>
                <w:szCs w:val="21"/>
              </w:rPr>
              <w:t>6.5～8.5</w:t>
            </w:r>
          </w:p>
        </w:tc>
        <w:tc>
          <w:tcPr>
            <w:tcW w:w="1221" w:type="pct"/>
            <w:vMerge w:val="restart"/>
            <w:tcBorders>
              <w:tl2br w:val="nil"/>
              <w:tr2bl w:val="nil"/>
            </w:tcBorders>
            <w:vAlign w:val="center"/>
          </w:tcPr>
          <w:p w14:paraId="40588663">
            <w:pPr>
              <w:pStyle w:val="184"/>
              <w:spacing w:line="240" w:lineRule="auto"/>
              <w:rPr>
                <w:color w:val="auto"/>
                <w:sz w:val="21"/>
                <w:szCs w:val="21"/>
              </w:rPr>
            </w:pPr>
            <w:r>
              <w:rPr>
                <w:color w:val="auto"/>
                <w:sz w:val="21"/>
                <w:szCs w:val="21"/>
              </w:rPr>
              <w:t>《地下水质量标准》（GB/T14848-2017）中III类标准</w:t>
            </w:r>
          </w:p>
        </w:tc>
      </w:tr>
      <w:tr w14:paraId="3297E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62A058FD">
            <w:pPr>
              <w:jc w:val="center"/>
              <w:rPr>
                <w:rFonts w:hint="eastAsia" w:eastAsia="宋体"/>
                <w:lang w:eastAsia="zh-CN"/>
              </w:rPr>
            </w:pPr>
            <w:r>
              <w:rPr>
                <w:rFonts w:hint="eastAsia"/>
                <w:lang w:val="en-US" w:eastAsia="zh-CN"/>
              </w:rPr>
              <w:t>2</w:t>
            </w:r>
          </w:p>
        </w:tc>
        <w:tc>
          <w:tcPr>
            <w:tcW w:w="1716" w:type="pct"/>
            <w:tcBorders>
              <w:tl2br w:val="nil"/>
              <w:tr2bl w:val="nil"/>
            </w:tcBorders>
            <w:vAlign w:val="center"/>
          </w:tcPr>
          <w:p w14:paraId="22773DBC">
            <w:pPr>
              <w:pStyle w:val="184"/>
              <w:spacing w:line="240" w:lineRule="auto"/>
              <w:rPr>
                <w:color w:val="auto"/>
                <w:sz w:val="21"/>
                <w:szCs w:val="21"/>
              </w:rPr>
            </w:pPr>
            <w:r>
              <w:rPr>
                <w:color w:val="auto"/>
                <w:sz w:val="21"/>
                <w:szCs w:val="21"/>
              </w:rPr>
              <w:t>总硬度</w:t>
            </w:r>
          </w:p>
        </w:tc>
        <w:tc>
          <w:tcPr>
            <w:tcW w:w="1202" w:type="pct"/>
            <w:tcBorders>
              <w:tl2br w:val="nil"/>
              <w:tr2bl w:val="nil"/>
            </w:tcBorders>
            <w:vAlign w:val="center"/>
          </w:tcPr>
          <w:p w14:paraId="1DBE1570">
            <w:pPr>
              <w:pStyle w:val="184"/>
              <w:spacing w:line="240" w:lineRule="auto"/>
              <w:rPr>
                <w:color w:val="auto"/>
                <w:sz w:val="21"/>
                <w:szCs w:val="21"/>
              </w:rPr>
            </w:pPr>
            <w:r>
              <w:rPr>
                <w:color w:val="auto"/>
                <w:sz w:val="21"/>
                <w:szCs w:val="21"/>
              </w:rPr>
              <w:t>≤450</w:t>
            </w:r>
          </w:p>
        </w:tc>
        <w:tc>
          <w:tcPr>
            <w:tcW w:w="1221" w:type="pct"/>
            <w:vMerge w:val="continue"/>
            <w:tcBorders>
              <w:tl2br w:val="nil"/>
              <w:tr2bl w:val="nil"/>
            </w:tcBorders>
            <w:vAlign w:val="center"/>
          </w:tcPr>
          <w:p w14:paraId="7E92ED82">
            <w:pPr>
              <w:pStyle w:val="184"/>
              <w:spacing w:line="240" w:lineRule="auto"/>
              <w:rPr>
                <w:color w:val="auto"/>
                <w:sz w:val="21"/>
                <w:szCs w:val="21"/>
              </w:rPr>
            </w:pPr>
          </w:p>
        </w:tc>
      </w:tr>
      <w:tr w14:paraId="1A2B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690208E1">
            <w:pPr>
              <w:jc w:val="center"/>
              <w:rPr>
                <w:rFonts w:hint="eastAsia" w:eastAsia="宋体"/>
                <w:lang w:val="en-US" w:eastAsia="zh-CN"/>
              </w:rPr>
            </w:pPr>
            <w:r>
              <w:rPr>
                <w:rFonts w:hint="eastAsia"/>
                <w:lang w:val="en-US" w:eastAsia="zh-CN"/>
              </w:rPr>
              <w:t>3</w:t>
            </w:r>
          </w:p>
        </w:tc>
        <w:tc>
          <w:tcPr>
            <w:tcW w:w="1716" w:type="pct"/>
            <w:tcBorders>
              <w:tl2br w:val="nil"/>
              <w:tr2bl w:val="nil"/>
            </w:tcBorders>
            <w:vAlign w:val="center"/>
          </w:tcPr>
          <w:p w14:paraId="482B5486">
            <w:pPr>
              <w:pStyle w:val="184"/>
              <w:spacing w:line="240" w:lineRule="auto"/>
              <w:rPr>
                <w:rFonts w:hint="eastAsia" w:eastAsia="宋体"/>
                <w:color w:val="auto"/>
                <w:sz w:val="21"/>
                <w:szCs w:val="21"/>
                <w:lang w:eastAsia="zh-CN"/>
              </w:rPr>
            </w:pPr>
            <w:r>
              <w:rPr>
                <w:rFonts w:hint="eastAsia"/>
                <w:color w:val="auto"/>
                <w:sz w:val="21"/>
                <w:szCs w:val="21"/>
                <w:lang w:eastAsia="zh-CN"/>
              </w:rPr>
              <w:t>溶解性总固体</w:t>
            </w:r>
          </w:p>
        </w:tc>
        <w:tc>
          <w:tcPr>
            <w:tcW w:w="1202" w:type="pct"/>
            <w:tcBorders>
              <w:tl2br w:val="nil"/>
              <w:tr2bl w:val="nil"/>
            </w:tcBorders>
            <w:vAlign w:val="center"/>
          </w:tcPr>
          <w:p w14:paraId="34083DF4">
            <w:pPr>
              <w:pStyle w:val="184"/>
              <w:spacing w:line="240" w:lineRule="auto"/>
              <w:rPr>
                <w:rFonts w:hint="default" w:eastAsia="宋体"/>
                <w:color w:val="auto"/>
                <w:sz w:val="21"/>
                <w:szCs w:val="21"/>
                <w:lang w:val="en-US" w:eastAsia="zh-CN"/>
              </w:rPr>
            </w:pPr>
            <w:r>
              <w:rPr>
                <w:color w:val="auto"/>
                <w:sz w:val="21"/>
                <w:szCs w:val="21"/>
              </w:rPr>
              <w:t>≤</w:t>
            </w:r>
            <w:r>
              <w:rPr>
                <w:rFonts w:hint="eastAsia"/>
                <w:color w:val="auto"/>
                <w:sz w:val="21"/>
                <w:szCs w:val="21"/>
                <w:lang w:val="en-US" w:eastAsia="zh-CN"/>
              </w:rPr>
              <w:t>1000</w:t>
            </w:r>
          </w:p>
        </w:tc>
        <w:tc>
          <w:tcPr>
            <w:tcW w:w="1221" w:type="pct"/>
            <w:vMerge w:val="continue"/>
            <w:tcBorders>
              <w:tl2br w:val="nil"/>
              <w:tr2bl w:val="nil"/>
            </w:tcBorders>
            <w:vAlign w:val="center"/>
          </w:tcPr>
          <w:p w14:paraId="23727C78">
            <w:pPr>
              <w:pStyle w:val="184"/>
              <w:spacing w:line="240" w:lineRule="auto"/>
              <w:rPr>
                <w:color w:val="auto"/>
                <w:sz w:val="21"/>
                <w:szCs w:val="21"/>
              </w:rPr>
            </w:pPr>
          </w:p>
        </w:tc>
      </w:tr>
      <w:tr w14:paraId="38857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70BC229F">
            <w:pPr>
              <w:jc w:val="center"/>
              <w:rPr>
                <w:rFonts w:hint="eastAsia" w:eastAsia="宋体"/>
                <w:lang w:val="en-US" w:eastAsia="zh-CN"/>
              </w:rPr>
            </w:pPr>
            <w:r>
              <w:rPr>
                <w:rFonts w:hint="eastAsia"/>
                <w:lang w:val="en-US" w:eastAsia="zh-CN"/>
              </w:rPr>
              <w:t>4</w:t>
            </w:r>
          </w:p>
        </w:tc>
        <w:tc>
          <w:tcPr>
            <w:tcW w:w="1716" w:type="pct"/>
            <w:tcBorders>
              <w:tl2br w:val="nil"/>
              <w:tr2bl w:val="nil"/>
            </w:tcBorders>
            <w:vAlign w:val="center"/>
          </w:tcPr>
          <w:p w14:paraId="4B2A331F">
            <w:pPr>
              <w:pStyle w:val="184"/>
              <w:spacing w:line="240" w:lineRule="auto"/>
              <w:rPr>
                <w:color w:val="auto"/>
                <w:sz w:val="21"/>
                <w:szCs w:val="21"/>
              </w:rPr>
            </w:pPr>
            <w:r>
              <w:rPr>
                <w:color w:val="auto"/>
                <w:sz w:val="21"/>
                <w:szCs w:val="21"/>
              </w:rPr>
              <w:t>硫酸盐</w:t>
            </w:r>
          </w:p>
        </w:tc>
        <w:tc>
          <w:tcPr>
            <w:tcW w:w="1202" w:type="pct"/>
            <w:tcBorders>
              <w:tl2br w:val="nil"/>
              <w:tr2bl w:val="nil"/>
            </w:tcBorders>
            <w:vAlign w:val="center"/>
          </w:tcPr>
          <w:p w14:paraId="499C2C53">
            <w:pPr>
              <w:pStyle w:val="184"/>
              <w:spacing w:line="240" w:lineRule="auto"/>
              <w:rPr>
                <w:color w:val="auto"/>
                <w:sz w:val="21"/>
                <w:szCs w:val="21"/>
              </w:rPr>
            </w:pPr>
            <w:r>
              <w:rPr>
                <w:color w:val="auto"/>
                <w:sz w:val="21"/>
                <w:szCs w:val="21"/>
              </w:rPr>
              <w:t>≤250</w:t>
            </w:r>
          </w:p>
        </w:tc>
        <w:tc>
          <w:tcPr>
            <w:tcW w:w="1221" w:type="pct"/>
            <w:vMerge w:val="continue"/>
            <w:tcBorders>
              <w:tl2br w:val="nil"/>
              <w:tr2bl w:val="nil"/>
            </w:tcBorders>
            <w:vAlign w:val="center"/>
          </w:tcPr>
          <w:p w14:paraId="1E6F4243">
            <w:pPr>
              <w:pStyle w:val="184"/>
              <w:spacing w:line="240" w:lineRule="auto"/>
              <w:rPr>
                <w:color w:val="auto"/>
                <w:sz w:val="21"/>
                <w:szCs w:val="21"/>
              </w:rPr>
            </w:pPr>
          </w:p>
        </w:tc>
      </w:tr>
      <w:tr w14:paraId="75EA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0EBFE6C3">
            <w:pPr>
              <w:jc w:val="center"/>
              <w:rPr>
                <w:rFonts w:hint="eastAsia" w:eastAsia="宋体"/>
                <w:lang w:val="en-US" w:eastAsia="zh-CN"/>
              </w:rPr>
            </w:pPr>
            <w:r>
              <w:rPr>
                <w:rFonts w:hint="eastAsia"/>
                <w:lang w:val="en-US" w:eastAsia="zh-CN"/>
              </w:rPr>
              <w:t>5</w:t>
            </w:r>
          </w:p>
        </w:tc>
        <w:tc>
          <w:tcPr>
            <w:tcW w:w="1716" w:type="pct"/>
            <w:tcBorders>
              <w:tl2br w:val="nil"/>
              <w:tr2bl w:val="nil"/>
            </w:tcBorders>
            <w:vAlign w:val="center"/>
          </w:tcPr>
          <w:p w14:paraId="273E031B">
            <w:pPr>
              <w:pStyle w:val="184"/>
              <w:spacing w:line="240" w:lineRule="auto"/>
              <w:rPr>
                <w:rFonts w:hint="eastAsia" w:eastAsia="宋体"/>
                <w:color w:val="auto"/>
                <w:sz w:val="21"/>
                <w:szCs w:val="21"/>
                <w:lang w:eastAsia="zh-CN"/>
              </w:rPr>
            </w:pPr>
            <w:r>
              <w:rPr>
                <w:rFonts w:hint="eastAsia"/>
                <w:color w:val="auto"/>
                <w:sz w:val="21"/>
                <w:szCs w:val="21"/>
                <w:lang w:eastAsia="zh-CN"/>
              </w:rPr>
              <w:t>氯化物</w:t>
            </w:r>
          </w:p>
        </w:tc>
        <w:tc>
          <w:tcPr>
            <w:tcW w:w="1202" w:type="pct"/>
            <w:tcBorders>
              <w:tl2br w:val="nil"/>
              <w:tr2bl w:val="nil"/>
            </w:tcBorders>
            <w:vAlign w:val="center"/>
          </w:tcPr>
          <w:p w14:paraId="010C4487">
            <w:pPr>
              <w:pStyle w:val="184"/>
              <w:spacing w:line="240" w:lineRule="auto"/>
              <w:rPr>
                <w:color w:val="auto"/>
                <w:sz w:val="21"/>
                <w:szCs w:val="21"/>
              </w:rPr>
            </w:pPr>
            <w:r>
              <w:rPr>
                <w:color w:val="auto"/>
                <w:sz w:val="21"/>
                <w:szCs w:val="21"/>
              </w:rPr>
              <w:t>≤250</w:t>
            </w:r>
          </w:p>
        </w:tc>
        <w:tc>
          <w:tcPr>
            <w:tcW w:w="1221" w:type="pct"/>
            <w:vMerge w:val="continue"/>
            <w:tcBorders>
              <w:tl2br w:val="nil"/>
              <w:tr2bl w:val="nil"/>
            </w:tcBorders>
            <w:vAlign w:val="center"/>
          </w:tcPr>
          <w:p w14:paraId="09B5F6EE">
            <w:pPr>
              <w:pStyle w:val="184"/>
              <w:spacing w:line="240" w:lineRule="auto"/>
              <w:rPr>
                <w:color w:val="auto"/>
                <w:sz w:val="21"/>
                <w:szCs w:val="21"/>
              </w:rPr>
            </w:pPr>
          </w:p>
        </w:tc>
      </w:tr>
      <w:tr w14:paraId="00069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5D8AFA0D">
            <w:pPr>
              <w:jc w:val="center"/>
              <w:rPr>
                <w:rFonts w:hint="eastAsia" w:eastAsia="宋体"/>
                <w:lang w:val="en-US" w:eastAsia="zh-CN"/>
              </w:rPr>
            </w:pPr>
            <w:r>
              <w:rPr>
                <w:rFonts w:hint="eastAsia"/>
                <w:lang w:val="en-US" w:eastAsia="zh-CN"/>
              </w:rPr>
              <w:t>6</w:t>
            </w:r>
          </w:p>
        </w:tc>
        <w:tc>
          <w:tcPr>
            <w:tcW w:w="1716" w:type="pct"/>
            <w:tcBorders>
              <w:tl2br w:val="nil"/>
              <w:tr2bl w:val="nil"/>
            </w:tcBorders>
            <w:vAlign w:val="center"/>
          </w:tcPr>
          <w:p w14:paraId="19D1201C">
            <w:pPr>
              <w:pStyle w:val="184"/>
              <w:spacing w:line="240" w:lineRule="auto"/>
              <w:rPr>
                <w:color w:val="auto"/>
                <w:sz w:val="21"/>
                <w:szCs w:val="21"/>
              </w:rPr>
            </w:pPr>
            <w:r>
              <w:rPr>
                <w:color w:val="auto"/>
                <w:sz w:val="21"/>
                <w:szCs w:val="21"/>
              </w:rPr>
              <w:t>铁</w:t>
            </w:r>
          </w:p>
        </w:tc>
        <w:tc>
          <w:tcPr>
            <w:tcW w:w="1202" w:type="pct"/>
            <w:tcBorders>
              <w:tl2br w:val="nil"/>
              <w:tr2bl w:val="nil"/>
            </w:tcBorders>
            <w:vAlign w:val="center"/>
          </w:tcPr>
          <w:p w14:paraId="245669C3">
            <w:pPr>
              <w:pStyle w:val="184"/>
              <w:spacing w:line="240" w:lineRule="auto"/>
              <w:rPr>
                <w:color w:val="auto"/>
                <w:sz w:val="21"/>
                <w:szCs w:val="21"/>
              </w:rPr>
            </w:pPr>
            <w:r>
              <w:rPr>
                <w:color w:val="auto"/>
                <w:sz w:val="21"/>
                <w:szCs w:val="21"/>
              </w:rPr>
              <w:t>≤0.3</w:t>
            </w:r>
          </w:p>
        </w:tc>
        <w:tc>
          <w:tcPr>
            <w:tcW w:w="1221" w:type="pct"/>
            <w:vMerge w:val="continue"/>
            <w:tcBorders>
              <w:tl2br w:val="nil"/>
              <w:tr2bl w:val="nil"/>
            </w:tcBorders>
            <w:vAlign w:val="center"/>
          </w:tcPr>
          <w:p w14:paraId="4A6EAB7F">
            <w:pPr>
              <w:pStyle w:val="184"/>
              <w:spacing w:line="240" w:lineRule="auto"/>
              <w:rPr>
                <w:color w:val="auto"/>
                <w:sz w:val="21"/>
                <w:szCs w:val="21"/>
              </w:rPr>
            </w:pPr>
          </w:p>
        </w:tc>
      </w:tr>
      <w:tr w14:paraId="2CD4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0BD09EE5">
            <w:pPr>
              <w:jc w:val="center"/>
              <w:rPr>
                <w:rFonts w:hint="eastAsia" w:eastAsia="宋体"/>
                <w:lang w:val="en-US" w:eastAsia="zh-CN"/>
              </w:rPr>
            </w:pPr>
            <w:r>
              <w:rPr>
                <w:rFonts w:hint="eastAsia"/>
                <w:lang w:val="en-US" w:eastAsia="zh-CN"/>
              </w:rPr>
              <w:t>7</w:t>
            </w:r>
          </w:p>
        </w:tc>
        <w:tc>
          <w:tcPr>
            <w:tcW w:w="1716" w:type="pct"/>
            <w:tcBorders>
              <w:tl2br w:val="nil"/>
              <w:tr2bl w:val="nil"/>
            </w:tcBorders>
            <w:vAlign w:val="center"/>
          </w:tcPr>
          <w:p w14:paraId="78DC43BA">
            <w:pPr>
              <w:pStyle w:val="184"/>
              <w:spacing w:line="240" w:lineRule="auto"/>
              <w:rPr>
                <w:color w:val="auto"/>
                <w:sz w:val="21"/>
                <w:szCs w:val="21"/>
              </w:rPr>
            </w:pPr>
            <w:r>
              <w:rPr>
                <w:color w:val="auto"/>
                <w:sz w:val="21"/>
                <w:szCs w:val="21"/>
              </w:rPr>
              <w:t>锰</w:t>
            </w:r>
          </w:p>
        </w:tc>
        <w:tc>
          <w:tcPr>
            <w:tcW w:w="1202" w:type="pct"/>
            <w:tcBorders>
              <w:tl2br w:val="nil"/>
              <w:tr2bl w:val="nil"/>
            </w:tcBorders>
            <w:vAlign w:val="center"/>
          </w:tcPr>
          <w:p w14:paraId="588BA91A">
            <w:pPr>
              <w:pStyle w:val="184"/>
              <w:spacing w:line="240" w:lineRule="auto"/>
              <w:rPr>
                <w:color w:val="auto"/>
                <w:sz w:val="21"/>
                <w:szCs w:val="21"/>
              </w:rPr>
            </w:pPr>
            <w:r>
              <w:rPr>
                <w:color w:val="auto"/>
                <w:sz w:val="21"/>
                <w:szCs w:val="21"/>
              </w:rPr>
              <w:t>≤0.1</w:t>
            </w:r>
          </w:p>
        </w:tc>
        <w:tc>
          <w:tcPr>
            <w:tcW w:w="1221" w:type="pct"/>
            <w:vMerge w:val="continue"/>
            <w:tcBorders>
              <w:tl2br w:val="nil"/>
              <w:tr2bl w:val="nil"/>
            </w:tcBorders>
            <w:vAlign w:val="center"/>
          </w:tcPr>
          <w:p w14:paraId="72A6C196">
            <w:pPr>
              <w:pStyle w:val="184"/>
              <w:spacing w:line="240" w:lineRule="auto"/>
              <w:rPr>
                <w:color w:val="auto"/>
                <w:sz w:val="21"/>
                <w:szCs w:val="21"/>
              </w:rPr>
            </w:pPr>
          </w:p>
        </w:tc>
      </w:tr>
      <w:tr w14:paraId="696B0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738CD722">
            <w:pPr>
              <w:jc w:val="center"/>
              <w:rPr>
                <w:rFonts w:hint="eastAsia" w:eastAsia="宋体"/>
                <w:lang w:val="en-US" w:eastAsia="zh-CN"/>
              </w:rPr>
            </w:pPr>
            <w:r>
              <w:rPr>
                <w:rFonts w:hint="eastAsia"/>
                <w:lang w:val="en-US" w:eastAsia="zh-CN"/>
              </w:rPr>
              <w:t>8</w:t>
            </w:r>
          </w:p>
        </w:tc>
        <w:tc>
          <w:tcPr>
            <w:tcW w:w="1716" w:type="pct"/>
            <w:tcBorders>
              <w:tl2br w:val="nil"/>
              <w:tr2bl w:val="nil"/>
            </w:tcBorders>
            <w:vAlign w:val="center"/>
          </w:tcPr>
          <w:p w14:paraId="1EA759E5">
            <w:pPr>
              <w:pStyle w:val="184"/>
              <w:spacing w:line="240" w:lineRule="auto"/>
              <w:rPr>
                <w:color w:val="auto"/>
                <w:sz w:val="21"/>
                <w:szCs w:val="21"/>
              </w:rPr>
            </w:pPr>
            <w:r>
              <w:rPr>
                <w:color w:val="auto"/>
                <w:sz w:val="21"/>
                <w:szCs w:val="21"/>
              </w:rPr>
              <w:t>铜</w:t>
            </w:r>
          </w:p>
        </w:tc>
        <w:tc>
          <w:tcPr>
            <w:tcW w:w="1202" w:type="pct"/>
            <w:tcBorders>
              <w:tl2br w:val="nil"/>
              <w:tr2bl w:val="nil"/>
            </w:tcBorders>
            <w:vAlign w:val="center"/>
          </w:tcPr>
          <w:p w14:paraId="6FB2BE1B">
            <w:pPr>
              <w:pStyle w:val="184"/>
              <w:spacing w:line="240" w:lineRule="auto"/>
              <w:rPr>
                <w:color w:val="auto"/>
                <w:sz w:val="21"/>
                <w:szCs w:val="21"/>
              </w:rPr>
            </w:pPr>
            <w:r>
              <w:rPr>
                <w:color w:val="auto"/>
                <w:sz w:val="21"/>
                <w:szCs w:val="21"/>
              </w:rPr>
              <w:t>≤1.0</w:t>
            </w:r>
          </w:p>
        </w:tc>
        <w:tc>
          <w:tcPr>
            <w:tcW w:w="1221" w:type="pct"/>
            <w:vMerge w:val="continue"/>
            <w:tcBorders>
              <w:tl2br w:val="nil"/>
              <w:tr2bl w:val="nil"/>
            </w:tcBorders>
            <w:vAlign w:val="center"/>
          </w:tcPr>
          <w:p w14:paraId="5E7B8E1F">
            <w:pPr>
              <w:pStyle w:val="184"/>
              <w:spacing w:line="240" w:lineRule="auto"/>
              <w:rPr>
                <w:color w:val="auto"/>
                <w:sz w:val="21"/>
                <w:szCs w:val="21"/>
              </w:rPr>
            </w:pPr>
          </w:p>
        </w:tc>
      </w:tr>
      <w:tr w14:paraId="35CA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5A017DD3">
            <w:pPr>
              <w:jc w:val="center"/>
              <w:rPr>
                <w:rFonts w:hint="eastAsia" w:eastAsia="宋体"/>
                <w:lang w:val="en-US" w:eastAsia="zh-CN"/>
              </w:rPr>
            </w:pPr>
            <w:r>
              <w:rPr>
                <w:rFonts w:hint="eastAsia"/>
                <w:lang w:val="en-US" w:eastAsia="zh-CN"/>
              </w:rPr>
              <w:t>9</w:t>
            </w:r>
          </w:p>
        </w:tc>
        <w:tc>
          <w:tcPr>
            <w:tcW w:w="1716" w:type="pct"/>
            <w:tcBorders>
              <w:tl2br w:val="nil"/>
              <w:tr2bl w:val="nil"/>
            </w:tcBorders>
            <w:vAlign w:val="center"/>
          </w:tcPr>
          <w:p w14:paraId="313BD5EC">
            <w:pPr>
              <w:pStyle w:val="184"/>
              <w:spacing w:line="240" w:lineRule="auto"/>
              <w:rPr>
                <w:color w:val="auto"/>
                <w:sz w:val="21"/>
                <w:szCs w:val="21"/>
              </w:rPr>
            </w:pPr>
            <w:r>
              <w:rPr>
                <w:color w:val="auto"/>
                <w:sz w:val="21"/>
                <w:szCs w:val="21"/>
              </w:rPr>
              <w:t>锌</w:t>
            </w:r>
          </w:p>
        </w:tc>
        <w:tc>
          <w:tcPr>
            <w:tcW w:w="1202" w:type="pct"/>
            <w:tcBorders>
              <w:tl2br w:val="nil"/>
              <w:tr2bl w:val="nil"/>
            </w:tcBorders>
            <w:vAlign w:val="center"/>
          </w:tcPr>
          <w:p w14:paraId="122D1D5F">
            <w:pPr>
              <w:pStyle w:val="184"/>
              <w:spacing w:line="240" w:lineRule="auto"/>
              <w:rPr>
                <w:color w:val="auto"/>
                <w:sz w:val="21"/>
                <w:szCs w:val="21"/>
              </w:rPr>
            </w:pPr>
            <w:r>
              <w:rPr>
                <w:color w:val="auto"/>
                <w:sz w:val="21"/>
                <w:szCs w:val="21"/>
              </w:rPr>
              <w:t>≤1.0</w:t>
            </w:r>
          </w:p>
        </w:tc>
        <w:tc>
          <w:tcPr>
            <w:tcW w:w="1221" w:type="pct"/>
            <w:vMerge w:val="continue"/>
            <w:tcBorders>
              <w:tl2br w:val="nil"/>
              <w:tr2bl w:val="nil"/>
            </w:tcBorders>
            <w:vAlign w:val="center"/>
          </w:tcPr>
          <w:p w14:paraId="22F4F6EB">
            <w:pPr>
              <w:pStyle w:val="184"/>
              <w:spacing w:line="240" w:lineRule="auto"/>
              <w:rPr>
                <w:color w:val="auto"/>
                <w:sz w:val="21"/>
                <w:szCs w:val="21"/>
              </w:rPr>
            </w:pPr>
          </w:p>
        </w:tc>
      </w:tr>
      <w:tr w14:paraId="58EB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23663A8E">
            <w:pPr>
              <w:jc w:val="center"/>
              <w:rPr>
                <w:rFonts w:hint="default" w:eastAsia="宋体"/>
                <w:lang w:val="en-US" w:eastAsia="zh-CN"/>
              </w:rPr>
            </w:pPr>
            <w:r>
              <w:rPr>
                <w:rFonts w:hint="eastAsia"/>
                <w:lang w:val="en-US" w:eastAsia="zh-CN"/>
              </w:rPr>
              <w:t>10</w:t>
            </w:r>
          </w:p>
        </w:tc>
        <w:tc>
          <w:tcPr>
            <w:tcW w:w="1716" w:type="pct"/>
            <w:tcBorders>
              <w:tl2br w:val="nil"/>
              <w:tr2bl w:val="nil"/>
            </w:tcBorders>
            <w:vAlign w:val="center"/>
          </w:tcPr>
          <w:p w14:paraId="25BFEAE3">
            <w:pPr>
              <w:pStyle w:val="184"/>
              <w:spacing w:line="240" w:lineRule="auto"/>
              <w:rPr>
                <w:rFonts w:hint="eastAsia" w:eastAsia="宋体"/>
                <w:color w:val="auto"/>
                <w:sz w:val="21"/>
                <w:szCs w:val="21"/>
                <w:lang w:eastAsia="zh-CN"/>
              </w:rPr>
            </w:pPr>
            <w:r>
              <w:rPr>
                <w:rFonts w:hint="eastAsia"/>
                <w:color w:val="auto"/>
                <w:sz w:val="21"/>
                <w:szCs w:val="21"/>
                <w:lang w:eastAsia="zh-CN"/>
              </w:rPr>
              <w:t>铝</w:t>
            </w:r>
          </w:p>
        </w:tc>
        <w:tc>
          <w:tcPr>
            <w:tcW w:w="1202" w:type="pct"/>
            <w:tcBorders>
              <w:tl2br w:val="nil"/>
              <w:tr2bl w:val="nil"/>
            </w:tcBorders>
            <w:vAlign w:val="center"/>
          </w:tcPr>
          <w:p w14:paraId="7528A45A">
            <w:pPr>
              <w:pStyle w:val="184"/>
              <w:spacing w:line="240" w:lineRule="auto"/>
              <w:rPr>
                <w:rFonts w:hint="default" w:eastAsia="宋体"/>
                <w:color w:val="auto"/>
                <w:sz w:val="21"/>
                <w:szCs w:val="21"/>
                <w:lang w:val="en-US" w:eastAsia="zh-CN"/>
              </w:rPr>
            </w:pPr>
            <w:r>
              <w:rPr>
                <w:color w:val="auto"/>
                <w:sz w:val="21"/>
                <w:szCs w:val="21"/>
              </w:rPr>
              <w:t>≤</w:t>
            </w:r>
            <w:r>
              <w:rPr>
                <w:rFonts w:hint="eastAsia"/>
                <w:color w:val="auto"/>
                <w:sz w:val="21"/>
                <w:szCs w:val="21"/>
                <w:lang w:val="en-US" w:eastAsia="zh-CN"/>
              </w:rPr>
              <w:t>0.2</w:t>
            </w:r>
          </w:p>
        </w:tc>
        <w:tc>
          <w:tcPr>
            <w:tcW w:w="1221" w:type="pct"/>
            <w:vMerge w:val="continue"/>
            <w:tcBorders>
              <w:tl2br w:val="nil"/>
              <w:tr2bl w:val="nil"/>
            </w:tcBorders>
            <w:vAlign w:val="center"/>
          </w:tcPr>
          <w:p w14:paraId="08E9839E">
            <w:pPr>
              <w:pStyle w:val="184"/>
              <w:spacing w:line="240" w:lineRule="auto"/>
              <w:rPr>
                <w:color w:val="auto"/>
                <w:sz w:val="21"/>
                <w:szCs w:val="21"/>
              </w:rPr>
            </w:pPr>
          </w:p>
        </w:tc>
      </w:tr>
      <w:tr w14:paraId="47E25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157BF752">
            <w:pPr>
              <w:jc w:val="center"/>
              <w:rPr>
                <w:rFonts w:hint="default" w:eastAsia="宋体"/>
                <w:lang w:val="en-US" w:eastAsia="zh-CN"/>
              </w:rPr>
            </w:pPr>
            <w:r>
              <w:rPr>
                <w:rFonts w:hint="eastAsia"/>
                <w:lang w:val="en-US" w:eastAsia="zh-CN"/>
              </w:rPr>
              <w:t>11</w:t>
            </w:r>
          </w:p>
        </w:tc>
        <w:tc>
          <w:tcPr>
            <w:tcW w:w="1716" w:type="pct"/>
            <w:tcBorders>
              <w:tl2br w:val="nil"/>
              <w:tr2bl w:val="nil"/>
            </w:tcBorders>
            <w:vAlign w:val="center"/>
          </w:tcPr>
          <w:p w14:paraId="4870FD6C">
            <w:pPr>
              <w:pStyle w:val="184"/>
              <w:spacing w:line="240" w:lineRule="auto"/>
              <w:rPr>
                <w:rFonts w:hint="eastAsia"/>
                <w:color w:val="auto"/>
                <w:sz w:val="21"/>
                <w:szCs w:val="21"/>
                <w:lang w:eastAsia="zh-CN"/>
              </w:rPr>
            </w:pPr>
            <w:r>
              <w:rPr>
                <w:rFonts w:hint="eastAsia"/>
                <w:color w:val="auto"/>
                <w:sz w:val="21"/>
                <w:szCs w:val="21"/>
                <w:lang w:eastAsia="zh-CN"/>
              </w:rPr>
              <w:t>挥发酚</w:t>
            </w:r>
          </w:p>
        </w:tc>
        <w:tc>
          <w:tcPr>
            <w:tcW w:w="1202" w:type="pct"/>
            <w:tcBorders>
              <w:tl2br w:val="nil"/>
              <w:tr2bl w:val="nil"/>
            </w:tcBorders>
            <w:vAlign w:val="center"/>
          </w:tcPr>
          <w:p w14:paraId="05A6F0C3">
            <w:pPr>
              <w:pStyle w:val="184"/>
              <w:spacing w:line="240" w:lineRule="auto"/>
              <w:rPr>
                <w:color w:val="auto"/>
                <w:sz w:val="21"/>
                <w:szCs w:val="21"/>
              </w:rPr>
            </w:pPr>
            <w:r>
              <w:rPr>
                <w:color w:val="auto"/>
                <w:sz w:val="21"/>
                <w:szCs w:val="21"/>
              </w:rPr>
              <w:t>≤</w:t>
            </w:r>
            <w:r>
              <w:rPr>
                <w:rFonts w:hint="eastAsia"/>
                <w:color w:val="auto"/>
                <w:sz w:val="21"/>
                <w:szCs w:val="21"/>
                <w:lang w:val="en-US" w:eastAsia="zh-CN"/>
              </w:rPr>
              <w:t>0.002</w:t>
            </w:r>
          </w:p>
        </w:tc>
        <w:tc>
          <w:tcPr>
            <w:tcW w:w="1221" w:type="pct"/>
            <w:vMerge w:val="continue"/>
            <w:tcBorders>
              <w:tl2br w:val="nil"/>
              <w:tr2bl w:val="nil"/>
            </w:tcBorders>
            <w:vAlign w:val="center"/>
          </w:tcPr>
          <w:p w14:paraId="1835A4CB">
            <w:pPr>
              <w:pStyle w:val="184"/>
              <w:spacing w:line="240" w:lineRule="auto"/>
              <w:rPr>
                <w:color w:val="auto"/>
                <w:sz w:val="21"/>
                <w:szCs w:val="21"/>
              </w:rPr>
            </w:pPr>
          </w:p>
        </w:tc>
      </w:tr>
      <w:tr w14:paraId="3579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6512259A">
            <w:pPr>
              <w:jc w:val="center"/>
              <w:rPr>
                <w:rFonts w:hint="default" w:eastAsia="宋体"/>
                <w:lang w:val="en-US" w:eastAsia="zh-CN"/>
              </w:rPr>
            </w:pPr>
            <w:r>
              <w:rPr>
                <w:rFonts w:hint="eastAsia"/>
                <w:lang w:val="en-US" w:eastAsia="zh-CN"/>
              </w:rPr>
              <w:t>12</w:t>
            </w:r>
          </w:p>
        </w:tc>
        <w:tc>
          <w:tcPr>
            <w:tcW w:w="1716" w:type="pct"/>
            <w:tcBorders>
              <w:tl2br w:val="nil"/>
              <w:tr2bl w:val="nil"/>
            </w:tcBorders>
            <w:vAlign w:val="center"/>
          </w:tcPr>
          <w:p w14:paraId="3F26A0AD">
            <w:pPr>
              <w:pStyle w:val="184"/>
              <w:spacing w:line="240" w:lineRule="auto"/>
              <w:rPr>
                <w:rFonts w:hint="eastAsia"/>
                <w:color w:val="auto"/>
                <w:sz w:val="21"/>
                <w:szCs w:val="21"/>
                <w:lang w:eastAsia="zh-CN"/>
              </w:rPr>
            </w:pPr>
            <w:r>
              <w:rPr>
                <w:color w:val="auto"/>
                <w:sz w:val="21"/>
                <w:szCs w:val="21"/>
              </w:rPr>
              <w:t>耗氧量</w:t>
            </w:r>
          </w:p>
        </w:tc>
        <w:tc>
          <w:tcPr>
            <w:tcW w:w="1202" w:type="pct"/>
            <w:tcBorders>
              <w:tl2br w:val="nil"/>
              <w:tr2bl w:val="nil"/>
            </w:tcBorders>
            <w:vAlign w:val="center"/>
          </w:tcPr>
          <w:p w14:paraId="482A915F">
            <w:pPr>
              <w:pStyle w:val="184"/>
              <w:spacing w:line="240" w:lineRule="auto"/>
              <w:rPr>
                <w:color w:val="auto"/>
                <w:sz w:val="21"/>
                <w:szCs w:val="21"/>
              </w:rPr>
            </w:pPr>
            <w:r>
              <w:rPr>
                <w:color w:val="auto"/>
                <w:sz w:val="21"/>
                <w:szCs w:val="21"/>
              </w:rPr>
              <w:t>≤3</w:t>
            </w:r>
          </w:p>
        </w:tc>
        <w:tc>
          <w:tcPr>
            <w:tcW w:w="1221" w:type="pct"/>
            <w:vMerge w:val="continue"/>
            <w:tcBorders>
              <w:tl2br w:val="nil"/>
              <w:tr2bl w:val="nil"/>
            </w:tcBorders>
            <w:vAlign w:val="center"/>
          </w:tcPr>
          <w:p w14:paraId="47219C96">
            <w:pPr>
              <w:pStyle w:val="184"/>
              <w:spacing w:line="240" w:lineRule="auto"/>
              <w:rPr>
                <w:color w:val="auto"/>
                <w:sz w:val="21"/>
                <w:szCs w:val="21"/>
              </w:rPr>
            </w:pPr>
          </w:p>
        </w:tc>
      </w:tr>
      <w:tr w14:paraId="361E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17D3D5A0">
            <w:pPr>
              <w:jc w:val="center"/>
              <w:rPr>
                <w:rFonts w:hint="default" w:eastAsia="宋体"/>
                <w:lang w:val="en-US" w:eastAsia="zh-CN"/>
              </w:rPr>
            </w:pPr>
            <w:r>
              <w:rPr>
                <w:rFonts w:hint="eastAsia"/>
                <w:lang w:val="en-US" w:eastAsia="zh-CN"/>
              </w:rPr>
              <w:t>13</w:t>
            </w:r>
          </w:p>
        </w:tc>
        <w:tc>
          <w:tcPr>
            <w:tcW w:w="1716" w:type="pct"/>
            <w:tcBorders>
              <w:tl2br w:val="nil"/>
              <w:tr2bl w:val="nil"/>
            </w:tcBorders>
            <w:vAlign w:val="center"/>
          </w:tcPr>
          <w:p w14:paraId="39E8E863">
            <w:pPr>
              <w:pStyle w:val="184"/>
              <w:spacing w:line="240" w:lineRule="auto"/>
              <w:rPr>
                <w:color w:val="auto"/>
                <w:sz w:val="21"/>
                <w:szCs w:val="21"/>
              </w:rPr>
            </w:pPr>
            <w:r>
              <w:rPr>
                <w:color w:val="auto"/>
                <w:sz w:val="21"/>
                <w:szCs w:val="21"/>
              </w:rPr>
              <w:t>氨氮</w:t>
            </w:r>
          </w:p>
        </w:tc>
        <w:tc>
          <w:tcPr>
            <w:tcW w:w="1202" w:type="pct"/>
            <w:tcBorders>
              <w:tl2br w:val="nil"/>
              <w:tr2bl w:val="nil"/>
            </w:tcBorders>
            <w:vAlign w:val="center"/>
          </w:tcPr>
          <w:p w14:paraId="0070531E">
            <w:pPr>
              <w:pStyle w:val="184"/>
              <w:spacing w:line="240" w:lineRule="auto"/>
              <w:rPr>
                <w:color w:val="auto"/>
                <w:sz w:val="21"/>
                <w:szCs w:val="21"/>
              </w:rPr>
            </w:pPr>
            <w:r>
              <w:rPr>
                <w:color w:val="auto"/>
                <w:sz w:val="21"/>
                <w:szCs w:val="21"/>
              </w:rPr>
              <w:t>≤0.5</w:t>
            </w:r>
          </w:p>
        </w:tc>
        <w:tc>
          <w:tcPr>
            <w:tcW w:w="1221" w:type="pct"/>
            <w:vMerge w:val="continue"/>
            <w:tcBorders>
              <w:tl2br w:val="nil"/>
              <w:tr2bl w:val="nil"/>
            </w:tcBorders>
            <w:vAlign w:val="center"/>
          </w:tcPr>
          <w:p w14:paraId="4F28E88C">
            <w:pPr>
              <w:pStyle w:val="184"/>
              <w:spacing w:line="240" w:lineRule="auto"/>
              <w:rPr>
                <w:color w:val="auto"/>
                <w:sz w:val="21"/>
                <w:szCs w:val="21"/>
              </w:rPr>
            </w:pPr>
          </w:p>
        </w:tc>
      </w:tr>
      <w:tr w14:paraId="1AC2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042E695A">
            <w:pPr>
              <w:jc w:val="center"/>
              <w:rPr>
                <w:rFonts w:hint="default" w:eastAsia="宋体"/>
                <w:lang w:val="en-US" w:eastAsia="zh-CN"/>
              </w:rPr>
            </w:pPr>
            <w:r>
              <w:rPr>
                <w:rFonts w:hint="eastAsia"/>
                <w:lang w:val="en-US" w:eastAsia="zh-CN"/>
              </w:rPr>
              <w:t>14</w:t>
            </w:r>
          </w:p>
        </w:tc>
        <w:tc>
          <w:tcPr>
            <w:tcW w:w="1716" w:type="pct"/>
            <w:tcBorders>
              <w:tl2br w:val="nil"/>
              <w:tr2bl w:val="nil"/>
            </w:tcBorders>
            <w:vAlign w:val="center"/>
          </w:tcPr>
          <w:p w14:paraId="2A493A82">
            <w:pPr>
              <w:pStyle w:val="184"/>
              <w:spacing w:line="240" w:lineRule="auto"/>
              <w:rPr>
                <w:rFonts w:hint="eastAsia" w:eastAsia="宋体"/>
                <w:color w:val="auto"/>
                <w:sz w:val="21"/>
                <w:szCs w:val="21"/>
                <w:lang w:eastAsia="zh-CN"/>
              </w:rPr>
            </w:pPr>
            <w:r>
              <w:rPr>
                <w:rFonts w:hint="eastAsia"/>
                <w:color w:val="auto"/>
                <w:sz w:val="21"/>
                <w:szCs w:val="21"/>
                <w:lang w:eastAsia="zh-CN"/>
              </w:rPr>
              <w:t>硫化物</w:t>
            </w:r>
          </w:p>
        </w:tc>
        <w:tc>
          <w:tcPr>
            <w:tcW w:w="1202" w:type="pct"/>
            <w:tcBorders>
              <w:tl2br w:val="nil"/>
              <w:tr2bl w:val="nil"/>
            </w:tcBorders>
            <w:vAlign w:val="center"/>
          </w:tcPr>
          <w:p w14:paraId="2848B245">
            <w:pPr>
              <w:pStyle w:val="184"/>
              <w:spacing w:line="240" w:lineRule="auto"/>
              <w:rPr>
                <w:color w:val="auto"/>
                <w:sz w:val="21"/>
                <w:szCs w:val="21"/>
              </w:rPr>
            </w:pPr>
            <w:r>
              <w:rPr>
                <w:color w:val="auto"/>
                <w:sz w:val="21"/>
                <w:szCs w:val="21"/>
              </w:rPr>
              <w:t>≤</w:t>
            </w:r>
            <w:r>
              <w:rPr>
                <w:rFonts w:hint="eastAsia"/>
                <w:color w:val="auto"/>
                <w:sz w:val="21"/>
                <w:szCs w:val="21"/>
                <w:lang w:val="en-US" w:eastAsia="zh-CN"/>
              </w:rPr>
              <w:t>0.02</w:t>
            </w:r>
          </w:p>
        </w:tc>
        <w:tc>
          <w:tcPr>
            <w:tcW w:w="1221" w:type="pct"/>
            <w:vMerge w:val="continue"/>
            <w:tcBorders>
              <w:tl2br w:val="nil"/>
              <w:tr2bl w:val="nil"/>
            </w:tcBorders>
            <w:vAlign w:val="center"/>
          </w:tcPr>
          <w:p w14:paraId="7764331D">
            <w:pPr>
              <w:pStyle w:val="184"/>
              <w:spacing w:line="240" w:lineRule="auto"/>
              <w:rPr>
                <w:color w:val="auto"/>
                <w:sz w:val="21"/>
                <w:szCs w:val="21"/>
              </w:rPr>
            </w:pPr>
          </w:p>
        </w:tc>
      </w:tr>
      <w:tr w14:paraId="6FD60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5238F550">
            <w:pPr>
              <w:jc w:val="center"/>
              <w:rPr>
                <w:rFonts w:hint="default" w:eastAsia="宋体"/>
                <w:lang w:val="en-US" w:eastAsia="zh-CN"/>
              </w:rPr>
            </w:pPr>
            <w:r>
              <w:rPr>
                <w:rFonts w:hint="eastAsia"/>
                <w:lang w:val="en-US" w:eastAsia="zh-CN"/>
              </w:rPr>
              <w:t>15</w:t>
            </w:r>
          </w:p>
        </w:tc>
        <w:tc>
          <w:tcPr>
            <w:tcW w:w="1716" w:type="pct"/>
            <w:tcBorders>
              <w:tl2br w:val="nil"/>
              <w:tr2bl w:val="nil"/>
            </w:tcBorders>
            <w:vAlign w:val="center"/>
          </w:tcPr>
          <w:p w14:paraId="32A5DC8E">
            <w:pPr>
              <w:pStyle w:val="184"/>
              <w:spacing w:line="240" w:lineRule="auto"/>
              <w:rPr>
                <w:rFonts w:hint="eastAsia"/>
                <w:color w:val="auto"/>
                <w:sz w:val="21"/>
                <w:szCs w:val="21"/>
                <w:lang w:eastAsia="zh-CN"/>
              </w:rPr>
            </w:pPr>
            <w:r>
              <w:rPr>
                <w:color w:val="auto"/>
                <w:sz w:val="21"/>
                <w:szCs w:val="21"/>
              </w:rPr>
              <w:t>汞</w:t>
            </w:r>
          </w:p>
        </w:tc>
        <w:tc>
          <w:tcPr>
            <w:tcW w:w="1202" w:type="pct"/>
            <w:tcBorders>
              <w:tl2br w:val="nil"/>
              <w:tr2bl w:val="nil"/>
            </w:tcBorders>
            <w:vAlign w:val="center"/>
          </w:tcPr>
          <w:p w14:paraId="48B0558D">
            <w:pPr>
              <w:pStyle w:val="184"/>
              <w:spacing w:line="240" w:lineRule="auto"/>
              <w:rPr>
                <w:color w:val="auto"/>
                <w:sz w:val="21"/>
                <w:szCs w:val="21"/>
              </w:rPr>
            </w:pPr>
            <w:r>
              <w:rPr>
                <w:color w:val="auto"/>
                <w:sz w:val="21"/>
                <w:szCs w:val="21"/>
              </w:rPr>
              <w:t>≤0.001</w:t>
            </w:r>
          </w:p>
        </w:tc>
        <w:tc>
          <w:tcPr>
            <w:tcW w:w="1221" w:type="pct"/>
            <w:vMerge w:val="continue"/>
            <w:tcBorders>
              <w:tl2br w:val="nil"/>
              <w:tr2bl w:val="nil"/>
            </w:tcBorders>
            <w:vAlign w:val="center"/>
          </w:tcPr>
          <w:p w14:paraId="148FBCF1">
            <w:pPr>
              <w:pStyle w:val="184"/>
              <w:spacing w:line="240" w:lineRule="auto"/>
              <w:rPr>
                <w:color w:val="auto"/>
                <w:sz w:val="21"/>
                <w:szCs w:val="21"/>
              </w:rPr>
            </w:pPr>
          </w:p>
        </w:tc>
      </w:tr>
      <w:tr w14:paraId="6162B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3F53C829">
            <w:pPr>
              <w:jc w:val="center"/>
              <w:rPr>
                <w:rFonts w:hint="default" w:eastAsia="宋体"/>
                <w:lang w:val="en-US" w:eastAsia="zh-CN"/>
              </w:rPr>
            </w:pPr>
            <w:r>
              <w:rPr>
                <w:rFonts w:hint="eastAsia"/>
                <w:lang w:val="en-US" w:eastAsia="zh-CN"/>
              </w:rPr>
              <w:t>16</w:t>
            </w:r>
          </w:p>
        </w:tc>
        <w:tc>
          <w:tcPr>
            <w:tcW w:w="1716" w:type="pct"/>
            <w:tcBorders>
              <w:tl2br w:val="nil"/>
              <w:tr2bl w:val="nil"/>
            </w:tcBorders>
            <w:vAlign w:val="center"/>
          </w:tcPr>
          <w:p w14:paraId="661C11A4">
            <w:pPr>
              <w:pStyle w:val="184"/>
              <w:spacing w:line="240" w:lineRule="auto"/>
              <w:rPr>
                <w:color w:val="auto"/>
                <w:sz w:val="21"/>
                <w:szCs w:val="21"/>
              </w:rPr>
            </w:pPr>
            <w:r>
              <w:rPr>
                <w:color w:val="auto"/>
                <w:sz w:val="21"/>
                <w:szCs w:val="21"/>
              </w:rPr>
              <w:t>砷</w:t>
            </w:r>
          </w:p>
        </w:tc>
        <w:tc>
          <w:tcPr>
            <w:tcW w:w="1202" w:type="pct"/>
            <w:tcBorders>
              <w:tl2br w:val="nil"/>
              <w:tr2bl w:val="nil"/>
            </w:tcBorders>
            <w:vAlign w:val="center"/>
          </w:tcPr>
          <w:p w14:paraId="779A0E71">
            <w:pPr>
              <w:pStyle w:val="184"/>
              <w:spacing w:line="240" w:lineRule="auto"/>
              <w:rPr>
                <w:color w:val="auto"/>
                <w:sz w:val="21"/>
                <w:szCs w:val="21"/>
              </w:rPr>
            </w:pPr>
            <w:r>
              <w:rPr>
                <w:color w:val="auto"/>
                <w:sz w:val="21"/>
                <w:szCs w:val="21"/>
              </w:rPr>
              <w:t>≤0.01</w:t>
            </w:r>
          </w:p>
        </w:tc>
        <w:tc>
          <w:tcPr>
            <w:tcW w:w="1221" w:type="pct"/>
            <w:vMerge w:val="continue"/>
            <w:tcBorders>
              <w:tl2br w:val="nil"/>
              <w:tr2bl w:val="nil"/>
            </w:tcBorders>
            <w:vAlign w:val="center"/>
          </w:tcPr>
          <w:p w14:paraId="058EBC4B">
            <w:pPr>
              <w:pStyle w:val="184"/>
              <w:spacing w:line="240" w:lineRule="auto"/>
              <w:rPr>
                <w:color w:val="auto"/>
                <w:sz w:val="21"/>
                <w:szCs w:val="21"/>
              </w:rPr>
            </w:pPr>
          </w:p>
        </w:tc>
      </w:tr>
      <w:tr w14:paraId="0ED1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3377DC59">
            <w:pPr>
              <w:jc w:val="center"/>
              <w:rPr>
                <w:rFonts w:hint="default" w:eastAsia="宋体"/>
                <w:lang w:val="en-US" w:eastAsia="zh-CN"/>
              </w:rPr>
            </w:pPr>
            <w:r>
              <w:rPr>
                <w:rFonts w:hint="eastAsia"/>
                <w:lang w:val="en-US" w:eastAsia="zh-CN"/>
              </w:rPr>
              <w:t>17</w:t>
            </w:r>
          </w:p>
        </w:tc>
        <w:tc>
          <w:tcPr>
            <w:tcW w:w="1716" w:type="pct"/>
            <w:tcBorders>
              <w:tl2br w:val="nil"/>
              <w:tr2bl w:val="nil"/>
            </w:tcBorders>
            <w:vAlign w:val="center"/>
          </w:tcPr>
          <w:p w14:paraId="79F5E7C6">
            <w:pPr>
              <w:pStyle w:val="184"/>
              <w:spacing w:line="240" w:lineRule="auto"/>
              <w:rPr>
                <w:color w:val="auto"/>
                <w:sz w:val="21"/>
                <w:szCs w:val="21"/>
              </w:rPr>
            </w:pPr>
            <w:r>
              <w:rPr>
                <w:color w:val="auto"/>
                <w:sz w:val="21"/>
                <w:szCs w:val="21"/>
              </w:rPr>
              <w:t>镉</w:t>
            </w:r>
          </w:p>
        </w:tc>
        <w:tc>
          <w:tcPr>
            <w:tcW w:w="1202" w:type="pct"/>
            <w:tcBorders>
              <w:tl2br w:val="nil"/>
              <w:tr2bl w:val="nil"/>
            </w:tcBorders>
            <w:vAlign w:val="center"/>
          </w:tcPr>
          <w:p w14:paraId="26502215">
            <w:pPr>
              <w:pStyle w:val="184"/>
              <w:spacing w:line="240" w:lineRule="auto"/>
              <w:rPr>
                <w:color w:val="auto"/>
                <w:sz w:val="21"/>
                <w:szCs w:val="21"/>
              </w:rPr>
            </w:pPr>
            <w:r>
              <w:rPr>
                <w:color w:val="auto"/>
                <w:sz w:val="21"/>
                <w:szCs w:val="21"/>
              </w:rPr>
              <w:t>≤0.005</w:t>
            </w:r>
          </w:p>
        </w:tc>
        <w:tc>
          <w:tcPr>
            <w:tcW w:w="1221" w:type="pct"/>
            <w:vMerge w:val="continue"/>
            <w:tcBorders>
              <w:tl2br w:val="nil"/>
              <w:tr2bl w:val="nil"/>
            </w:tcBorders>
            <w:vAlign w:val="center"/>
          </w:tcPr>
          <w:p w14:paraId="04F6B39D">
            <w:pPr>
              <w:pStyle w:val="184"/>
              <w:spacing w:line="240" w:lineRule="auto"/>
              <w:rPr>
                <w:color w:val="auto"/>
                <w:sz w:val="21"/>
                <w:szCs w:val="21"/>
              </w:rPr>
            </w:pPr>
          </w:p>
        </w:tc>
      </w:tr>
      <w:tr w14:paraId="1FDD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6C3056D1">
            <w:pPr>
              <w:jc w:val="center"/>
              <w:rPr>
                <w:rFonts w:hint="default" w:eastAsia="宋体"/>
                <w:lang w:val="en-US" w:eastAsia="zh-CN"/>
              </w:rPr>
            </w:pPr>
            <w:r>
              <w:rPr>
                <w:rFonts w:hint="eastAsia"/>
                <w:lang w:val="en-US" w:eastAsia="zh-CN"/>
              </w:rPr>
              <w:t>18</w:t>
            </w:r>
          </w:p>
        </w:tc>
        <w:tc>
          <w:tcPr>
            <w:tcW w:w="1716" w:type="pct"/>
            <w:tcBorders>
              <w:tl2br w:val="nil"/>
              <w:tr2bl w:val="nil"/>
            </w:tcBorders>
            <w:vAlign w:val="center"/>
          </w:tcPr>
          <w:p w14:paraId="4078691A">
            <w:pPr>
              <w:pStyle w:val="184"/>
              <w:spacing w:line="240" w:lineRule="auto"/>
              <w:rPr>
                <w:color w:val="auto"/>
                <w:sz w:val="21"/>
                <w:szCs w:val="21"/>
              </w:rPr>
            </w:pPr>
            <w:r>
              <w:rPr>
                <w:color w:val="auto"/>
                <w:sz w:val="21"/>
                <w:szCs w:val="21"/>
              </w:rPr>
              <w:t>六价铬</w:t>
            </w:r>
          </w:p>
        </w:tc>
        <w:tc>
          <w:tcPr>
            <w:tcW w:w="1202" w:type="pct"/>
            <w:tcBorders>
              <w:tl2br w:val="nil"/>
              <w:tr2bl w:val="nil"/>
            </w:tcBorders>
            <w:vAlign w:val="center"/>
          </w:tcPr>
          <w:p w14:paraId="5DFCB5DD">
            <w:pPr>
              <w:pStyle w:val="184"/>
              <w:spacing w:line="240" w:lineRule="auto"/>
              <w:rPr>
                <w:color w:val="auto"/>
                <w:sz w:val="21"/>
                <w:szCs w:val="21"/>
              </w:rPr>
            </w:pPr>
            <w:r>
              <w:rPr>
                <w:color w:val="auto"/>
                <w:sz w:val="21"/>
                <w:szCs w:val="21"/>
              </w:rPr>
              <w:t>≤0.05</w:t>
            </w:r>
          </w:p>
        </w:tc>
        <w:tc>
          <w:tcPr>
            <w:tcW w:w="1221" w:type="pct"/>
            <w:vMerge w:val="continue"/>
            <w:tcBorders>
              <w:tl2br w:val="nil"/>
              <w:tr2bl w:val="nil"/>
            </w:tcBorders>
            <w:vAlign w:val="center"/>
          </w:tcPr>
          <w:p w14:paraId="69167575">
            <w:pPr>
              <w:pStyle w:val="184"/>
              <w:spacing w:line="240" w:lineRule="auto"/>
              <w:rPr>
                <w:color w:val="auto"/>
                <w:sz w:val="21"/>
                <w:szCs w:val="21"/>
              </w:rPr>
            </w:pPr>
          </w:p>
        </w:tc>
      </w:tr>
      <w:tr w14:paraId="478E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3C6E7858">
            <w:pPr>
              <w:jc w:val="center"/>
              <w:rPr>
                <w:rFonts w:hint="default" w:eastAsia="宋体"/>
                <w:lang w:val="en-US" w:eastAsia="zh-CN"/>
              </w:rPr>
            </w:pPr>
            <w:r>
              <w:rPr>
                <w:rFonts w:hint="eastAsia"/>
                <w:lang w:val="en-US" w:eastAsia="zh-CN"/>
              </w:rPr>
              <w:t>19</w:t>
            </w:r>
          </w:p>
        </w:tc>
        <w:tc>
          <w:tcPr>
            <w:tcW w:w="1716" w:type="pct"/>
            <w:tcBorders>
              <w:tl2br w:val="nil"/>
              <w:tr2bl w:val="nil"/>
            </w:tcBorders>
            <w:vAlign w:val="center"/>
          </w:tcPr>
          <w:p w14:paraId="77B3630F">
            <w:pPr>
              <w:pStyle w:val="184"/>
              <w:spacing w:line="240" w:lineRule="auto"/>
              <w:rPr>
                <w:color w:val="auto"/>
                <w:sz w:val="21"/>
                <w:szCs w:val="21"/>
              </w:rPr>
            </w:pPr>
            <w:r>
              <w:rPr>
                <w:color w:val="auto"/>
                <w:sz w:val="21"/>
                <w:szCs w:val="21"/>
              </w:rPr>
              <w:t>铅</w:t>
            </w:r>
          </w:p>
        </w:tc>
        <w:tc>
          <w:tcPr>
            <w:tcW w:w="1202" w:type="pct"/>
            <w:tcBorders>
              <w:tl2br w:val="nil"/>
              <w:tr2bl w:val="nil"/>
            </w:tcBorders>
            <w:vAlign w:val="center"/>
          </w:tcPr>
          <w:p w14:paraId="2B35C0C0">
            <w:pPr>
              <w:pStyle w:val="184"/>
              <w:spacing w:line="240" w:lineRule="auto"/>
              <w:rPr>
                <w:color w:val="auto"/>
                <w:sz w:val="21"/>
                <w:szCs w:val="21"/>
              </w:rPr>
            </w:pPr>
            <w:r>
              <w:rPr>
                <w:color w:val="auto"/>
                <w:sz w:val="21"/>
                <w:szCs w:val="21"/>
              </w:rPr>
              <w:t>≤0.01</w:t>
            </w:r>
          </w:p>
        </w:tc>
        <w:tc>
          <w:tcPr>
            <w:tcW w:w="1221" w:type="pct"/>
            <w:vMerge w:val="continue"/>
            <w:tcBorders>
              <w:tl2br w:val="nil"/>
              <w:tr2bl w:val="nil"/>
            </w:tcBorders>
            <w:vAlign w:val="center"/>
          </w:tcPr>
          <w:p w14:paraId="3FCE05CB">
            <w:pPr>
              <w:pStyle w:val="184"/>
              <w:spacing w:line="240" w:lineRule="auto"/>
              <w:rPr>
                <w:color w:val="auto"/>
                <w:sz w:val="21"/>
                <w:szCs w:val="21"/>
              </w:rPr>
            </w:pPr>
          </w:p>
        </w:tc>
      </w:tr>
      <w:tr w14:paraId="09E2D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5126A736">
            <w:pPr>
              <w:jc w:val="center"/>
              <w:rPr>
                <w:rFonts w:hint="default" w:eastAsia="宋体"/>
                <w:lang w:val="en-US" w:eastAsia="zh-CN"/>
              </w:rPr>
            </w:pPr>
            <w:r>
              <w:rPr>
                <w:rFonts w:hint="eastAsia"/>
                <w:lang w:val="en-US" w:eastAsia="zh-CN"/>
              </w:rPr>
              <w:t>20</w:t>
            </w:r>
          </w:p>
        </w:tc>
        <w:tc>
          <w:tcPr>
            <w:tcW w:w="1716" w:type="pct"/>
            <w:tcBorders>
              <w:tl2br w:val="nil"/>
              <w:tr2bl w:val="nil"/>
            </w:tcBorders>
            <w:vAlign w:val="center"/>
          </w:tcPr>
          <w:p w14:paraId="2D47AF07">
            <w:pPr>
              <w:pStyle w:val="184"/>
              <w:spacing w:line="240" w:lineRule="auto"/>
              <w:rPr>
                <w:color w:val="auto"/>
                <w:sz w:val="21"/>
                <w:szCs w:val="21"/>
              </w:rPr>
            </w:pPr>
            <w:r>
              <w:rPr>
                <w:color w:val="auto"/>
                <w:sz w:val="21"/>
                <w:szCs w:val="21"/>
              </w:rPr>
              <w:t>硝酸盐</w:t>
            </w:r>
          </w:p>
        </w:tc>
        <w:tc>
          <w:tcPr>
            <w:tcW w:w="1202" w:type="pct"/>
            <w:tcBorders>
              <w:tl2br w:val="nil"/>
              <w:tr2bl w:val="nil"/>
            </w:tcBorders>
            <w:vAlign w:val="center"/>
          </w:tcPr>
          <w:p w14:paraId="01A62CBC">
            <w:pPr>
              <w:pStyle w:val="184"/>
              <w:spacing w:line="240" w:lineRule="auto"/>
              <w:rPr>
                <w:color w:val="auto"/>
                <w:sz w:val="21"/>
                <w:szCs w:val="21"/>
              </w:rPr>
            </w:pPr>
            <w:r>
              <w:rPr>
                <w:color w:val="auto"/>
                <w:sz w:val="21"/>
                <w:szCs w:val="21"/>
              </w:rPr>
              <w:t>≤20</w:t>
            </w:r>
          </w:p>
        </w:tc>
        <w:tc>
          <w:tcPr>
            <w:tcW w:w="1221" w:type="pct"/>
            <w:vMerge w:val="continue"/>
            <w:tcBorders>
              <w:tl2br w:val="nil"/>
              <w:tr2bl w:val="nil"/>
            </w:tcBorders>
            <w:vAlign w:val="center"/>
          </w:tcPr>
          <w:p w14:paraId="5875713E">
            <w:pPr>
              <w:pStyle w:val="184"/>
              <w:spacing w:line="240" w:lineRule="auto"/>
              <w:rPr>
                <w:color w:val="auto"/>
                <w:sz w:val="21"/>
                <w:szCs w:val="21"/>
              </w:rPr>
            </w:pPr>
          </w:p>
        </w:tc>
      </w:tr>
      <w:tr w14:paraId="51AF0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452AC6D4">
            <w:pPr>
              <w:jc w:val="center"/>
              <w:rPr>
                <w:rFonts w:hint="default" w:eastAsia="宋体"/>
                <w:lang w:val="en-US" w:eastAsia="zh-CN"/>
              </w:rPr>
            </w:pPr>
            <w:r>
              <w:rPr>
                <w:rFonts w:hint="eastAsia"/>
                <w:lang w:val="en-US" w:eastAsia="zh-CN"/>
              </w:rPr>
              <w:t>21</w:t>
            </w:r>
          </w:p>
        </w:tc>
        <w:tc>
          <w:tcPr>
            <w:tcW w:w="1716" w:type="pct"/>
            <w:tcBorders>
              <w:tl2br w:val="nil"/>
              <w:tr2bl w:val="nil"/>
            </w:tcBorders>
            <w:vAlign w:val="center"/>
          </w:tcPr>
          <w:p w14:paraId="0CD920B1">
            <w:pPr>
              <w:pStyle w:val="184"/>
              <w:spacing w:line="240" w:lineRule="auto"/>
              <w:rPr>
                <w:color w:val="auto"/>
                <w:sz w:val="21"/>
                <w:szCs w:val="21"/>
              </w:rPr>
            </w:pPr>
            <w:r>
              <w:rPr>
                <w:color w:val="auto"/>
                <w:sz w:val="21"/>
                <w:szCs w:val="21"/>
              </w:rPr>
              <w:t>亚硝酸盐</w:t>
            </w:r>
          </w:p>
        </w:tc>
        <w:tc>
          <w:tcPr>
            <w:tcW w:w="1202" w:type="pct"/>
            <w:tcBorders>
              <w:tl2br w:val="nil"/>
              <w:tr2bl w:val="nil"/>
            </w:tcBorders>
            <w:vAlign w:val="center"/>
          </w:tcPr>
          <w:p w14:paraId="5E5D9935">
            <w:pPr>
              <w:pStyle w:val="184"/>
              <w:spacing w:line="240" w:lineRule="auto"/>
              <w:rPr>
                <w:color w:val="auto"/>
                <w:sz w:val="21"/>
                <w:szCs w:val="21"/>
              </w:rPr>
            </w:pPr>
            <w:r>
              <w:rPr>
                <w:color w:val="auto"/>
                <w:sz w:val="21"/>
                <w:szCs w:val="21"/>
              </w:rPr>
              <w:t>≤1.0</w:t>
            </w:r>
          </w:p>
        </w:tc>
        <w:tc>
          <w:tcPr>
            <w:tcW w:w="1221" w:type="pct"/>
            <w:vMerge w:val="continue"/>
            <w:tcBorders>
              <w:tl2br w:val="nil"/>
              <w:tr2bl w:val="nil"/>
            </w:tcBorders>
            <w:vAlign w:val="center"/>
          </w:tcPr>
          <w:p w14:paraId="7C34F82B">
            <w:pPr>
              <w:pStyle w:val="184"/>
              <w:spacing w:line="240" w:lineRule="auto"/>
              <w:rPr>
                <w:color w:val="auto"/>
                <w:sz w:val="21"/>
                <w:szCs w:val="21"/>
              </w:rPr>
            </w:pPr>
          </w:p>
        </w:tc>
      </w:tr>
      <w:tr w14:paraId="16C8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1296B848">
            <w:pPr>
              <w:jc w:val="center"/>
              <w:rPr>
                <w:rFonts w:hint="default" w:eastAsia="宋体"/>
                <w:lang w:val="en-US" w:eastAsia="zh-CN"/>
              </w:rPr>
            </w:pPr>
            <w:r>
              <w:rPr>
                <w:rFonts w:hint="eastAsia"/>
                <w:lang w:val="en-US" w:eastAsia="zh-CN"/>
              </w:rPr>
              <w:t>22</w:t>
            </w:r>
          </w:p>
        </w:tc>
        <w:tc>
          <w:tcPr>
            <w:tcW w:w="1716" w:type="pct"/>
            <w:tcBorders>
              <w:tl2br w:val="nil"/>
              <w:tr2bl w:val="nil"/>
            </w:tcBorders>
            <w:vAlign w:val="center"/>
          </w:tcPr>
          <w:p w14:paraId="08E97DB8">
            <w:pPr>
              <w:pStyle w:val="184"/>
              <w:spacing w:line="240" w:lineRule="auto"/>
              <w:rPr>
                <w:color w:val="auto"/>
                <w:sz w:val="21"/>
                <w:szCs w:val="21"/>
              </w:rPr>
            </w:pPr>
            <w:r>
              <w:rPr>
                <w:rFonts w:hint="eastAsia"/>
                <w:color w:val="auto"/>
                <w:sz w:val="21"/>
                <w:szCs w:val="21"/>
              </w:rPr>
              <w:t>氰化物</w:t>
            </w:r>
          </w:p>
        </w:tc>
        <w:tc>
          <w:tcPr>
            <w:tcW w:w="1202" w:type="pct"/>
            <w:tcBorders>
              <w:tl2br w:val="nil"/>
              <w:tr2bl w:val="nil"/>
            </w:tcBorders>
            <w:vAlign w:val="center"/>
          </w:tcPr>
          <w:p w14:paraId="066BDF71">
            <w:pPr>
              <w:pStyle w:val="184"/>
              <w:spacing w:line="240" w:lineRule="auto"/>
              <w:rPr>
                <w:color w:val="auto"/>
                <w:sz w:val="21"/>
                <w:szCs w:val="21"/>
              </w:rPr>
            </w:pPr>
            <w:r>
              <w:rPr>
                <w:color w:val="auto"/>
                <w:sz w:val="21"/>
                <w:szCs w:val="21"/>
              </w:rPr>
              <w:t>≤1.0</w:t>
            </w:r>
          </w:p>
        </w:tc>
        <w:tc>
          <w:tcPr>
            <w:tcW w:w="1221" w:type="pct"/>
            <w:vMerge w:val="continue"/>
            <w:tcBorders>
              <w:tl2br w:val="nil"/>
              <w:tr2bl w:val="nil"/>
            </w:tcBorders>
            <w:vAlign w:val="center"/>
          </w:tcPr>
          <w:p w14:paraId="7D4F0393">
            <w:pPr>
              <w:pStyle w:val="184"/>
              <w:spacing w:line="240" w:lineRule="auto"/>
              <w:rPr>
                <w:color w:val="auto"/>
                <w:sz w:val="21"/>
                <w:szCs w:val="21"/>
              </w:rPr>
            </w:pPr>
          </w:p>
        </w:tc>
      </w:tr>
      <w:tr w14:paraId="4B65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413463D3">
            <w:pPr>
              <w:jc w:val="center"/>
              <w:rPr>
                <w:rFonts w:hint="default" w:eastAsia="宋体"/>
                <w:lang w:val="en-US" w:eastAsia="zh-CN"/>
              </w:rPr>
            </w:pPr>
            <w:r>
              <w:rPr>
                <w:rFonts w:hint="eastAsia"/>
                <w:lang w:val="en-US" w:eastAsia="zh-CN"/>
              </w:rPr>
              <w:t>23</w:t>
            </w:r>
          </w:p>
        </w:tc>
        <w:tc>
          <w:tcPr>
            <w:tcW w:w="1716" w:type="pct"/>
            <w:tcBorders>
              <w:tl2br w:val="nil"/>
              <w:tr2bl w:val="nil"/>
            </w:tcBorders>
            <w:vAlign w:val="center"/>
          </w:tcPr>
          <w:p w14:paraId="50EFE3A3">
            <w:pPr>
              <w:pStyle w:val="184"/>
              <w:spacing w:line="240" w:lineRule="auto"/>
              <w:rPr>
                <w:rFonts w:hint="eastAsia"/>
                <w:color w:val="auto"/>
                <w:sz w:val="21"/>
                <w:szCs w:val="21"/>
                <w:highlight w:val="none"/>
              </w:rPr>
            </w:pPr>
            <w:r>
              <w:rPr>
                <w:color w:val="auto"/>
                <w:sz w:val="21"/>
                <w:szCs w:val="21"/>
                <w:highlight w:val="none"/>
              </w:rPr>
              <w:t>氟化物</w:t>
            </w:r>
          </w:p>
        </w:tc>
        <w:tc>
          <w:tcPr>
            <w:tcW w:w="1202" w:type="pct"/>
            <w:tcBorders>
              <w:tl2br w:val="nil"/>
              <w:tr2bl w:val="nil"/>
            </w:tcBorders>
            <w:vAlign w:val="center"/>
          </w:tcPr>
          <w:p w14:paraId="3F0DBBB6">
            <w:pPr>
              <w:pStyle w:val="184"/>
              <w:spacing w:line="240" w:lineRule="auto"/>
              <w:rPr>
                <w:color w:val="auto"/>
                <w:sz w:val="21"/>
                <w:szCs w:val="21"/>
                <w:highlight w:val="none"/>
              </w:rPr>
            </w:pPr>
            <w:r>
              <w:rPr>
                <w:color w:val="auto"/>
                <w:sz w:val="21"/>
                <w:szCs w:val="21"/>
                <w:highlight w:val="none"/>
              </w:rPr>
              <w:t>≤1.0</w:t>
            </w:r>
          </w:p>
        </w:tc>
        <w:tc>
          <w:tcPr>
            <w:tcW w:w="1221" w:type="pct"/>
            <w:vMerge w:val="continue"/>
            <w:tcBorders>
              <w:tl2br w:val="nil"/>
              <w:tr2bl w:val="nil"/>
            </w:tcBorders>
            <w:vAlign w:val="center"/>
          </w:tcPr>
          <w:p w14:paraId="5683C5BC">
            <w:pPr>
              <w:pStyle w:val="184"/>
              <w:spacing w:line="240" w:lineRule="auto"/>
              <w:rPr>
                <w:color w:val="auto"/>
                <w:sz w:val="21"/>
                <w:szCs w:val="21"/>
              </w:rPr>
            </w:pPr>
          </w:p>
        </w:tc>
      </w:tr>
      <w:tr w14:paraId="22EF6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858" w:type="pct"/>
            <w:tcBorders>
              <w:tl2br w:val="nil"/>
              <w:tr2bl w:val="nil"/>
            </w:tcBorders>
            <w:vAlign w:val="center"/>
          </w:tcPr>
          <w:p w14:paraId="523E418E">
            <w:pPr>
              <w:jc w:val="center"/>
              <w:rPr>
                <w:rFonts w:hint="default" w:eastAsia="宋体"/>
                <w:lang w:val="en-US" w:eastAsia="zh-CN"/>
              </w:rPr>
            </w:pPr>
            <w:r>
              <w:rPr>
                <w:rFonts w:hint="eastAsia"/>
                <w:lang w:val="en-US" w:eastAsia="zh-CN"/>
              </w:rPr>
              <w:t>24</w:t>
            </w:r>
          </w:p>
        </w:tc>
        <w:tc>
          <w:tcPr>
            <w:tcW w:w="1716" w:type="pct"/>
            <w:tcBorders>
              <w:tl2br w:val="nil"/>
              <w:tr2bl w:val="nil"/>
            </w:tcBorders>
            <w:vAlign w:val="center"/>
          </w:tcPr>
          <w:p w14:paraId="6F0AB772">
            <w:pPr>
              <w:pStyle w:val="184"/>
              <w:spacing w:line="240" w:lineRule="auto"/>
              <w:rPr>
                <w:color w:val="auto"/>
                <w:sz w:val="21"/>
                <w:szCs w:val="21"/>
              </w:rPr>
            </w:pPr>
            <w:r>
              <w:rPr>
                <w:rFonts w:hint="eastAsia"/>
                <w:color w:val="auto"/>
                <w:sz w:val="21"/>
                <w:szCs w:val="21"/>
              </w:rPr>
              <w:t>菌落总数</w:t>
            </w:r>
          </w:p>
        </w:tc>
        <w:tc>
          <w:tcPr>
            <w:tcW w:w="1202" w:type="pct"/>
            <w:tcBorders>
              <w:tl2br w:val="nil"/>
              <w:tr2bl w:val="nil"/>
            </w:tcBorders>
            <w:vAlign w:val="center"/>
          </w:tcPr>
          <w:p w14:paraId="387810AD">
            <w:pPr>
              <w:widowControl/>
              <w:spacing w:line="240" w:lineRule="exact"/>
              <w:jc w:val="center"/>
              <w:rPr>
                <w:color w:val="auto"/>
                <w:sz w:val="20"/>
                <w:szCs w:val="20"/>
              </w:rPr>
            </w:pPr>
            <w:r>
              <w:rPr>
                <w:color w:val="auto"/>
                <w:szCs w:val="21"/>
              </w:rPr>
              <w:t>≤100</w:t>
            </w:r>
            <w:r>
              <w:rPr>
                <w:rFonts w:hint="eastAsia"/>
                <w:color w:val="auto"/>
                <w:kern w:val="0"/>
                <w:sz w:val="20"/>
                <w:szCs w:val="20"/>
                <w:lang w:bidi="ar"/>
              </w:rPr>
              <w:t>CFU</w:t>
            </w:r>
            <w:r>
              <w:rPr>
                <w:color w:val="auto"/>
                <w:kern w:val="0"/>
                <w:sz w:val="20"/>
                <w:szCs w:val="20"/>
                <w:lang w:bidi="ar"/>
              </w:rPr>
              <w:t>/ml</w:t>
            </w:r>
          </w:p>
        </w:tc>
        <w:tc>
          <w:tcPr>
            <w:tcW w:w="1221" w:type="pct"/>
            <w:vMerge w:val="continue"/>
            <w:tcBorders>
              <w:tl2br w:val="nil"/>
              <w:tr2bl w:val="nil"/>
            </w:tcBorders>
            <w:vAlign w:val="center"/>
          </w:tcPr>
          <w:p w14:paraId="47661E72">
            <w:pPr>
              <w:widowControl/>
              <w:spacing w:line="240" w:lineRule="exact"/>
              <w:jc w:val="center"/>
              <w:rPr>
                <w:color w:val="auto"/>
                <w:szCs w:val="21"/>
              </w:rPr>
            </w:pPr>
          </w:p>
        </w:tc>
      </w:tr>
      <w:tr w14:paraId="2BAD2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8" w:type="pct"/>
            <w:tcBorders>
              <w:tl2br w:val="nil"/>
              <w:tr2bl w:val="nil"/>
            </w:tcBorders>
            <w:vAlign w:val="center"/>
          </w:tcPr>
          <w:p w14:paraId="06CC71E9">
            <w:pPr>
              <w:jc w:val="center"/>
              <w:rPr>
                <w:rFonts w:hint="default" w:eastAsia="宋体"/>
                <w:lang w:val="en-US" w:eastAsia="zh-CN"/>
              </w:rPr>
            </w:pPr>
            <w:r>
              <w:rPr>
                <w:rFonts w:hint="eastAsia"/>
                <w:lang w:val="en-US" w:eastAsia="zh-CN"/>
              </w:rPr>
              <w:t>25</w:t>
            </w:r>
          </w:p>
        </w:tc>
        <w:tc>
          <w:tcPr>
            <w:tcW w:w="1716" w:type="pct"/>
            <w:tcBorders>
              <w:tl2br w:val="nil"/>
              <w:tr2bl w:val="nil"/>
            </w:tcBorders>
            <w:vAlign w:val="center"/>
          </w:tcPr>
          <w:p w14:paraId="00BD60E0">
            <w:pPr>
              <w:pStyle w:val="184"/>
              <w:spacing w:line="240" w:lineRule="auto"/>
              <w:rPr>
                <w:color w:val="auto"/>
                <w:sz w:val="21"/>
                <w:szCs w:val="21"/>
              </w:rPr>
            </w:pPr>
            <w:r>
              <w:rPr>
                <w:rFonts w:hint="eastAsia"/>
                <w:color w:val="auto"/>
                <w:sz w:val="21"/>
                <w:szCs w:val="21"/>
              </w:rPr>
              <w:t>总</w:t>
            </w:r>
            <w:r>
              <w:rPr>
                <w:color w:val="auto"/>
                <w:sz w:val="21"/>
                <w:szCs w:val="21"/>
              </w:rPr>
              <w:t>大肠菌群</w:t>
            </w:r>
          </w:p>
        </w:tc>
        <w:tc>
          <w:tcPr>
            <w:tcW w:w="1202" w:type="pct"/>
            <w:tcBorders>
              <w:tl2br w:val="nil"/>
              <w:tr2bl w:val="nil"/>
            </w:tcBorders>
            <w:vAlign w:val="center"/>
          </w:tcPr>
          <w:p w14:paraId="2E3C9D43">
            <w:pPr>
              <w:widowControl/>
              <w:spacing w:line="240" w:lineRule="exact"/>
              <w:jc w:val="center"/>
              <w:rPr>
                <w:color w:val="auto"/>
                <w:sz w:val="20"/>
                <w:szCs w:val="20"/>
              </w:rPr>
            </w:pPr>
            <w:r>
              <w:rPr>
                <w:color w:val="auto"/>
                <w:szCs w:val="21"/>
              </w:rPr>
              <w:t>≤3.0</w:t>
            </w:r>
            <w:r>
              <w:rPr>
                <w:color w:val="auto"/>
                <w:kern w:val="0"/>
                <w:sz w:val="20"/>
                <w:szCs w:val="20"/>
                <w:lang w:bidi="ar"/>
              </w:rPr>
              <w:t>MPN/</w:t>
            </w:r>
            <w:r>
              <w:rPr>
                <w:rFonts w:hint="eastAsia"/>
                <w:color w:val="auto"/>
                <w:kern w:val="0"/>
                <w:sz w:val="20"/>
                <w:szCs w:val="20"/>
                <w:lang w:bidi="ar"/>
              </w:rPr>
              <w:t>100ml</w:t>
            </w:r>
          </w:p>
        </w:tc>
        <w:tc>
          <w:tcPr>
            <w:tcW w:w="1221" w:type="pct"/>
            <w:vMerge w:val="continue"/>
            <w:tcBorders>
              <w:tl2br w:val="nil"/>
              <w:tr2bl w:val="nil"/>
            </w:tcBorders>
            <w:vAlign w:val="center"/>
          </w:tcPr>
          <w:p w14:paraId="50ACC431">
            <w:pPr>
              <w:widowControl/>
              <w:spacing w:line="240" w:lineRule="exact"/>
              <w:jc w:val="center"/>
              <w:rPr>
                <w:color w:val="auto"/>
                <w:szCs w:val="21"/>
              </w:rPr>
            </w:pPr>
          </w:p>
        </w:tc>
      </w:tr>
    </w:tbl>
    <w:p w14:paraId="32B128B5">
      <w:pPr>
        <w:pStyle w:val="127"/>
        <w:spacing w:line="360" w:lineRule="auto"/>
        <w:ind w:left="0" w:leftChars="0" w:firstLine="0" w:firstLineChars="0"/>
        <w:rPr>
          <w:b/>
          <w:bCs/>
          <w:color w:val="auto"/>
          <w:kern w:val="2"/>
        </w:rPr>
      </w:pPr>
      <w:r>
        <w:rPr>
          <w:rFonts w:hint="eastAsia"/>
          <w:b/>
          <w:bCs/>
          <w:color w:val="auto"/>
          <w:kern w:val="2"/>
          <w:lang w:val="en-US" w:eastAsia="zh-CN"/>
        </w:rPr>
        <w:t>4、</w:t>
      </w:r>
      <w:r>
        <w:rPr>
          <w:b/>
          <w:bCs/>
          <w:color w:val="auto"/>
          <w:kern w:val="2"/>
        </w:rPr>
        <w:t>声环境</w:t>
      </w:r>
    </w:p>
    <w:p w14:paraId="6EF260DB">
      <w:pPr>
        <w:spacing w:line="360" w:lineRule="auto"/>
        <w:ind w:firstLine="480" w:firstLineChars="200"/>
        <w:rPr>
          <w:color w:val="auto"/>
          <w:sz w:val="24"/>
        </w:rPr>
      </w:pPr>
      <w:r>
        <w:rPr>
          <w:rFonts w:hint="eastAsia"/>
          <w:color w:val="auto"/>
          <w:sz w:val="24"/>
          <w:lang w:val="en-US" w:eastAsia="zh-CN"/>
        </w:rPr>
        <w:t>项目所在地未划分声环境功能区，根据</w:t>
      </w:r>
      <w:r>
        <w:rPr>
          <w:color w:val="auto"/>
          <w:sz w:val="24"/>
        </w:rPr>
        <w:t>《声环境质量标准》</w:t>
      </w:r>
      <w:r>
        <w:rPr>
          <w:rFonts w:hint="eastAsia"/>
          <w:color w:val="auto"/>
          <w:sz w:val="24"/>
        </w:rPr>
        <w:t>（</w:t>
      </w:r>
      <w:r>
        <w:rPr>
          <w:color w:val="auto"/>
          <w:sz w:val="24"/>
        </w:rPr>
        <w:t>GB3096-2008</w:t>
      </w:r>
      <w:r>
        <w:rPr>
          <w:rFonts w:hint="eastAsia"/>
          <w:color w:val="auto"/>
          <w:sz w:val="24"/>
        </w:rPr>
        <w:t>）</w:t>
      </w:r>
      <w:r>
        <w:rPr>
          <w:rFonts w:hint="eastAsia"/>
          <w:color w:val="auto"/>
          <w:sz w:val="24"/>
          <w:lang w:val="en-US" w:eastAsia="zh-CN"/>
        </w:rPr>
        <w:t>中声环境功能区分类要求，</w:t>
      </w:r>
      <w:r>
        <w:rPr>
          <w:color w:val="auto"/>
          <w:sz w:val="24"/>
        </w:rPr>
        <w:t>项目所在地</w:t>
      </w:r>
      <w:r>
        <w:rPr>
          <w:rFonts w:hint="eastAsia"/>
          <w:color w:val="auto"/>
          <w:sz w:val="24"/>
          <w:lang w:val="en-US" w:eastAsia="zh-CN"/>
        </w:rPr>
        <w:t>周边</w:t>
      </w:r>
      <w:r>
        <w:rPr>
          <w:color w:val="auto"/>
          <w:sz w:val="24"/>
        </w:rPr>
        <w:t>居民区执行《声环境质量标准》</w:t>
      </w:r>
      <w:r>
        <w:rPr>
          <w:rFonts w:hint="eastAsia"/>
          <w:color w:val="auto"/>
          <w:sz w:val="24"/>
        </w:rPr>
        <w:t>（</w:t>
      </w:r>
      <w:r>
        <w:rPr>
          <w:color w:val="auto"/>
          <w:sz w:val="24"/>
        </w:rPr>
        <w:t>GB3096-2008</w:t>
      </w:r>
      <w:r>
        <w:rPr>
          <w:rFonts w:hint="eastAsia"/>
          <w:color w:val="auto"/>
          <w:sz w:val="24"/>
        </w:rPr>
        <w:t>）1</w:t>
      </w:r>
      <w:r>
        <w:rPr>
          <w:color w:val="auto"/>
          <w:sz w:val="24"/>
        </w:rPr>
        <w:t>类标准</w:t>
      </w:r>
      <w:r>
        <w:rPr>
          <w:rFonts w:hint="eastAsia"/>
          <w:color w:val="auto"/>
          <w:sz w:val="24"/>
          <w:lang w:eastAsia="zh-CN"/>
        </w:rPr>
        <w:t>，</w:t>
      </w:r>
      <w:r>
        <w:rPr>
          <w:rFonts w:hint="eastAsia"/>
          <w:color w:val="auto"/>
          <w:sz w:val="24"/>
          <w:lang w:val="en-US" w:eastAsia="zh-CN"/>
        </w:rPr>
        <w:t>厂界执行3类标准</w:t>
      </w:r>
      <w:r>
        <w:rPr>
          <w:color w:val="auto"/>
          <w:sz w:val="24"/>
        </w:rPr>
        <w:t>。</w:t>
      </w:r>
      <w:r>
        <w:rPr>
          <w:rFonts w:hint="eastAsia"/>
          <w:color w:val="auto"/>
          <w:sz w:val="24"/>
          <w:lang w:val="en-US" w:eastAsia="zh-CN"/>
        </w:rPr>
        <w:t>具体标准限值见下表</w:t>
      </w:r>
      <w:r>
        <w:rPr>
          <w:color w:val="auto"/>
          <w:sz w:val="24"/>
        </w:rPr>
        <w:t>。</w:t>
      </w:r>
    </w:p>
    <w:p w14:paraId="13CD1C62">
      <w:pPr>
        <w:pStyle w:val="59"/>
        <w:tabs>
          <w:tab w:val="left" w:pos="720"/>
        </w:tabs>
        <w:spacing w:after="0" w:line="360" w:lineRule="auto"/>
        <w:ind w:left="0" w:leftChars="0"/>
        <w:jc w:val="center"/>
        <w:rPr>
          <w:rFonts w:hint="eastAsia"/>
          <w:b/>
          <w:color w:val="auto"/>
          <w:sz w:val="24"/>
          <w:szCs w:val="24"/>
          <w:lang w:val="en-US" w:eastAsia="zh-CN"/>
        </w:rPr>
      </w:pPr>
      <w:r>
        <w:rPr>
          <w:rFonts w:hint="eastAsia"/>
          <w:b/>
          <w:color w:val="auto"/>
          <w:sz w:val="24"/>
          <w:szCs w:val="24"/>
          <w:lang w:val="en-US" w:eastAsia="zh-CN"/>
        </w:rPr>
        <w:t>表2.3-5    声环境质量标准（GB3096－2008）</w:t>
      </w:r>
    </w:p>
    <w:tbl>
      <w:tblPr>
        <w:tblStyle w:val="75"/>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513"/>
        <w:gridCol w:w="2695"/>
        <w:gridCol w:w="2313"/>
      </w:tblGrid>
      <w:tr w14:paraId="008A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12" w:type="dxa"/>
            <w:gridSpan w:val="2"/>
            <w:vMerge w:val="restart"/>
            <w:tcBorders>
              <w:tl2br w:val="nil"/>
              <w:tr2bl w:val="nil"/>
            </w:tcBorders>
            <w:vAlign w:val="center"/>
          </w:tcPr>
          <w:p w14:paraId="510E4A86">
            <w:pPr>
              <w:pStyle w:val="175"/>
              <w:snapToGrid w:val="0"/>
              <w:rPr>
                <w:color w:val="auto"/>
              </w:rPr>
            </w:pPr>
            <w:r>
              <w:rPr>
                <w:color w:val="auto"/>
              </w:rPr>
              <w:t>类别</w:t>
            </w:r>
          </w:p>
        </w:tc>
        <w:tc>
          <w:tcPr>
            <w:tcW w:w="5008" w:type="dxa"/>
            <w:gridSpan w:val="2"/>
            <w:tcBorders>
              <w:tl2br w:val="nil"/>
              <w:tr2bl w:val="nil"/>
            </w:tcBorders>
            <w:vAlign w:val="center"/>
          </w:tcPr>
          <w:p w14:paraId="6EC55AA2">
            <w:pPr>
              <w:pStyle w:val="175"/>
              <w:snapToGrid w:val="0"/>
              <w:rPr>
                <w:color w:val="auto"/>
              </w:rPr>
            </w:pPr>
            <w:r>
              <w:rPr>
                <w:color w:val="auto"/>
              </w:rPr>
              <w:t>噪声限值[dB</w:t>
            </w:r>
            <w:r>
              <w:rPr>
                <w:rFonts w:hint="eastAsia"/>
                <w:color w:val="auto"/>
              </w:rPr>
              <w:t>（</w:t>
            </w:r>
            <w:r>
              <w:rPr>
                <w:color w:val="auto"/>
              </w:rPr>
              <w:t>A</w:t>
            </w:r>
            <w:r>
              <w:rPr>
                <w:rFonts w:hint="eastAsia"/>
                <w:color w:val="auto"/>
              </w:rPr>
              <w:t>）</w:t>
            </w:r>
            <w:r>
              <w:rPr>
                <w:color w:val="auto"/>
              </w:rPr>
              <w:t>]</w:t>
            </w:r>
          </w:p>
        </w:tc>
      </w:tr>
      <w:tr w14:paraId="59A02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712" w:type="dxa"/>
            <w:gridSpan w:val="2"/>
            <w:vMerge w:val="continue"/>
            <w:tcBorders>
              <w:tl2br w:val="nil"/>
              <w:tr2bl w:val="nil"/>
            </w:tcBorders>
            <w:vAlign w:val="center"/>
          </w:tcPr>
          <w:p w14:paraId="3649C60A">
            <w:pPr>
              <w:rPr>
                <w:color w:val="auto"/>
              </w:rPr>
            </w:pPr>
          </w:p>
        </w:tc>
        <w:tc>
          <w:tcPr>
            <w:tcW w:w="2695" w:type="dxa"/>
            <w:tcBorders>
              <w:tl2br w:val="nil"/>
              <w:tr2bl w:val="nil"/>
            </w:tcBorders>
            <w:vAlign w:val="center"/>
          </w:tcPr>
          <w:p w14:paraId="7CCB8D4A">
            <w:pPr>
              <w:pStyle w:val="175"/>
              <w:snapToGrid w:val="0"/>
              <w:rPr>
                <w:rFonts w:hint="eastAsia" w:eastAsia="宋体"/>
                <w:color w:val="auto"/>
                <w:lang w:eastAsia="zh-CN"/>
              </w:rPr>
            </w:pPr>
            <w:r>
              <w:rPr>
                <w:color w:val="auto"/>
              </w:rPr>
              <w:t>昼</w:t>
            </w:r>
            <w:r>
              <w:rPr>
                <w:rFonts w:hint="eastAsia"/>
                <w:color w:val="auto"/>
                <w:lang w:eastAsia="zh-CN"/>
              </w:rPr>
              <w:t>间</w:t>
            </w:r>
          </w:p>
        </w:tc>
        <w:tc>
          <w:tcPr>
            <w:tcW w:w="2313" w:type="dxa"/>
            <w:tcBorders>
              <w:tl2br w:val="nil"/>
              <w:tr2bl w:val="nil"/>
            </w:tcBorders>
            <w:vAlign w:val="center"/>
          </w:tcPr>
          <w:p w14:paraId="54376FA7">
            <w:pPr>
              <w:pStyle w:val="175"/>
              <w:snapToGrid w:val="0"/>
              <w:rPr>
                <w:rFonts w:hint="eastAsia" w:eastAsia="宋体"/>
                <w:color w:val="auto"/>
                <w:lang w:eastAsia="zh-CN"/>
              </w:rPr>
            </w:pPr>
            <w:r>
              <w:rPr>
                <w:color w:val="auto"/>
              </w:rPr>
              <w:t>夜</w:t>
            </w:r>
            <w:r>
              <w:rPr>
                <w:rFonts w:hint="eastAsia"/>
                <w:color w:val="auto"/>
                <w:lang w:eastAsia="zh-CN"/>
              </w:rPr>
              <w:t>间</w:t>
            </w:r>
          </w:p>
        </w:tc>
      </w:tr>
      <w:tr w14:paraId="363B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9" w:type="dxa"/>
            <w:tcBorders>
              <w:tl2br w:val="nil"/>
              <w:tr2bl w:val="nil"/>
            </w:tcBorders>
            <w:vAlign w:val="center"/>
          </w:tcPr>
          <w:p w14:paraId="00455738">
            <w:pPr>
              <w:snapToGrid w:val="0"/>
              <w:jc w:val="center"/>
              <w:rPr>
                <w:color w:val="auto"/>
                <w:szCs w:val="21"/>
              </w:rPr>
            </w:pPr>
            <w:r>
              <w:rPr>
                <w:color w:val="auto"/>
                <w:szCs w:val="21"/>
              </w:rPr>
              <w:t>1类</w:t>
            </w:r>
          </w:p>
        </w:tc>
        <w:tc>
          <w:tcPr>
            <w:tcW w:w="2513" w:type="dxa"/>
            <w:tcBorders>
              <w:tl2br w:val="nil"/>
              <w:tr2bl w:val="nil"/>
            </w:tcBorders>
            <w:vAlign w:val="center"/>
          </w:tcPr>
          <w:p w14:paraId="3165A1B1">
            <w:pPr>
              <w:snapToGrid w:val="0"/>
              <w:jc w:val="center"/>
              <w:rPr>
                <w:color w:val="auto"/>
                <w:szCs w:val="21"/>
              </w:rPr>
            </w:pPr>
            <w:r>
              <w:rPr>
                <w:color w:val="auto"/>
                <w:szCs w:val="21"/>
              </w:rPr>
              <w:t>周边居民区</w:t>
            </w:r>
          </w:p>
        </w:tc>
        <w:tc>
          <w:tcPr>
            <w:tcW w:w="2695" w:type="dxa"/>
            <w:tcBorders>
              <w:tl2br w:val="nil"/>
              <w:tr2bl w:val="nil"/>
            </w:tcBorders>
            <w:vAlign w:val="center"/>
          </w:tcPr>
          <w:p w14:paraId="49AC02CD">
            <w:pPr>
              <w:snapToGrid w:val="0"/>
              <w:jc w:val="center"/>
              <w:rPr>
                <w:color w:val="auto"/>
                <w:szCs w:val="21"/>
              </w:rPr>
            </w:pPr>
            <w:r>
              <w:rPr>
                <w:rFonts w:hint="eastAsia"/>
                <w:color w:val="auto"/>
                <w:szCs w:val="21"/>
              </w:rPr>
              <w:t>55</w:t>
            </w:r>
          </w:p>
        </w:tc>
        <w:tc>
          <w:tcPr>
            <w:tcW w:w="2313" w:type="dxa"/>
            <w:tcBorders>
              <w:tl2br w:val="nil"/>
              <w:tr2bl w:val="nil"/>
            </w:tcBorders>
            <w:vAlign w:val="center"/>
          </w:tcPr>
          <w:p w14:paraId="2AD2EAD3">
            <w:pPr>
              <w:snapToGrid w:val="0"/>
              <w:jc w:val="center"/>
              <w:rPr>
                <w:color w:val="auto"/>
                <w:szCs w:val="21"/>
              </w:rPr>
            </w:pPr>
            <w:r>
              <w:rPr>
                <w:rFonts w:hint="eastAsia"/>
                <w:color w:val="auto"/>
                <w:szCs w:val="21"/>
              </w:rPr>
              <w:t>45</w:t>
            </w:r>
          </w:p>
        </w:tc>
      </w:tr>
      <w:tr w14:paraId="39D6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199" w:type="dxa"/>
            <w:tcBorders>
              <w:tl2br w:val="nil"/>
              <w:tr2bl w:val="nil"/>
            </w:tcBorders>
            <w:vAlign w:val="center"/>
          </w:tcPr>
          <w:p w14:paraId="2D2C6038">
            <w:pPr>
              <w:snapToGrid w:val="0"/>
              <w:jc w:val="center"/>
              <w:rPr>
                <w:rFonts w:hint="default" w:eastAsia="宋体"/>
                <w:color w:val="auto"/>
                <w:szCs w:val="21"/>
                <w:lang w:val="en-US" w:eastAsia="zh-CN"/>
              </w:rPr>
            </w:pPr>
            <w:r>
              <w:rPr>
                <w:rFonts w:hint="eastAsia"/>
                <w:color w:val="auto"/>
                <w:szCs w:val="21"/>
                <w:lang w:val="en-US" w:eastAsia="zh-CN"/>
              </w:rPr>
              <w:t>3类</w:t>
            </w:r>
          </w:p>
        </w:tc>
        <w:tc>
          <w:tcPr>
            <w:tcW w:w="2513" w:type="dxa"/>
            <w:tcBorders>
              <w:tl2br w:val="nil"/>
              <w:tr2bl w:val="nil"/>
            </w:tcBorders>
            <w:vAlign w:val="center"/>
          </w:tcPr>
          <w:p w14:paraId="7E723C88">
            <w:pPr>
              <w:snapToGrid w:val="0"/>
              <w:jc w:val="center"/>
              <w:rPr>
                <w:rFonts w:hint="default" w:eastAsia="宋体"/>
                <w:color w:val="auto"/>
                <w:szCs w:val="21"/>
                <w:lang w:val="en-US" w:eastAsia="zh-CN"/>
              </w:rPr>
            </w:pPr>
            <w:r>
              <w:rPr>
                <w:rFonts w:hint="eastAsia"/>
                <w:color w:val="auto"/>
                <w:szCs w:val="21"/>
                <w:lang w:val="en-US" w:eastAsia="zh-CN"/>
              </w:rPr>
              <w:t>厂界</w:t>
            </w:r>
          </w:p>
        </w:tc>
        <w:tc>
          <w:tcPr>
            <w:tcW w:w="2695" w:type="dxa"/>
            <w:tcBorders>
              <w:tl2br w:val="nil"/>
              <w:tr2bl w:val="nil"/>
            </w:tcBorders>
            <w:vAlign w:val="center"/>
          </w:tcPr>
          <w:p w14:paraId="016D4357">
            <w:pPr>
              <w:snapToGrid w:val="0"/>
              <w:jc w:val="center"/>
              <w:rPr>
                <w:rFonts w:hint="default" w:eastAsia="宋体"/>
                <w:color w:val="auto"/>
                <w:szCs w:val="21"/>
                <w:lang w:val="en-US" w:eastAsia="zh-CN"/>
              </w:rPr>
            </w:pPr>
            <w:r>
              <w:rPr>
                <w:rFonts w:hint="eastAsia"/>
                <w:color w:val="auto"/>
                <w:szCs w:val="21"/>
                <w:lang w:val="en-US" w:eastAsia="zh-CN"/>
              </w:rPr>
              <w:t>65</w:t>
            </w:r>
          </w:p>
        </w:tc>
        <w:tc>
          <w:tcPr>
            <w:tcW w:w="2313" w:type="dxa"/>
            <w:tcBorders>
              <w:tl2br w:val="nil"/>
              <w:tr2bl w:val="nil"/>
            </w:tcBorders>
            <w:vAlign w:val="center"/>
          </w:tcPr>
          <w:p w14:paraId="7262BB15">
            <w:pPr>
              <w:snapToGrid w:val="0"/>
              <w:jc w:val="center"/>
              <w:rPr>
                <w:rFonts w:hint="default" w:eastAsia="宋体"/>
                <w:color w:val="auto"/>
                <w:szCs w:val="21"/>
                <w:lang w:val="en-US" w:eastAsia="zh-CN"/>
              </w:rPr>
            </w:pPr>
            <w:r>
              <w:rPr>
                <w:rFonts w:hint="eastAsia"/>
                <w:color w:val="auto"/>
                <w:szCs w:val="21"/>
                <w:lang w:val="en-US" w:eastAsia="zh-CN"/>
              </w:rPr>
              <w:t>55</w:t>
            </w:r>
          </w:p>
        </w:tc>
      </w:tr>
    </w:tbl>
    <w:p w14:paraId="3AEC6980">
      <w:pPr>
        <w:pStyle w:val="127"/>
        <w:spacing w:line="360" w:lineRule="auto"/>
        <w:ind w:left="0" w:leftChars="0" w:firstLine="0" w:firstLineChars="0"/>
        <w:rPr>
          <w:b/>
          <w:bCs/>
          <w:color w:val="auto"/>
          <w:kern w:val="2"/>
        </w:rPr>
      </w:pPr>
      <w:r>
        <w:rPr>
          <w:rFonts w:hint="eastAsia"/>
          <w:b/>
          <w:bCs/>
          <w:color w:val="auto"/>
          <w:kern w:val="2"/>
          <w:lang w:val="en-US" w:eastAsia="zh-CN"/>
        </w:rPr>
        <w:t>5、</w:t>
      </w:r>
      <w:r>
        <w:rPr>
          <w:b/>
          <w:bCs/>
          <w:color w:val="auto"/>
          <w:kern w:val="2"/>
        </w:rPr>
        <w:t>土壤环境</w:t>
      </w:r>
    </w:p>
    <w:p w14:paraId="5B66637D">
      <w:pPr>
        <w:spacing w:line="360" w:lineRule="auto"/>
        <w:ind w:firstLine="480" w:firstLineChars="200"/>
        <w:rPr>
          <w:color w:val="auto"/>
          <w:sz w:val="24"/>
        </w:rPr>
      </w:pPr>
      <w:r>
        <w:rPr>
          <w:rFonts w:hint="eastAsia"/>
          <w:color w:val="auto"/>
          <w:sz w:val="24"/>
        </w:rPr>
        <w:t>农用地土壤环境执行《土壤环境质量</w:t>
      </w:r>
      <w:r>
        <w:rPr>
          <w:color w:val="auto"/>
          <w:sz w:val="24"/>
        </w:rPr>
        <w:t xml:space="preserve"> </w:t>
      </w:r>
      <w:r>
        <w:rPr>
          <w:rFonts w:hint="eastAsia"/>
          <w:color w:val="auto"/>
          <w:sz w:val="24"/>
        </w:rPr>
        <w:t>农用地土壤污染风险管控标准（试行）》（</w:t>
      </w:r>
      <w:r>
        <w:rPr>
          <w:color w:val="auto"/>
          <w:sz w:val="24"/>
        </w:rPr>
        <w:t>GB15618-2018</w:t>
      </w:r>
      <w:r>
        <w:rPr>
          <w:rFonts w:hint="eastAsia"/>
          <w:color w:val="auto"/>
          <w:sz w:val="24"/>
        </w:rPr>
        <w:t>）中风险筛选值标准，建设</w:t>
      </w:r>
      <w:r>
        <w:rPr>
          <w:color w:val="auto"/>
          <w:sz w:val="24"/>
        </w:rPr>
        <w:t>用地土壤</w:t>
      </w:r>
      <w:r>
        <w:rPr>
          <w:rFonts w:hint="eastAsia"/>
          <w:color w:val="auto"/>
          <w:sz w:val="24"/>
        </w:rPr>
        <w:t>环境</w:t>
      </w:r>
      <w:r>
        <w:rPr>
          <w:color w:val="auto"/>
          <w:sz w:val="24"/>
        </w:rPr>
        <w:t>执行</w:t>
      </w:r>
      <w:r>
        <w:rPr>
          <w:rFonts w:hint="eastAsia"/>
          <w:color w:val="auto"/>
          <w:sz w:val="24"/>
        </w:rPr>
        <w:t>《土壤环境质量</w:t>
      </w:r>
      <w:r>
        <w:rPr>
          <w:color w:val="auto"/>
          <w:sz w:val="24"/>
        </w:rPr>
        <w:t xml:space="preserve"> </w:t>
      </w:r>
      <w:r>
        <w:rPr>
          <w:rFonts w:hint="eastAsia"/>
          <w:color w:val="auto"/>
          <w:sz w:val="24"/>
        </w:rPr>
        <w:t>建设用地土壤污染风险管控标准（试行）》（</w:t>
      </w:r>
      <w:r>
        <w:rPr>
          <w:color w:val="auto"/>
          <w:sz w:val="24"/>
        </w:rPr>
        <w:t>GB36600-2018</w:t>
      </w:r>
      <w:r>
        <w:rPr>
          <w:rFonts w:hint="eastAsia"/>
          <w:color w:val="auto"/>
          <w:sz w:val="24"/>
        </w:rPr>
        <w:t>）中第二类用地筛选值标准。</w:t>
      </w:r>
      <w:r>
        <w:rPr>
          <w:rFonts w:hint="eastAsia"/>
          <w:color w:val="auto"/>
          <w:sz w:val="24"/>
          <w:lang w:val="en-US" w:eastAsia="zh-CN"/>
        </w:rPr>
        <w:t>具体标准限值见下表</w:t>
      </w:r>
      <w:r>
        <w:rPr>
          <w:color w:val="auto"/>
          <w:sz w:val="24"/>
        </w:rPr>
        <w:t>。</w:t>
      </w:r>
    </w:p>
    <w:p w14:paraId="6A5B660C">
      <w:pPr>
        <w:pStyle w:val="59"/>
        <w:tabs>
          <w:tab w:val="left" w:pos="720"/>
        </w:tabs>
        <w:spacing w:after="0" w:line="360" w:lineRule="auto"/>
        <w:ind w:left="0" w:leftChars="0"/>
        <w:jc w:val="center"/>
        <w:rPr>
          <w:rFonts w:hint="eastAsia"/>
          <w:b/>
          <w:color w:val="auto"/>
          <w:sz w:val="24"/>
          <w:szCs w:val="24"/>
          <w:lang w:val="en-US" w:eastAsia="zh-CN"/>
        </w:rPr>
      </w:pPr>
      <w:r>
        <w:rPr>
          <w:rFonts w:hint="eastAsia"/>
          <w:b/>
          <w:color w:val="auto"/>
          <w:sz w:val="24"/>
          <w:szCs w:val="24"/>
          <w:lang w:val="en-US" w:eastAsia="zh-CN"/>
        </w:rPr>
        <w:t>表2.3-6      农用地土壤环境质量标准    单位：mg/kg（pH除外）</w:t>
      </w:r>
    </w:p>
    <w:tbl>
      <w:tblPr>
        <w:tblStyle w:val="75"/>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1602"/>
        <w:gridCol w:w="1245"/>
        <w:gridCol w:w="1299"/>
        <w:gridCol w:w="1299"/>
        <w:gridCol w:w="1299"/>
        <w:gridCol w:w="1243"/>
      </w:tblGrid>
      <w:tr w14:paraId="312A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3" w:type="dxa"/>
            <w:vMerge w:val="restart"/>
            <w:tcBorders>
              <w:tl2br w:val="nil"/>
              <w:tr2bl w:val="nil"/>
            </w:tcBorders>
            <w:vAlign w:val="center"/>
          </w:tcPr>
          <w:p w14:paraId="795D7E3E">
            <w:pPr>
              <w:jc w:val="center"/>
              <w:rPr>
                <w:color w:val="auto"/>
                <w:sz w:val="21"/>
                <w:szCs w:val="21"/>
              </w:rPr>
            </w:pPr>
            <w:r>
              <w:rPr>
                <w:rFonts w:hint="eastAsia"/>
                <w:color w:val="auto"/>
                <w:sz w:val="21"/>
                <w:szCs w:val="21"/>
              </w:rPr>
              <w:t>序号</w:t>
            </w:r>
          </w:p>
        </w:tc>
        <w:tc>
          <w:tcPr>
            <w:tcW w:w="2847" w:type="dxa"/>
            <w:gridSpan w:val="2"/>
            <w:vMerge w:val="restart"/>
            <w:tcBorders>
              <w:tl2br w:val="nil"/>
              <w:tr2bl w:val="nil"/>
            </w:tcBorders>
            <w:vAlign w:val="center"/>
          </w:tcPr>
          <w:p w14:paraId="3208B091">
            <w:pPr>
              <w:jc w:val="center"/>
              <w:rPr>
                <w:color w:val="auto"/>
                <w:sz w:val="21"/>
                <w:szCs w:val="21"/>
              </w:rPr>
            </w:pPr>
            <w:r>
              <w:rPr>
                <w:rFonts w:hint="eastAsia"/>
                <w:color w:val="auto"/>
                <w:sz w:val="21"/>
                <w:szCs w:val="21"/>
              </w:rPr>
              <w:t>污染物项目</w:t>
            </w:r>
          </w:p>
        </w:tc>
        <w:tc>
          <w:tcPr>
            <w:tcW w:w="5140" w:type="dxa"/>
            <w:gridSpan w:val="4"/>
            <w:tcBorders>
              <w:tl2br w:val="nil"/>
              <w:tr2bl w:val="nil"/>
            </w:tcBorders>
            <w:vAlign w:val="center"/>
          </w:tcPr>
          <w:p w14:paraId="57287977">
            <w:pPr>
              <w:jc w:val="center"/>
              <w:rPr>
                <w:color w:val="auto"/>
                <w:sz w:val="21"/>
                <w:szCs w:val="21"/>
              </w:rPr>
            </w:pPr>
            <w:r>
              <w:rPr>
                <w:rFonts w:hint="eastAsia"/>
                <w:color w:val="auto"/>
                <w:sz w:val="21"/>
                <w:szCs w:val="21"/>
              </w:rPr>
              <w:t>风险筛选值</w:t>
            </w:r>
          </w:p>
        </w:tc>
      </w:tr>
      <w:tr w14:paraId="1D768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733" w:type="dxa"/>
            <w:vMerge w:val="continue"/>
            <w:tcBorders>
              <w:tl2br w:val="nil"/>
              <w:tr2bl w:val="nil"/>
            </w:tcBorders>
            <w:vAlign w:val="center"/>
          </w:tcPr>
          <w:p w14:paraId="033E1628">
            <w:pPr>
              <w:rPr>
                <w:color w:val="auto"/>
                <w:sz w:val="21"/>
                <w:szCs w:val="21"/>
              </w:rPr>
            </w:pPr>
          </w:p>
        </w:tc>
        <w:tc>
          <w:tcPr>
            <w:tcW w:w="2847" w:type="dxa"/>
            <w:gridSpan w:val="2"/>
            <w:vMerge w:val="continue"/>
            <w:tcBorders>
              <w:tl2br w:val="nil"/>
              <w:tr2bl w:val="nil"/>
            </w:tcBorders>
            <w:vAlign w:val="center"/>
          </w:tcPr>
          <w:p w14:paraId="218273D5">
            <w:pPr>
              <w:rPr>
                <w:color w:val="auto"/>
                <w:sz w:val="21"/>
                <w:szCs w:val="21"/>
              </w:rPr>
            </w:pPr>
          </w:p>
        </w:tc>
        <w:tc>
          <w:tcPr>
            <w:tcW w:w="1299" w:type="dxa"/>
            <w:tcBorders>
              <w:tl2br w:val="nil"/>
              <w:tr2bl w:val="nil"/>
            </w:tcBorders>
            <w:vAlign w:val="center"/>
          </w:tcPr>
          <w:p w14:paraId="00FDF363">
            <w:pPr>
              <w:jc w:val="center"/>
              <w:rPr>
                <w:color w:val="auto"/>
                <w:sz w:val="21"/>
                <w:szCs w:val="21"/>
              </w:rPr>
            </w:pPr>
            <w:r>
              <w:rPr>
                <w:color w:val="auto"/>
                <w:sz w:val="21"/>
                <w:szCs w:val="21"/>
              </w:rPr>
              <w:t>pH</w:t>
            </w:r>
            <w:r>
              <w:rPr>
                <w:rFonts w:hint="eastAsia"/>
                <w:color w:val="auto"/>
                <w:sz w:val="21"/>
                <w:szCs w:val="21"/>
              </w:rPr>
              <w:t>≤5.5</w:t>
            </w:r>
          </w:p>
        </w:tc>
        <w:tc>
          <w:tcPr>
            <w:tcW w:w="1299" w:type="dxa"/>
            <w:tcBorders>
              <w:tl2br w:val="nil"/>
              <w:tr2bl w:val="nil"/>
            </w:tcBorders>
            <w:vAlign w:val="center"/>
          </w:tcPr>
          <w:p w14:paraId="27B8EEB1">
            <w:pPr>
              <w:jc w:val="center"/>
              <w:rPr>
                <w:color w:val="auto"/>
                <w:sz w:val="21"/>
                <w:szCs w:val="21"/>
              </w:rPr>
            </w:pPr>
            <w:r>
              <w:rPr>
                <w:rFonts w:hint="eastAsia"/>
                <w:color w:val="auto"/>
                <w:sz w:val="21"/>
                <w:szCs w:val="21"/>
              </w:rPr>
              <w:t>5.5≤</w:t>
            </w:r>
            <w:r>
              <w:rPr>
                <w:color w:val="auto"/>
                <w:sz w:val="21"/>
                <w:szCs w:val="21"/>
              </w:rPr>
              <w:t>pH</w:t>
            </w:r>
            <w:r>
              <w:rPr>
                <w:rFonts w:hint="eastAsia"/>
                <w:color w:val="auto"/>
                <w:sz w:val="21"/>
                <w:szCs w:val="21"/>
              </w:rPr>
              <w:t>≤6.5</w:t>
            </w:r>
          </w:p>
        </w:tc>
        <w:tc>
          <w:tcPr>
            <w:tcW w:w="1299" w:type="dxa"/>
            <w:tcBorders>
              <w:tl2br w:val="nil"/>
              <w:tr2bl w:val="nil"/>
            </w:tcBorders>
            <w:vAlign w:val="center"/>
          </w:tcPr>
          <w:p w14:paraId="3F829F8A">
            <w:pPr>
              <w:jc w:val="center"/>
              <w:rPr>
                <w:color w:val="auto"/>
                <w:sz w:val="21"/>
                <w:szCs w:val="21"/>
              </w:rPr>
            </w:pPr>
            <w:r>
              <w:rPr>
                <w:rFonts w:hint="eastAsia"/>
                <w:color w:val="auto"/>
                <w:sz w:val="21"/>
                <w:szCs w:val="21"/>
              </w:rPr>
              <w:t>6.5≤</w:t>
            </w:r>
            <w:r>
              <w:rPr>
                <w:color w:val="auto"/>
                <w:sz w:val="21"/>
                <w:szCs w:val="21"/>
              </w:rPr>
              <w:t>pH</w:t>
            </w:r>
            <w:r>
              <w:rPr>
                <w:rFonts w:hint="eastAsia"/>
                <w:color w:val="auto"/>
                <w:sz w:val="21"/>
                <w:szCs w:val="21"/>
              </w:rPr>
              <w:t>≤7.5</w:t>
            </w:r>
          </w:p>
        </w:tc>
        <w:tc>
          <w:tcPr>
            <w:tcW w:w="1243" w:type="dxa"/>
            <w:tcBorders>
              <w:tl2br w:val="nil"/>
              <w:tr2bl w:val="nil"/>
            </w:tcBorders>
            <w:vAlign w:val="center"/>
          </w:tcPr>
          <w:p w14:paraId="5A8B887D">
            <w:pPr>
              <w:jc w:val="center"/>
              <w:rPr>
                <w:color w:val="auto"/>
                <w:sz w:val="21"/>
                <w:szCs w:val="21"/>
              </w:rPr>
            </w:pPr>
            <w:r>
              <w:rPr>
                <w:color w:val="auto"/>
                <w:sz w:val="21"/>
                <w:szCs w:val="21"/>
              </w:rPr>
              <w:t>pH &gt;7.5</w:t>
            </w:r>
          </w:p>
        </w:tc>
      </w:tr>
      <w:tr w14:paraId="4E4D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3" w:type="dxa"/>
            <w:tcBorders>
              <w:tl2br w:val="nil"/>
              <w:tr2bl w:val="nil"/>
            </w:tcBorders>
            <w:vAlign w:val="center"/>
          </w:tcPr>
          <w:p w14:paraId="7A2339C8">
            <w:pPr>
              <w:jc w:val="center"/>
              <w:rPr>
                <w:color w:val="auto"/>
                <w:sz w:val="21"/>
                <w:szCs w:val="21"/>
              </w:rPr>
            </w:pPr>
            <w:r>
              <w:rPr>
                <w:rFonts w:hint="eastAsia"/>
                <w:color w:val="auto"/>
                <w:sz w:val="21"/>
                <w:szCs w:val="21"/>
              </w:rPr>
              <w:t>1</w:t>
            </w:r>
          </w:p>
        </w:tc>
        <w:tc>
          <w:tcPr>
            <w:tcW w:w="1602" w:type="dxa"/>
            <w:tcBorders>
              <w:tl2br w:val="nil"/>
              <w:tr2bl w:val="nil"/>
            </w:tcBorders>
            <w:vAlign w:val="center"/>
          </w:tcPr>
          <w:p w14:paraId="7A981F4D">
            <w:pPr>
              <w:jc w:val="center"/>
              <w:rPr>
                <w:color w:val="auto"/>
                <w:sz w:val="21"/>
                <w:szCs w:val="21"/>
              </w:rPr>
            </w:pPr>
            <w:r>
              <w:rPr>
                <w:rFonts w:hint="eastAsia"/>
                <w:color w:val="auto"/>
                <w:sz w:val="21"/>
                <w:szCs w:val="21"/>
              </w:rPr>
              <w:t>镉</w:t>
            </w:r>
          </w:p>
        </w:tc>
        <w:tc>
          <w:tcPr>
            <w:tcW w:w="1245" w:type="dxa"/>
            <w:tcBorders>
              <w:tl2br w:val="nil"/>
              <w:tr2bl w:val="nil"/>
            </w:tcBorders>
            <w:vAlign w:val="center"/>
          </w:tcPr>
          <w:p w14:paraId="63DDB330">
            <w:pPr>
              <w:jc w:val="center"/>
              <w:rPr>
                <w:color w:val="auto"/>
                <w:sz w:val="21"/>
                <w:szCs w:val="21"/>
              </w:rPr>
            </w:pPr>
            <w:r>
              <w:rPr>
                <w:rFonts w:hint="eastAsia"/>
                <w:color w:val="auto"/>
                <w:sz w:val="21"/>
                <w:szCs w:val="21"/>
              </w:rPr>
              <w:t>其他</w:t>
            </w:r>
          </w:p>
        </w:tc>
        <w:tc>
          <w:tcPr>
            <w:tcW w:w="1299" w:type="dxa"/>
            <w:tcBorders>
              <w:tl2br w:val="nil"/>
              <w:tr2bl w:val="nil"/>
            </w:tcBorders>
            <w:vAlign w:val="center"/>
          </w:tcPr>
          <w:p w14:paraId="66D0EA80">
            <w:pPr>
              <w:jc w:val="center"/>
              <w:rPr>
                <w:color w:val="auto"/>
                <w:sz w:val="21"/>
                <w:szCs w:val="21"/>
              </w:rPr>
            </w:pPr>
            <w:r>
              <w:rPr>
                <w:rFonts w:hint="eastAsia"/>
                <w:color w:val="auto"/>
                <w:sz w:val="21"/>
                <w:szCs w:val="21"/>
              </w:rPr>
              <w:t>0.3</w:t>
            </w:r>
          </w:p>
        </w:tc>
        <w:tc>
          <w:tcPr>
            <w:tcW w:w="1299" w:type="dxa"/>
            <w:tcBorders>
              <w:tl2br w:val="nil"/>
              <w:tr2bl w:val="nil"/>
            </w:tcBorders>
            <w:vAlign w:val="center"/>
          </w:tcPr>
          <w:p w14:paraId="741C1681">
            <w:pPr>
              <w:jc w:val="center"/>
              <w:rPr>
                <w:color w:val="auto"/>
                <w:sz w:val="21"/>
                <w:szCs w:val="21"/>
              </w:rPr>
            </w:pPr>
            <w:r>
              <w:rPr>
                <w:rFonts w:hint="eastAsia"/>
                <w:color w:val="auto"/>
                <w:sz w:val="21"/>
                <w:szCs w:val="21"/>
              </w:rPr>
              <w:t>0.3</w:t>
            </w:r>
          </w:p>
        </w:tc>
        <w:tc>
          <w:tcPr>
            <w:tcW w:w="1299" w:type="dxa"/>
            <w:tcBorders>
              <w:tl2br w:val="nil"/>
              <w:tr2bl w:val="nil"/>
            </w:tcBorders>
            <w:vAlign w:val="center"/>
          </w:tcPr>
          <w:p w14:paraId="54300DEE">
            <w:pPr>
              <w:jc w:val="center"/>
              <w:rPr>
                <w:color w:val="auto"/>
                <w:sz w:val="21"/>
                <w:szCs w:val="21"/>
              </w:rPr>
            </w:pPr>
            <w:r>
              <w:rPr>
                <w:rFonts w:hint="eastAsia"/>
                <w:color w:val="auto"/>
                <w:sz w:val="21"/>
                <w:szCs w:val="21"/>
              </w:rPr>
              <w:t>0.3</w:t>
            </w:r>
          </w:p>
        </w:tc>
        <w:tc>
          <w:tcPr>
            <w:tcW w:w="1243" w:type="dxa"/>
            <w:tcBorders>
              <w:tl2br w:val="nil"/>
              <w:tr2bl w:val="nil"/>
            </w:tcBorders>
            <w:vAlign w:val="center"/>
          </w:tcPr>
          <w:p w14:paraId="3F5A064B">
            <w:pPr>
              <w:jc w:val="center"/>
              <w:rPr>
                <w:color w:val="auto"/>
                <w:sz w:val="21"/>
                <w:szCs w:val="21"/>
              </w:rPr>
            </w:pPr>
            <w:r>
              <w:rPr>
                <w:rFonts w:hint="eastAsia"/>
                <w:color w:val="auto"/>
                <w:sz w:val="21"/>
                <w:szCs w:val="21"/>
              </w:rPr>
              <w:t>0.6</w:t>
            </w:r>
          </w:p>
        </w:tc>
      </w:tr>
      <w:tr w14:paraId="62D8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3" w:type="dxa"/>
            <w:tcBorders>
              <w:tl2br w:val="nil"/>
              <w:tr2bl w:val="nil"/>
            </w:tcBorders>
            <w:vAlign w:val="center"/>
          </w:tcPr>
          <w:p w14:paraId="2A840EEF">
            <w:pPr>
              <w:jc w:val="center"/>
              <w:rPr>
                <w:color w:val="auto"/>
                <w:sz w:val="21"/>
                <w:szCs w:val="21"/>
              </w:rPr>
            </w:pPr>
            <w:r>
              <w:rPr>
                <w:rFonts w:hint="eastAsia"/>
                <w:color w:val="auto"/>
                <w:sz w:val="21"/>
                <w:szCs w:val="21"/>
              </w:rPr>
              <w:t>2</w:t>
            </w:r>
          </w:p>
        </w:tc>
        <w:tc>
          <w:tcPr>
            <w:tcW w:w="1602" w:type="dxa"/>
            <w:tcBorders>
              <w:tl2br w:val="nil"/>
              <w:tr2bl w:val="nil"/>
            </w:tcBorders>
            <w:vAlign w:val="center"/>
          </w:tcPr>
          <w:p w14:paraId="5873CD63">
            <w:pPr>
              <w:jc w:val="center"/>
              <w:rPr>
                <w:color w:val="auto"/>
                <w:sz w:val="21"/>
                <w:szCs w:val="21"/>
              </w:rPr>
            </w:pPr>
            <w:r>
              <w:rPr>
                <w:rFonts w:hint="eastAsia"/>
                <w:color w:val="auto"/>
                <w:sz w:val="21"/>
                <w:szCs w:val="21"/>
              </w:rPr>
              <w:t>汞</w:t>
            </w:r>
          </w:p>
        </w:tc>
        <w:tc>
          <w:tcPr>
            <w:tcW w:w="1245" w:type="dxa"/>
            <w:tcBorders>
              <w:tl2br w:val="nil"/>
              <w:tr2bl w:val="nil"/>
            </w:tcBorders>
            <w:vAlign w:val="center"/>
          </w:tcPr>
          <w:p w14:paraId="49F6E803">
            <w:pPr>
              <w:jc w:val="center"/>
              <w:rPr>
                <w:color w:val="auto"/>
                <w:sz w:val="21"/>
                <w:szCs w:val="21"/>
              </w:rPr>
            </w:pPr>
            <w:r>
              <w:rPr>
                <w:rFonts w:hint="eastAsia"/>
                <w:color w:val="auto"/>
                <w:sz w:val="21"/>
                <w:szCs w:val="21"/>
              </w:rPr>
              <w:t>其他</w:t>
            </w:r>
          </w:p>
        </w:tc>
        <w:tc>
          <w:tcPr>
            <w:tcW w:w="1299" w:type="dxa"/>
            <w:tcBorders>
              <w:tl2br w:val="nil"/>
              <w:tr2bl w:val="nil"/>
            </w:tcBorders>
            <w:vAlign w:val="center"/>
          </w:tcPr>
          <w:p w14:paraId="64A68455">
            <w:pPr>
              <w:jc w:val="center"/>
              <w:rPr>
                <w:color w:val="auto"/>
                <w:sz w:val="21"/>
                <w:szCs w:val="21"/>
              </w:rPr>
            </w:pPr>
            <w:r>
              <w:rPr>
                <w:rFonts w:hint="eastAsia"/>
                <w:color w:val="auto"/>
                <w:sz w:val="21"/>
                <w:szCs w:val="21"/>
              </w:rPr>
              <w:t>1.3</w:t>
            </w:r>
          </w:p>
        </w:tc>
        <w:tc>
          <w:tcPr>
            <w:tcW w:w="1299" w:type="dxa"/>
            <w:tcBorders>
              <w:tl2br w:val="nil"/>
              <w:tr2bl w:val="nil"/>
            </w:tcBorders>
            <w:vAlign w:val="center"/>
          </w:tcPr>
          <w:p w14:paraId="26C72FF6">
            <w:pPr>
              <w:jc w:val="center"/>
              <w:rPr>
                <w:color w:val="auto"/>
                <w:sz w:val="21"/>
                <w:szCs w:val="21"/>
              </w:rPr>
            </w:pPr>
            <w:r>
              <w:rPr>
                <w:rFonts w:hint="eastAsia"/>
                <w:color w:val="auto"/>
                <w:sz w:val="21"/>
                <w:szCs w:val="21"/>
              </w:rPr>
              <w:t>1.8</w:t>
            </w:r>
          </w:p>
        </w:tc>
        <w:tc>
          <w:tcPr>
            <w:tcW w:w="1299" w:type="dxa"/>
            <w:tcBorders>
              <w:tl2br w:val="nil"/>
              <w:tr2bl w:val="nil"/>
            </w:tcBorders>
            <w:vAlign w:val="center"/>
          </w:tcPr>
          <w:p w14:paraId="5E3F5B46">
            <w:pPr>
              <w:jc w:val="center"/>
              <w:rPr>
                <w:color w:val="auto"/>
                <w:sz w:val="21"/>
                <w:szCs w:val="21"/>
              </w:rPr>
            </w:pPr>
            <w:r>
              <w:rPr>
                <w:rFonts w:hint="eastAsia"/>
                <w:color w:val="auto"/>
                <w:sz w:val="21"/>
                <w:szCs w:val="21"/>
              </w:rPr>
              <w:t>2.4</w:t>
            </w:r>
          </w:p>
        </w:tc>
        <w:tc>
          <w:tcPr>
            <w:tcW w:w="1243" w:type="dxa"/>
            <w:tcBorders>
              <w:tl2br w:val="nil"/>
              <w:tr2bl w:val="nil"/>
            </w:tcBorders>
            <w:vAlign w:val="center"/>
          </w:tcPr>
          <w:p w14:paraId="5C01A709">
            <w:pPr>
              <w:jc w:val="center"/>
              <w:rPr>
                <w:color w:val="auto"/>
                <w:sz w:val="21"/>
                <w:szCs w:val="21"/>
              </w:rPr>
            </w:pPr>
            <w:r>
              <w:rPr>
                <w:rFonts w:hint="eastAsia"/>
                <w:color w:val="auto"/>
                <w:sz w:val="21"/>
                <w:szCs w:val="21"/>
              </w:rPr>
              <w:t>3.4</w:t>
            </w:r>
          </w:p>
        </w:tc>
      </w:tr>
      <w:tr w14:paraId="7C37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3" w:type="dxa"/>
            <w:tcBorders>
              <w:tl2br w:val="nil"/>
              <w:tr2bl w:val="nil"/>
            </w:tcBorders>
            <w:vAlign w:val="center"/>
          </w:tcPr>
          <w:p w14:paraId="321D1188">
            <w:pPr>
              <w:jc w:val="center"/>
              <w:rPr>
                <w:color w:val="auto"/>
                <w:sz w:val="21"/>
                <w:szCs w:val="21"/>
              </w:rPr>
            </w:pPr>
            <w:r>
              <w:rPr>
                <w:rFonts w:hint="eastAsia"/>
                <w:color w:val="auto"/>
                <w:sz w:val="21"/>
                <w:szCs w:val="21"/>
              </w:rPr>
              <w:t>3</w:t>
            </w:r>
          </w:p>
        </w:tc>
        <w:tc>
          <w:tcPr>
            <w:tcW w:w="1602" w:type="dxa"/>
            <w:tcBorders>
              <w:tl2br w:val="nil"/>
              <w:tr2bl w:val="nil"/>
            </w:tcBorders>
            <w:vAlign w:val="center"/>
          </w:tcPr>
          <w:p w14:paraId="096C1E19">
            <w:pPr>
              <w:jc w:val="center"/>
              <w:rPr>
                <w:color w:val="auto"/>
                <w:sz w:val="21"/>
                <w:szCs w:val="21"/>
              </w:rPr>
            </w:pPr>
            <w:r>
              <w:rPr>
                <w:rFonts w:hint="eastAsia"/>
                <w:color w:val="auto"/>
                <w:sz w:val="21"/>
                <w:szCs w:val="21"/>
              </w:rPr>
              <w:t>砷</w:t>
            </w:r>
          </w:p>
        </w:tc>
        <w:tc>
          <w:tcPr>
            <w:tcW w:w="1245" w:type="dxa"/>
            <w:tcBorders>
              <w:tl2br w:val="nil"/>
              <w:tr2bl w:val="nil"/>
            </w:tcBorders>
            <w:vAlign w:val="center"/>
          </w:tcPr>
          <w:p w14:paraId="546C6036">
            <w:pPr>
              <w:jc w:val="center"/>
              <w:rPr>
                <w:color w:val="auto"/>
                <w:sz w:val="21"/>
                <w:szCs w:val="21"/>
              </w:rPr>
            </w:pPr>
            <w:r>
              <w:rPr>
                <w:rFonts w:hint="eastAsia"/>
                <w:color w:val="auto"/>
                <w:sz w:val="21"/>
                <w:szCs w:val="21"/>
              </w:rPr>
              <w:t>其他</w:t>
            </w:r>
          </w:p>
        </w:tc>
        <w:tc>
          <w:tcPr>
            <w:tcW w:w="1299" w:type="dxa"/>
            <w:tcBorders>
              <w:tl2br w:val="nil"/>
              <w:tr2bl w:val="nil"/>
            </w:tcBorders>
            <w:vAlign w:val="center"/>
          </w:tcPr>
          <w:p w14:paraId="552D9592">
            <w:pPr>
              <w:jc w:val="center"/>
              <w:rPr>
                <w:color w:val="auto"/>
                <w:sz w:val="21"/>
                <w:szCs w:val="21"/>
              </w:rPr>
            </w:pPr>
            <w:r>
              <w:rPr>
                <w:rFonts w:hint="eastAsia"/>
                <w:color w:val="auto"/>
                <w:sz w:val="21"/>
                <w:szCs w:val="21"/>
              </w:rPr>
              <w:t>40</w:t>
            </w:r>
          </w:p>
        </w:tc>
        <w:tc>
          <w:tcPr>
            <w:tcW w:w="1299" w:type="dxa"/>
            <w:tcBorders>
              <w:tl2br w:val="nil"/>
              <w:tr2bl w:val="nil"/>
            </w:tcBorders>
            <w:vAlign w:val="center"/>
          </w:tcPr>
          <w:p w14:paraId="6674634F">
            <w:pPr>
              <w:jc w:val="center"/>
              <w:rPr>
                <w:color w:val="auto"/>
                <w:sz w:val="21"/>
                <w:szCs w:val="21"/>
              </w:rPr>
            </w:pPr>
            <w:r>
              <w:rPr>
                <w:rFonts w:hint="eastAsia"/>
                <w:color w:val="auto"/>
                <w:sz w:val="21"/>
                <w:szCs w:val="21"/>
              </w:rPr>
              <w:t>40</w:t>
            </w:r>
          </w:p>
        </w:tc>
        <w:tc>
          <w:tcPr>
            <w:tcW w:w="1299" w:type="dxa"/>
            <w:tcBorders>
              <w:tl2br w:val="nil"/>
              <w:tr2bl w:val="nil"/>
            </w:tcBorders>
            <w:vAlign w:val="center"/>
          </w:tcPr>
          <w:p w14:paraId="595E9D21">
            <w:pPr>
              <w:jc w:val="center"/>
              <w:rPr>
                <w:color w:val="auto"/>
                <w:sz w:val="21"/>
                <w:szCs w:val="21"/>
              </w:rPr>
            </w:pPr>
            <w:r>
              <w:rPr>
                <w:rFonts w:hint="eastAsia"/>
                <w:color w:val="auto"/>
                <w:sz w:val="21"/>
                <w:szCs w:val="21"/>
              </w:rPr>
              <w:t>30</w:t>
            </w:r>
          </w:p>
        </w:tc>
        <w:tc>
          <w:tcPr>
            <w:tcW w:w="1243" w:type="dxa"/>
            <w:tcBorders>
              <w:tl2br w:val="nil"/>
              <w:tr2bl w:val="nil"/>
            </w:tcBorders>
            <w:vAlign w:val="center"/>
          </w:tcPr>
          <w:p w14:paraId="116988CF">
            <w:pPr>
              <w:jc w:val="center"/>
              <w:rPr>
                <w:color w:val="auto"/>
                <w:sz w:val="21"/>
                <w:szCs w:val="21"/>
              </w:rPr>
            </w:pPr>
            <w:r>
              <w:rPr>
                <w:rFonts w:hint="eastAsia"/>
                <w:color w:val="auto"/>
                <w:sz w:val="21"/>
                <w:szCs w:val="21"/>
              </w:rPr>
              <w:t>25</w:t>
            </w:r>
          </w:p>
        </w:tc>
      </w:tr>
      <w:tr w14:paraId="42F3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3" w:type="dxa"/>
            <w:tcBorders>
              <w:tl2br w:val="nil"/>
              <w:tr2bl w:val="nil"/>
            </w:tcBorders>
            <w:vAlign w:val="center"/>
          </w:tcPr>
          <w:p w14:paraId="158D20D8">
            <w:pPr>
              <w:jc w:val="center"/>
              <w:rPr>
                <w:color w:val="auto"/>
                <w:sz w:val="21"/>
                <w:szCs w:val="21"/>
              </w:rPr>
            </w:pPr>
            <w:r>
              <w:rPr>
                <w:rFonts w:hint="eastAsia"/>
                <w:color w:val="auto"/>
                <w:sz w:val="21"/>
                <w:szCs w:val="21"/>
              </w:rPr>
              <w:t>4</w:t>
            </w:r>
          </w:p>
        </w:tc>
        <w:tc>
          <w:tcPr>
            <w:tcW w:w="1602" w:type="dxa"/>
            <w:tcBorders>
              <w:tl2br w:val="nil"/>
              <w:tr2bl w:val="nil"/>
            </w:tcBorders>
            <w:vAlign w:val="center"/>
          </w:tcPr>
          <w:p w14:paraId="4222CA13">
            <w:pPr>
              <w:jc w:val="center"/>
              <w:rPr>
                <w:color w:val="auto"/>
                <w:sz w:val="21"/>
                <w:szCs w:val="21"/>
              </w:rPr>
            </w:pPr>
            <w:r>
              <w:rPr>
                <w:rFonts w:hint="eastAsia"/>
                <w:color w:val="auto"/>
                <w:sz w:val="21"/>
                <w:szCs w:val="21"/>
              </w:rPr>
              <w:t>铅</w:t>
            </w:r>
          </w:p>
        </w:tc>
        <w:tc>
          <w:tcPr>
            <w:tcW w:w="1245" w:type="dxa"/>
            <w:tcBorders>
              <w:tl2br w:val="nil"/>
              <w:tr2bl w:val="nil"/>
            </w:tcBorders>
            <w:vAlign w:val="center"/>
          </w:tcPr>
          <w:p w14:paraId="777C4E52">
            <w:pPr>
              <w:jc w:val="center"/>
              <w:rPr>
                <w:color w:val="auto"/>
                <w:sz w:val="21"/>
                <w:szCs w:val="21"/>
              </w:rPr>
            </w:pPr>
            <w:r>
              <w:rPr>
                <w:rFonts w:hint="eastAsia"/>
                <w:color w:val="auto"/>
                <w:sz w:val="21"/>
                <w:szCs w:val="21"/>
              </w:rPr>
              <w:t>其他</w:t>
            </w:r>
          </w:p>
        </w:tc>
        <w:tc>
          <w:tcPr>
            <w:tcW w:w="1299" w:type="dxa"/>
            <w:tcBorders>
              <w:tl2br w:val="nil"/>
              <w:tr2bl w:val="nil"/>
            </w:tcBorders>
            <w:vAlign w:val="center"/>
          </w:tcPr>
          <w:p w14:paraId="1E5155FA">
            <w:pPr>
              <w:jc w:val="center"/>
              <w:rPr>
                <w:color w:val="auto"/>
                <w:sz w:val="21"/>
                <w:szCs w:val="21"/>
              </w:rPr>
            </w:pPr>
            <w:r>
              <w:rPr>
                <w:rFonts w:hint="eastAsia"/>
                <w:color w:val="auto"/>
                <w:sz w:val="21"/>
                <w:szCs w:val="21"/>
              </w:rPr>
              <w:t>70</w:t>
            </w:r>
          </w:p>
        </w:tc>
        <w:tc>
          <w:tcPr>
            <w:tcW w:w="1299" w:type="dxa"/>
            <w:tcBorders>
              <w:tl2br w:val="nil"/>
              <w:tr2bl w:val="nil"/>
            </w:tcBorders>
            <w:vAlign w:val="center"/>
          </w:tcPr>
          <w:p w14:paraId="4E6A0444">
            <w:pPr>
              <w:jc w:val="center"/>
              <w:rPr>
                <w:color w:val="auto"/>
                <w:sz w:val="21"/>
                <w:szCs w:val="21"/>
              </w:rPr>
            </w:pPr>
            <w:r>
              <w:rPr>
                <w:rFonts w:hint="eastAsia"/>
                <w:color w:val="auto"/>
                <w:sz w:val="21"/>
                <w:szCs w:val="21"/>
              </w:rPr>
              <w:t>90</w:t>
            </w:r>
          </w:p>
        </w:tc>
        <w:tc>
          <w:tcPr>
            <w:tcW w:w="1299" w:type="dxa"/>
            <w:tcBorders>
              <w:tl2br w:val="nil"/>
              <w:tr2bl w:val="nil"/>
            </w:tcBorders>
            <w:vAlign w:val="center"/>
          </w:tcPr>
          <w:p w14:paraId="1A81009A">
            <w:pPr>
              <w:jc w:val="center"/>
              <w:rPr>
                <w:color w:val="auto"/>
                <w:sz w:val="21"/>
                <w:szCs w:val="21"/>
              </w:rPr>
            </w:pPr>
            <w:r>
              <w:rPr>
                <w:rFonts w:hint="eastAsia"/>
                <w:color w:val="auto"/>
                <w:sz w:val="21"/>
                <w:szCs w:val="21"/>
              </w:rPr>
              <w:t>120</w:t>
            </w:r>
          </w:p>
        </w:tc>
        <w:tc>
          <w:tcPr>
            <w:tcW w:w="1243" w:type="dxa"/>
            <w:tcBorders>
              <w:tl2br w:val="nil"/>
              <w:tr2bl w:val="nil"/>
            </w:tcBorders>
            <w:vAlign w:val="center"/>
          </w:tcPr>
          <w:p w14:paraId="0FC07721">
            <w:pPr>
              <w:jc w:val="center"/>
              <w:rPr>
                <w:color w:val="auto"/>
                <w:sz w:val="21"/>
                <w:szCs w:val="21"/>
              </w:rPr>
            </w:pPr>
            <w:r>
              <w:rPr>
                <w:rFonts w:hint="eastAsia"/>
                <w:color w:val="auto"/>
                <w:sz w:val="21"/>
                <w:szCs w:val="21"/>
              </w:rPr>
              <w:t>170</w:t>
            </w:r>
          </w:p>
        </w:tc>
      </w:tr>
      <w:tr w14:paraId="65046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3" w:type="dxa"/>
            <w:tcBorders>
              <w:tl2br w:val="nil"/>
              <w:tr2bl w:val="nil"/>
            </w:tcBorders>
            <w:vAlign w:val="center"/>
          </w:tcPr>
          <w:p w14:paraId="1F0D303F">
            <w:pPr>
              <w:jc w:val="center"/>
              <w:rPr>
                <w:color w:val="auto"/>
                <w:sz w:val="21"/>
                <w:szCs w:val="21"/>
              </w:rPr>
            </w:pPr>
            <w:r>
              <w:rPr>
                <w:rFonts w:hint="eastAsia"/>
                <w:color w:val="auto"/>
                <w:sz w:val="21"/>
                <w:szCs w:val="21"/>
              </w:rPr>
              <w:t>5</w:t>
            </w:r>
          </w:p>
        </w:tc>
        <w:tc>
          <w:tcPr>
            <w:tcW w:w="1602" w:type="dxa"/>
            <w:tcBorders>
              <w:tl2br w:val="nil"/>
              <w:tr2bl w:val="nil"/>
            </w:tcBorders>
            <w:vAlign w:val="center"/>
          </w:tcPr>
          <w:p w14:paraId="7B89BD89">
            <w:pPr>
              <w:jc w:val="center"/>
              <w:rPr>
                <w:color w:val="auto"/>
                <w:sz w:val="21"/>
                <w:szCs w:val="21"/>
              </w:rPr>
            </w:pPr>
            <w:r>
              <w:rPr>
                <w:rFonts w:hint="eastAsia"/>
                <w:color w:val="auto"/>
                <w:sz w:val="21"/>
                <w:szCs w:val="21"/>
              </w:rPr>
              <w:t>铬</w:t>
            </w:r>
          </w:p>
        </w:tc>
        <w:tc>
          <w:tcPr>
            <w:tcW w:w="1245" w:type="dxa"/>
            <w:tcBorders>
              <w:tl2br w:val="nil"/>
              <w:tr2bl w:val="nil"/>
            </w:tcBorders>
            <w:vAlign w:val="center"/>
          </w:tcPr>
          <w:p w14:paraId="54767A53">
            <w:pPr>
              <w:jc w:val="center"/>
              <w:rPr>
                <w:color w:val="auto"/>
                <w:sz w:val="21"/>
                <w:szCs w:val="21"/>
              </w:rPr>
            </w:pPr>
            <w:r>
              <w:rPr>
                <w:rFonts w:hint="eastAsia"/>
                <w:color w:val="auto"/>
                <w:sz w:val="21"/>
                <w:szCs w:val="21"/>
              </w:rPr>
              <w:t>其他</w:t>
            </w:r>
          </w:p>
        </w:tc>
        <w:tc>
          <w:tcPr>
            <w:tcW w:w="1299" w:type="dxa"/>
            <w:tcBorders>
              <w:tl2br w:val="nil"/>
              <w:tr2bl w:val="nil"/>
            </w:tcBorders>
            <w:vAlign w:val="center"/>
          </w:tcPr>
          <w:p w14:paraId="5D94ECCA">
            <w:pPr>
              <w:jc w:val="center"/>
              <w:rPr>
                <w:color w:val="auto"/>
                <w:sz w:val="21"/>
                <w:szCs w:val="21"/>
              </w:rPr>
            </w:pPr>
            <w:r>
              <w:rPr>
                <w:rFonts w:hint="eastAsia"/>
                <w:color w:val="auto"/>
                <w:sz w:val="21"/>
                <w:szCs w:val="21"/>
              </w:rPr>
              <w:t>150</w:t>
            </w:r>
          </w:p>
        </w:tc>
        <w:tc>
          <w:tcPr>
            <w:tcW w:w="1299" w:type="dxa"/>
            <w:tcBorders>
              <w:tl2br w:val="nil"/>
              <w:tr2bl w:val="nil"/>
            </w:tcBorders>
            <w:vAlign w:val="center"/>
          </w:tcPr>
          <w:p w14:paraId="5BCA65D9">
            <w:pPr>
              <w:jc w:val="center"/>
              <w:rPr>
                <w:color w:val="auto"/>
                <w:sz w:val="21"/>
                <w:szCs w:val="21"/>
              </w:rPr>
            </w:pPr>
            <w:r>
              <w:rPr>
                <w:rFonts w:hint="eastAsia"/>
                <w:color w:val="auto"/>
                <w:sz w:val="21"/>
                <w:szCs w:val="21"/>
              </w:rPr>
              <w:t>150</w:t>
            </w:r>
          </w:p>
        </w:tc>
        <w:tc>
          <w:tcPr>
            <w:tcW w:w="1299" w:type="dxa"/>
            <w:tcBorders>
              <w:tl2br w:val="nil"/>
              <w:tr2bl w:val="nil"/>
            </w:tcBorders>
            <w:vAlign w:val="center"/>
          </w:tcPr>
          <w:p w14:paraId="39518C5D">
            <w:pPr>
              <w:jc w:val="center"/>
              <w:rPr>
                <w:color w:val="auto"/>
                <w:sz w:val="21"/>
                <w:szCs w:val="21"/>
              </w:rPr>
            </w:pPr>
            <w:r>
              <w:rPr>
                <w:rFonts w:hint="eastAsia"/>
                <w:color w:val="auto"/>
                <w:sz w:val="21"/>
                <w:szCs w:val="21"/>
              </w:rPr>
              <w:t>200</w:t>
            </w:r>
          </w:p>
        </w:tc>
        <w:tc>
          <w:tcPr>
            <w:tcW w:w="1243" w:type="dxa"/>
            <w:tcBorders>
              <w:tl2br w:val="nil"/>
              <w:tr2bl w:val="nil"/>
            </w:tcBorders>
            <w:vAlign w:val="center"/>
          </w:tcPr>
          <w:p w14:paraId="525C3DFB">
            <w:pPr>
              <w:jc w:val="center"/>
              <w:rPr>
                <w:color w:val="auto"/>
                <w:sz w:val="21"/>
                <w:szCs w:val="21"/>
              </w:rPr>
            </w:pPr>
            <w:r>
              <w:rPr>
                <w:rFonts w:hint="eastAsia"/>
                <w:color w:val="auto"/>
                <w:sz w:val="21"/>
                <w:szCs w:val="21"/>
              </w:rPr>
              <w:t>250</w:t>
            </w:r>
          </w:p>
        </w:tc>
      </w:tr>
      <w:tr w14:paraId="59F7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733" w:type="dxa"/>
            <w:tcBorders>
              <w:tl2br w:val="nil"/>
              <w:tr2bl w:val="nil"/>
            </w:tcBorders>
            <w:vAlign w:val="center"/>
          </w:tcPr>
          <w:p w14:paraId="3C62EA33">
            <w:pPr>
              <w:jc w:val="center"/>
              <w:rPr>
                <w:color w:val="auto"/>
                <w:sz w:val="21"/>
                <w:szCs w:val="21"/>
              </w:rPr>
            </w:pPr>
            <w:r>
              <w:rPr>
                <w:rFonts w:hint="eastAsia"/>
                <w:color w:val="auto"/>
                <w:sz w:val="21"/>
                <w:szCs w:val="21"/>
              </w:rPr>
              <w:t>6</w:t>
            </w:r>
          </w:p>
        </w:tc>
        <w:tc>
          <w:tcPr>
            <w:tcW w:w="1602" w:type="dxa"/>
            <w:tcBorders>
              <w:tl2br w:val="nil"/>
              <w:tr2bl w:val="nil"/>
            </w:tcBorders>
            <w:vAlign w:val="center"/>
          </w:tcPr>
          <w:p w14:paraId="5E2C1FCB">
            <w:pPr>
              <w:jc w:val="center"/>
              <w:rPr>
                <w:color w:val="auto"/>
                <w:sz w:val="21"/>
                <w:szCs w:val="21"/>
              </w:rPr>
            </w:pPr>
            <w:r>
              <w:rPr>
                <w:rFonts w:hint="eastAsia"/>
                <w:color w:val="auto"/>
                <w:sz w:val="21"/>
                <w:szCs w:val="21"/>
              </w:rPr>
              <w:t>铜</w:t>
            </w:r>
          </w:p>
        </w:tc>
        <w:tc>
          <w:tcPr>
            <w:tcW w:w="1245" w:type="dxa"/>
            <w:tcBorders>
              <w:tl2br w:val="nil"/>
              <w:tr2bl w:val="nil"/>
            </w:tcBorders>
            <w:vAlign w:val="center"/>
          </w:tcPr>
          <w:p w14:paraId="1B31F381">
            <w:pPr>
              <w:jc w:val="center"/>
              <w:rPr>
                <w:color w:val="auto"/>
                <w:sz w:val="21"/>
                <w:szCs w:val="21"/>
              </w:rPr>
            </w:pPr>
            <w:r>
              <w:rPr>
                <w:rFonts w:hint="eastAsia"/>
                <w:color w:val="auto"/>
                <w:sz w:val="21"/>
                <w:szCs w:val="21"/>
              </w:rPr>
              <w:t>其他</w:t>
            </w:r>
          </w:p>
        </w:tc>
        <w:tc>
          <w:tcPr>
            <w:tcW w:w="1299" w:type="dxa"/>
            <w:tcBorders>
              <w:tl2br w:val="nil"/>
              <w:tr2bl w:val="nil"/>
            </w:tcBorders>
            <w:vAlign w:val="center"/>
          </w:tcPr>
          <w:p w14:paraId="275318A2">
            <w:pPr>
              <w:jc w:val="center"/>
              <w:rPr>
                <w:color w:val="auto"/>
                <w:sz w:val="21"/>
                <w:szCs w:val="21"/>
              </w:rPr>
            </w:pPr>
            <w:r>
              <w:rPr>
                <w:rFonts w:hint="eastAsia"/>
                <w:color w:val="auto"/>
                <w:sz w:val="21"/>
                <w:szCs w:val="21"/>
              </w:rPr>
              <w:t>50</w:t>
            </w:r>
          </w:p>
        </w:tc>
        <w:tc>
          <w:tcPr>
            <w:tcW w:w="1299" w:type="dxa"/>
            <w:tcBorders>
              <w:tl2br w:val="nil"/>
              <w:tr2bl w:val="nil"/>
            </w:tcBorders>
            <w:vAlign w:val="center"/>
          </w:tcPr>
          <w:p w14:paraId="065A5E43">
            <w:pPr>
              <w:jc w:val="center"/>
              <w:rPr>
                <w:color w:val="auto"/>
                <w:sz w:val="21"/>
                <w:szCs w:val="21"/>
              </w:rPr>
            </w:pPr>
            <w:r>
              <w:rPr>
                <w:rFonts w:hint="eastAsia"/>
                <w:color w:val="auto"/>
                <w:sz w:val="21"/>
                <w:szCs w:val="21"/>
              </w:rPr>
              <w:t>50</w:t>
            </w:r>
          </w:p>
        </w:tc>
        <w:tc>
          <w:tcPr>
            <w:tcW w:w="1299" w:type="dxa"/>
            <w:tcBorders>
              <w:tl2br w:val="nil"/>
              <w:tr2bl w:val="nil"/>
            </w:tcBorders>
            <w:vAlign w:val="center"/>
          </w:tcPr>
          <w:p w14:paraId="650F968B">
            <w:pPr>
              <w:jc w:val="center"/>
              <w:rPr>
                <w:color w:val="auto"/>
                <w:sz w:val="21"/>
                <w:szCs w:val="21"/>
              </w:rPr>
            </w:pPr>
            <w:r>
              <w:rPr>
                <w:rFonts w:hint="eastAsia"/>
                <w:color w:val="auto"/>
                <w:sz w:val="21"/>
                <w:szCs w:val="21"/>
              </w:rPr>
              <w:t>100</w:t>
            </w:r>
          </w:p>
        </w:tc>
        <w:tc>
          <w:tcPr>
            <w:tcW w:w="1243" w:type="dxa"/>
            <w:tcBorders>
              <w:tl2br w:val="nil"/>
              <w:tr2bl w:val="nil"/>
            </w:tcBorders>
            <w:vAlign w:val="center"/>
          </w:tcPr>
          <w:p w14:paraId="467380E0">
            <w:pPr>
              <w:jc w:val="center"/>
              <w:rPr>
                <w:color w:val="auto"/>
                <w:sz w:val="21"/>
                <w:szCs w:val="21"/>
              </w:rPr>
            </w:pPr>
            <w:r>
              <w:rPr>
                <w:rFonts w:hint="eastAsia"/>
                <w:color w:val="auto"/>
                <w:sz w:val="21"/>
                <w:szCs w:val="21"/>
              </w:rPr>
              <w:t>100</w:t>
            </w:r>
          </w:p>
        </w:tc>
      </w:tr>
      <w:tr w14:paraId="61C2E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33" w:type="dxa"/>
            <w:tcBorders>
              <w:tl2br w:val="nil"/>
              <w:tr2bl w:val="nil"/>
            </w:tcBorders>
            <w:vAlign w:val="center"/>
          </w:tcPr>
          <w:p w14:paraId="5DABE040">
            <w:pPr>
              <w:jc w:val="center"/>
              <w:rPr>
                <w:color w:val="auto"/>
                <w:sz w:val="21"/>
                <w:szCs w:val="21"/>
              </w:rPr>
            </w:pPr>
            <w:r>
              <w:rPr>
                <w:rFonts w:hint="eastAsia"/>
                <w:color w:val="auto"/>
                <w:sz w:val="21"/>
                <w:szCs w:val="21"/>
              </w:rPr>
              <w:t>7</w:t>
            </w:r>
          </w:p>
        </w:tc>
        <w:tc>
          <w:tcPr>
            <w:tcW w:w="1602" w:type="dxa"/>
            <w:tcBorders>
              <w:tl2br w:val="nil"/>
              <w:tr2bl w:val="nil"/>
            </w:tcBorders>
            <w:vAlign w:val="center"/>
          </w:tcPr>
          <w:p w14:paraId="34F03020">
            <w:pPr>
              <w:jc w:val="center"/>
              <w:rPr>
                <w:color w:val="auto"/>
                <w:sz w:val="21"/>
                <w:szCs w:val="21"/>
              </w:rPr>
            </w:pPr>
            <w:r>
              <w:rPr>
                <w:rFonts w:hint="eastAsia"/>
                <w:color w:val="auto"/>
                <w:sz w:val="21"/>
                <w:szCs w:val="21"/>
              </w:rPr>
              <w:t>镍</w:t>
            </w:r>
          </w:p>
        </w:tc>
        <w:tc>
          <w:tcPr>
            <w:tcW w:w="1245" w:type="dxa"/>
            <w:tcBorders>
              <w:tl2br w:val="nil"/>
              <w:tr2bl w:val="nil"/>
            </w:tcBorders>
            <w:vAlign w:val="center"/>
          </w:tcPr>
          <w:p w14:paraId="37D09D8E">
            <w:pPr>
              <w:jc w:val="center"/>
              <w:rPr>
                <w:color w:val="auto"/>
                <w:sz w:val="21"/>
                <w:szCs w:val="21"/>
              </w:rPr>
            </w:pPr>
            <w:r>
              <w:rPr>
                <w:rFonts w:hint="eastAsia"/>
                <w:color w:val="auto"/>
                <w:sz w:val="21"/>
                <w:szCs w:val="21"/>
              </w:rPr>
              <w:t>-</w:t>
            </w:r>
          </w:p>
        </w:tc>
        <w:tc>
          <w:tcPr>
            <w:tcW w:w="1299" w:type="dxa"/>
            <w:tcBorders>
              <w:tl2br w:val="nil"/>
              <w:tr2bl w:val="nil"/>
            </w:tcBorders>
            <w:vAlign w:val="center"/>
          </w:tcPr>
          <w:p w14:paraId="597143D5">
            <w:pPr>
              <w:jc w:val="center"/>
              <w:rPr>
                <w:color w:val="auto"/>
                <w:sz w:val="21"/>
                <w:szCs w:val="21"/>
              </w:rPr>
            </w:pPr>
            <w:r>
              <w:rPr>
                <w:rFonts w:hint="eastAsia"/>
                <w:color w:val="auto"/>
                <w:sz w:val="21"/>
                <w:szCs w:val="21"/>
              </w:rPr>
              <w:t>60</w:t>
            </w:r>
          </w:p>
        </w:tc>
        <w:tc>
          <w:tcPr>
            <w:tcW w:w="1299" w:type="dxa"/>
            <w:tcBorders>
              <w:tl2br w:val="nil"/>
              <w:tr2bl w:val="nil"/>
            </w:tcBorders>
            <w:vAlign w:val="center"/>
          </w:tcPr>
          <w:p w14:paraId="533E99EC">
            <w:pPr>
              <w:jc w:val="center"/>
              <w:rPr>
                <w:color w:val="auto"/>
                <w:sz w:val="21"/>
                <w:szCs w:val="21"/>
              </w:rPr>
            </w:pPr>
            <w:r>
              <w:rPr>
                <w:rFonts w:hint="eastAsia"/>
                <w:color w:val="auto"/>
                <w:sz w:val="21"/>
                <w:szCs w:val="21"/>
              </w:rPr>
              <w:t>70</w:t>
            </w:r>
          </w:p>
        </w:tc>
        <w:tc>
          <w:tcPr>
            <w:tcW w:w="1299" w:type="dxa"/>
            <w:tcBorders>
              <w:tl2br w:val="nil"/>
              <w:tr2bl w:val="nil"/>
            </w:tcBorders>
            <w:vAlign w:val="center"/>
          </w:tcPr>
          <w:p w14:paraId="74F3A6D4">
            <w:pPr>
              <w:jc w:val="center"/>
              <w:rPr>
                <w:color w:val="auto"/>
                <w:sz w:val="21"/>
                <w:szCs w:val="21"/>
              </w:rPr>
            </w:pPr>
            <w:r>
              <w:rPr>
                <w:rFonts w:hint="eastAsia"/>
                <w:color w:val="auto"/>
                <w:sz w:val="21"/>
                <w:szCs w:val="21"/>
              </w:rPr>
              <w:t>100</w:t>
            </w:r>
          </w:p>
        </w:tc>
        <w:tc>
          <w:tcPr>
            <w:tcW w:w="1243" w:type="dxa"/>
            <w:tcBorders>
              <w:tl2br w:val="nil"/>
              <w:tr2bl w:val="nil"/>
            </w:tcBorders>
            <w:vAlign w:val="center"/>
          </w:tcPr>
          <w:p w14:paraId="71FCB9D6">
            <w:pPr>
              <w:jc w:val="center"/>
              <w:rPr>
                <w:color w:val="auto"/>
                <w:sz w:val="21"/>
                <w:szCs w:val="21"/>
              </w:rPr>
            </w:pPr>
            <w:r>
              <w:rPr>
                <w:rFonts w:hint="eastAsia"/>
                <w:color w:val="auto"/>
                <w:sz w:val="21"/>
                <w:szCs w:val="21"/>
              </w:rPr>
              <w:t>190</w:t>
            </w:r>
          </w:p>
        </w:tc>
      </w:tr>
      <w:tr w14:paraId="6F47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33" w:type="dxa"/>
            <w:tcBorders>
              <w:tl2br w:val="nil"/>
              <w:tr2bl w:val="nil"/>
            </w:tcBorders>
            <w:vAlign w:val="center"/>
          </w:tcPr>
          <w:p w14:paraId="7FD3D493">
            <w:pPr>
              <w:jc w:val="center"/>
              <w:rPr>
                <w:color w:val="auto"/>
                <w:sz w:val="21"/>
                <w:szCs w:val="21"/>
              </w:rPr>
            </w:pPr>
            <w:r>
              <w:rPr>
                <w:rFonts w:hint="eastAsia"/>
                <w:color w:val="auto"/>
                <w:sz w:val="21"/>
                <w:szCs w:val="21"/>
              </w:rPr>
              <w:t>8</w:t>
            </w:r>
          </w:p>
        </w:tc>
        <w:tc>
          <w:tcPr>
            <w:tcW w:w="1602" w:type="dxa"/>
            <w:tcBorders>
              <w:tl2br w:val="nil"/>
              <w:tr2bl w:val="nil"/>
            </w:tcBorders>
            <w:vAlign w:val="center"/>
          </w:tcPr>
          <w:p w14:paraId="5ACAF44E">
            <w:pPr>
              <w:jc w:val="center"/>
              <w:rPr>
                <w:color w:val="auto"/>
                <w:sz w:val="21"/>
                <w:szCs w:val="21"/>
              </w:rPr>
            </w:pPr>
            <w:r>
              <w:rPr>
                <w:rFonts w:hint="eastAsia"/>
                <w:color w:val="auto"/>
                <w:sz w:val="21"/>
                <w:szCs w:val="21"/>
              </w:rPr>
              <w:t>锌</w:t>
            </w:r>
          </w:p>
        </w:tc>
        <w:tc>
          <w:tcPr>
            <w:tcW w:w="1245" w:type="dxa"/>
            <w:tcBorders>
              <w:tl2br w:val="nil"/>
              <w:tr2bl w:val="nil"/>
            </w:tcBorders>
            <w:vAlign w:val="center"/>
          </w:tcPr>
          <w:p w14:paraId="66BE0AA2">
            <w:pPr>
              <w:jc w:val="center"/>
              <w:rPr>
                <w:color w:val="auto"/>
                <w:sz w:val="21"/>
                <w:szCs w:val="21"/>
              </w:rPr>
            </w:pPr>
            <w:r>
              <w:rPr>
                <w:rFonts w:hint="eastAsia"/>
                <w:color w:val="auto"/>
                <w:sz w:val="21"/>
                <w:szCs w:val="21"/>
              </w:rPr>
              <w:t>-</w:t>
            </w:r>
          </w:p>
        </w:tc>
        <w:tc>
          <w:tcPr>
            <w:tcW w:w="1299" w:type="dxa"/>
            <w:tcBorders>
              <w:tl2br w:val="nil"/>
              <w:tr2bl w:val="nil"/>
            </w:tcBorders>
            <w:vAlign w:val="center"/>
          </w:tcPr>
          <w:p w14:paraId="66F37CC0">
            <w:pPr>
              <w:jc w:val="center"/>
              <w:rPr>
                <w:color w:val="auto"/>
                <w:sz w:val="21"/>
                <w:szCs w:val="21"/>
              </w:rPr>
            </w:pPr>
            <w:r>
              <w:rPr>
                <w:rFonts w:hint="eastAsia"/>
                <w:color w:val="auto"/>
                <w:sz w:val="21"/>
                <w:szCs w:val="21"/>
              </w:rPr>
              <w:t>200</w:t>
            </w:r>
          </w:p>
        </w:tc>
        <w:tc>
          <w:tcPr>
            <w:tcW w:w="1299" w:type="dxa"/>
            <w:tcBorders>
              <w:tl2br w:val="nil"/>
              <w:tr2bl w:val="nil"/>
            </w:tcBorders>
            <w:vAlign w:val="center"/>
          </w:tcPr>
          <w:p w14:paraId="1CE92AB6">
            <w:pPr>
              <w:jc w:val="center"/>
              <w:rPr>
                <w:color w:val="auto"/>
                <w:sz w:val="21"/>
                <w:szCs w:val="21"/>
              </w:rPr>
            </w:pPr>
            <w:r>
              <w:rPr>
                <w:rFonts w:hint="eastAsia"/>
                <w:color w:val="auto"/>
                <w:sz w:val="21"/>
                <w:szCs w:val="21"/>
              </w:rPr>
              <w:t>200</w:t>
            </w:r>
          </w:p>
        </w:tc>
        <w:tc>
          <w:tcPr>
            <w:tcW w:w="1299" w:type="dxa"/>
            <w:tcBorders>
              <w:tl2br w:val="nil"/>
              <w:tr2bl w:val="nil"/>
            </w:tcBorders>
            <w:vAlign w:val="center"/>
          </w:tcPr>
          <w:p w14:paraId="2F6C6860">
            <w:pPr>
              <w:jc w:val="center"/>
              <w:rPr>
                <w:color w:val="auto"/>
                <w:sz w:val="21"/>
                <w:szCs w:val="21"/>
              </w:rPr>
            </w:pPr>
            <w:r>
              <w:rPr>
                <w:rFonts w:hint="eastAsia"/>
                <w:color w:val="auto"/>
                <w:sz w:val="21"/>
                <w:szCs w:val="21"/>
              </w:rPr>
              <w:t>250</w:t>
            </w:r>
          </w:p>
        </w:tc>
        <w:tc>
          <w:tcPr>
            <w:tcW w:w="1243" w:type="dxa"/>
            <w:tcBorders>
              <w:tl2br w:val="nil"/>
              <w:tr2bl w:val="nil"/>
            </w:tcBorders>
            <w:vAlign w:val="center"/>
          </w:tcPr>
          <w:p w14:paraId="00D854F6">
            <w:pPr>
              <w:jc w:val="center"/>
              <w:rPr>
                <w:color w:val="auto"/>
                <w:sz w:val="21"/>
                <w:szCs w:val="21"/>
              </w:rPr>
            </w:pPr>
            <w:r>
              <w:rPr>
                <w:rFonts w:hint="eastAsia"/>
                <w:color w:val="auto"/>
                <w:sz w:val="21"/>
                <w:szCs w:val="21"/>
              </w:rPr>
              <w:t>300</w:t>
            </w:r>
          </w:p>
        </w:tc>
      </w:tr>
    </w:tbl>
    <w:p w14:paraId="713A38C5">
      <w:pPr>
        <w:pStyle w:val="59"/>
        <w:tabs>
          <w:tab w:val="left" w:pos="720"/>
        </w:tabs>
        <w:spacing w:after="0" w:line="360" w:lineRule="auto"/>
        <w:ind w:left="0" w:leftChars="0"/>
        <w:jc w:val="center"/>
        <w:rPr>
          <w:rFonts w:hint="eastAsia"/>
          <w:b/>
          <w:color w:val="auto"/>
          <w:sz w:val="24"/>
          <w:szCs w:val="24"/>
          <w:lang w:val="en-US" w:eastAsia="zh-CN"/>
        </w:rPr>
      </w:pPr>
      <w:r>
        <w:rPr>
          <w:rFonts w:hint="eastAsia"/>
          <w:b/>
          <w:color w:val="auto"/>
          <w:sz w:val="24"/>
          <w:szCs w:val="24"/>
          <w:lang w:val="en-US" w:eastAsia="zh-CN"/>
        </w:rPr>
        <w:t>表2.3-7    建设用地土壤环境质量标准</w:t>
      </w:r>
    </w:p>
    <w:tbl>
      <w:tblPr>
        <w:tblStyle w:val="7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117"/>
        <w:gridCol w:w="1279"/>
        <w:gridCol w:w="1136"/>
        <w:gridCol w:w="1138"/>
        <w:gridCol w:w="1134"/>
        <w:gridCol w:w="907"/>
      </w:tblGrid>
      <w:tr w14:paraId="05895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restart"/>
            <w:noWrap w:val="0"/>
            <w:vAlign w:val="center"/>
          </w:tcPr>
          <w:p w14:paraId="612C34F0">
            <w:pPr>
              <w:jc w:val="center"/>
              <w:rPr>
                <w:b/>
                <w:color w:val="auto"/>
                <w:sz w:val="21"/>
                <w:szCs w:val="21"/>
              </w:rPr>
            </w:pPr>
            <w:r>
              <w:rPr>
                <w:b/>
                <w:color w:val="auto"/>
                <w:sz w:val="21"/>
                <w:szCs w:val="21"/>
              </w:rPr>
              <w:t>序号</w:t>
            </w:r>
          </w:p>
        </w:tc>
        <w:tc>
          <w:tcPr>
            <w:tcW w:w="2117" w:type="dxa"/>
            <w:vMerge w:val="restart"/>
            <w:noWrap w:val="0"/>
            <w:vAlign w:val="center"/>
          </w:tcPr>
          <w:p w14:paraId="44B05B1A">
            <w:pPr>
              <w:jc w:val="center"/>
              <w:rPr>
                <w:b/>
                <w:color w:val="auto"/>
                <w:sz w:val="21"/>
                <w:szCs w:val="21"/>
              </w:rPr>
            </w:pPr>
            <w:r>
              <w:rPr>
                <w:b/>
                <w:color w:val="auto"/>
                <w:sz w:val="21"/>
                <w:szCs w:val="21"/>
              </w:rPr>
              <w:t>污染物项目</w:t>
            </w:r>
          </w:p>
        </w:tc>
        <w:tc>
          <w:tcPr>
            <w:tcW w:w="1279" w:type="dxa"/>
            <w:vMerge w:val="restart"/>
            <w:noWrap w:val="0"/>
            <w:vAlign w:val="center"/>
          </w:tcPr>
          <w:p w14:paraId="759CFF65">
            <w:pPr>
              <w:jc w:val="center"/>
              <w:rPr>
                <w:b/>
                <w:color w:val="auto"/>
                <w:sz w:val="21"/>
                <w:szCs w:val="21"/>
              </w:rPr>
            </w:pPr>
            <w:r>
              <w:rPr>
                <w:b/>
                <w:color w:val="auto"/>
                <w:sz w:val="21"/>
                <w:szCs w:val="21"/>
              </w:rPr>
              <w:t>CAS编号</w:t>
            </w:r>
          </w:p>
        </w:tc>
        <w:tc>
          <w:tcPr>
            <w:tcW w:w="2274" w:type="dxa"/>
            <w:gridSpan w:val="2"/>
            <w:noWrap w:val="0"/>
            <w:vAlign w:val="center"/>
          </w:tcPr>
          <w:p w14:paraId="48308DAE">
            <w:pPr>
              <w:jc w:val="center"/>
              <w:rPr>
                <w:b/>
                <w:color w:val="auto"/>
                <w:sz w:val="21"/>
                <w:szCs w:val="21"/>
              </w:rPr>
            </w:pPr>
            <w:r>
              <w:rPr>
                <w:b/>
                <w:color w:val="auto"/>
                <w:sz w:val="21"/>
                <w:szCs w:val="21"/>
              </w:rPr>
              <w:t>筛选值</w:t>
            </w:r>
          </w:p>
        </w:tc>
        <w:tc>
          <w:tcPr>
            <w:tcW w:w="2041" w:type="dxa"/>
            <w:gridSpan w:val="2"/>
            <w:noWrap w:val="0"/>
            <w:vAlign w:val="center"/>
          </w:tcPr>
          <w:p w14:paraId="21A356CC">
            <w:pPr>
              <w:jc w:val="center"/>
              <w:rPr>
                <w:b/>
                <w:color w:val="auto"/>
                <w:sz w:val="21"/>
                <w:szCs w:val="21"/>
              </w:rPr>
            </w:pPr>
            <w:r>
              <w:rPr>
                <w:b/>
                <w:color w:val="auto"/>
                <w:sz w:val="21"/>
                <w:szCs w:val="21"/>
              </w:rPr>
              <w:t>管控值</w:t>
            </w:r>
          </w:p>
        </w:tc>
      </w:tr>
      <w:tr w14:paraId="6C3E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vMerge w:val="continue"/>
            <w:noWrap w:val="0"/>
            <w:vAlign w:val="center"/>
          </w:tcPr>
          <w:p w14:paraId="5DDEC141">
            <w:pPr>
              <w:jc w:val="center"/>
              <w:rPr>
                <w:b/>
                <w:color w:val="auto"/>
                <w:sz w:val="21"/>
                <w:szCs w:val="21"/>
              </w:rPr>
            </w:pPr>
          </w:p>
        </w:tc>
        <w:tc>
          <w:tcPr>
            <w:tcW w:w="2117" w:type="dxa"/>
            <w:vMerge w:val="continue"/>
            <w:noWrap w:val="0"/>
            <w:vAlign w:val="center"/>
          </w:tcPr>
          <w:p w14:paraId="41B04469">
            <w:pPr>
              <w:jc w:val="center"/>
              <w:rPr>
                <w:b/>
                <w:color w:val="auto"/>
                <w:sz w:val="21"/>
                <w:szCs w:val="21"/>
              </w:rPr>
            </w:pPr>
          </w:p>
        </w:tc>
        <w:tc>
          <w:tcPr>
            <w:tcW w:w="1279" w:type="dxa"/>
            <w:vMerge w:val="continue"/>
            <w:noWrap w:val="0"/>
            <w:vAlign w:val="center"/>
          </w:tcPr>
          <w:p w14:paraId="0CFD53EE">
            <w:pPr>
              <w:jc w:val="center"/>
              <w:rPr>
                <w:b/>
                <w:color w:val="auto"/>
                <w:sz w:val="21"/>
                <w:szCs w:val="21"/>
              </w:rPr>
            </w:pPr>
          </w:p>
        </w:tc>
        <w:tc>
          <w:tcPr>
            <w:tcW w:w="1136" w:type="dxa"/>
            <w:noWrap w:val="0"/>
            <w:vAlign w:val="center"/>
          </w:tcPr>
          <w:p w14:paraId="557436A1">
            <w:pPr>
              <w:jc w:val="center"/>
              <w:rPr>
                <w:b/>
                <w:color w:val="auto"/>
                <w:sz w:val="21"/>
                <w:szCs w:val="21"/>
              </w:rPr>
            </w:pPr>
            <w:r>
              <w:rPr>
                <w:b/>
                <w:color w:val="auto"/>
                <w:sz w:val="21"/>
                <w:szCs w:val="21"/>
              </w:rPr>
              <w:t>第一类用地</w:t>
            </w:r>
          </w:p>
        </w:tc>
        <w:tc>
          <w:tcPr>
            <w:tcW w:w="1138" w:type="dxa"/>
            <w:noWrap w:val="0"/>
            <w:vAlign w:val="center"/>
          </w:tcPr>
          <w:p w14:paraId="5C1F32C3">
            <w:pPr>
              <w:jc w:val="center"/>
              <w:rPr>
                <w:b/>
                <w:color w:val="auto"/>
                <w:sz w:val="21"/>
                <w:szCs w:val="21"/>
              </w:rPr>
            </w:pPr>
            <w:r>
              <w:rPr>
                <w:b/>
                <w:color w:val="auto"/>
                <w:sz w:val="21"/>
                <w:szCs w:val="21"/>
              </w:rPr>
              <w:t>第二类用地</w:t>
            </w:r>
          </w:p>
        </w:tc>
        <w:tc>
          <w:tcPr>
            <w:tcW w:w="1134" w:type="dxa"/>
            <w:noWrap w:val="0"/>
            <w:vAlign w:val="center"/>
          </w:tcPr>
          <w:p w14:paraId="43EF43BB">
            <w:pPr>
              <w:jc w:val="center"/>
              <w:rPr>
                <w:b/>
                <w:color w:val="auto"/>
                <w:sz w:val="21"/>
                <w:szCs w:val="21"/>
              </w:rPr>
            </w:pPr>
            <w:r>
              <w:rPr>
                <w:b/>
                <w:color w:val="auto"/>
                <w:sz w:val="21"/>
                <w:szCs w:val="21"/>
              </w:rPr>
              <w:t>第一类用地</w:t>
            </w:r>
          </w:p>
        </w:tc>
        <w:tc>
          <w:tcPr>
            <w:tcW w:w="907" w:type="dxa"/>
            <w:noWrap w:val="0"/>
            <w:vAlign w:val="center"/>
          </w:tcPr>
          <w:p w14:paraId="6A89DB45">
            <w:pPr>
              <w:jc w:val="center"/>
              <w:rPr>
                <w:b/>
                <w:color w:val="auto"/>
                <w:sz w:val="21"/>
                <w:szCs w:val="21"/>
              </w:rPr>
            </w:pPr>
            <w:r>
              <w:rPr>
                <w:b/>
                <w:color w:val="auto"/>
                <w:sz w:val="21"/>
                <w:szCs w:val="21"/>
              </w:rPr>
              <w:t>第二类用地</w:t>
            </w:r>
          </w:p>
        </w:tc>
      </w:tr>
      <w:tr w14:paraId="3C58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7"/>
            <w:noWrap w:val="0"/>
            <w:vAlign w:val="center"/>
          </w:tcPr>
          <w:p w14:paraId="7E6617AC">
            <w:pPr>
              <w:jc w:val="left"/>
              <w:rPr>
                <w:color w:val="auto"/>
                <w:sz w:val="21"/>
                <w:szCs w:val="21"/>
              </w:rPr>
            </w:pPr>
            <w:r>
              <w:rPr>
                <w:color w:val="auto"/>
                <w:sz w:val="21"/>
                <w:szCs w:val="21"/>
              </w:rPr>
              <w:t>重金属和无机物</w:t>
            </w:r>
          </w:p>
        </w:tc>
      </w:tr>
      <w:tr w14:paraId="142E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19DB626F">
            <w:pPr>
              <w:jc w:val="center"/>
              <w:rPr>
                <w:color w:val="auto"/>
                <w:sz w:val="21"/>
                <w:szCs w:val="21"/>
              </w:rPr>
            </w:pPr>
            <w:r>
              <w:rPr>
                <w:color w:val="auto"/>
                <w:sz w:val="21"/>
                <w:szCs w:val="21"/>
              </w:rPr>
              <w:t>1</w:t>
            </w:r>
          </w:p>
        </w:tc>
        <w:tc>
          <w:tcPr>
            <w:tcW w:w="2117" w:type="dxa"/>
            <w:noWrap w:val="0"/>
            <w:vAlign w:val="center"/>
          </w:tcPr>
          <w:p w14:paraId="4C56DAA7">
            <w:pPr>
              <w:jc w:val="center"/>
              <w:rPr>
                <w:color w:val="auto"/>
                <w:sz w:val="21"/>
                <w:szCs w:val="21"/>
              </w:rPr>
            </w:pPr>
            <w:r>
              <w:rPr>
                <w:color w:val="auto"/>
                <w:sz w:val="21"/>
                <w:szCs w:val="21"/>
              </w:rPr>
              <w:t>砷</w:t>
            </w:r>
          </w:p>
        </w:tc>
        <w:tc>
          <w:tcPr>
            <w:tcW w:w="1279" w:type="dxa"/>
            <w:noWrap w:val="0"/>
            <w:vAlign w:val="center"/>
          </w:tcPr>
          <w:p w14:paraId="21EA40B6">
            <w:pPr>
              <w:jc w:val="center"/>
              <w:rPr>
                <w:color w:val="auto"/>
                <w:sz w:val="21"/>
                <w:szCs w:val="21"/>
              </w:rPr>
            </w:pPr>
            <w:r>
              <w:rPr>
                <w:color w:val="auto"/>
                <w:sz w:val="21"/>
                <w:szCs w:val="21"/>
              </w:rPr>
              <w:t>7440-38-2</w:t>
            </w:r>
          </w:p>
        </w:tc>
        <w:tc>
          <w:tcPr>
            <w:tcW w:w="1136" w:type="dxa"/>
            <w:noWrap w:val="0"/>
            <w:vAlign w:val="center"/>
          </w:tcPr>
          <w:p w14:paraId="1CD4497F">
            <w:pPr>
              <w:jc w:val="center"/>
              <w:rPr>
                <w:color w:val="auto"/>
                <w:sz w:val="21"/>
                <w:szCs w:val="21"/>
              </w:rPr>
            </w:pPr>
            <w:r>
              <w:rPr>
                <w:color w:val="auto"/>
                <w:sz w:val="21"/>
                <w:szCs w:val="21"/>
                <w:vertAlign w:val="superscript"/>
              </w:rPr>
              <w:t>①</w:t>
            </w:r>
            <w:r>
              <w:rPr>
                <w:color w:val="auto"/>
                <w:sz w:val="21"/>
                <w:szCs w:val="21"/>
              </w:rPr>
              <w:t>20</w:t>
            </w:r>
          </w:p>
        </w:tc>
        <w:tc>
          <w:tcPr>
            <w:tcW w:w="1138" w:type="dxa"/>
            <w:noWrap w:val="0"/>
            <w:vAlign w:val="center"/>
          </w:tcPr>
          <w:p w14:paraId="54BD07B2">
            <w:pPr>
              <w:jc w:val="center"/>
              <w:rPr>
                <w:color w:val="auto"/>
                <w:sz w:val="21"/>
                <w:szCs w:val="21"/>
              </w:rPr>
            </w:pPr>
            <w:r>
              <w:rPr>
                <w:color w:val="auto"/>
                <w:sz w:val="21"/>
                <w:szCs w:val="21"/>
              </w:rPr>
              <w:t>60</w:t>
            </w:r>
          </w:p>
        </w:tc>
        <w:tc>
          <w:tcPr>
            <w:tcW w:w="1134" w:type="dxa"/>
            <w:noWrap w:val="0"/>
            <w:vAlign w:val="center"/>
          </w:tcPr>
          <w:p w14:paraId="181C6F46">
            <w:pPr>
              <w:jc w:val="center"/>
              <w:rPr>
                <w:color w:val="auto"/>
                <w:sz w:val="21"/>
                <w:szCs w:val="21"/>
              </w:rPr>
            </w:pPr>
            <w:r>
              <w:rPr>
                <w:color w:val="auto"/>
                <w:sz w:val="21"/>
                <w:szCs w:val="21"/>
              </w:rPr>
              <w:t>120</w:t>
            </w:r>
          </w:p>
        </w:tc>
        <w:tc>
          <w:tcPr>
            <w:tcW w:w="907" w:type="dxa"/>
            <w:noWrap w:val="0"/>
            <w:vAlign w:val="center"/>
          </w:tcPr>
          <w:p w14:paraId="40B2FD9D">
            <w:pPr>
              <w:jc w:val="center"/>
              <w:rPr>
                <w:color w:val="auto"/>
                <w:sz w:val="21"/>
                <w:szCs w:val="21"/>
              </w:rPr>
            </w:pPr>
            <w:r>
              <w:rPr>
                <w:color w:val="auto"/>
                <w:sz w:val="21"/>
                <w:szCs w:val="21"/>
              </w:rPr>
              <w:t>140</w:t>
            </w:r>
          </w:p>
        </w:tc>
      </w:tr>
      <w:tr w14:paraId="3DBAC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3BCC2552">
            <w:pPr>
              <w:jc w:val="center"/>
              <w:rPr>
                <w:color w:val="auto"/>
                <w:sz w:val="21"/>
                <w:szCs w:val="21"/>
              </w:rPr>
            </w:pPr>
            <w:r>
              <w:rPr>
                <w:color w:val="auto"/>
                <w:sz w:val="21"/>
                <w:szCs w:val="21"/>
              </w:rPr>
              <w:t>2</w:t>
            </w:r>
          </w:p>
        </w:tc>
        <w:tc>
          <w:tcPr>
            <w:tcW w:w="2117" w:type="dxa"/>
            <w:noWrap w:val="0"/>
            <w:vAlign w:val="center"/>
          </w:tcPr>
          <w:p w14:paraId="51D9F78A">
            <w:pPr>
              <w:jc w:val="center"/>
              <w:rPr>
                <w:color w:val="auto"/>
                <w:sz w:val="21"/>
                <w:szCs w:val="21"/>
              </w:rPr>
            </w:pPr>
            <w:r>
              <w:rPr>
                <w:color w:val="auto"/>
                <w:sz w:val="21"/>
                <w:szCs w:val="21"/>
              </w:rPr>
              <w:t>镉</w:t>
            </w:r>
          </w:p>
        </w:tc>
        <w:tc>
          <w:tcPr>
            <w:tcW w:w="1279" w:type="dxa"/>
            <w:noWrap w:val="0"/>
            <w:vAlign w:val="center"/>
          </w:tcPr>
          <w:p w14:paraId="593C4881">
            <w:pPr>
              <w:jc w:val="center"/>
              <w:rPr>
                <w:color w:val="auto"/>
                <w:sz w:val="21"/>
                <w:szCs w:val="21"/>
              </w:rPr>
            </w:pPr>
            <w:r>
              <w:rPr>
                <w:color w:val="auto"/>
                <w:sz w:val="21"/>
                <w:szCs w:val="21"/>
              </w:rPr>
              <w:t>7440-43-9</w:t>
            </w:r>
          </w:p>
        </w:tc>
        <w:tc>
          <w:tcPr>
            <w:tcW w:w="1136" w:type="dxa"/>
            <w:noWrap w:val="0"/>
            <w:vAlign w:val="center"/>
          </w:tcPr>
          <w:p w14:paraId="05E89507">
            <w:pPr>
              <w:jc w:val="center"/>
              <w:rPr>
                <w:color w:val="auto"/>
                <w:sz w:val="21"/>
                <w:szCs w:val="21"/>
              </w:rPr>
            </w:pPr>
            <w:r>
              <w:rPr>
                <w:color w:val="auto"/>
                <w:sz w:val="21"/>
                <w:szCs w:val="21"/>
              </w:rPr>
              <w:t>20</w:t>
            </w:r>
          </w:p>
        </w:tc>
        <w:tc>
          <w:tcPr>
            <w:tcW w:w="1138" w:type="dxa"/>
            <w:noWrap w:val="0"/>
            <w:vAlign w:val="center"/>
          </w:tcPr>
          <w:p w14:paraId="16683773">
            <w:pPr>
              <w:jc w:val="center"/>
              <w:rPr>
                <w:color w:val="auto"/>
                <w:sz w:val="21"/>
                <w:szCs w:val="21"/>
              </w:rPr>
            </w:pPr>
            <w:r>
              <w:rPr>
                <w:color w:val="auto"/>
                <w:sz w:val="21"/>
                <w:szCs w:val="21"/>
              </w:rPr>
              <w:t>65</w:t>
            </w:r>
          </w:p>
        </w:tc>
        <w:tc>
          <w:tcPr>
            <w:tcW w:w="1134" w:type="dxa"/>
            <w:noWrap w:val="0"/>
            <w:vAlign w:val="center"/>
          </w:tcPr>
          <w:p w14:paraId="30A89E5D">
            <w:pPr>
              <w:jc w:val="center"/>
              <w:rPr>
                <w:color w:val="auto"/>
                <w:sz w:val="21"/>
                <w:szCs w:val="21"/>
              </w:rPr>
            </w:pPr>
            <w:r>
              <w:rPr>
                <w:color w:val="auto"/>
                <w:sz w:val="21"/>
                <w:szCs w:val="21"/>
              </w:rPr>
              <w:t>47</w:t>
            </w:r>
          </w:p>
        </w:tc>
        <w:tc>
          <w:tcPr>
            <w:tcW w:w="907" w:type="dxa"/>
            <w:noWrap w:val="0"/>
            <w:vAlign w:val="center"/>
          </w:tcPr>
          <w:p w14:paraId="5A0DD4D5">
            <w:pPr>
              <w:jc w:val="center"/>
              <w:rPr>
                <w:color w:val="auto"/>
                <w:sz w:val="21"/>
                <w:szCs w:val="21"/>
              </w:rPr>
            </w:pPr>
            <w:r>
              <w:rPr>
                <w:color w:val="auto"/>
                <w:sz w:val="21"/>
                <w:szCs w:val="21"/>
              </w:rPr>
              <w:t>172</w:t>
            </w:r>
          </w:p>
        </w:tc>
      </w:tr>
      <w:tr w14:paraId="6077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4EFB0411">
            <w:pPr>
              <w:jc w:val="center"/>
              <w:rPr>
                <w:color w:val="auto"/>
                <w:sz w:val="21"/>
                <w:szCs w:val="21"/>
              </w:rPr>
            </w:pPr>
            <w:r>
              <w:rPr>
                <w:color w:val="auto"/>
                <w:sz w:val="21"/>
                <w:szCs w:val="21"/>
              </w:rPr>
              <w:t>3</w:t>
            </w:r>
          </w:p>
        </w:tc>
        <w:tc>
          <w:tcPr>
            <w:tcW w:w="2117" w:type="dxa"/>
            <w:noWrap w:val="0"/>
            <w:vAlign w:val="center"/>
          </w:tcPr>
          <w:p w14:paraId="05F0D5ED">
            <w:pPr>
              <w:jc w:val="center"/>
              <w:rPr>
                <w:color w:val="auto"/>
                <w:sz w:val="21"/>
                <w:szCs w:val="21"/>
              </w:rPr>
            </w:pPr>
            <w:r>
              <w:rPr>
                <w:color w:val="auto"/>
                <w:sz w:val="21"/>
                <w:szCs w:val="21"/>
              </w:rPr>
              <w:t>铬（六价）</w:t>
            </w:r>
          </w:p>
        </w:tc>
        <w:tc>
          <w:tcPr>
            <w:tcW w:w="1279" w:type="dxa"/>
            <w:noWrap w:val="0"/>
            <w:vAlign w:val="center"/>
          </w:tcPr>
          <w:p w14:paraId="68B8161B">
            <w:pPr>
              <w:jc w:val="center"/>
              <w:rPr>
                <w:color w:val="auto"/>
                <w:sz w:val="21"/>
                <w:szCs w:val="21"/>
              </w:rPr>
            </w:pPr>
            <w:r>
              <w:rPr>
                <w:color w:val="auto"/>
                <w:sz w:val="21"/>
                <w:szCs w:val="21"/>
              </w:rPr>
              <w:t>18540-29-9</w:t>
            </w:r>
          </w:p>
        </w:tc>
        <w:tc>
          <w:tcPr>
            <w:tcW w:w="1136" w:type="dxa"/>
            <w:noWrap w:val="0"/>
            <w:vAlign w:val="center"/>
          </w:tcPr>
          <w:p w14:paraId="11480532">
            <w:pPr>
              <w:jc w:val="center"/>
              <w:rPr>
                <w:color w:val="auto"/>
                <w:sz w:val="21"/>
                <w:szCs w:val="21"/>
              </w:rPr>
            </w:pPr>
            <w:r>
              <w:rPr>
                <w:color w:val="auto"/>
                <w:sz w:val="21"/>
                <w:szCs w:val="21"/>
              </w:rPr>
              <w:t>3.0</w:t>
            </w:r>
          </w:p>
        </w:tc>
        <w:tc>
          <w:tcPr>
            <w:tcW w:w="1138" w:type="dxa"/>
            <w:noWrap w:val="0"/>
            <w:vAlign w:val="center"/>
          </w:tcPr>
          <w:p w14:paraId="5300E917">
            <w:pPr>
              <w:jc w:val="center"/>
              <w:rPr>
                <w:color w:val="auto"/>
                <w:sz w:val="21"/>
                <w:szCs w:val="21"/>
              </w:rPr>
            </w:pPr>
            <w:r>
              <w:rPr>
                <w:color w:val="auto"/>
                <w:sz w:val="21"/>
                <w:szCs w:val="21"/>
              </w:rPr>
              <w:t>5.7</w:t>
            </w:r>
          </w:p>
        </w:tc>
        <w:tc>
          <w:tcPr>
            <w:tcW w:w="1134" w:type="dxa"/>
            <w:noWrap w:val="0"/>
            <w:vAlign w:val="center"/>
          </w:tcPr>
          <w:p w14:paraId="4BF54787">
            <w:pPr>
              <w:jc w:val="center"/>
              <w:rPr>
                <w:color w:val="auto"/>
                <w:sz w:val="21"/>
                <w:szCs w:val="21"/>
              </w:rPr>
            </w:pPr>
            <w:r>
              <w:rPr>
                <w:color w:val="auto"/>
                <w:sz w:val="21"/>
                <w:szCs w:val="21"/>
              </w:rPr>
              <w:t>30</w:t>
            </w:r>
          </w:p>
        </w:tc>
        <w:tc>
          <w:tcPr>
            <w:tcW w:w="907" w:type="dxa"/>
            <w:noWrap w:val="0"/>
            <w:vAlign w:val="center"/>
          </w:tcPr>
          <w:p w14:paraId="63E236CA">
            <w:pPr>
              <w:jc w:val="center"/>
              <w:rPr>
                <w:color w:val="auto"/>
                <w:sz w:val="21"/>
                <w:szCs w:val="21"/>
              </w:rPr>
            </w:pPr>
            <w:r>
              <w:rPr>
                <w:color w:val="auto"/>
                <w:sz w:val="21"/>
                <w:szCs w:val="21"/>
              </w:rPr>
              <w:t>78</w:t>
            </w:r>
          </w:p>
        </w:tc>
      </w:tr>
      <w:tr w14:paraId="6AF8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3C84E2B9">
            <w:pPr>
              <w:jc w:val="center"/>
              <w:rPr>
                <w:color w:val="auto"/>
                <w:sz w:val="21"/>
                <w:szCs w:val="21"/>
              </w:rPr>
            </w:pPr>
            <w:r>
              <w:rPr>
                <w:color w:val="auto"/>
                <w:sz w:val="21"/>
                <w:szCs w:val="21"/>
              </w:rPr>
              <w:t>4</w:t>
            </w:r>
          </w:p>
        </w:tc>
        <w:tc>
          <w:tcPr>
            <w:tcW w:w="2117" w:type="dxa"/>
            <w:noWrap w:val="0"/>
            <w:vAlign w:val="center"/>
          </w:tcPr>
          <w:p w14:paraId="79E24FD5">
            <w:pPr>
              <w:jc w:val="center"/>
              <w:rPr>
                <w:color w:val="auto"/>
                <w:sz w:val="21"/>
                <w:szCs w:val="21"/>
              </w:rPr>
            </w:pPr>
            <w:r>
              <w:rPr>
                <w:color w:val="auto"/>
                <w:sz w:val="21"/>
                <w:szCs w:val="21"/>
              </w:rPr>
              <w:t>铜</w:t>
            </w:r>
          </w:p>
        </w:tc>
        <w:tc>
          <w:tcPr>
            <w:tcW w:w="1279" w:type="dxa"/>
            <w:noWrap w:val="0"/>
            <w:vAlign w:val="center"/>
          </w:tcPr>
          <w:p w14:paraId="28325C9A">
            <w:pPr>
              <w:jc w:val="center"/>
              <w:rPr>
                <w:color w:val="auto"/>
                <w:sz w:val="21"/>
                <w:szCs w:val="21"/>
              </w:rPr>
            </w:pPr>
            <w:r>
              <w:rPr>
                <w:color w:val="auto"/>
                <w:sz w:val="21"/>
                <w:szCs w:val="21"/>
              </w:rPr>
              <w:t>7440-50-8</w:t>
            </w:r>
          </w:p>
        </w:tc>
        <w:tc>
          <w:tcPr>
            <w:tcW w:w="1136" w:type="dxa"/>
            <w:noWrap w:val="0"/>
            <w:vAlign w:val="center"/>
          </w:tcPr>
          <w:p w14:paraId="510E96D3">
            <w:pPr>
              <w:jc w:val="center"/>
              <w:rPr>
                <w:color w:val="auto"/>
                <w:sz w:val="21"/>
                <w:szCs w:val="21"/>
              </w:rPr>
            </w:pPr>
            <w:r>
              <w:rPr>
                <w:color w:val="auto"/>
                <w:sz w:val="21"/>
                <w:szCs w:val="21"/>
              </w:rPr>
              <w:t>2000</w:t>
            </w:r>
          </w:p>
        </w:tc>
        <w:tc>
          <w:tcPr>
            <w:tcW w:w="1138" w:type="dxa"/>
            <w:noWrap w:val="0"/>
            <w:vAlign w:val="center"/>
          </w:tcPr>
          <w:p w14:paraId="2FCFCDB6">
            <w:pPr>
              <w:jc w:val="center"/>
              <w:rPr>
                <w:color w:val="auto"/>
                <w:sz w:val="21"/>
                <w:szCs w:val="21"/>
              </w:rPr>
            </w:pPr>
            <w:r>
              <w:rPr>
                <w:color w:val="auto"/>
                <w:sz w:val="21"/>
                <w:szCs w:val="21"/>
              </w:rPr>
              <w:t>18000</w:t>
            </w:r>
          </w:p>
        </w:tc>
        <w:tc>
          <w:tcPr>
            <w:tcW w:w="1134" w:type="dxa"/>
            <w:noWrap w:val="0"/>
            <w:vAlign w:val="center"/>
          </w:tcPr>
          <w:p w14:paraId="7146CC37">
            <w:pPr>
              <w:jc w:val="center"/>
              <w:rPr>
                <w:color w:val="auto"/>
                <w:sz w:val="21"/>
                <w:szCs w:val="21"/>
              </w:rPr>
            </w:pPr>
            <w:r>
              <w:rPr>
                <w:color w:val="auto"/>
                <w:sz w:val="21"/>
                <w:szCs w:val="21"/>
              </w:rPr>
              <w:t>8000</w:t>
            </w:r>
          </w:p>
        </w:tc>
        <w:tc>
          <w:tcPr>
            <w:tcW w:w="907" w:type="dxa"/>
            <w:noWrap w:val="0"/>
            <w:vAlign w:val="center"/>
          </w:tcPr>
          <w:p w14:paraId="66FE9CCE">
            <w:pPr>
              <w:jc w:val="center"/>
              <w:rPr>
                <w:color w:val="auto"/>
                <w:sz w:val="21"/>
                <w:szCs w:val="21"/>
              </w:rPr>
            </w:pPr>
            <w:r>
              <w:rPr>
                <w:color w:val="auto"/>
                <w:sz w:val="21"/>
                <w:szCs w:val="21"/>
              </w:rPr>
              <w:t>36000</w:t>
            </w:r>
          </w:p>
        </w:tc>
      </w:tr>
      <w:tr w14:paraId="4BC3E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101EA01">
            <w:pPr>
              <w:jc w:val="center"/>
              <w:rPr>
                <w:color w:val="auto"/>
                <w:sz w:val="21"/>
                <w:szCs w:val="21"/>
              </w:rPr>
            </w:pPr>
            <w:r>
              <w:rPr>
                <w:color w:val="auto"/>
                <w:sz w:val="21"/>
                <w:szCs w:val="21"/>
              </w:rPr>
              <w:t>5</w:t>
            </w:r>
          </w:p>
        </w:tc>
        <w:tc>
          <w:tcPr>
            <w:tcW w:w="2117" w:type="dxa"/>
            <w:noWrap w:val="0"/>
            <w:vAlign w:val="center"/>
          </w:tcPr>
          <w:p w14:paraId="7FF3AF5C">
            <w:pPr>
              <w:jc w:val="center"/>
              <w:rPr>
                <w:color w:val="auto"/>
                <w:sz w:val="21"/>
                <w:szCs w:val="21"/>
              </w:rPr>
            </w:pPr>
            <w:r>
              <w:rPr>
                <w:color w:val="auto"/>
                <w:sz w:val="21"/>
                <w:szCs w:val="21"/>
              </w:rPr>
              <w:t>铅</w:t>
            </w:r>
          </w:p>
        </w:tc>
        <w:tc>
          <w:tcPr>
            <w:tcW w:w="1279" w:type="dxa"/>
            <w:noWrap w:val="0"/>
            <w:vAlign w:val="center"/>
          </w:tcPr>
          <w:p w14:paraId="557C4677">
            <w:pPr>
              <w:jc w:val="center"/>
              <w:rPr>
                <w:color w:val="auto"/>
                <w:sz w:val="21"/>
                <w:szCs w:val="21"/>
              </w:rPr>
            </w:pPr>
            <w:r>
              <w:rPr>
                <w:color w:val="auto"/>
                <w:sz w:val="21"/>
                <w:szCs w:val="21"/>
              </w:rPr>
              <w:t>7439-92-1</w:t>
            </w:r>
          </w:p>
        </w:tc>
        <w:tc>
          <w:tcPr>
            <w:tcW w:w="1136" w:type="dxa"/>
            <w:noWrap w:val="0"/>
            <w:vAlign w:val="center"/>
          </w:tcPr>
          <w:p w14:paraId="4B55930D">
            <w:pPr>
              <w:jc w:val="center"/>
              <w:rPr>
                <w:color w:val="auto"/>
                <w:sz w:val="21"/>
                <w:szCs w:val="21"/>
              </w:rPr>
            </w:pPr>
            <w:r>
              <w:rPr>
                <w:color w:val="auto"/>
                <w:sz w:val="21"/>
                <w:szCs w:val="21"/>
              </w:rPr>
              <w:t>400</w:t>
            </w:r>
          </w:p>
        </w:tc>
        <w:tc>
          <w:tcPr>
            <w:tcW w:w="1138" w:type="dxa"/>
            <w:noWrap w:val="0"/>
            <w:vAlign w:val="center"/>
          </w:tcPr>
          <w:p w14:paraId="39DBA267">
            <w:pPr>
              <w:jc w:val="center"/>
              <w:rPr>
                <w:color w:val="auto"/>
                <w:sz w:val="21"/>
                <w:szCs w:val="21"/>
              </w:rPr>
            </w:pPr>
            <w:r>
              <w:rPr>
                <w:color w:val="auto"/>
                <w:sz w:val="21"/>
                <w:szCs w:val="21"/>
              </w:rPr>
              <w:t>800</w:t>
            </w:r>
          </w:p>
        </w:tc>
        <w:tc>
          <w:tcPr>
            <w:tcW w:w="1134" w:type="dxa"/>
            <w:noWrap w:val="0"/>
            <w:vAlign w:val="center"/>
          </w:tcPr>
          <w:p w14:paraId="5D171BAE">
            <w:pPr>
              <w:jc w:val="center"/>
              <w:rPr>
                <w:color w:val="auto"/>
                <w:sz w:val="21"/>
                <w:szCs w:val="21"/>
              </w:rPr>
            </w:pPr>
            <w:r>
              <w:rPr>
                <w:color w:val="auto"/>
                <w:sz w:val="21"/>
                <w:szCs w:val="21"/>
              </w:rPr>
              <w:t>800</w:t>
            </w:r>
          </w:p>
        </w:tc>
        <w:tc>
          <w:tcPr>
            <w:tcW w:w="907" w:type="dxa"/>
            <w:noWrap w:val="0"/>
            <w:vAlign w:val="center"/>
          </w:tcPr>
          <w:p w14:paraId="5D9A2D6C">
            <w:pPr>
              <w:jc w:val="center"/>
              <w:rPr>
                <w:color w:val="auto"/>
                <w:sz w:val="21"/>
                <w:szCs w:val="21"/>
              </w:rPr>
            </w:pPr>
            <w:r>
              <w:rPr>
                <w:color w:val="auto"/>
                <w:sz w:val="21"/>
                <w:szCs w:val="21"/>
              </w:rPr>
              <w:t>2500</w:t>
            </w:r>
          </w:p>
        </w:tc>
      </w:tr>
      <w:tr w14:paraId="3ADD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17" w:type="dxa"/>
            <w:noWrap w:val="0"/>
            <w:vAlign w:val="center"/>
          </w:tcPr>
          <w:p w14:paraId="0D7DA648">
            <w:pPr>
              <w:jc w:val="center"/>
              <w:rPr>
                <w:color w:val="auto"/>
                <w:sz w:val="21"/>
                <w:szCs w:val="21"/>
              </w:rPr>
            </w:pPr>
            <w:r>
              <w:rPr>
                <w:color w:val="auto"/>
                <w:sz w:val="21"/>
                <w:szCs w:val="21"/>
              </w:rPr>
              <w:t>6</w:t>
            </w:r>
          </w:p>
        </w:tc>
        <w:tc>
          <w:tcPr>
            <w:tcW w:w="2117" w:type="dxa"/>
            <w:noWrap w:val="0"/>
            <w:vAlign w:val="center"/>
          </w:tcPr>
          <w:p w14:paraId="61FBFC6F">
            <w:pPr>
              <w:jc w:val="center"/>
              <w:rPr>
                <w:color w:val="auto"/>
                <w:sz w:val="21"/>
                <w:szCs w:val="21"/>
              </w:rPr>
            </w:pPr>
            <w:r>
              <w:rPr>
                <w:color w:val="auto"/>
                <w:sz w:val="21"/>
                <w:szCs w:val="21"/>
              </w:rPr>
              <w:t>汞</w:t>
            </w:r>
          </w:p>
        </w:tc>
        <w:tc>
          <w:tcPr>
            <w:tcW w:w="1279" w:type="dxa"/>
            <w:noWrap w:val="0"/>
            <w:vAlign w:val="center"/>
          </w:tcPr>
          <w:p w14:paraId="51E6CB94">
            <w:pPr>
              <w:jc w:val="center"/>
              <w:rPr>
                <w:color w:val="auto"/>
                <w:sz w:val="21"/>
                <w:szCs w:val="21"/>
              </w:rPr>
            </w:pPr>
            <w:r>
              <w:rPr>
                <w:color w:val="auto"/>
                <w:sz w:val="21"/>
                <w:szCs w:val="21"/>
              </w:rPr>
              <w:t>7439-97-6</w:t>
            </w:r>
          </w:p>
        </w:tc>
        <w:tc>
          <w:tcPr>
            <w:tcW w:w="1136" w:type="dxa"/>
            <w:noWrap w:val="0"/>
            <w:vAlign w:val="center"/>
          </w:tcPr>
          <w:p w14:paraId="0C6FF930">
            <w:pPr>
              <w:jc w:val="center"/>
              <w:rPr>
                <w:color w:val="auto"/>
                <w:sz w:val="21"/>
                <w:szCs w:val="21"/>
              </w:rPr>
            </w:pPr>
            <w:r>
              <w:rPr>
                <w:color w:val="auto"/>
                <w:sz w:val="21"/>
                <w:szCs w:val="21"/>
              </w:rPr>
              <w:t>8</w:t>
            </w:r>
          </w:p>
        </w:tc>
        <w:tc>
          <w:tcPr>
            <w:tcW w:w="1138" w:type="dxa"/>
            <w:noWrap w:val="0"/>
            <w:vAlign w:val="center"/>
          </w:tcPr>
          <w:p w14:paraId="72CA0829">
            <w:pPr>
              <w:jc w:val="center"/>
              <w:rPr>
                <w:color w:val="auto"/>
                <w:sz w:val="21"/>
                <w:szCs w:val="21"/>
              </w:rPr>
            </w:pPr>
            <w:r>
              <w:rPr>
                <w:color w:val="auto"/>
                <w:sz w:val="21"/>
                <w:szCs w:val="21"/>
              </w:rPr>
              <w:t>38</w:t>
            </w:r>
          </w:p>
        </w:tc>
        <w:tc>
          <w:tcPr>
            <w:tcW w:w="1134" w:type="dxa"/>
            <w:noWrap w:val="0"/>
            <w:vAlign w:val="center"/>
          </w:tcPr>
          <w:p w14:paraId="52916012">
            <w:pPr>
              <w:jc w:val="center"/>
              <w:rPr>
                <w:color w:val="auto"/>
                <w:sz w:val="21"/>
                <w:szCs w:val="21"/>
              </w:rPr>
            </w:pPr>
            <w:r>
              <w:rPr>
                <w:color w:val="auto"/>
                <w:sz w:val="21"/>
                <w:szCs w:val="21"/>
              </w:rPr>
              <w:t>33</w:t>
            </w:r>
          </w:p>
        </w:tc>
        <w:tc>
          <w:tcPr>
            <w:tcW w:w="907" w:type="dxa"/>
            <w:noWrap w:val="0"/>
            <w:vAlign w:val="center"/>
          </w:tcPr>
          <w:p w14:paraId="69E59EF4">
            <w:pPr>
              <w:jc w:val="center"/>
              <w:rPr>
                <w:color w:val="auto"/>
                <w:sz w:val="21"/>
                <w:szCs w:val="21"/>
              </w:rPr>
            </w:pPr>
            <w:r>
              <w:rPr>
                <w:color w:val="auto"/>
                <w:sz w:val="21"/>
                <w:szCs w:val="21"/>
              </w:rPr>
              <w:t>82</w:t>
            </w:r>
          </w:p>
        </w:tc>
      </w:tr>
      <w:tr w14:paraId="115F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BE8C9F6">
            <w:pPr>
              <w:jc w:val="center"/>
              <w:rPr>
                <w:color w:val="auto"/>
                <w:sz w:val="21"/>
                <w:szCs w:val="21"/>
              </w:rPr>
            </w:pPr>
            <w:r>
              <w:rPr>
                <w:color w:val="auto"/>
                <w:sz w:val="21"/>
                <w:szCs w:val="21"/>
              </w:rPr>
              <w:t>7</w:t>
            </w:r>
          </w:p>
        </w:tc>
        <w:tc>
          <w:tcPr>
            <w:tcW w:w="2117" w:type="dxa"/>
            <w:noWrap w:val="0"/>
            <w:vAlign w:val="center"/>
          </w:tcPr>
          <w:p w14:paraId="50E78992">
            <w:pPr>
              <w:jc w:val="center"/>
              <w:rPr>
                <w:color w:val="auto"/>
                <w:sz w:val="21"/>
                <w:szCs w:val="21"/>
              </w:rPr>
            </w:pPr>
            <w:r>
              <w:rPr>
                <w:color w:val="auto"/>
                <w:sz w:val="21"/>
                <w:szCs w:val="21"/>
              </w:rPr>
              <w:t>镍</w:t>
            </w:r>
          </w:p>
        </w:tc>
        <w:tc>
          <w:tcPr>
            <w:tcW w:w="1279" w:type="dxa"/>
            <w:noWrap w:val="0"/>
            <w:vAlign w:val="center"/>
          </w:tcPr>
          <w:p w14:paraId="20CA038F">
            <w:pPr>
              <w:jc w:val="center"/>
              <w:rPr>
                <w:color w:val="auto"/>
                <w:sz w:val="21"/>
                <w:szCs w:val="21"/>
              </w:rPr>
            </w:pPr>
            <w:r>
              <w:rPr>
                <w:color w:val="auto"/>
                <w:sz w:val="21"/>
                <w:szCs w:val="21"/>
              </w:rPr>
              <w:t>7440-02-0</w:t>
            </w:r>
          </w:p>
        </w:tc>
        <w:tc>
          <w:tcPr>
            <w:tcW w:w="1136" w:type="dxa"/>
            <w:noWrap w:val="0"/>
            <w:vAlign w:val="center"/>
          </w:tcPr>
          <w:p w14:paraId="1961F148">
            <w:pPr>
              <w:jc w:val="center"/>
              <w:rPr>
                <w:color w:val="auto"/>
                <w:sz w:val="21"/>
                <w:szCs w:val="21"/>
              </w:rPr>
            </w:pPr>
            <w:r>
              <w:rPr>
                <w:color w:val="auto"/>
                <w:sz w:val="21"/>
                <w:szCs w:val="21"/>
              </w:rPr>
              <w:t>150</w:t>
            </w:r>
          </w:p>
        </w:tc>
        <w:tc>
          <w:tcPr>
            <w:tcW w:w="1138" w:type="dxa"/>
            <w:noWrap w:val="0"/>
            <w:vAlign w:val="center"/>
          </w:tcPr>
          <w:p w14:paraId="122DF04E">
            <w:pPr>
              <w:jc w:val="center"/>
              <w:rPr>
                <w:color w:val="auto"/>
                <w:sz w:val="21"/>
                <w:szCs w:val="21"/>
              </w:rPr>
            </w:pPr>
            <w:r>
              <w:rPr>
                <w:color w:val="auto"/>
                <w:sz w:val="21"/>
                <w:szCs w:val="21"/>
              </w:rPr>
              <w:t>900</w:t>
            </w:r>
          </w:p>
        </w:tc>
        <w:tc>
          <w:tcPr>
            <w:tcW w:w="1134" w:type="dxa"/>
            <w:noWrap w:val="0"/>
            <w:vAlign w:val="center"/>
          </w:tcPr>
          <w:p w14:paraId="5FCA5F27">
            <w:pPr>
              <w:jc w:val="center"/>
              <w:rPr>
                <w:color w:val="auto"/>
                <w:sz w:val="21"/>
                <w:szCs w:val="21"/>
              </w:rPr>
            </w:pPr>
            <w:r>
              <w:rPr>
                <w:color w:val="auto"/>
                <w:sz w:val="21"/>
                <w:szCs w:val="21"/>
              </w:rPr>
              <w:t>600</w:t>
            </w:r>
          </w:p>
        </w:tc>
        <w:tc>
          <w:tcPr>
            <w:tcW w:w="907" w:type="dxa"/>
            <w:noWrap w:val="0"/>
            <w:vAlign w:val="center"/>
          </w:tcPr>
          <w:p w14:paraId="12AD75E1">
            <w:pPr>
              <w:jc w:val="center"/>
              <w:rPr>
                <w:color w:val="auto"/>
                <w:sz w:val="21"/>
                <w:szCs w:val="21"/>
              </w:rPr>
            </w:pPr>
            <w:r>
              <w:rPr>
                <w:color w:val="auto"/>
                <w:sz w:val="21"/>
                <w:szCs w:val="21"/>
              </w:rPr>
              <w:t>2000</w:t>
            </w:r>
          </w:p>
        </w:tc>
      </w:tr>
      <w:tr w14:paraId="0347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7"/>
            <w:noWrap w:val="0"/>
            <w:vAlign w:val="center"/>
          </w:tcPr>
          <w:p w14:paraId="3664C082">
            <w:pPr>
              <w:jc w:val="left"/>
              <w:rPr>
                <w:color w:val="auto"/>
                <w:sz w:val="21"/>
                <w:szCs w:val="21"/>
              </w:rPr>
            </w:pPr>
            <w:r>
              <w:rPr>
                <w:color w:val="auto"/>
                <w:sz w:val="21"/>
                <w:szCs w:val="21"/>
              </w:rPr>
              <w:t>挥发性有机物</w:t>
            </w:r>
          </w:p>
        </w:tc>
      </w:tr>
      <w:tr w14:paraId="26CF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8BC6454">
            <w:pPr>
              <w:spacing w:line="320" w:lineRule="exact"/>
              <w:jc w:val="center"/>
              <w:rPr>
                <w:color w:val="auto"/>
                <w:sz w:val="21"/>
                <w:szCs w:val="21"/>
              </w:rPr>
            </w:pPr>
            <w:r>
              <w:rPr>
                <w:color w:val="auto"/>
                <w:sz w:val="21"/>
                <w:szCs w:val="21"/>
              </w:rPr>
              <w:t>8</w:t>
            </w:r>
          </w:p>
        </w:tc>
        <w:tc>
          <w:tcPr>
            <w:tcW w:w="2117" w:type="dxa"/>
            <w:noWrap w:val="0"/>
            <w:vAlign w:val="center"/>
          </w:tcPr>
          <w:p w14:paraId="3895C232">
            <w:pPr>
              <w:widowControl/>
              <w:tabs>
                <w:tab w:val="left" w:pos="480"/>
              </w:tabs>
              <w:spacing w:line="320" w:lineRule="exact"/>
              <w:jc w:val="center"/>
              <w:rPr>
                <w:color w:val="auto"/>
                <w:sz w:val="21"/>
                <w:szCs w:val="21"/>
              </w:rPr>
            </w:pPr>
            <w:r>
              <w:rPr>
                <w:color w:val="auto"/>
                <w:sz w:val="21"/>
                <w:szCs w:val="21"/>
              </w:rPr>
              <w:t>四氯化碳</w:t>
            </w:r>
          </w:p>
        </w:tc>
        <w:tc>
          <w:tcPr>
            <w:tcW w:w="1279" w:type="dxa"/>
            <w:noWrap w:val="0"/>
            <w:vAlign w:val="center"/>
          </w:tcPr>
          <w:p w14:paraId="7DB6D776">
            <w:pPr>
              <w:spacing w:line="320" w:lineRule="exact"/>
              <w:jc w:val="center"/>
              <w:rPr>
                <w:color w:val="auto"/>
                <w:sz w:val="21"/>
                <w:szCs w:val="21"/>
              </w:rPr>
            </w:pPr>
            <w:r>
              <w:rPr>
                <w:color w:val="auto"/>
                <w:sz w:val="21"/>
                <w:szCs w:val="21"/>
              </w:rPr>
              <w:t>56-23-5</w:t>
            </w:r>
          </w:p>
        </w:tc>
        <w:tc>
          <w:tcPr>
            <w:tcW w:w="1136" w:type="dxa"/>
            <w:noWrap w:val="0"/>
            <w:vAlign w:val="center"/>
          </w:tcPr>
          <w:p w14:paraId="251F3386">
            <w:pPr>
              <w:spacing w:line="320" w:lineRule="exact"/>
              <w:jc w:val="center"/>
              <w:rPr>
                <w:color w:val="auto"/>
                <w:sz w:val="21"/>
                <w:szCs w:val="21"/>
              </w:rPr>
            </w:pPr>
            <w:r>
              <w:rPr>
                <w:color w:val="auto"/>
                <w:sz w:val="21"/>
                <w:szCs w:val="21"/>
              </w:rPr>
              <w:t>0.9</w:t>
            </w:r>
          </w:p>
        </w:tc>
        <w:tc>
          <w:tcPr>
            <w:tcW w:w="1138" w:type="dxa"/>
            <w:noWrap w:val="0"/>
            <w:vAlign w:val="center"/>
          </w:tcPr>
          <w:p w14:paraId="3120F3D0">
            <w:pPr>
              <w:spacing w:line="320" w:lineRule="exact"/>
              <w:jc w:val="center"/>
              <w:rPr>
                <w:color w:val="auto"/>
                <w:sz w:val="21"/>
                <w:szCs w:val="21"/>
              </w:rPr>
            </w:pPr>
            <w:r>
              <w:rPr>
                <w:color w:val="auto"/>
                <w:sz w:val="21"/>
                <w:szCs w:val="21"/>
              </w:rPr>
              <w:t>2.8</w:t>
            </w:r>
          </w:p>
        </w:tc>
        <w:tc>
          <w:tcPr>
            <w:tcW w:w="1134" w:type="dxa"/>
            <w:noWrap w:val="0"/>
            <w:vAlign w:val="center"/>
          </w:tcPr>
          <w:p w14:paraId="33657ED9">
            <w:pPr>
              <w:spacing w:line="320" w:lineRule="exact"/>
              <w:jc w:val="center"/>
              <w:rPr>
                <w:color w:val="auto"/>
                <w:sz w:val="21"/>
                <w:szCs w:val="21"/>
              </w:rPr>
            </w:pPr>
            <w:r>
              <w:rPr>
                <w:color w:val="auto"/>
                <w:sz w:val="21"/>
                <w:szCs w:val="21"/>
              </w:rPr>
              <w:t>9</w:t>
            </w:r>
          </w:p>
        </w:tc>
        <w:tc>
          <w:tcPr>
            <w:tcW w:w="907" w:type="dxa"/>
            <w:noWrap w:val="0"/>
            <w:vAlign w:val="center"/>
          </w:tcPr>
          <w:p w14:paraId="7300643F">
            <w:pPr>
              <w:spacing w:line="320" w:lineRule="exact"/>
              <w:jc w:val="center"/>
              <w:rPr>
                <w:color w:val="auto"/>
                <w:sz w:val="21"/>
                <w:szCs w:val="21"/>
              </w:rPr>
            </w:pPr>
            <w:r>
              <w:rPr>
                <w:color w:val="auto"/>
                <w:sz w:val="21"/>
                <w:szCs w:val="21"/>
              </w:rPr>
              <w:t>36</w:t>
            </w:r>
          </w:p>
        </w:tc>
      </w:tr>
      <w:tr w14:paraId="7A8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6285CF7">
            <w:pPr>
              <w:spacing w:line="320" w:lineRule="exact"/>
              <w:jc w:val="center"/>
              <w:rPr>
                <w:color w:val="auto"/>
                <w:sz w:val="21"/>
                <w:szCs w:val="21"/>
              </w:rPr>
            </w:pPr>
            <w:r>
              <w:rPr>
                <w:color w:val="auto"/>
                <w:sz w:val="21"/>
                <w:szCs w:val="21"/>
              </w:rPr>
              <w:t>9</w:t>
            </w:r>
          </w:p>
        </w:tc>
        <w:tc>
          <w:tcPr>
            <w:tcW w:w="2117" w:type="dxa"/>
            <w:noWrap w:val="0"/>
            <w:vAlign w:val="center"/>
          </w:tcPr>
          <w:p w14:paraId="12800168">
            <w:pPr>
              <w:widowControl/>
              <w:tabs>
                <w:tab w:val="left" w:pos="480"/>
              </w:tabs>
              <w:spacing w:line="320" w:lineRule="exact"/>
              <w:jc w:val="center"/>
              <w:rPr>
                <w:color w:val="auto"/>
                <w:sz w:val="21"/>
                <w:szCs w:val="21"/>
              </w:rPr>
            </w:pPr>
            <w:r>
              <w:rPr>
                <w:color w:val="auto"/>
                <w:sz w:val="21"/>
                <w:szCs w:val="21"/>
              </w:rPr>
              <w:t>氯仿</w:t>
            </w:r>
          </w:p>
        </w:tc>
        <w:tc>
          <w:tcPr>
            <w:tcW w:w="1279" w:type="dxa"/>
            <w:noWrap w:val="0"/>
            <w:vAlign w:val="center"/>
          </w:tcPr>
          <w:p w14:paraId="7BE8584D">
            <w:pPr>
              <w:spacing w:line="320" w:lineRule="exact"/>
              <w:jc w:val="center"/>
              <w:rPr>
                <w:color w:val="auto"/>
                <w:sz w:val="21"/>
                <w:szCs w:val="21"/>
              </w:rPr>
            </w:pPr>
            <w:r>
              <w:rPr>
                <w:color w:val="auto"/>
                <w:sz w:val="21"/>
                <w:szCs w:val="21"/>
              </w:rPr>
              <w:t>67-66-3</w:t>
            </w:r>
          </w:p>
        </w:tc>
        <w:tc>
          <w:tcPr>
            <w:tcW w:w="1136" w:type="dxa"/>
            <w:noWrap w:val="0"/>
            <w:vAlign w:val="center"/>
          </w:tcPr>
          <w:p w14:paraId="26E7BB2A">
            <w:pPr>
              <w:spacing w:line="320" w:lineRule="exact"/>
              <w:jc w:val="center"/>
              <w:rPr>
                <w:color w:val="auto"/>
                <w:sz w:val="21"/>
                <w:szCs w:val="21"/>
              </w:rPr>
            </w:pPr>
            <w:r>
              <w:rPr>
                <w:color w:val="auto"/>
                <w:sz w:val="21"/>
                <w:szCs w:val="21"/>
              </w:rPr>
              <w:t>0.3</w:t>
            </w:r>
          </w:p>
        </w:tc>
        <w:tc>
          <w:tcPr>
            <w:tcW w:w="1138" w:type="dxa"/>
            <w:noWrap w:val="0"/>
            <w:vAlign w:val="center"/>
          </w:tcPr>
          <w:p w14:paraId="091B8FBA">
            <w:pPr>
              <w:spacing w:line="320" w:lineRule="exact"/>
              <w:jc w:val="center"/>
              <w:rPr>
                <w:color w:val="auto"/>
                <w:sz w:val="21"/>
                <w:szCs w:val="21"/>
              </w:rPr>
            </w:pPr>
            <w:r>
              <w:rPr>
                <w:color w:val="auto"/>
                <w:sz w:val="21"/>
                <w:szCs w:val="21"/>
              </w:rPr>
              <w:t>0.9</w:t>
            </w:r>
          </w:p>
        </w:tc>
        <w:tc>
          <w:tcPr>
            <w:tcW w:w="1134" w:type="dxa"/>
            <w:noWrap w:val="0"/>
            <w:vAlign w:val="center"/>
          </w:tcPr>
          <w:p w14:paraId="7C286545">
            <w:pPr>
              <w:spacing w:line="320" w:lineRule="exact"/>
              <w:jc w:val="center"/>
              <w:rPr>
                <w:color w:val="auto"/>
                <w:sz w:val="21"/>
                <w:szCs w:val="21"/>
              </w:rPr>
            </w:pPr>
            <w:r>
              <w:rPr>
                <w:color w:val="auto"/>
                <w:sz w:val="21"/>
                <w:szCs w:val="21"/>
              </w:rPr>
              <w:t>5</w:t>
            </w:r>
          </w:p>
        </w:tc>
        <w:tc>
          <w:tcPr>
            <w:tcW w:w="907" w:type="dxa"/>
            <w:noWrap w:val="0"/>
            <w:vAlign w:val="center"/>
          </w:tcPr>
          <w:p w14:paraId="4E1A8774">
            <w:pPr>
              <w:spacing w:line="320" w:lineRule="exact"/>
              <w:jc w:val="center"/>
              <w:rPr>
                <w:color w:val="auto"/>
                <w:sz w:val="21"/>
                <w:szCs w:val="21"/>
              </w:rPr>
            </w:pPr>
            <w:r>
              <w:rPr>
                <w:color w:val="auto"/>
                <w:sz w:val="21"/>
                <w:szCs w:val="21"/>
              </w:rPr>
              <w:t>10</w:t>
            </w:r>
          </w:p>
        </w:tc>
      </w:tr>
      <w:tr w14:paraId="3195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4EA367EB">
            <w:pPr>
              <w:spacing w:line="320" w:lineRule="exact"/>
              <w:jc w:val="center"/>
              <w:rPr>
                <w:color w:val="auto"/>
                <w:sz w:val="21"/>
                <w:szCs w:val="21"/>
              </w:rPr>
            </w:pPr>
            <w:r>
              <w:rPr>
                <w:color w:val="auto"/>
                <w:sz w:val="21"/>
                <w:szCs w:val="21"/>
              </w:rPr>
              <w:t>10</w:t>
            </w:r>
          </w:p>
        </w:tc>
        <w:tc>
          <w:tcPr>
            <w:tcW w:w="2117" w:type="dxa"/>
            <w:noWrap w:val="0"/>
            <w:vAlign w:val="center"/>
          </w:tcPr>
          <w:p w14:paraId="40E2CEE8">
            <w:pPr>
              <w:widowControl/>
              <w:tabs>
                <w:tab w:val="left" w:pos="480"/>
              </w:tabs>
              <w:spacing w:line="320" w:lineRule="exact"/>
              <w:jc w:val="center"/>
              <w:rPr>
                <w:color w:val="auto"/>
                <w:sz w:val="21"/>
                <w:szCs w:val="21"/>
              </w:rPr>
            </w:pPr>
            <w:r>
              <w:rPr>
                <w:color w:val="auto"/>
                <w:sz w:val="21"/>
                <w:szCs w:val="21"/>
              </w:rPr>
              <w:t>氯甲烷</w:t>
            </w:r>
          </w:p>
        </w:tc>
        <w:tc>
          <w:tcPr>
            <w:tcW w:w="1279" w:type="dxa"/>
            <w:noWrap w:val="0"/>
            <w:vAlign w:val="center"/>
          </w:tcPr>
          <w:p w14:paraId="207319C8">
            <w:pPr>
              <w:spacing w:line="320" w:lineRule="exact"/>
              <w:jc w:val="center"/>
              <w:rPr>
                <w:color w:val="auto"/>
                <w:sz w:val="21"/>
                <w:szCs w:val="21"/>
              </w:rPr>
            </w:pPr>
            <w:r>
              <w:rPr>
                <w:color w:val="auto"/>
                <w:sz w:val="21"/>
                <w:szCs w:val="21"/>
              </w:rPr>
              <w:t>74-87-3</w:t>
            </w:r>
          </w:p>
        </w:tc>
        <w:tc>
          <w:tcPr>
            <w:tcW w:w="1136" w:type="dxa"/>
            <w:noWrap w:val="0"/>
            <w:vAlign w:val="center"/>
          </w:tcPr>
          <w:p w14:paraId="5261C240">
            <w:pPr>
              <w:spacing w:line="320" w:lineRule="exact"/>
              <w:jc w:val="center"/>
              <w:rPr>
                <w:color w:val="auto"/>
                <w:sz w:val="21"/>
                <w:szCs w:val="21"/>
              </w:rPr>
            </w:pPr>
            <w:r>
              <w:rPr>
                <w:color w:val="auto"/>
                <w:sz w:val="21"/>
                <w:szCs w:val="21"/>
              </w:rPr>
              <w:t>12</w:t>
            </w:r>
          </w:p>
        </w:tc>
        <w:tc>
          <w:tcPr>
            <w:tcW w:w="1138" w:type="dxa"/>
            <w:noWrap w:val="0"/>
            <w:vAlign w:val="center"/>
          </w:tcPr>
          <w:p w14:paraId="01C4AFFF">
            <w:pPr>
              <w:spacing w:line="320" w:lineRule="exact"/>
              <w:jc w:val="center"/>
              <w:rPr>
                <w:color w:val="auto"/>
                <w:sz w:val="21"/>
                <w:szCs w:val="21"/>
              </w:rPr>
            </w:pPr>
            <w:r>
              <w:rPr>
                <w:color w:val="auto"/>
                <w:sz w:val="21"/>
                <w:szCs w:val="21"/>
              </w:rPr>
              <w:t>37</w:t>
            </w:r>
          </w:p>
        </w:tc>
        <w:tc>
          <w:tcPr>
            <w:tcW w:w="1134" w:type="dxa"/>
            <w:noWrap w:val="0"/>
            <w:vAlign w:val="center"/>
          </w:tcPr>
          <w:p w14:paraId="6A79E581">
            <w:pPr>
              <w:spacing w:line="320" w:lineRule="exact"/>
              <w:jc w:val="center"/>
              <w:rPr>
                <w:color w:val="auto"/>
                <w:sz w:val="21"/>
                <w:szCs w:val="21"/>
              </w:rPr>
            </w:pPr>
            <w:r>
              <w:rPr>
                <w:color w:val="auto"/>
                <w:sz w:val="21"/>
                <w:szCs w:val="21"/>
              </w:rPr>
              <w:t>21</w:t>
            </w:r>
          </w:p>
        </w:tc>
        <w:tc>
          <w:tcPr>
            <w:tcW w:w="907" w:type="dxa"/>
            <w:noWrap w:val="0"/>
            <w:vAlign w:val="center"/>
          </w:tcPr>
          <w:p w14:paraId="57222AE9">
            <w:pPr>
              <w:spacing w:line="320" w:lineRule="exact"/>
              <w:jc w:val="center"/>
              <w:rPr>
                <w:color w:val="auto"/>
                <w:sz w:val="21"/>
                <w:szCs w:val="21"/>
              </w:rPr>
            </w:pPr>
            <w:r>
              <w:rPr>
                <w:color w:val="auto"/>
                <w:sz w:val="21"/>
                <w:szCs w:val="21"/>
              </w:rPr>
              <w:t>120</w:t>
            </w:r>
          </w:p>
        </w:tc>
      </w:tr>
      <w:tr w14:paraId="1BD6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15E981D2">
            <w:pPr>
              <w:spacing w:line="320" w:lineRule="exact"/>
              <w:jc w:val="center"/>
              <w:rPr>
                <w:color w:val="auto"/>
                <w:sz w:val="21"/>
                <w:szCs w:val="21"/>
              </w:rPr>
            </w:pPr>
            <w:r>
              <w:rPr>
                <w:color w:val="auto"/>
                <w:sz w:val="21"/>
                <w:szCs w:val="21"/>
              </w:rPr>
              <w:t>11</w:t>
            </w:r>
          </w:p>
        </w:tc>
        <w:tc>
          <w:tcPr>
            <w:tcW w:w="2117" w:type="dxa"/>
            <w:noWrap w:val="0"/>
            <w:vAlign w:val="center"/>
          </w:tcPr>
          <w:p w14:paraId="585BB32B">
            <w:pPr>
              <w:widowControl/>
              <w:spacing w:line="320" w:lineRule="exact"/>
              <w:jc w:val="center"/>
              <w:textAlignment w:val="center"/>
              <w:rPr>
                <w:color w:val="auto"/>
                <w:kern w:val="0"/>
                <w:sz w:val="21"/>
                <w:szCs w:val="21"/>
              </w:rPr>
            </w:pPr>
            <w:r>
              <w:rPr>
                <w:color w:val="auto"/>
                <w:sz w:val="21"/>
                <w:szCs w:val="21"/>
              </w:rPr>
              <w:t>1，1-二氯乙烷</w:t>
            </w:r>
          </w:p>
        </w:tc>
        <w:tc>
          <w:tcPr>
            <w:tcW w:w="1279" w:type="dxa"/>
            <w:noWrap w:val="0"/>
            <w:vAlign w:val="center"/>
          </w:tcPr>
          <w:p w14:paraId="5900491F">
            <w:pPr>
              <w:spacing w:line="320" w:lineRule="exact"/>
              <w:jc w:val="center"/>
              <w:rPr>
                <w:color w:val="auto"/>
                <w:sz w:val="21"/>
                <w:szCs w:val="21"/>
              </w:rPr>
            </w:pPr>
            <w:r>
              <w:rPr>
                <w:color w:val="auto"/>
                <w:sz w:val="21"/>
                <w:szCs w:val="21"/>
              </w:rPr>
              <w:t>75-34-3</w:t>
            </w:r>
          </w:p>
        </w:tc>
        <w:tc>
          <w:tcPr>
            <w:tcW w:w="1136" w:type="dxa"/>
            <w:noWrap w:val="0"/>
            <w:vAlign w:val="center"/>
          </w:tcPr>
          <w:p w14:paraId="1E82EC89">
            <w:pPr>
              <w:spacing w:line="320" w:lineRule="exact"/>
              <w:jc w:val="center"/>
              <w:rPr>
                <w:color w:val="auto"/>
                <w:sz w:val="21"/>
                <w:szCs w:val="21"/>
              </w:rPr>
            </w:pPr>
            <w:r>
              <w:rPr>
                <w:color w:val="auto"/>
                <w:sz w:val="21"/>
                <w:szCs w:val="21"/>
              </w:rPr>
              <w:t>3</w:t>
            </w:r>
          </w:p>
        </w:tc>
        <w:tc>
          <w:tcPr>
            <w:tcW w:w="1138" w:type="dxa"/>
            <w:noWrap w:val="0"/>
            <w:vAlign w:val="center"/>
          </w:tcPr>
          <w:p w14:paraId="411926B8">
            <w:pPr>
              <w:spacing w:line="320" w:lineRule="exact"/>
              <w:jc w:val="center"/>
              <w:rPr>
                <w:color w:val="auto"/>
                <w:sz w:val="21"/>
                <w:szCs w:val="21"/>
              </w:rPr>
            </w:pPr>
            <w:r>
              <w:rPr>
                <w:color w:val="auto"/>
                <w:sz w:val="21"/>
                <w:szCs w:val="21"/>
              </w:rPr>
              <w:t>9</w:t>
            </w:r>
          </w:p>
        </w:tc>
        <w:tc>
          <w:tcPr>
            <w:tcW w:w="1134" w:type="dxa"/>
            <w:noWrap w:val="0"/>
            <w:vAlign w:val="center"/>
          </w:tcPr>
          <w:p w14:paraId="1D24185F">
            <w:pPr>
              <w:spacing w:line="320" w:lineRule="exact"/>
              <w:jc w:val="center"/>
              <w:rPr>
                <w:color w:val="auto"/>
                <w:sz w:val="21"/>
                <w:szCs w:val="21"/>
              </w:rPr>
            </w:pPr>
            <w:r>
              <w:rPr>
                <w:color w:val="auto"/>
                <w:sz w:val="21"/>
                <w:szCs w:val="21"/>
              </w:rPr>
              <w:t>20</w:t>
            </w:r>
          </w:p>
        </w:tc>
        <w:tc>
          <w:tcPr>
            <w:tcW w:w="907" w:type="dxa"/>
            <w:noWrap w:val="0"/>
            <w:vAlign w:val="center"/>
          </w:tcPr>
          <w:p w14:paraId="6AA9F0EB">
            <w:pPr>
              <w:spacing w:line="320" w:lineRule="exact"/>
              <w:jc w:val="center"/>
              <w:rPr>
                <w:color w:val="auto"/>
                <w:sz w:val="21"/>
                <w:szCs w:val="21"/>
              </w:rPr>
            </w:pPr>
            <w:r>
              <w:rPr>
                <w:color w:val="auto"/>
                <w:sz w:val="21"/>
                <w:szCs w:val="21"/>
              </w:rPr>
              <w:t>100</w:t>
            </w:r>
          </w:p>
        </w:tc>
      </w:tr>
      <w:tr w14:paraId="2260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C7B1C13">
            <w:pPr>
              <w:spacing w:line="320" w:lineRule="exact"/>
              <w:jc w:val="center"/>
              <w:rPr>
                <w:color w:val="auto"/>
                <w:sz w:val="21"/>
                <w:szCs w:val="21"/>
              </w:rPr>
            </w:pPr>
            <w:r>
              <w:rPr>
                <w:color w:val="auto"/>
                <w:sz w:val="21"/>
                <w:szCs w:val="21"/>
              </w:rPr>
              <w:t>12</w:t>
            </w:r>
          </w:p>
        </w:tc>
        <w:tc>
          <w:tcPr>
            <w:tcW w:w="2117" w:type="dxa"/>
            <w:noWrap w:val="0"/>
            <w:vAlign w:val="center"/>
          </w:tcPr>
          <w:p w14:paraId="6BA1CCBF">
            <w:pPr>
              <w:widowControl/>
              <w:tabs>
                <w:tab w:val="left" w:pos="480"/>
              </w:tabs>
              <w:spacing w:line="320" w:lineRule="exact"/>
              <w:jc w:val="center"/>
              <w:rPr>
                <w:color w:val="auto"/>
                <w:sz w:val="21"/>
                <w:szCs w:val="21"/>
              </w:rPr>
            </w:pPr>
            <w:r>
              <w:rPr>
                <w:color w:val="auto"/>
                <w:sz w:val="21"/>
                <w:szCs w:val="21"/>
              </w:rPr>
              <w:t>1，2-二氯乙烷</w:t>
            </w:r>
          </w:p>
        </w:tc>
        <w:tc>
          <w:tcPr>
            <w:tcW w:w="1279" w:type="dxa"/>
            <w:noWrap w:val="0"/>
            <w:vAlign w:val="center"/>
          </w:tcPr>
          <w:p w14:paraId="537307F3">
            <w:pPr>
              <w:spacing w:line="320" w:lineRule="exact"/>
              <w:jc w:val="center"/>
              <w:rPr>
                <w:color w:val="auto"/>
                <w:sz w:val="21"/>
                <w:szCs w:val="21"/>
              </w:rPr>
            </w:pPr>
            <w:r>
              <w:rPr>
                <w:color w:val="auto"/>
                <w:sz w:val="21"/>
                <w:szCs w:val="21"/>
              </w:rPr>
              <w:t>107-06-2</w:t>
            </w:r>
          </w:p>
        </w:tc>
        <w:tc>
          <w:tcPr>
            <w:tcW w:w="1136" w:type="dxa"/>
            <w:noWrap w:val="0"/>
            <w:vAlign w:val="center"/>
          </w:tcPr>
          <w:p w14:paraId="7C4E2686">
            <w:pPr>
              <w:spacing w:line="320" w:lineRule="exact"/>
              <w:jc w:val="center"/>
              <w:rPr>
                <w:color w:val="auto"/>
                <w:sz w:val="21"/>
                <w:szCs w:val="21"/>
              </w:rPr>
            </w:pPr>
            <w:r>
              <w:rPr>
                <w:color w:val="auto"/>
                <w:sz w:val="21"/>
                <w:szCs w:val="21"/>
              </w:rPr>
              <w:t>0.52</w:t>
            </w:r>
          </w:p>
        </w:tc>
        <w:tc>
          <w:tcPr>
            <w:tcW w:w="1138" w:type="dxa"/>
            <w:noWrap w:val="0"/>
            <w:vAlign w:val="center"/>
          </w:tcPr>
          <w:p w14:paraId="3841D29C">
            <w:pPr>
              <w:spacing w:line="320" w:lineRule="exact"/>
              <w:jc w:val="center"/>
              <w:rPr>
                <w:color w:val="auto"/>
                <w:sz w:val="21"/>
                <w:szCs w:val="21"/>
              </w:rPr>
            </w:pPr>
            <w:r>
              <w:rPr>
                <w:color w:val="auto"/>
                <w:sz w:val="21"/>
                <w:szCs w:val="21"/>
              </w:rPr>
              <w:t>5</w:t>
            </w:r>
          </w:p>
        </w:tc>
        <w:tc>
          <w:tcPr>
            <w:tcW w:w="1134" w:type="dxa"/>
            <w:noWrap w:val="0"/>
            <w:vAlign w:val="center"/>
          </w:tcPr>
          <w:p w14:paraId="7CF320CA">
            <w:pPr>
              <w:spacing w:line="320" w:lineRule="exact"/>
              <w:jc w:val="center"/>
              <w:rPr>
                <w:color w:val="auto"/>
                <w:sz w:val="21"/>
                <w:szCs w:val="21"/>
              </w:rPr>
            </w:pPr>
            <w:r>
              <w:rPr>
                <w:color w:val="auto"/>
                <w:sz w:val="21"/>
                <w:szCs w:val="21"/>
              </w:rPr>
              <w:t>6</w:t>
            </w:r>
          </w:p>
        </w:tc>
        <w:tc>
          <w:tcPr>
            <w:tcW w:w="907" w:type="dxa"/>
            <w:noWrap w:val="0"/>
            <w:vAlign w:val="center"/>
          </w:tcPr>
          <w:p w14:paraId="348B8698">
            <w:pPr>
              <w:spacing w:line="320" w:lineRule="exact"/>
              <w:jc w:val="center"/>
              <w:rPr>
                <w:color w:val="auto"/>
                <w:sz w:val="21"/>
                <w:szCs w:val="21"/>
              </w:rPr>
            </w:pPr>
            <w:r>
              <w:rPr>
                <w:color w:val="auto"/>
                <w:sz w:val="21"/>
                <w:szCs w:val="21"/>
              </w:rPr>
              <w:t>21</w:t>
            </w:r>
          </w:p>
        </w:tc>
      </w:tr>
      <w:tr w14:paraId="3D4E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03AF384D">
            <w:pPr>
              <w:spacing w:line="320" w:lineRule="exact"/>
              <w:jc w:val="center"/>
              <w:rPr>
                <w:color w:val="auto"/>
                <w:sz w:val="21"/>
                <w:szCs w:val="21"/>
              </w:rPr>
            </w:pPr>
            <w:r>
              <w:rPr>
                <w:color w:val="auto"/>
                <w:sz w:val="21"/>
                <w:szCs w:val="21"/>
              </w:rPr>
              <w:t>13</w:t>
            </w:r>
          </w:p>
        </w:tc>
        <w:tc>
          <w:tcPr>
            <w:tcW w:w="2117" w:type="dxa"/>
            <w:noWrap w:val="0"/>
            <w:vAlign w:val="center"/>
          </w:tcPr>
          <w:p w14:paraId="55F0973D">
            <w:pPr>
              <w:widowControl/>
              <w:tabs>
                <w:tab w:val="left" w:pos="480"/>
              </w:tabs>
              <w:spacing w:line="320" w:lineRule="exact"/>
              <w:jc w:val="center"/>
              <w:rPr>
                <w:color w:val="auto"/>
                <w:sz w:val="21"/>
                <w:szCs w:val="21"/>
              </w:rPr>
            </w:pPr>
            <w:r>
              <w:rPr>
                <w:color w:val="auto"/>
                <w:sz w:val="21"/>
                <w:szCs w:val="21"/>
              </w:rPr>
              <w:t>1，1-二氯乙烯</w:t>
            </w:r>
          </w:p>
        </w:tc>
        <w:tc>
          <w:tcPr>
            <w:tcW w:w="1279" w:type="dxa"/>
            <w:noWrap w:val="0"/>
            <w:vAlign w:val="center"/>
          </w:tcPr>
          <w:p w14:paraId="3C5DE017">
            <w:pPr>
              <w:spacing w:line="320" w:lineRule="exact"/>
              <w:jc w:val="center"/>
              <w:rPr>
                <w:color w:val="auto"/>
                <w:sz w:val="21"/>
                <w:szCs w:val="21"/>
              </w:rPr>
            </w:pPr>
            <w:r>
              <w:rPr>
                <w:color w:val="auto"/>
                <w:sz w:val="21"/>
                <w:szCs w:val="21"/>
              </w:rPr>
              <w:t>75-35-4</w:t>
            </w:r>
          </w:p>
        </w:tc>
        <w:tc>
          <w:tcPr>
            <w:tcW w:w="1136" w:type="dxa"/>
            <w:noWrap w:val="0"/>
            <w:vAlign w:val="center"/>
          </w:tcPr>
          <w:p w14:paraId="4591EF67">
            <w:pPr>
              <w:spacing w:line="320" w:lineRule="exact"/>
              <w:jc w:val="center"/>
              <w:rPr>
                <w:color w:val="auto"/>
                <w:sz w:val="21"/>
                <w:szCs w:val="21"/>
              </w:rPr>
            </w:pPr>
            <w:r>
              <w:rPr>
                <w:color w:val="auto"/>
                <w:sz w:val="21"/>
                <w:szCs w:val="21"/>
              </w:rPr>
              <w:t>12</w:t>
            </w:r>
          </w:p>
        </w:tc>
        <w:tc>
          <w:tcPr>
            <w:tcW w:w="1138" w:type="dxa"/>
            <w:noWrap w:val="0"/>
            <w:vAlign w:val="center"/>
          </w:tcPr>
          <w:p w14:paraId="6F2A0B68">
            <w:pPr>
              <w:spacing w:line="320" w:lineRule="exact"/>
              <w:jc w:val="center"/>
              <w:rPr>
                <w:color w:val="auto"/>
                <w:sz w:val="21"/>
                <w:szCs w:val="21"/>
              </w:rPr>
            </w:pPr>
            <w:r>
              <w:rPr>
                <w:color w:val="auto"/>
                <w:sz w:val="21"/>
                <w:szCs w:val="21"/>
              </w:rPr>
              <w:t>66</w:t>
            </w:r>
          </w:p>
        </w:tc>
        <w:tc>
          <w:tcPr>
            <w:tcW w:w="1134" w:type="dxa"/>
            <w:noWrap w:val="0"/>
            <w:vAlign w:val="center"/>
          </w:tcPr>
          <w:p w14:paraId="3D0B18FC">
            <w:pPr>
              <w:spacing w:line="320" w:lineRule="exact"/>
              <w:jc w:val="center"/>
              <w:rPr>
                <w:color w:val="auto"/>
                <w:sz w:val="21"/>
                <w:szCs w:val="21"/>
              </w:rPr>
            </w:pPr>
            <w:r>
              <w:rPr>
                <w:color w:val="auto"/>
                <w:sz w:val="21"/>
                <w:szCs w:val="21"/>
              </w:rPr>
              <w:t>40</w:t>
            </w:r>
          </w:p>
        </w:tc>
        <w:tc>
          <w:tcPr>
            <w:tcW w:w="907" w:type="dxa"/>
            <w:noWrap w:val="0"/>
            <w:vAlign w:val="center"/>
          </w:tcPr>
          <w:p w14:paraId="637CADE6">
            <w:pPr>
              <w:spacing w:line="320" w:lineRule="exact"/>
              <w:jc w:val="center"/>
              <w:rPr>
                <w:color w:val="auto"/>
                <w:sz w:val="21"/>
                <w:szCs w:val="21"/>
              </w:rPr>
            </w:pPr>
            <w:r>
              <w:rPr>
                <w:color w:val="auto"/>
                <w:sz w:val="21"/>
                <w:szCs w:val="21"/>
              </w:rPr>
              <w:t>200</w:t>
            </w:r>
          </w:p>
        </w:tc>
      </w:tr>
      <w:tr w14:paraId="208D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246FC5ED">
            <w:pPr>
              <w:spacing w:line="320" w:lineRule="exact"/>
              <w:jc w:val="center"/>
              <w:rPr>
                <w:color w:val="auto"/>
                <w:sz w:val="21"/>
                <w:szCs w:val="21"/>
              </w:rPr>
            </w:pPr>
            <w:r>
              <w:rPr>
                <w:color w:val="auto"/>
                <w:sz w:val="21"/>
                <w:szCs w:val="21"/>
              </w:rPr>
              <w:t>14</w:t>
            </w:r>
          </w:p>
        </w:tc>
        <w:tc>
          <w:tcPr>
            <w:tcW w:w="2117" w:type="dxa"/>
            <w:noWrap w:val="0"/>
            <w:vAlign w:val="center"/>
          </w:tcPr>
          <w:p w14:paraId="61078794">
            <w:pPr>
              <w:widowControl/>
              <w:tabs>
                <w:tab w:val="left" w:pos="480"/>
              </w:tabs>
              <w:spacing w:line="320" w:lineRule="exact"/>
              <w:jc w:val="center"/>
              <w:rPr>
                <w:color w:val="auto"/>
                <w:sz w:val="21"/>
                <w:szCs w:val="21"/>
              </w:rPr>
            </w:pPr>
            <w:r>
              <w:rPr>
                <w:color w:val="auto"/>
                <w:sz w:val="21"/>
                <w:szCs w:val="21"/>
              </w:rPr>
              <w:t>顺-1，2-二氯乙烯</w:t>
            </w:r>
          </w:p>
        </w:tc>
        <w:tc>
          <w:tcPr>
            <w:tcW w:w="1279" w:type="dxa"/>
            <w:noWrap w:val="0"/>
            <w:vAlign w:val="center"/>
          </w:tcPr>
          <w:p w14:paraId="19464989">
            <w:pPr>
              <w:spacing w:line="320" w:lineRule="exact"/>
              <w:jc w:val="center"/>
              <w:rPr>
                <w:color w:val="auto"/>
                <w:sz w:val="21"/>
                <w:szCs w:val="21"/>
              </w:rPr>
            </w:pPr>
            <w:r>
              <w:rPr>
                <w:color w:val="auto"/>
                <w:sz w:val="21"/>
                <w:szCs w:val="21"/>
              </w:rPr>
              <w:t>156-59-2</w:t>
            </w:r>
          </w:p>
        </w:tc>
        <w:tc>
          <w:tcPr>
            <w:tcW w:w="1136" w:type="dxa"/>
            <w:noWrap w:val="0"/>
            <w:vAlign w:val="center"/>
          </w:tcPr>
          <w:p w14:paraId="01764ACD">
            <w:pPr>
              <w:spacing w:line="320" w:lineRule="exact"/>
              <w:jc w:val="center"/>
              <w:rPr>
                <w:color w:val="auto"/>
                <w:sz w:val="21"/>
                <w:szCs w:val="21"/>
              </w:rPr>
            </w:pPr>
            <w:r>
              <w:rPr>
                <w:color w:val="auto"/>
                <w:sz w:val="21"/>
                <w:szCs w:val="21"/>
              </w:rPr>
              <w:t>66</w:t>
            </w:r>
          </w:p>
        </w:tc>
        <w:tc>
          <w:tcPr>
            <w:tcW w:w="1138" w:type="dxa"/>
            <w:noWrap w:val="0"/>
            <w:vAlign w:val="center"/>
          </w:tcPr>
          <w:p w14:paraId="114B6763">
            <w:pPr>
              <w:spacing w:line="320" w:lineRule="exact"/>
              <w:jc w:val="center"/>
              <w:rPr>
                <w:color w:val="auto"/>
                <w:sz w:val="21"/>
                <w:szCs w:val="21"/>
              </w:rPr>
            </w:pPr>
            <w:r>
              <w:rPr>
                <w:color w:val="auto"/>
                <w:sz w:val="21"/>
                <w:szCs w:val="21"/>
              </w:rPr>
              <w:t>596</w:t>
            </w:r>
          </w:p>
        </w:tc>
        <w:tc>
          <w:tcPr>
            <w:tcW w:w="1134" w:type="dxa"/>
            <w:noWrap w:val="0"/>
            <w:vAlign w:val="center"/>
          </w:tcPr>
          <w:p w14:paraId="1DC2977F">
            <w:pPr>
              <w:spacing w:line="320" w:lineRule="exact"/>
              <w:jc w:val="center"/>
              <w:rPr>
                <w:color w:val="auto"/>
                <w:sz w:val="21"/>
                <w:szCs w:val="21"/>
              </w:rPr>
            </w:pPr>
            <w:r>
              <w:rPr>
                <w:color w:val="auto"/>
                <w:sz w:val="21"/>
                <w:szCs w:val="21"/>
              </w:rPr>
              <w:t>200</w:t>
            </w:r>
          </w:p>
        </w:tc>
        <w:tc>
          <w:tcPr>
            <w:tcW w:w="907" w:type="dxa"/>
            <w:noWrap w:val="0"/>
            <w:vAlign w:val="center"/>
          </w:tcPr>
          <w:p w14:paraId="31772336">
            <w:pPr>
              <w:spacing w:line="320" w:lineRule="exact"/>
              <w:jc w:val="center"/>
              <w:rPr>
                <w:color w:val="auto"/>
                <w:sz w:val="21"/>
                <w:szCs w:val="21"/>
              </w:rPr>
            </w:pPr>
            <w:r>
              <w:rPr>
                <w:color w:val="auto"/>
                <w:sz w:val="21"/>
                <w:szCs w:val="21"/>
              </w:rPr>
              <w:t>2000</w:t>
            </w:r>
          </w:p>
        </w:tc>
      </w:tr>
      <w:tr w14:paraId="47A22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EF4BED9">
            <w:pPr>
              <w:spacing w:line="320" w:lineRule="exact"/>
              <w:jc w:val="center"/>
              <w:rPr>
                <w:color w:val="auto"/>
                <w:sz w:val="21"/>
                <w:szCs w:val="21"/>
              </w:rPr>
            </w:pPr>
            <w:r>
              <w:rPr>
                <w:color w:val="auto"/>
                <w:sz w:val="21"/>
                <w:szCs w:val="21"/>
              </w:rPr>
              <w:t>15</w:t>
            </w:r>
          </w:p>
        </w:tc>
        <w:tc>
          <w:tcPr>
            <w:tcW w:w="2117" w:type="dxa"/>
            <w:noWrap w:val="0"/>
            <w:vAlign w:val="center"/>
          </w:tcPr>
          <w:p w14:paraId="4194956F">
            <w:pPr>
              <w:widowControl/>
              <w:tabs>
                <w:tab w:val="left" w:pos="480"/>
              </w:tabs>
              <w:spacing w:line="320" w:lineRule="exact"/>
              <w:jc w:val="center"/>
              <w:rPr>
                <w:color w:val="auto"/>
                <w:sz w:val="21"/>
                <w:szCs w:val="21"/>
              </w:rPr>
            </w:pPr>
            <w:r>
              <w:rPr>
                <w:color w:val="auto"/>
                <w:sz w:val="21"/>
                <w:szCs w:val="21"/>
              </w:rPr>
              <w:t>反-1，2-二氯乙烯</w:t>
            </w:r>
          </w:p>
        </w:tc>
        <w:tc>
          <w:tcPr>
            <w:tcW w:w="1279" w:type="dxa"/>
            <w:noWrap w:val="0"/>
            <w:vAlign w:val="center"/>
          </w:tcPr>
          <w:p w14:paraId="431ABED0">
            <w:pPr>
              <w:spacing w:line="320" w:lineRule="exact"/>
              <w:jc w:val="center"/>
              <w:rPr>
                <w:color w:val="auto"/>
                <w:sz w:val="21"/>
                <w:szCs w:val="21"/>
              </w:rPr>
            </w:pPr>
            <w:r>
              <w:rPr>
                <w:color w:val="auto"/>
                <w:sz w:val="21"/>
                <w:szCs w:val="21"/>
              </w:rPr>
              <w:t>156-60-5</w:t>
            </w:r>
          </w:p>
        </w:tc>
        <w:tc>
          <w:tcPr>
            <w:tcW w:w="1136" w:type="dxa"/>
            <w:noWrap w:val="0"/>
            <w:vAlign w:val="center"/>
          </w:tcPr>
          <w:p w14:paraId="0455E134">
            <w:pPr>
              <w:spacing w:line="320" w:lineRule="exact"/>
              <w:jc w:val="center"/>
              <w:rPr>
                <w:color w:val="auto"/>
                <w:sz w:val="21"/>
                <w:szCs w:val="21"/>
              </w:rPr>
            </w:pPr>
            <w:r>
              <w:rPr>
                <w:color w:val="auto"/>
                <w:sz w:val="21"/>
                <w:szCs w:val="21"/>
              </w:rPr>
              <w:t>10</w:t>
            </w:r>
          </w:p>
        </w:tc>
        <w:tc>
          <w:tcPr>
            <w:tcW w:w="1138" w:type="dxa"/>
            <w:noWrap w:val="0"/>
            <w:vAlign w:val="center"/>
          </w:tcPr>
          <w:p w14:paraId="52A4DECF">
            <w:pPr>
              <w:spacing w:line="320" w:lineRule="exact"/>
              <w:jc w:val="center"/>
              <w:rPr>
                <w:color w:val="auto"/>
                <w:sz w:val="21"/>
                <w:szCs w:val="21"/>
              </w:rPr>
            </w:pPr>
            <w:r>
              <w:rPr>
                <w:color w:val="auto"/>
                <w:sz w:val="21"/>
                <w:szCs w:val="21"/>
              </w:rPr>
              <w:t>54</w:t>
            </w:r>
          </w:p>
        </w:tc>
        <w:tc>
          <w:tcPr>
            <w:tcW w:w="1134" w:type="dxa"/>
            <w:noWrap w:val="0"/>
            <w:vAlign w:val="center"/>
          </w:tcPr>
          <w:p w14:paraId="0F8C3A14">
            <w:pPr>
              <w:spacing w:line="320" w:lineRule="exact"/>
              <w:jc w:val="center"/>
              <w:rPr>
                <w:color w:val="auto"/>
                <w:sz w:val="21"/>
                <w:szCs w:val="21"/>
              </w:rPr>
            </w:pPr>
            <w:r>
              <w:rPr>
                <w:color w:val="auto"/>
                <w:sz w:val="21"/>
                <w:szCs w:val="21"/>
              </w:rPr>
              <w:t>31</w:t>
            </w:r>
          </w:p>
        </w:tc>
        <w:tc>
          <w:tcPr>
            <w:tcW w:w="907" w:type="dxa"/>
            <w:noWrap w:val="0"/>
            <w:vAlign w:val="center"/>
          </w:tcPr>
          <w:p w14:paraId="5A36BBC0">
            <w:pPr>
              <w:spacing w:line="320" w:lineRule="exact"/>
              <w:jc w:val="center"/>
              <w:rPr>
                <w:color w:val="auto"/>
                <w:sz w:val="21"/>
                <w:szCs w:val="21"/>
              </w:rPr>
            </w:pPr>
            <w:r>
              <w:rPr>
                <w:color w:val="auto"/>
                <w:sz w:val="21"/>
                <w:szCs w:val="21"/>
              </w:rPr>
              <w:t>163</w:t>
            </w:r>
          </w:p>
        </w:tc>
      </w:tr>
      <w:tr w14:paraId="48E3A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3E9D909">
            <w:pPr>
              <w:spacing w:line="320" w:lineRule="exact"/>
              <w:jc w:val="center"/>
              <w:rPr>
                <w:color w:val="auto"/>
                <w:sz w:val="21"/>
                <w:szCs w:val="21"/>
              </w:rPr>
            </w:pPr>
            <w:r>
              <w:rPr>
                <w:color w:val="auto"/>
                <w:sz w:val="21"/>
                <w:szCs w:val="21"/>
              </w:rPr>
              <w:t>16</w:t>
            </w:r>
          </w:p>
        </w:tc>
        <w:tc>
          <w:tcPr>
            <w:tcW w:w="2117" w:type="dxa"/>
            <w:noWrap w:val="0"/>
            <w:vAlign w:val="center"/>
          </w:tcPr>
          <w:p w14:paraId="7623E1B7">
            <w:pPr>
              <w:widowControl/>
              <w:tabs>
                <w:tab w:val="left" w:pos="480"/>
              </w:tabs>
              <w:spacing w:line="320" w:lineRule="exact"/>
              <w:jc w:val="center"/>
              <w:rPr>
                <w:color w:val="auto"/>
                <w:sz w:val="21"/>
                <w:szCs w:val="21"/>
              </w:rPr>
            </w:pPr>
            <w:r>
              <w:rPr>
                <w:color w:val="auto"/>
                <w:sz w:val="21"/>
                <w:szCs w:val="21"/>
              </w:rPr>
              <w:t>二氯甲烷</w:t>
            </w:r>
          </w:p>
        </w:tc>
        <w:tc>
          <w:tcPr>
            <w:tcW w:w="1279" w:type="dxa"/>
            <w:noWrap w:val="0"/>
            <w:vAlign w:val="center"/>
          </w:tcPr>
          <w:p w14:paraId="53F671AA">
            <w:pPr>
              <w:spacing w:line="320" w:lineRule="exact"/>
              <w:jc w:val="center"/>
              <w:rPr>
                <w:color w:val="auto"/>
                <w:sz w:val="21"/>
                <w:szCs w:val="21"/>
              </w:rPr>
            </w:pPr>
            <w:r>
              <w:rPr>
                <w:color w:val="auto"/>
                <w:sz w:val="21"/>
                <w:szCs w:val="21"/>
              </w:rPr>
              <w:t>75-09-2</w:t>
            </w:r>
          </w:p>
        </w:tc>
        <w:tc>
          <w:tcPr>
            <w:tcW w:w="1136" w:type="dxa"/>
            <w:noWrap w:val="0"/>
            <w:vAlign w:val="center"/>
          </w:tcPr>
          <w:p w14:paraId="0546F3A6">
            <w:pPr>
              <w:spacing w:line="320" w:lineRule="exact"/>
              <w:jc w:val="center"/>
              <w:rPr>
                <w:color w:val="auto"/>
                <w:sz w:val="21"/>
                <w:szCs w:val="21"/>
              </w:rPr>
            </w:pPr>
            <w:r>
              <w:rPr>
                <w:color w:val="auto"/>
                <w:sz w:val="21"/>
                <w:szCs w:val="21"/>
              </w:rPr>
              <w:t>94</w:t>
            </w:r>
          </w:p>
        </w:tc>
        <w:tc>
          <w:tcPr>
            <w:tcW w:w="1138" w:type="dxa"/>
            <w:noWrap w:val="0"/>
            <w:vAlign w:val="center"/>
          </w:tcPr>
          <w:p w14:paraId="6AB8A3EA">
            <w:pPr>
              <w:spacing w:line="320" w:lineRule="exact"/>
              <w:jc w:val="center"/>
              <w:rPr>
                <w:color w:val="auto"/>
                <w:sz w:val="21"/>
                <w:szCs w:val="21"/>
              </w:rPr>
            </w:pPr>
            <w:r>
              <w:rPr>
                <w:color w:val="auto"/>
                <w:sz w:val="21"/>
                <w:szCs w:val="21"/>
              </w:rPr>
              <w:t>616</w:t>
            </w:r>
          </w:p>
        </w:tc>
        <w:tc>
          <w:tcPr>
            <w:tcW w:w="1134" w:type="dxa"/>
            <w:noWrap w:val="0"/>
            <w:vAlign w:val="center"/>
          </w:tcPr>
          <w:p w14:paraId="7C8151E2">
            <w:pPr>
              <w:spacing w:line="320" w:lineRule="exact"/>
              <w:jc w:val="center"/>
              <w:rPr>
                <w:color w:val="auto"/>
                <w:sz w:val="21"/>
                <w:szCs w:val="21"/>
              </w:rPr>
            </w:pPr>
            <w:r>
              <w:rPr>
                <w:color w:val="auto"/>
                <w:sz w:val="21"/>
                <w:szCs w:val="21"/>
              </w:rPr>
              <w:t>300</w:t>
            </w:r>
          </w:p>
        </w:tc>
        <w:tc>
          <w:tcPr>
            <w:tcW w:w="907" w:type="dxa"/>
            <w:noWrap w:val="0"/>
            <w:vAlign w:val="center"/>
          </w:tcPr>
          <w:p w14:paraId="196FE77A">
            <w:pPr>
              <w:spacing w:line="320" w:lineRule="exact"/>
              <w:jc w:val="center"/>
              <w:rPr>
                <w:color w:val="auto"/>
                <w:sz w:val="21"/>
                <w:szCs w:val="21"/>
              </w:rPr>
            </w:pPr>
            <w:r>
              <w:rPr>
                <w:color w:val="auto"/>
                <w:sz w:val="21"/>
                <w:szCs w:val="21"/>
              </w:rPr>
              <w:t>2000</w:t>
            </w:r>
          </w:p>
        </w:tc>
      </w:tr>
      <w:tr w14:paraId="5D7CB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F2A8704">
            <w:pPr>
              <w:spacing w:line="320" w:lineRule="exact"/>
              <w:jc w:val="center"/>
              <w:rPr>
                <w:color w:val="auto"/>
                <w:sz w:val="21"/>
                <w:szCs w:val="21"/>
              </w:rPr>
            </w:pPr>
            <w:r>
              <w:rPr>
                <w:color w:val="auto"/>
                <w:sz w:val="21"/>
                <w:szCs w:val="21"/>
              </w:rPr>
              <w:t>17</w:t>
            </w:r>
          </w:p>
        </w:tc>
        <w:tc>
          <w:tcPr>
            <w:tcW w:w="2117" w:type="dxa"/>
            <w:noWrap w:val="0"/>
            <w:vAlign w:val="center"/>
          </w:tcPr>
          <w:p w14:paraId="30A104E9">
            <w:pPr>
              <w:widowControl/>
              <w:tabs>
                <w:tab w:val="left" w:pos="480"/>
              </w:tabs>
              <w:spacing w:line="320" w:lineRule="exact"/>
              <w:jc w:val="center"/>
              <w:rPr>
                <w:color w:val="auto"/>
                <w:sz w:val="21"/>
                <w:szCs w:val="21"/>
              </w:rPr>
            </w:pPr>
            <w:r>
              <w:rPr>
                <w:color w:val="auto"/>
                <w:sz w:val="21"/>
                <w:szCs w:val="21"/>
              </w:rPr>
              <w:t>1，2-二氯丙烷</w:t>
            </w:r>
          </w:p>
        </w:tc>
        <w:tc>
          <w:tcPr>
            <w:tcW w:w="1279" w:type="dxa"/>
            <w:noWrap w:val="0"/>
            <w:vAlign w:val="center"/>
          </w:tcPr>
          <w:p w14:paraId="5A51E93D">
            <w:pPr>
              <w:spacing w:line="320" w:lineRule="exact"/>
              <w:jc w:val="center"/>
              <w:rPr>
                <w:color w:val="auto"/>
                <w:sz w:val="21"/>
                <w:szCs w:val="21"/>
              </w:rPr>
            </w:pPr>
            <w:r>
              <w:rPr>
                <w:color w:val="auto"/>
                <w:sz w:val="21"/>
                <w:szCs w:val="21"/>
              </w:rPr>
              <w:t>78-87-5</w:t>
            </w:r>
          </w:p>
        </w:tc>
        <w:tc>
          <w:tcPr>
            <w:tcW w:w="1136" w:type="dxa"/>
            <w:noWrap w:val="0"/>
            <w:vAlign w:val="center"/>
          </w:tcPr>
          <w:p w14:paraId="24625089">
            <w:pPr>
              <w:spacing w:line="320" w:lineRule="exact"/>
              <w:jc w:val="center"/>
              <w:rPr>
                <w:color w:val="auto"/>
                <w:sz w:val="21"/>
                <w:szCs w:val="21"/>
              </w:rPr>
            </w:pPr>
            <w:r>
              <w:rPr>
                <w:color w:val="auto"/>
                <w:sz w:val="21"/>
                <w:szCs w:val="21"/>
              </w:rPr>
              <w:t>1</w:t>
            </w:r>
          </w:p>
        </w:tc>
        <w:tc>
          <w:tcPr>
            <w:tcW w:w="1138" w:type="dxa"/>
            <w:noWrap w:val="0"/>
            <w:vAlign w:val="center"/>
          </w:tcPr>
          <w:p w14:paraId="7B2EFD0A">
            <w:pPr>
              <w:spacing w:line="320" w:lineRule="exact"/>
              <w:jc w:val="center"/>
              <w:rPr>
                <w:color w:val="auto"/>
                <w:sz w:val="21"/>
                <w:szCs w:val="21"/>
              </w:rPr>
            </w:pPr>
            <w:r>
              <w:rPr>
                <w:color w:val="auto"/>
                <w:sz w:val="21"/>
                <w:szCs w:val="21"/>
              </w:rPr>
              <w:t>5</w:t>
            </w:r>
          </w:p>
        </w:tc>
        <w:tc>
          <w:tcPr>
            <w:tcW w:w="1134" w:type="dxa"/>
            <w:noWrap w:val="0"/>
            <w:vAlign w:val="center"/>
          </w:tcPr>
          <w:p w14:paraId="14E95E0B">
            <w:pPr>
              <w:spacing w:line="320" w:lineRule="exact"/>
              <w:jc w:val="center"/>
              <w:rPr>
                <w:color w:val="auto"/>
                <w:sz w:val="21"/>
                <w:szCs w:val="21"/>
              </w:rPr>
            </w:pPr>
            <w:r>
              <w:rPr>
                <w:color w:val="auto"/>
                <w:sz w:val="21"/>
                <w:szCs w:val="21"/>
              </w:rPr>
              <w:t>5</w:t>
            </w:r>
          </w:p>
        </w:tc>
        <w:tc>
          <w:tcPr>
            <w:tcW w:w="907" w:type="dxa"/>
            <w:noWrap w:val="0"/>
            <w:vAlign w:val="center"/>
          </w:tcPr>
          <w:p w14:paraId="1107C0DE">
            <w:pPr>
              <w:spacing w:line="320" w:lineRule="exact"/>
              <w:jc w:val="center"/>
              <w:rPr>
                <w:color w:val="auto"/>
                <w:sz w:val="21"/>
                <w:szCs w:val="21"/>
              </w:rPr>
            </w:pPr>
            <w:r>
              <w:rPr>
                <w:color w:val="auto"/>
                <w:sz w:val="21"/>
                <w:szCs w:val="21"/>
              </w:rPr>
              <w:t>47</w:t>
            </w:r>
          </w:p>
        </w:tc>
      </w:tr>
      <w:tr w14:paraId="09413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60E53698">
            <w:pPr>
              <w:spacing w:line="320" w:lineRule="exact"/>
              <w:jc w:val="center"/>
              <w:rPr>
                <w:color w:val="auto"/>
                <w:sz w:val="21"/>
                <w:szCs w:val="21"/>
              </w:rPr>
            </w:pPr>
            <w:r>
              <w:rPr>
                <w:color w:val="auto"/>
                <w:sz w:val="21"/>
                <w:szCs w:val="21"/>
              </w:rPr>
              <w:t>18</w:t>
            </w:r>
          </w:p>
        </w:tc>
        <w:tc>
          <w:tcPr>
            <w:tcW w:w="2117" w:type="dxa"/>
            <w:noWrap w:val="0"/>
            <w:vAlign w:val="center"/>
          </w:tcPr>
          <w:p w14:paraId="76863317">
            <w:pPr>
              <w:widowControl/>
              <w:tabs>
                <w:tab w:val="left" w:pos="480"/>
              </w:tabs>
              <w:spacing w:line="320" w:lineRule="exact"/>
              <w:jc w:val="center"/>
              <w:rPr>
                <w:color w:val="auto"/>
                <w:sz w:val="21"/>
                <w:szCs w:val="21"/>
              </w:rPr>
            </w:pPr>
            <w:r>
              <w:rPr>
                <w:color w:val="auto"/>
                <w:sz w:val="21"/>
                <w:szCs w:val="21"/>
              </w:rPr>
              <w:t>1，1，1，2-四氯乙烷</w:t>
            </w:r>
          </w:p>
        </w:tc>
        <w:tc>
          <w:tcPr>
            <w:tcW w:w="1279" w:type="dxa"/>
            <w:noWrap w:val="0"/>
            <w:vAlign w:val="center"/>
          </w:tcPr>
          <w:p w14:paraId="25C4489B">
            <w:pPr>
              <w:spacing w:line="320" w:lineRule="exact"/>
              <w:jc w:val="center"/>
              <w:rPr>
                <w:color w:val="auto"/>
                <w:sz w:val="21"/>
                <w:szCs w:val="21"/>
              </w:rPr>
            </w:pPr>
            <w:r>
              <w:rPr>
                <w:color w:val="auto"/>
                <w:sz w:val="21"/>
                <w:szCs w:val="21"/>
              </w:rPr>
              <w:t>630-20-6</w:t>
            </w:r>
          </w:p>
        </w:tc>
        <w:tc>
          <w:tcPr>
            <w:tcW w:w="1136" w:type="dxa"/>
            <w:noWrap w:val="0"/>
            <w:vAlign w:val="center"/>
          </w:tcPr>
          <w:p w14:paraId="3E720088">
            <w:pPr>
              <w:spacing w:line="320" w:lineRule="exact"/>
              <w:jc w:val="center"/>
              <w:rPr>
                <w:color w:val="auto"/>
                <w:sz w:val="21"/>
                <w:szCs w:val="21"/>
              </w:rPr>
            </w:pPr>
            <w:r>
              <w:rPr>
                <w:color w:val="auto"/>
                <w:sz w:val="21"/>
                <w:szCs w:val="21"/>
              </w:rPr>
              <w:t>2.6</w:t>
            </w:r>
          </w:p>
        </w:tc>
        <w:tc>
          <w:tcPr>
            <w:tcW w:w="1138" w:type="dxa"/>
            <w:noWrap w:val="0"/>
            <w:vAlign w:val="center"/>
          </w:tcPr>
          <w:p w14:paraId="0C124F0A">
            <w:pPr>
              <w:spacing w:line="320" w:lineRule="exact"/>
              <w:jc w:val="center"/>
              <w:rPr>
                <w:color w:val="auto"/>
                <w:sz w:val="21"/>
                <w:szCs w:val="21"/>
              </w:rPr>
            </w:pPr>
            <w:r>
              <w:rPr>
                <w:color w:val="auto"/>
                <w:sz w:val="21"/>
                <w:szCs w:val="21"/>
              </w:rPr>
              <w:t>10</w:t>
            </w:r>
          </w:p>
        </w:tc>
        <w:tc>
          <w:tcPr>
            <w:tcW w:w="1134" w:type="dxa"/>
            <w:noWrap w:val="0"/>
            <w:vAlign w:val="center"/>
          </w:tcPr>
          <w:p w14:paraId="676F6099">
            <w:pPr>
              <w:spacing w:line="320" w:lineRule="exact"/>
              <w:jc w:val="center"/>
              <w:rPr>
                <w:color w:val="auto"/>
                <w:sz w:val="21"/>
                <w:szCs w:val="21"/>
              </w:rPr>
            </w:pPr>
            <w:r>
              <w:rPr>
                <w:color w:val="auto"/>
                <w:sz w:val="21"/>
                <w:szCs w:val="21"/>
              </w:rPr>
              <w:t>26</w:t>
            </w:r>
          </w:p>
        </w:tc>
        <w:tc>
          <w:tcPr>
            <w:tcW w:w="907" w:type="dxa"/>
            <w:noWrap w:val="0"/>
            <w:vAlign w:val="center"/>
          </w:tcPr>
          <w:p w14:paraId="5F959A7B">
            <w:pPr>
              <w:spacing w:line="320" w:lineRule="exact"/>
              <w:jc w:val="center"/>
              <w:rPr>
                <w:color w:val="auto"/>
                <w:sz w:val="21"/>
                <w:szCs w:val="21"/>
              </w:rPr>
            </w:pPr>
            <w:r>
              <w:rPr>
                <w:color w:val="auto"/>
                <w:sz w:val="21"/>
                <w:szCs w:val="21"/>
              </w:rPr>
              <w:t>100</w:t>
            </w:r>
          </w:p>
        </w:tc>
      </w:tr>
      <w:tr w14:paraId="7981D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6B2D9EBE">
            <w:pPr>
              <w:spacing w:line="320" w:lineRule="exact"/>
              <w:jc w:val="center"/>
              <w:rPr>
                <w:color w:val="auto"/>
                <w:sz w:val="21"/>
                <w:szCs w:val="21"/>
              </w:rPr>
            </w:pPr>
            <w:r>
              <w:rPr>
                <w:color w:val="auto"/>
                <w:sz w:val="21"/>
                <w:szCs w:val="21"/>
              </w:rPr>
              <w:t>19</w:t>
            </w:r>
          </w:p>
        </w:tc>
        <w:tc>
          <w:tcPr>
            <w:tcW w:w="2117" w:type="dxa"/>
            <w:noWrap w:val="0"/>
            <w:vAlign w:val="center"/>
          </w:tcPr>
          <w:p w14:paraId="5EC0290D">
            <w:pPr>
              <w:widowControl/>
              <w:tabs>
                <w:tab w:val="left" w:pos="480"/>
              </w:tabs>
              <w:spacing w:line="320" w:lineRule="exact"/>
              <w:jc w:val="center"/>
              <w:rPr>
                <w:color w:val="auto"/>
                <w:sz w:val="21"/>
                <w:szCs w:val="21"/>
              </w:rPr>
            </w:pPr>
            <w:r>
              <w:rPr>
                <w:color w:val="auto"/>
                <w:sz w:val="21"/>
                <w:szCs w:val="21"/>
              </w:rPr>
              <w:t>1，1，2，2-四氯乙烯</w:t>
            </w:r>
          </w:p>
        </w:tc>
        <w:tc>
          <w:tcPr>
            <w:tcW w:w="1279" w:type="dxa"/>
            <w:noWrap w:val="0"/>
            <w:vAlign w:val="center"/>
          </w:tcPr>
          <w:p w14:paraId="1B60ED53">
            <w:pPr>
              <w:spacing w:line="320" w:lineRule="exact"/>
              <w:jc w:val="center"/>
              <w:rPr>
                <w:color w:val="auto"/>
                <w:sz w:val="21"/>
                <w:szCs w:val="21"/>
              </w:rPr>
            </w:pPr>
            <w:r>
              <w:rPr>
                <w:color w:val="auto"/>
                <w:sz w:val="21"/>
                <w:szCs w:val="21"/>
              </w:rPr>
              <w:t>79-34-5</w:t>
            </w:r>
          </w:p>
        </w:tc>
        <w:tc>
          <w:tcPr>
            <w:tcW w:w="1136" w:type="dxa"/>
            <w:noWrap w:val="0"/>
            <w:vAlign w:val="center"/>
          </w:tcPr>
          <w:p w14:paraId="2CA403A4">
            <w:pPr>
              <w:spacing w:line="320" w:lineRule="exact"/>
              <w:jc w:val="center"/>
              <w:rPr>
                <w:color w:val="auto"/>
                <w:sz w:val="21"/>
                <w:szCs w:val="21"/>
              </w:rPr>
            </w:pPr>
            <w:r>
              <w:rPr>
                <w:color w:val="auto"/>
                <w:sz w:val="21"/>
                <w:szCs w:val="21"/>
              </w:rPr>
              <w:t>1.6</w:t>
            </w:r>
          </w:p>
        </w:tc>
        <w:tc>
          <w:tcPr>
            <w:tcW w:w="1138" w:type="dxa"/>
            <w:noWrap w:val="0"/>
            <w:vAlign w:val="center"/>
          </w:tcPr>
          <w:p w14:paraId="53D7294D">
            <w:pPr>
              <w:spacing w:line="320" w:lineRule="exact"/>
              <w:jc w:val="center"/>
              <w:rPr>
                <w:color w:val="auto"/>
                <w:sz w:val="21"/>
                <w:szCs w:val="21"/>
              </w:rPr>
            </w:pPr>
            <w:r>
              <w:rPr>
                <w:color w:val="auto"/>
                <w:sz w:val="21"/>
                <w:szCs w:val="21"/>
              </w:rPr>
              <w:t>6.8</w:t>
            </w:r>
          </w:p>
        </w:tc>
        <w:tc>
          <w:tcPr>
            <w:tcW w:w="1134" w:type="dxa"/>
            <w:noWrap w:val="0"/>
            <w:vAlign w:val="center"/>
          </w:tcPr>
          <w:p w14:paraId="21A5E0B4">
            <w:pPr>
              <w:spacing w:line="320" w:lineRule="exact"/>
              <w:jc w:val="center"/>
              <w:rPr>
                <w:color w:val="auto"/>
                <w:sz w:val="21"/>
                <w:szCs w:val="21"/>
              </w:rPr>
            </w:pPr>
            <w:r>
              <w:rPr>
                <w:color w:val="auto"/>
                <w:sz w:val="21"/>
                <w:szCs w:val="21"/>
              </w:rPr>
              <w:t>14</w:t>
            </w:r>
          </w:p>
        </w:tc>
        <w:tc>
          <w:tcPr>
            <w:tcW w:w="907" w:type="dxa"/>
            <w:noWrap w:val="0"/>
            <w:vAlign w:val="center"/>
          </w:tcPr>
          <w:p w14:paraId="52B016F8">
            <w:pPr>
              <w:spacing w:line="320" w:lineRule="exact"/>
              <w:jc w:val="center"/>
              <w:rPr>
                <w:color w:val="auto"/>
                <w:sz w:val="21"/>
                <w:szCs w:val="21"/>
              </w:rPr>
            </w:pPr>
            <w:r>
              <w:rPr>
                <w:color w:val="auto"/>
                <w:sz w:val="21"/>
                <w:szCs w:val="21"/>
              </w:rPr>
              <w:t>50</w:t>
            </w:r>
          </w:p>
        </w:tc>
      </w:tr>
      <w:tr w14:paraId="2063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365D796F">
            <w:pPr>
              <w:spacing w:line="320" w:lineRule="exact"/>
              <w:jc w:val="center"/>
              <w:rPr>
                <w:color w:val="auto"/>
                <w:sz w:val="21"/>
                <w:szCs w:val="21"/>
              </w:rPr>
            </w:pPr>
            <w:r>
              <w:rPr>
                <w:color w:val="auto"/>
                <w:sz w:val="21"/>
                <w:szCs w:val="21"/>
              </w:rPr>
              <w:t>20</w:t>
            </w:r>
          </w:p>
        </w:tc>
        <w:tc>
          <w:tcPr>
            <w:tcW w:w="2117" w:type="dxa"/>
            <w:noWrap w:val="0"/>
            <w:vAlign w:val="center"/>
          </w:tcPr>
          <w:p w14:paraId="7A8514F1">
            <w:pPr>
              <w:widowControl/>
              <w:tabs>
                <w:tab w:val="left" w:pos="480"/>
              </w:tabs>
              <w:spacing w:line="320" w:lineRule="exact"/>
              <w:jc w:val="center"/>
              <w:rPr>
                <w:color w:val="auto"/>
                <w:sz w:val="21"/>
                <w:szCs w:val="21"/>
              </w:rPr>
            </w:pPr>
            <w:r>
              <w:rPr>
                <w:color w:val="auto"/>
                <w:sz w:val="21"/>
                <w:szCs w:val="21"/>
              </w:rPr>
              <w:t>四氯乙烷</w:t>
            </w:r>
          </w:p>
        </w:tc>
        <w:tc>
          <w:tcPr>
            <w:tcW w:w="1279" w:type="dxa"/>
            <w:noWrap w:val="0"/>
            <w:vAlign w:val="center"/>
          </w:tcPr>
          <w:p w14:paraId="397E4CA9">
            <w:pPr>
              <w:spacing w:line="320" w:lineRule="exact"/>
              <w:jc w:val="center"/>
              <w:rPr>
                <w:color w:val="auto"/>
                <w:sz w:val="21"/>
                <w:szCs w:val="21"/>
              </w:rPr>
            </w:pPr>
            <w:r>
              <w:rPr>
                <w:color w:val="auto"/>
                <w:sz w:val="21"/>
                <w:szCs w:val="21"/>
              </w:rPr>
              <w:t>127-18-4</w:t>
            </w:r>
          </w:p>
        </w:tc>
        <w:tc>
          <w:tcPr>
            <w:tcW w:w="1136" w:type="dxa"/>
            <w:noWrap w:val="0"/>
            <w:vAlign w:val="center"/>
          </w:tcPr>
          <w:p w14:paraId="6CBA2C13">
            <w:pPr>
              <w:spacing w:line="320" w:lineRule="exact"/>
              <w:jc w:val="center"/>
              <w:rPr>
                <w:color w:val="auto"/>
                <w:sz w:val="21"/>
                <w:szCs w:val="21"/>
              </w:rPr>
            </w:pPr>
            <w:r>
              <w:rPr>
                <w:color w:val="auto"/>
                <w:sz w:val="21"/>
                <w:szCs w:val="21"/>
              </w:rPr>
              <w:t>11</w:t>
            </w:r>
          </w:p>
        </w:tc>
        <w:tc>
          <w:tcPr>
            <w:tcW w:w="1138" w:type="dxa"/>
            <w:noWrap w:val="0"/>
            <w:vAlign w:val="center"/>
          </w:tcPr>
          <w:p w14:paraId="5E544FD8">
            <w:pPr>
              <w:spacing w:line="320" w:lineRule="exact"/>
              <w:jc w:val="center"/>
              <w:rPr>
                <w:color w:val="auto"/>
                <w:sz w:val="21"/>
                <w:szCs w:val="21"/>
              </w:rPr>
            </w:pPr>
            <w:r>
              <w:rPr>
                <w:color w:val="auto"/>
                <w:sz w:val="21"/>
                <w:szCs w:val="21"/>
              </w:rPr>
              <w:t>53</w:t>
            </w:r>
          </w:p>
        </w:tc>
        <w:tc>
          <w:tcPr>
            <w:tcW w:w="1134" w:type="dxa"/>
            <w:noWrap w:val="0"/>
            <w:vAlign w:val="center"/>
          </w:tcPr>
          <w:p w14:paraId="289DDA9D">
            <w:pPr>
              <w:spacing w:line="320" w:lineRule="exact"/>
              <w:jc w:val="center"/>
              <w:rPr>
                <w:color w:val="auto"/>
                <w:sz w:val="21"/>
                <w:szCs w:val="21"/>
              </w:rPr>
            </w:pPr>
            <w:r>
              <w:rPr>
                <w:color w:val="auto"/>
                <w:sz w:val="21"/>
                <w:szCs w:val="21"/>
              </w:rPr>
              <w:t>34</w:t>
            </w:r>
          </w:p>
        </w:tc>
        <w:tc>
          <w:tcPr>
            <w:tcW w:w="907" w:type="dxa"/>
            <w:noWrap w:val="0"/>
            <w:vAlign w:val="center"/>
          </w:tcPr>
          <w:p w14:paraId="0E4A2812">
            <w:pPr>
              <w:spacing w:line="320" w:lineRule="exact"/>
              <w:jc w:val="center"/>
              <w:rPr>
                <w:color w:val="auto"/>
                <w:sz w:val="21"/>
                <w:szCs w:val="21"/>
              </w:rPr>
            </w:pPr>
            <w:r>
              <w:rPr>
                <w:color w:val="auto"/>
                <w:sz w:val="21"/>
                <w:szCs w:val="21"/>
              </w:rPr>
              <w:t>183</w:t>
            </w:r>
          </w:p>
        </w:tc>
      </w:tr>
      <w:tr w14:paraId="68F7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264564ED">
            <w:pPr>
              <w:spacing w:line="320" w:lineRule="exact"/>
              <w:jc w:val="center"/>
              <w:rPr>
                <w:color w:val="auto"/>
                <w:sz w:val="21"/>
                <w:szCs w:val="21"/>
              </w:rPr>
            </w:pPr>
            <w:r>
              <w:rPr>
                <w:color w:val="auto"/>
                <w:sz w:val="21"/>
                <w:szCs w:val="21"/>
              </w:rPr>
              <w:t>21</w:t>
            </w:r>
          </w:p>
        </w:tc>
        <w:tc>
          <w:tcPr>
            <w:tcW w:w="2117" w:type="dxa"/>
            <w:noWrap w:val="0"/>
            <w:vAlign w:val="center"/>
          </w:tcPr>
          <w:p w14:paraId="3916B857">
            <w:pPr>
              <w:widowControl/>
              <w:tabs>
                <w:tab w:val="left" w:pos="480"/>
              </w:tabs>
              <w:spacing w:line="320" w:lineRule="exact"/>
              <w:jc w:val="center"/>
              <w:rPr>
                <w:color w:val="auto"/>
                <w:sz w:val="21"/>
                <w:szCs w:val="21"/>
              </w:rPr>
            </w:pPr>
            <w:r>
              <w:rPr>
                <w:color w:val="auto"/>
                <w:sz w:val="21"/>
                <w:szCs w:val="21"/>
              </w:rPr>
              <w:t>1，1，1-三氯乙烷</w:t>
            </w:r>
          </w:p>
        </w:tc>
        <w:tc>
          <w:tcPr>
            <w:tcW w:w="1279" w:type="dxa"/>
            <w:noWrap w:val="0"/>
            <w:vAlign w:val="center"/>
          </w:tcPr>
          <w:p w14:paraId="2F273FC6">
            <w:pPr>
              <w:spacing w:line="320" w:lineRule="exact"/>
              <w:jc w:val="center"/>
              <w:rPr>
                <w:color w:val="auto"/>
                <w:sz w:val="21"/>
                <w:szCs w:val="21"/>
              </w:rPr>
            </w:pPr>
            <w:r>
              <w:rPr>
                <w:color w:val="auto"/>
                <w:sz w:val="21"/>
                <w:szCs w:val="21"/>
              </w:rPr>
              <w:t>71-55-6</w:t>
            </w:r>
          </w:p>
        </w:tc>
        <w:tc>
          <w:tcPr>
            <w:tcW w:w="1136" w:type="dxa"/>
            <w:noWrap w:val="0"/>
            <w:vAlign w:val="center"/>
          </w:tcPr>
          <w:p w14:paraId="1905706C">
            <w:pPr>
              <w:spacing w:line="320" w:lineRule="exact"/>
              <w:jc w:val="center"/>
              <w:rPr>
                <w:color w:val="auto"/>
                <w:sz w:val="21"/>
                <w:szCs w:val="21"/>
              </w:rPr>
            </w:pPr>
            <w:r>
              <w:rPr>
                <w:color w:val="auto"/>
                <w:sz w:val="21"/>
                <w:szCs w:val="21"/>
              </w:rPr>
              <w:t>701</w:t>
            </w:r>
          </w:p>
        </w:tc>
        <w:tc>
          <w:tcPr>
            <w:tcW w:w="1138" w:type="dxa"/>
            <w:noWrap w:val="0"/>
            <w:vAlign w:val="center"/>
          </w:tcPr>
          <w:p w14:paraId="06947285">
            <w:pPr>
              <w:spacing w:line="320" w:lineRule="exact"/>
              <w:jc w:val="center"/>
              <w:rPr>
                <w:color w:val="auto"/>
                <w:sz w:val="21"/>
                <w:szCs w:val="21"/>
              </w:rPr>
            </w:pPr>
            <w:r>
              <w:rPr>
                <w:color w:val="auto"/>
                <w:sz w:val="21"/>
                <w:szCs w:val="21"/>
              </w:rPr>
              <w:t>840</w:t>
            </w:r>
          </w:p>
        </w:tc>
        <w:tc>
          <w:tcPr>
            <w:tcW w:w="1134" w:type="dxa"/>
            <w:noWrap w:val="0"/>
            <w:vAlign w:val="center"/>
          </w:tcPr>
          <w:p w14:paraId="3F35DF3D">
            <w:pPr>
              <w:spacing w:line="320" w:lineRule="exact"/>
              <w:jc w:val="center"/>
              <w:rPr>
                <w:color w:val="auto"/>
                <w:sz w:val="21"/>
                <w:szCs w:val="21"/>
              </w:rPr>
            </w:pPr>
            <w:r>
              <w:rPr>
                <w:color w:val="auto"/>
                <w:sz w:val="21"/>
                <w:szCs w:val="21"/>
              </w:rPr>
              <w:t>840</w:t>
            </w:r>
          </w:p>
        </w:tc>
        <w:tc>
          <w:tcPr>
            <w:tcW w:w="907" w:type="dxa"/>
            <w:noWrap w:val="0"/>
            <w:vAlign w:val="center"/>
          </w:tcPr>
          <w:p w14:paraId="1C3C0323">
            <w:pPr>
              <w:spacing w:line="320" w:lineRule="exact"/>
              <w:jc w:val="center"/>
              <w:rPr>
                <w:color w:val="auto"/>
                <w:sz w:val="21"/>
                <w:szCs w:val="21"/>
              </w:rPr>
            </w:pPr>
            <w:r>
              <w:rPr>
                <w:color w:val="auto"/>
                <w:sz w:val="21"/>
                <w:szCs w:val="21"/>
              </w:rPr>
              <w:t>840</w:t>
            </w:r>
          </w:p>
        </w:tc>
      </w:tr>
      <w:tr w14:paraId="1B6D9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A4E099C">
            <w:pPr>
              <w:spacing w:line="320" w:lineRule="exact"/>
              <w:jc w:val="center"/>
              <w:rPr>
                <w:color w:val="auto"/>
                <w:sz w:val="21"/>
                <w:szCs w:val="21"/>
              </w:rPr>
            </w:pPr>
            <w:r>
              <w:rPr>
                <w:color w:val="auto"/>
                <w:sz w:val="21"/>
                <w:szCs w:val="21"/>
              </w:rPr>
              <w:t>22</w:t>
            </w:r>
          </w:p>
        </w:tc>
        <w:tc>
          <w:tcPr>
            <w:tcW w:w="2117" w:type="dxa"/>
            <w:noWrap w:val="0"/>
            <w:vAlign w:val="center"/>
          </w:tcPr>
          <w:p w14:paraId="20391D59">
            <w:pPr>
              <w:widowControl/>
              <w:tabs>
                <w:tab w:val="left" w:pos="480"/>
              </w:tabs>
              <w:spacing w:line="320" w:lineRule="exact"/>
              <w:jc w:val="center"/>
              <w:rPr>
                <w:color w:val="auto"/>
                <w:sz w:val="21"/>
                <w:szCs w:val="21"/>
              </w:rPr>
            </w:pPr>
            <w:r>
              <w:rPr>
                <w:color w:val="auto"/>
                <w:sz w:val="21"/>
                <w:szCs w:val="21"/>
              </w:rPr>
              <w:t>1，1，2-三氯乙烷</w:t>
            </w:r>
          </w:p>
        </w:tc>
        <w:tc>
          <w:tcPr>
            <w:tcW w:w="1279" w:type="dxa"/>
            <w:noWrap w:val="0"/>
            <w:vAlign w:val="center"/>
          </w:tcPr>
          <w:p w14:paraId="20DCB9AC">
            <w:pPr>
              <w:spacing w:line="320" w:lineRule="exact"/>
              <w:jc w:val="center"/>
              <w:rPr>
                <w:color w:val="auto"/>
                <w:sz w:val="21"/>
                <w:szCs w:val="21"/>
              </w:rPr>
            </w:pPr>
            <w:r>
              <w:rPr>
                <w:color w:val="auto"/>
                <w:sz w:val="21"/>
                <w:szCs w:val="21"/>
              </w:rPr>
              <w:t>79-00-5</w:t>
            </w:r>
          </w:p>
        </w:tc>
        <w:tc>
          <w:tcPr>
            <w:tcW w:w="1136" w:type="dxa"/>
            <w:noWrap w:val="0"/>
            <w:vAlign w:val="center"/>
          </w:tcPr>
          <w:p w14:paraId="17DC3245">
            <w:pPr>
              <w:spacing w:line="320" w:lineRule="exact"/>
              <w:jc w:val="center"/>
              <w:rPr>
                <w:color w:val="auto"/>
                <w:sz w:val="21"/>
                <w:szCs w:val="21"/>
              </w:rPr>
            </w:pPr>
            <w:r>
              <w:rPr>
                <w:color w:val="auto"/>
                <w:sz w:val="21"/>
                <w:szCs w:val="21"/>
              </w:rPr>
              <w:t>0.6</w:t>
            </w:r>
          </w:p>
        </w:tc>
        <w:tc>
          <w:tcPr>
            <w:tcW w:w="1138" w:type="dxa"/>
            <w:noWrap w:val="0"/>
            <w:vAlign w:val="center"/>
          </w:tcPr>
          <w:p w14:paraId="1CA5CBB6">
            <w:pPr>
              <w:spacing w:line="320" w:lineRule="exact"/>
              <w:jc w:val="center"/>
              <w:rPr>
                <w:color w:val="auto"/>
                <w:sz w:val="21"/>
                <w:szCs w:val="21"/>
              </w:rPr>
            </w:pPr>
            <w:r>
              <w:rPr>
                <w:color w:val="auto"/>
                <w:sz w:val="21"/>
                <w:szCs w:val="21"/>
              </w:rPr>
              <w:t>2.8</w:t>
            </w:r>
          </w:p>
        </w:tc>
        <w:tc>
          <w:tcPr>
            <w:tcW w:w="1134" w:type="dxa"/>
            <w:noWrap w:val="0"/>
            <w:vAlign w:val="center"/>
          </w:tcPr>
          <w:p w14:paraId="68733544">
            <w:pPr>
              <w:spacing w:line="320" w:lineRule="exact"/>
              <w:jc w:val="center"/>
              <w:rPr>
                <w:color w:val="auto"/>
                <w:sz w:val="21"/>
                <w:szCs w:val="21"/>
              </w:rPr>
            </w:pPr>
            <w:r>
              <w:rPr>
                <w:color w:val="auto"/>
                <w:sz w:val="21"/>
                <w:szCs w:val="21"/>
              </w:rPr>
              <w:t>5</w:t>
            </w:r>
          </w:p>
        </w:tc>
        <w:tc>
          <w:tcPr>
            <w:tcW w:w="907" w:type="dxa"/>
            <w:noWrap w:val="0"/>
            <w:vAlign w:val="center"/>
          </w:tcPr>
          <w:p w14:paraId="72896420">
            <w:pPr>
              <w:spacing w:line="320" w:lineRule="exact"/>
              <w:jc w:val="center"/>
              <w:rPr>
                <w:color w:val="auto"/>
                <w:sz w:val="21"/>
                <w:szCs w:val="21"/>
              </w:rPr>
            </w:pPr>
            <w:r>
              <w:rPr>
                <w:color w:val="auto"/>
                <w:sz w:val="21"/>
                <w:szCs w:val="21"/>
              </w:rPr>
              <w:t>15</w:t>
            </w:r>
          </w:p>
        </w:tc>
      </w:tr>
      <w:tr w14:paraId="007D7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4EE7A42D">
            <w:pPr>
              <w:spacing w:line="320" w:lineRule="exact"/>
              <w:jc w:val="center"/>
              <w:rPr>
                <w:color w:val="auto"/>
                <w:sz w:val="21"/>
                <w:szCs w:val="21"/>
              </w:rPr>
            </w:pPr>
            <w:r>
              <w:rPr>
                <w:color w:val="auto"/>
                <w:sz w:val="21"/>
                <w:szCs w:val="21"/>
              </w:rPr>
              <w:t>23</w:t>
            </w:r>
          </w:p>
        </w:tc>
        <w:tc>
          <w:tcPr>
            <w:tcW w:w="2117" w:type="dxa"/>
            <w:noWrap w:val="0"/>
            <w:vAlign w:val="center"/>
          </w:tcPr>
          <w:p w14:paraId="2434124C">
            <w:pPr>
              <w:widowControl/>
              <w:tabs>
                <w:tab w:val="left" w:pos="480"/>
              </w:tabs>
              <w:spacing w:line="320" w:lineRule="exact"/>
              <w:jc w:val="center"/>
              <w:rPr>
                <w:color w:val="auto"/>
                <w:sz w:val="21"/>
                <w:szCs w:val="21"/>
              </w:rPr>
            </w:pPr>
            <w:r>
              <w:rPr>
                <w:color w:val="auto"/>
                <w:sz w:val="21"/>
                <w:szCs w:val="21"/>
              </w:rPr>
              <w:t>三氯乙烯</w:t>
            </w:r>
          </w:p>
        </w:tc>
        <w:tc>
          <w:tcPr>
            <w:tcW w:w="1279" w:type="dxa"/>
            <w:noWrap w:val="0"/>
            <w:vAlign w:val="center"/>
          </w:tcPr>
          <w:p w14:paraId="31BCAED6">
            <w:pPr>
              <w:spacing w:line="320" w:lineRule="exact"/>
              <w:jc w:val="center"/>
              <w:rPr>
                <w:color w:val="auto"/>
                <w:sz w:val="21"/>
                <w:szCs w:val="21"/>
              </w:rPr>
            </w:pPr>
            <w:r>
              <w:rPr>
                <w:color w:val="auto"/>
                <w:sz w:val="21"/>
                <w:szCs w:val="21"/>
              </w:rPr>
              <w:t>79-01-6</w:t>
            </w:r>
          </w:p>
        </w:tc>
        <w:tc>
          <w:tcPr>
            <w:tcW w:w="1136" w:type="dxa"/>
            <w:noWrap w:val="0"/>
            <w:vAlign w:val="center"/>
          </w:tcPr>
          <w:p w14:paraId="700149C8">
            <w:pPr>
              <w:spacing w:line="320" w:lineRule="exact"/>
              <w:jc w:val="center"/>
              <w:rPr>
                <w:color w:val="auto"/>
                <w:sz w:val="21"/>
                <w:szCs w:val="21"/>
              </w:rPr>
            </w:pPr>
            <w:r>
              <w:rPr>
                <w:color w:val="auto"/>
                <w:sz w:val="21"/>
                <w:szCs w:val="21"/>
              </w:rPr>
              <w:t>0.7</w:t>
            </w:r>
          </w:p>
        </w:tc>
        <w:tc>
          <w:tcPr>
            <w:tcW w:w="1138" w:type="dxa"/>
            <w:noWrap w:val="0"/>
            <w:vAlign w:val="center"/>
          </w:tcPr>
          <w:p w14:paraId="30184431">
            <w:pPr>
              <w:spacing w:line="320" w:lineRule="exact"/>
              <w:jc w:val="center"/>
              <w:rPr>
                <w:color w:val="auto"/>
                <w:sz w:val="21"/>
                <w:szCs w:val="21"/>
              </w:rPr>
            </w:pPr>
            <w:r>
              <w:rPr>
                <w:color w:val="auto"/>
                <w:sz w:val="21"/>
                <w:szCs w:val="21"/>
              </w:rPr>
              <w:t>2.8</w:t>
            </w:r>
          </w:p>
        </w:tc>
        <w:tc>
          <w:tcPr>
            <w:tcW w:w="1134" w:type="dxa"/>
            <w:noWrap w:val="0"/>
            <w:vAlign w:val="center"/>
          </w:tcPr>
          <w:p w14:paraId="5CB11752">
            <w:pPr>
              <w:spacing w:line="320" w:lineRule="exact"/>
              <w:jc w:val="center"/>
              <w:rPr>
                <w:color w:val="auto"/>
                <w:sz w:val="21"/>
                <w:szCs w:val="21"/>
              </w:rPr>
            </w:pPr>
            <w:r>
              <w:rPr>
                <w:color w:val="auto"/>
                <w:sz w:val="21"/>
                <w:szCs w:val="21"/>
              </w:rPr>
              <w:t>7</w:t>
            </w:r>
          </w:p>
        </w:tc>
        <w:tc>
          <w:tcPr>
            <w:tcW w:w="907" w:type="dxa"/>
            <w:noWrap w:val="0"/>
            <w:vAlign w:val="center"/>
          </w:tcPr>
          <w:p w14:paraId="030B63ED">
            <w:pPr>
              <w:spacing w:line="320" w:lineRule="exact"/>
              <w:jc w:val="center"/>
              <w:rPr>
                <w:color w:val="auto"/>
                <w:sz w:val="21"/>
                <w:szCs w:val="21"/>
              </w:rPr>
            </w:pPr>
            <w:r>
              <w:rPr>
                <w:color w:val="auto"/>
                <w:sz w:val="21"/>
                <w:szCs w:val="21"/>
              </w:rPr>
              <w:t>20</w:t>
            </w:r>
          </w:p>
        </w:tc>
      </w:tr>
      <w:tr w14:paraId="54FB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23A74C1">
            <w:pPr>
              <w:spacing w:line="320" w:lineRule="exact"/>
              <w:jc w:val="center"/>
              <w:rPr>
                <w:color w:val="auto"/>
                <w:sz w:val="21"/>
                <w:szCs w:val="21"/>
              </w:rPr>
            </w:pPr>
            <w:r>
              <w:rPr>
                <w:color w:val="auto"/>
                <w:sz w:val="21"/>
                <w:szCs w:val="21"/>
              </w:rPr>
              <w:t>24</w:t>
            </w:r>
          </w:p>
        </w:tc>
        <w:tc>
          <w:tcPr>
            <w:tcW w:w="2117" w:type="dxa"/>
            <w:noWrap w:val="0"/>
            <w:vAlign w:val="center"/>
          </w:tcPr>
          <w:p w14:paraId="0CFFA536">
            <w:pPr>
              <w:widowControl/>
              <w:tabs>
                <w:tab w:val="left" w:pos="480"/>
              </w:tabs>
              <w:spacing w:line="320" w:lineRule="exact"/>
              <w:jc w:val="center"/>
              <w:rPr>
                <w:color w:val="auto"/>
                <w:sz w:val="21"/>
                <w:szCs w:val="21"/>
              </w:rPr>
            </w:pPr>
            <w:r>
              <w:rPr>
                <w:color w:val="auto"/>
                <w:sz w:val="21"/>
                <w:szCs w:val="21"/>
              </w:rPr>
              <w:t>1，2，3-三氯丙烷</w:t>
            </w:r>
          </w:p>
        </w:tc>
        <w:tc>
          <w:tcPr>
            <w:tcW w:w="1279" w:type="dxa"/>
            <w:noWrap w:val="0"/>
            <w:vAlign w:val="center"/>
          </w:tcPr>
          <w:p w14:paraId="15D38DB4">
            <w:pPr>
              <w:spacing w:line="320" w:lineRule="exact"/>
              <w:jc w:val="center"/>
              <w:rPr>
                <w:color w:val="auto"/>
                <w:sz w:val="21"/>
                <w:szCs w:val="21"/>
              </w:rPr>
            </w:pPr>
            <w:r>
              <w:rPr>
                <w:color w:val="auto"/>
                <w:sz w:val="21"/>
                <w:szCs w:val="21"/>
              </w:rPr>
              <w:t>96-18-4</w:t>
            </w:r>
          </w:p>
        </w:tc>
        <w:tc>
          <w:tcPr>
            <w:tcW w:w="1136" w:type="dxa"/>
            <w:noWrap w:val="0"/>
            <w:vAlign w:val="center"/>
          </w:tcPr>
          <w:p w14:paraId="12893953">
            <w:pPr>
              <w:spacing w:line="320" w:lineRule="exact"/>
              <w:jc w:val="center"/>
              <w:rPr>
                <w:color w:val="auto"/>
                <w:sz w:val="21"/>
                <w:szCs w:val="21"/>
              </w:rPr>
            </w:pPr>
            <w:r>
              <w:rPr>
                <w:color w:val="auto"/>
                <w:sz w:val="21"/>
                <w:szCs w:val="21"/>
              </w:rPr>
              <w:t>0.05</w:t>
            </w:r>
          </w:p>
        </w:tc>
        <w:tc>
          <w:tcPr>
            <w:tcW w:w="1138" w:type="dxa"/>
            <w:noWrap w:val="0"/>
            <w:vAlign w:val="center"/>
          </w:tcPr>
          <w:p w14:paraId="563BC70C">
            <w:pPr>
              <w:spacing w:line="320" w:lineRule="exact"/>
              <w:jc w:val="center"/>
              <w:rPr>
                <w:color w:val="auto"/>
                <w:sz w:val="21"/>
                <w:szCs w:val="21"/>
              </w:rPr>
            </w:pPr>
            <w:r>
              <w:rPr>
                <w:color w:val="auto"/>
                <w:sz w:val="21"/>
                <w:szCs w:val="21"/>
              </w:rPr>
              <w:t>0.5</w:t>
            </w:r>
          </w:p>
        </w:tc>
        <w:tc>
          <w:tcPr>
            <w:tcW w:w="1134" w:type="dxa"/>
            <w:noWrap w:val="0"/>
            <w:vAlign w:val="center"/>
          </w:tcPr>
          <w:p w14:paraId="7E091933">
            <w:pPr>
              <w:spacing w:line="320" w:lineRule="exact"/>
              <w:jc w:val="center"/>
              <w:rPr>
                <w:color w:val="auto"/>
                <w:sz w:val="21"/>
                <w:szCs w:val="21"/>
              </w:rPr>
            </w:pPr>
            <w:r>
              <w:rPr>
                <w:color w:val="auto"/>
                <w:sz w:val="21"/>
                <w:szCs w:val="21"/>
              </w:rPr>
              <w:t>0.5</w:t>
            </w:r>
          </w:p>
        </w:tc>
        <w:tc>
          <w:tcPr>
            <w:tcW w:w="907" w:type="dxa"/>
            <w:noWrap w:val="0"/>
            <w:vAlign w:val="center"/>
          </w:tcPr>
          <w:p w14:paraId="0BE2E6E9">
            <w:pPr>
              <w:spacing w:line="320" w:lineRule="exact"/>
              <w:jc w:val="center"/>
              <w:rPr>
                <w:color w:val="auto"/>
                <w:sz w:val="21"/>
                <w:szCs w:val="21"/>
              </w:rPr>
            </w:pPr>
            <w:r>
              <w:rPr>
                <w:color w:val="auto"/>
                <w:sz w:val="21"/>
                <w:szCs w:val="21"/>
              </w:rPr>
              <w:t>5</w:t>
            </w:r>
          </w:p>
        </w:tc>
      </w:tr>
      <w:tr w14:paraId="223E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17" w:type="dxa"/>
            <w:noWrap w:val="0"/>
            <w:vAlign w:val="center"/>
          </w:tcPr>
          <w:p w14:paraId="7388ABAB">
            <w:pPr>
              <w:spacing w:line="320" w:lineRule="exact"/>
              <w:jc w:val="center"/>
              <w:rPr>
                <w:color w:val="auto"/>
                <w:sz w:val="21"/>
                <w:szCs w:val="21"/>
              </w:rPr>
            </w:pPr>
            <w:r>
              <w:rPr>
                <w:color w:val="auto"/>
                <w:sz w:val="21"/>
                <w:szCs w:val="21"/>
              </w:rPr>
              <w:t>25</w:t>
            </w:r>
          </w:p>
        </w:tc>
        <w:tc>
          <w:tcPr>
            <w:tcW w:w="2117" w:type="dxa"/>
            <w:noWrap w:val="0"/>
            <w:vAlign w:val="center"/>
          </w:tcPr>
          <w:p w14:paraId="315FA95D">
            <w:pPr>
              <w:widowControl/>
              <w:tabs>
                <w:tab w:val="left" w:pos="480"/>
              </w:tabs>
              <w:spacing w:line="320" w:lineRule="exact"/>
              <w:jc w:val="center"/>
              <w:rPr>
                <w:color w:val="auto"/>
                <w:sz w:val="21"/>
                <w:szCs w:val="21"/>
              </w:rPr>
            </w:pPr>
            <w:r>
              <w:rPr>
                <w:color w:val="auto"/>
                <w:sz w:val="21"/>
                <w:szCs w:val="21"/>
              </w:rPr>
              <w:t>氯乙烯</w:t>
            </w:r>
          </w:p>
        </w:tc>
        <w:tc>
          <w:tcPr>
            <w:tcW w:w="1279" w:type="dxa"/>
            <w:noWrap w:val="0"/>
            <w:vAlign w:val="center"/>
          </w:tcPr>
          <w:p w14:paraId="58EBE209">
            <w:pPr>
              <w:spacing w:line="320" w:lineRule="exact"/>
              <w:jc w:val="center"/>
              <w:rPr>
                <w:color w:val="auto"/>
                <w:sz w:val="21"/>
                <w:szCs w:val="21"/>
              </w:rPr>
            </w:pPr>
            <w:r>
              <w:rPr>
                <w:color w:val="auto"/>
                <w:sz w:val="21"/>
                <w:szCs w:val="21"/>
              </w:rPr>
              <w:t>75-01-4</w:t>
            </w:r>
          </w:p>
        </w:tc>
        <w:tc>
          <w:tcPr>
            <w:tcW w:w="1136" w:type="dxa"/>
            <w:noWrap w:val="0"/>
            <w:vAlign w:val="center"/>
          </w:tcPr>
          <w:p w14:paraId="34EA460D">
            <w:pPr>
              <w:spacing w:line="320" w:lineRule="exact"/>
              <w:jc w:val="center"/>
              <w:rPr>
                <w:color w:val="auto"/>
                <w:sz w:val="21"/>
                <w:szCs w:val="21"/>
              </w:rPr>
            </w:pPr>
            <w:r>
              <w:rPr>
                <w:color w:val="auto"/>
                <w:sz w:val="21"/>
                <w:szCs w:val="21"/>
              </w:rPr>
              <w:t>0.12</w:t>
            </w:r>
          </w:p>
        </w:tc>
        <w:tc>
          <w:tcPr>
            <w:tcW w:w="1138" w:type="dxa"/>
            <w:noWrap w:val="0"/>
            <w:vAlign w:val="center"/>
          </w:tcPr>
          <w:p w14:paraId="4A7BF7B4">
            <w:pPr>
              <w:spacing w:line="320" w:lineRule="exact"/>
              <w:jc w:val="center"/>
              <w:rPr>
                <w:color w:val="auto"/>
                <w:sz w:val="21"/>
                <w:szCs w:val="21"/>
              </w:rPr>
            </w:pPr>
            <w:r>
              <w:rPr>
                <w:color w:val="auto"/>
                <w:sz w:val="21"/>
                <w:szCs w:val="21"/>
              </w:rPr>
              <w:t>0.43</w:t>
            </w:r>
          </w:p>
        </w:tc>
        <w:tc>
          <w:tcPr>
            <w:tcW w:w="1134" w:type="dxa"/>
            <w:noWrap w:val="0"/>
            <w:vAlign w:val="center"/>
          </w:tcPr>
          <w:p w14:paraId="39F21B6E">
            <w:pPr>
              <w:spacing w:line="320" w:lineRule="exact"/>
              <w:jc w:val="center"/>
              <w:rPr>
                <w:color w:val="auto"/>
                <w:sz w:val="21"/>
                <w:szCs w:val="21"/>
              </w:rPr>
            </w:pPr>
            <w:r>
              <w:rPr>
                <w:color w:val="auto"/>
                <w:sz w:val="21"/>
                <w:szCs w:val="21"/>
              </w:rPr>
              <w:t>1.2</w:t>
            </w:r>
          </w:p>
        </w:tc>
        <w:tc>
          <w:tcPr>
            <w:tcW w:w="907" w:type="dxa"/>
            <w:noWrap w:val="0"/>
            <w:vAlign w:val="center"/>
          </w:tcPr>
          <w:p w14:paraId="32FB24C2">
            <w:pPr>
              <w:spacing w:line="320" w:lineRule="exact"/>
              <w:jc w:val="center"/>
              <w:rPr>
                <w:color w:val="auto"/>
                <w:sz w:val="21"/>
                <w:szCs w:val="21"/>
              </w:rPr>
            </w:pPr>
            <w:r>
              <w:rPr>
                <w:color w:val="auto"/>
                <w:sz w:val="21"/>
                <w:szCs w:val="21"/>
              </w:rPr>
              <w:t>4.3</w:t>
            </w:r>
          </w:p>
        </w:tc>
      </w:tr>
      <w:tr w14:paraId="3ACE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34FC7455">
            <w:pPr>
              <w:spacing w:line="320" w:lineRule="exact"/>
              <w:jc w:val="center"/>
              <w:rPr>
                <w:color w:val="auto"/>
                <w:sz w:val="21"/>
                <w:szCs w:val="21"/>
              </w:rPr>
            </w:pPr>
            <w:r>
              <w:rPr>
                <w:color w:val="auto"/>
                <w:sz w:val="21"/>
                <w:szCs w:val="21"/>
              </w:rPr>
              <w:t>26</w:t>
            </w:r>
          </w:p>
        </w:tc>
        <w:tc>
          <w:tcPr>
            <w:tcW w:w="2117" w:type="dxa"/>
            <w:noWrap w:val="0"/>
            <w:vAlign w:val="center"/>
          </w:tcPr>
          <w:p w14:paraId="18FDF577">
            <w:pPr>
              <w:widowControl/>
              <w:tabs>
                <w:tab w:val="left" w:pos="480"/>
              </w:tabs>
              <w:spacing w:line="320" w:lineRule="exact"/>
              <w:jc w:val="center"/>
              <w:rPr>
                <w:color w:val="auto"/>
                <w:sz w:val="21"/>
                <w:szCs w:val="21"/>
              </w:rPr>
            </w:pPr>
            <w:r>
              <w:rPr>
                <w:color w:val="auto"/>
                <w:sz w:val="21"/>
                <w:szCs w:val="21"/>
              </w:rPr>
              <w:t>苯</w:t>
            </w:r>
          </w:p>
        </w:tc>
        <w:tc>
          <w:tcPr>
            <w:tcW w:w="1279" w:type="dxa"/>
            <w:noWrap w:val="0"/>
            <w:vAlign w:val="center"/>
          </w:tcPr>
          <w:p w14:paraId="250697D4">
            <w:pPr>
              <w:spacing w:line="320" w:lineRule="exact"/>
              <w:jc w:val="center"/>
              <w:rPr>
                <w:color w:val="auto"/>
                <w:sz w:val="21"/>
                <w:szCs w:val="21"/>
              </w:rPr>
            </w:pPr>
            <w:r>
              <w:rPr>
                <w:color w:val="auto"/>
                <w:sz w:val="21"/>
                <w:szCs w:val="21"/>
              </w:rPr>
              <w:t>71-43-2</w:t>
            </w:r>
          </w:p>
        </w:tc>
        <w:tc>
          <w:tcPr>
            <w:tcW w:w="1136" w:type="dxa"/>
            <w:noWrap w:val="0"/>
            <w:vAlign w:val="center"/>
          </w:tcPr>
          <w:p w14:paraId="12DF3157">
            <w:pPr>
              <w:spacing w:line="320" w:lineRule="exact"/>
              <w:jc w:val="center"/>
              <w:rPr>
                <w:color w:val="auto"/>
                <w:sz w:val="21"/>
                <w:szCs w:val="21"/>
              </w:rPr>
            </w:pPr>
            <w:r>
              <w:rPr>
                <w:color w:val="auto"/>
                <w:sz w:val="21"/>
                <w:szCs w:val="21"/>
              </w:rPr>
              <w:t>1</w:t>
            </w:r>
          </w:p>
        </w:tc>
        <w:tc>
          <w:tcPr>
            <w:tcW w:w="1138" w:type="dxa"/>
            <w:noWrap w:val="0"/>
            <w:vAlign w:val="center"/>
          </w:tcPr>
          <w:p w14:paraId="5351A1D6">
            <w:pPr>
              <w:spacing w:line="320" w:lineRule="exact"/>
              <w:jc w:val="center"/>
              <w:rPr>
                <w:color w:val="auto"/>
                <w:sz w:val="21"/>
                <w:szCs w:val="21"/>
              </w:rPr>
            </w:pPr>
            <w:r>
              <w:rPr>
                <w:color w:val="auto"/>
                <w:sz w:val="21"/>
                <w:szCs w:val="21"/>
              </w:rPr>
              <w:t>4</w:t>
            </w:r>
          </w:p>
        </w:tc>
        <w:tc>
          <w:tcPr>
            <w:tcW w:w="1134" w:type="dxa"/>
            <w:noWrap w:val="0"/>
            <w:vAlign w:val="center"/>
          </w:tcPr>
          <w:p w14:paraId="652F9909">
            <w:pPr>
              <w:spacing w:line="320" w:lineRule="exact"/>
              <w:jc w:val="center"/>
              <w:rPr>
                <w:color w:val="auto"/>
                <w:sz w:val="21"/>
                <w:szCs w:val="21"/>
              </w:rPr>
            </w:pPr>
            <w:r>
              <w:rPr>
                <w:color w:val="auto"/>
                <w:sz w:val="21"/>
                <w:szCs w:val="21"/>
              </w:rPr>
              <w:t>10</w:t>
            </w:r>
          </w:p>
        </w:tc>
        <w:tc>
          <w:tcPr>
            <w:tcW w:w="907" w:type="dxa"/>
            <w:noWrap w:val="0"/>
            <w:vAlign w:val="center"/>
          </w:tcPr>
          <w:p w14:paraId="7026B94C">
            <w:pPr>
              <w:spacing w:line="320" w:lineRule="exact"/>
              <w:jc w:val="center"/>
              <w:rPr>
                <w:color w:val="auto"/>
                <w:sz w:val="21"/>
                <w:szCs w:val="21"/>
              </w:rPr>
            </w:pPr>
            <w:r>
              <w:rPr>
                <w:color w:val="auto"/>
                <w:sz w:val="21"/>
                <w:szCs w:val="21"/>
              </w:rPr>
              <w:t>40</w:t>
            </w:r>
          </w:p>
        </w:tc>
      </w:tr>
      <w:tr w14:paraId="5AA7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03BC4162">
            <w:pPr>
              <w:spacing w:line="320" w:lineRule="exact"/>
              <w:jc w:val="center"/>
              <w:rPr>
                <w:color w:val="auto"/>
                <w:sz w:val="21"/>
                <w:szCs w:val="21"/>
              </w:rPr>
            </w:pPr>
            <w:r>
              <w:rPr>
                <w:color w:val="auto"/>
                <w:sz w:val="21"/>
                <w:szCs w:val="21"/>
              </w:rPr>
              <w:t>27</w:t>
            </w:r>
          </w:p>
        </w:tc>
        <w:tc>
          <w:tcPr>
            <w:tcW w:w="2117" w:type="dxa"/>
            <w:noWrap w:val="0"/>
            <w:vAlign w:val="center"/>
          </w:tcPr>
          <w:p w14:paraId="29B4007E">
            <w:pPr>
              <w:widowControl/>
              <w:tabs>
                <w:tab w:val="left" w:pos="480"/>
              </w:tabs>
              <w:spacing w:line="320" w:lineRule="exact"/>
              <w:jc w:val="center"/>
              <w:rPr>
                <w:color w:val="auto"/>
                <w:sz w:val="21"/>
                <w:szCs w:val="21"/>
              </w:rPr>
            </w:pPr>
            <w:r>
              <w:rPr>
                <w:color w:val="auto"/>
                <w:sz w:val="21"/>
                <w:szCs w:val="21"/>
              </w:rPr>
              <w:t>氯苯</w:t>
            </w:r>
          </w:p>
        </w:tc>
        <w:tc>
          <w:tcPr>
            <w:tcW w:w="1279" w:type="dxa"/>
            <w:noWrap w:val="0"/>
            <w:vAlign w:val="center"/>
          </w:tcPr>
          <w:p w14:paraId="2EAC280B">
            <w:pPr>
              <w:spacing w:line="320" w:lineRule="exact"/>
              <w:jc w:val="center"/>
              <w:rPr>
                <w:color w:val="auto"/>
                <w:sz w:val="21"/>
                <w:szCs w:val="21"/>
              </w:rPr>
            </w:pPr>
            <w:r>
              <w:rPr>
                <w:color w:val="auto"/>
                <w:sz w:val="21"/>
                <w:szCs w:val="21"/>
              </w:rPr>
              <w:t>108-90-7</w:t>
            </w:r>
          </w:p>
        </w:tc>
        <w:tc>
          <w:tcPr>
            <w:tcW w:w="1136" w:type="dxa"/>
            <w:noWrap w:val="0"/>
            <w:vAlign w:val="center"/>
          </w:tcPr>
          <w:p w14:paraId="54BCF228">
            <w:pPr>
              <w:spacing w:line="320" w:lineRule="exact"/>
              <w:jc w:val="center"/>
              <w:rPr>
                <w:color w:val="auto"/>
                <w:sz w:val="21"/>
                <w:szCs w:val="21"/>
              </w:rPr>
            </w:pPr>
            <w:r>
              <w:rPr>
                <w:color w:val="auto"/>
                <w:sz w:val="21"/>
                <w:szCs w:val="21"/>
              </w:rPr>
              <w:t>68</w:t>
            </w:r>
          </w:p>
        </w:tc>
        <w:tc>
          <w:tcPr>
            <w:tcW w:w="1138" w:type="dxa"/>
            <w:noWrap w:val="0"/>
            <w:vAlign w:val="center"/>
          </w:tcPr>
          <w:p w14:paraId="689EB131">
            <w:pPr>
              <w:spacing w:line="320" w:lineRule="exact"/>
              <w:jc w:val="center"/>
              <w:rPr>
                <w:color w:val="auto"/>
                <w:sz w:val="21"/>
                <w:szCs w:val="21"/>
              </w:rPr>
            </w:pPr>
            <w:r>
              <w:rPr>
                <w:color w:val="auto"/>
                <w:sz w:val="21"/>
                <w:szCs w:val="21"/>
              </w:rPr>
              <w:t>270</w:t>
            </w:r>
          </w:p>
        </w:tc>
        <w:tc>
          <w:tcPr>
            <w:tcW w:w="1134" w:type="dxa"/>
            <w:noWrap w:val="0"/>
            <w:vAlign w:val="center"/>
          </w:tcPr>
          <w:p w14:paraId="75C44BC7">
            <w:pPr>
              <w:spacing w:line="320" w:lineRule="exact"/>
              <w:jc w:val="center"/>
              <w:rPr>
                <w:color w:val="auto"/>
                <w:sz w:val="21"/>
                <w:szCs w:val="21"/>
              </w:rPr>
            </w:pPr>
            <w:r>
              <w:rPr>
                <w:color w:val="auto"/>
                <w:sz w:val="21"/>
                <w:szCs w:val="21"/>
              </w:rPr>
              <w:t>200</w:t>
            </w:r>
          </w:p>
        </w:tc>
        <w:tc>
          <w:tcPr>
            <w:tcW w:w="907" w:type="dxa"/>
            <w:noWrap w:val="0"/>
            <w:vAlign w:val="center"/>
          </w:tcPr>
          <w:p w14:paraId="08C0D790">
            <w:pPr>
              <w:spacing w:line="320" w:lineRule="exact"/>
              <w:jc w:val="center"/>
              <w:rPr>
                <w:color w:val="auto"/>
                <w:sz w:val="21"/>
                <w:szCs w:val="21"/>
              </w:rPr>
            </w:pPr>
            <w:r>
              <w:rPr>
                <w:color w:val="auto"/>
                <w:sz w:val="21"/>
                <w:szCs w:val="21"/>
              </w:rPr>
              <w:t>1000</w:t>
            </w:r>
          </w:p>
        </w:tc>
      </w:tr>
      <w:tr w14:paraId="2F951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5DA7CDE9">
            <w:pPr>
              <w:spacing w:line="320" w:lineRule="exact"/>
              <w:jc w:val="center"/>
              <w:rPr>
                <w:color w:val="auto"/>
                <w:sz w:val="21"/>
                <w:szCs w:val="21"/>
              </w:rPr>
            </w:pPr>
            <w:r>
              <w:rPr>
                <w:color w:val="auto"/>
                <w:sz w:val="21"/>
                <w:szCs w:val="21"/>
              </w:rPr>
              <w:t>28</w:t>
            </w:r>
          </w:p>
        </w:tc>
        <w:tc>
          <w:tcPr>
            <w:tcW w:w="2117" w:type="dxa"/>
            <w:noWrap w:val="0"/>
            <w:vAlign w:val="center"/>
          </w:tcPr>
          <w:p w14:paraId="496CE64A">
            <w:pPr>
              <w:widowControl/>
              <w:tabs>
                <w:tab w:val="left" w:pos="480"/>
              </w:tabs>
              <w:spacing w:line="320" w:lineRule="exact"/>
              <w:jc w:val="center"/>
              <w:rPr>
                <w:color w:val="auto"/>
                <w:sz w:val="21"/>
                <w:szCs w:val="21"/>
              </w:rPr>
            </w:pPr>
            <w:r>
              <w:rPr>
                <w:color w:val="auto"/>
                <w:sz w:val="21"/>
                <w:szCs w:val="21"/>
              </w:rPr>
              <w:t>1，2-二氯苯</w:t>
            </w:r>
          </w:p>
        </w:tc>
        <w:tc>
          <w:tcPr>
            <w:tcW w:w="1279" w:type="dxa"/>
            <w:noWrap w:val="0"/>
            <w:vAlign w:val="center"/>
          </w:tcPr>
          <w:p w14:paraId="33D0F9EC">
            <w:pPr>
              <w:spacing w:line="320" w:lineRule="exact"/>
              <w:jc w:val="center"/>
              <w:rPr>
                <w:color w:val="auto"/>
                <w:sz w:val="21"/>
                <w:szCs w:val="21"/>
              </w:rPr>
            </w:pPr>
            <w:r>
              <w:rPr>
                <w:color w:val="auto"/>
                <w:sz w:val="21"/>
                <w:szCs w:val="21"/>
              </w:rPr>
              <w:t>95-50-1</w:t>
            </w:r>
          </w:p>
        </w:tc>
        <w:tc>
          <w:tcPr>
            <w:tcW w:w="1136" w:type="dxa"/>
            <w:noWrap w:val="0"/>
            <w:vAlign w:val="center"/>
          </w:tcPr>
          <w:p w14:paraId="731BB00B">
            <w:pPr>
              <w:spacing w:line="320" w:lineRule="exact"/>
              <w:jc w:val="center"/>
              <w:rPr>
                <w:color w:val="auto"/>
                <w:sz w:val="21"/>
                <w:szCs w:val="21"/>
              </w:rPr>
            </w:pPr>
            <w:r>
              <w:rPr>
                <w:color w:val="auto"/>
                <w:sz w:val="21"/>
                <w:szCs w:val="21"/>
              </w:rPr>
              <w:t>560</w:t>
            </w:r>
          </w:p>
        </w:tc>
        <w:tc>
          <w:tcPr>
            <w:tcW w:w="1138" w:type="dxa"/>
            <w:noWrap w:val="0"/>
            <w:vAlign w:val="center"/>
          </w:tcPr>
          <w:p w14:paraId="5E79C5F1">
            <w:pPr>
              <w:spacing w:line="320" w:lineRule="exact"/>
              <w:jc w:val="center"/>
              <w:rPr>
                <w:color w:val="auto"/>
                <w:sz w:val="21"/>
                <w:szCs w:val="21"/>
              </w:rPr>
            </w:pPr>
            <w:r>
              <w:rPr>
                <w:color w:val="auto"/>
                <w:sz w:val="21"/>
                <w:szCs w:val="21"/>
              </w:rPr>
              <w:t>560</w:t>
            </w:r>
          </w:p>
        </w:tc>
        <w:tc>
          <w:tcPr>
            <w:tcW w:w="1134" w:type="dxa"/>
            <w:noWrap w:val="0"/>
            <w:vAlign w:val="center"/>
          </w:tcPr>
          <w:p w14:paraId="44F7FC42">
            <w:pPr>
              <w:spacing w:line="320" w:lineRule="exact"/>
              <w:jc w:val="center"/>
              <w:rPr>
                <w:color w:val="auto"/>
                <w:sz w:val="21"/>
                <w:szCs w:val="21"/>
              </w:rPr>
            </w:pPr>
            <w:r>
              <w:rPr>
                <w:color w:val="auto"/>
                <w:sz w:val="21"/>
                <w:szCs w:val="21"/>
              </w:rPr>
              <w:t>560</w:t>
            </w:r>
          </w:p>
        </w:tc>
        <w:tc>
          <w:tcPr>
            <w:tcW w:w="907" w:type="dxa"/>
            <w:noWrap w:val="0"/>
            <w:vAlign w:val="center"/>
          </w:tcPr>
          <w:p w14:paraId="06413569">
            <w:pPr>
              <w:spacing w:line="320" w:lineRule="exact"/>
              <w:jc w:val="center"/>
              <w:rPr>
                <w:color w:val="auto"/>
                <w:sz w:val="21"/>
                <w:szCs w:val="21"/>
              </w:rPr>
            </w:pPr>
            <w:r>
              <w:rPr>
                <w:color w:val="auto"/>
                <w:sz w:val="21"/>
                <w:szCs w:val="21"/>
              </w:rPr>
              <w:t>560</w:t>
            </w:r>
          </w:p>
        </w:tc>
      </w:tr>
      <w:tr w14:paraId="57B3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B3F4A24">
            <w:pPr>
              <w:spacing w:line="320" w:lineRule="exact"/>
              <w:jc w:val="center"/>
              <w:rPr>
                <w:color w:val="auto"/>
                <w:sz w:val="21"/>
                <w:szCs w:val="21"/>
              </w:rPr>
            </w:pPr>
            <w:r>
              <w:rPr>
                <w:color w:val="auto"/>
                <w:sz w:val="21"/>
                <w:szCs w:val="21"/>
              </w:rPr>
              <w:t>29</w:t>
            </w:r>
          </w:p>
        </w:tc>
        <w:tc>
          <w:tcPr>
            <w:tcW w:w="2117" w:type="dxa"/>
            <w:noWrap w:val="0"/>
            <w:vAlign w:val="center"/>
          </w:tcPr>
          <w:p w14:paraId="038F99AA">
            <w:pPr>
              <w:widowControl/>
              <w:tabs>
                <w:tab w:val="left" w:pos="480"/>
              </w:tabs>
              <w:spacing w:line="320" w:lineRule="exact"/>
              <w:jc w:val="center"/>
              <w:rPr>
                <w:color w:val="auto"/>
                <w:sz w:val="21"/>
                <w:szCs w:val="21"/>
              </w:rPr>
            </w:pPr>
            <w:r>
              <w:rPr>
                <w:color w:val="auto"/>
                <w:sz w:val="21"/>
                <w:szCs w:val="21"/>
              </w:rPr>
              <w:t>1，4-二氯苯</w:t>
            </w:r>
          </w:p>
        </w:tc>
        <w:tc>
          <w:tcPr>
            <w:tcW w:w="1279" w:type="dxa"/>
            <w:noWrap w:val="0"/>
            <w:vAlign w:val="center"/>
          </w:tcPr>
          <w:p w14:paraId="61AAC397">
            <w:pPr>
              <w:spacing w:line="320" w:lineRule="exact"/>
              <w:jc w:val="center"/>
              <w:rPr>
                <w:color w:val="auto"/>
                <w:sz w:val="21"/>
                <w:szCs w:val="21"/>
              </w:rPr>
            </w:pPr>
            <w:r>
              <w:rPr>
                <w:color w:val="auto"/>
                <w:sz w:val="21"/>
                <w:szCs w:val="21"/>
              </w:rPr>
              <w:t>106-46-7</w:t>
            </w:r>
          </w:p>
        </w:tc>
        <w:tc>
          <w:tcPr>
            <w:tcW w:w="1136" w:type="dxa"/>
            <w:noWrap w:val="0"/>
            <w:vAlign w:val="center"/>
          </w:tcPr>
          <w:p w14:paraId="5ECAF32B">
            <w:pPr>
              <w:spacing w:line="320" w:lineRule="exact"/>
              <w:jc w:val="center"/>
              <w:rPr>
                <w:color w:val="auto"/>
                <w:sz w:val="21"/>
                <w:szCs w:val="21"/>
              </w:rPr>
            </w:pPr>
            <w:r>
              <w:rPr>
                <w:color w:val="auto"/>
                <w:sz w:val="21"/>
                <w:szCs w:val="21"/>
              </w:rPr>
              <w:t>5.6</w:t>
            </w:r>
          </w:p>
        </w:tc>
        <w:tc>
          <w:tcPr>
            <w:tcW w:w="1138" w:type="dxa"/>
            <w:noWrap w:val="0"/>
            <w:vAlign w:val="center"/>
          </w:tcPr>
          <w:p w14:paraId="3122FB9D">
            <w:pPr>
              <w:spacing w:line="320" w:lineRule="exact"/>
              <w:jc w:val="center"/>
              <w:rPr>
                <w:color w:val="auto"/>
                <w:sz w:val="21"/>
                <w:szCs w:val="21"/>
              </w:rPr>
            </w:pPr>
            <w:r>
              <w:rPr>
                <w:color w:val="auto"/>
                <w:sz w:val="21"/>
                <w:szCs w:val="21"/>
              </w:rPr>
              <w:t>20</w:t>
            </w:r>
          </w:p>
        </w:tc>
        <w:tc>
          <w:tcPr>
            <w:tcW w:w="1134" w:type="dxa"/>
            <w:noWrap w:val="0"/>
            <w:vAlign w:val="center"/>
          </w:tcPr>
          <w:p w14:paraId="490F1D0D">
            <w:pPr>
              <w:spacing w:line="320" w:lineRule="exact"/>
              <w:jc w:val="center"/>
              <w:rPr>
                <w:color w:val="auto"/>
                <w:sz w:val="21"/>
                <w:szCs w:val="21"/>
              </w:rPr>
            </w:pPr>
            <w:r>
              <w:rPr>
                <w:color w:val="auto"/>
                <w:sz w:val="21"/>
                <w:szCs w:val="21"/>
              </w:rPr>
              <w:t>56</w:t>
            </w:r>
          </w:p>
        </w:tc>
        <w:tc>
          <w:tcPr>
            <w:tcW w:w="907" w:type="dxa"/>
            <w:noWrap w:val="0"/>
            <w:vAlign w:val="center"/>
          </w:tcPr>
          <w:p w14:paraId="78555055">
            <w:pPr>
              <w:spacing w:line="320" w:lineRule="exact"/>
              <w:jc w:val="center"/>
              <w:rPr>
                <w:color w:val="auto"/>
                <w:sz w:val="21"/>
                <w:szCs w:val="21"/>
              </w:rPr>
            </w:pPr>
            <w:r>
              <w:rPr>
                <w:color w:val="auto"/>
                <w:sz w:val="21"/>
                <w:szCs w:val="21"/>
              </w:rPr>
              <w:t>200</w:t>
            </w:r>
          </w:p>
        </w:tc>
      </w:tr>
      <w:tr w14:paraId="1B1E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0F1D9D3C">
            <w:pPr>
              <w:spacing w:line="320" w:lineRule="exact"/>
              <w:jc w:val="center"/>
              <w:rPr>
                <w:color w:val="auto"/>
                <w:sz w:val="21"/>
                <w:szCs w:val="21"/>
              </w:rPr>
            </w:pPr>
            <w:r>
              <w:rPr>
                <w:color w:val="auto"/>
                <w:sz w:val="21"/>
                <w:szCs w:val="21"/>
              </w:rPr>
              <w:t>30</w:t>
            </w:r>
          </w:p>
        </w:tc>
        <w:tc>
          <w:tcPr>
            <w:tcW w:w="2117" w:type="dxa"/>
            <w:noWrap w:val="0"/>
            <w:vAlign w:val="center"/>
          </w:tcPr>
          <w:p w14:paraId="7B0FA1DE">
            <w:pPr>
              <w:widowControl/>
              <w:tabs>
                <w:tab w:val="left" w:pos="480"/>
              </w:tabs>
              <w:spacing w:line="320" w:lineRule="exact"/>
              <w:jc w:val="center"/>
              <w:rPr>
                <w:color w:val="auto"/>
                <w:sz w:val="21"/>
                <w:szCs w:val="21"/>
              </w:rPr>
            </w:pPr>
            <w:r>
              <w:rPr>
                <w:color w:val="auto"/>
                <w:sz w:val="21"/>
                <w:szCs w:val="21"/>
              </w:rPr>
              <w:t>乙苯</w:t>
            </w:r>
          </w:p>
        </w:tc>
        <w:tc>
          <w:tcPr>
            <w:tcW w:w="1279" w:type="dxa"/>
            <w:noWrap w:val="0"/>
            <w:vAlign w:val="center"/>
          </w:tcPr>
          <w:p w14:paraId="5BF1897D">
            <w:pPr>
              <w:spacing w:line="320" w:lineRule="exact"/>
              <w:jc w:val="center"/>
              <w:rPr>
                <w:color w:val="auto"/>
                <w:sz w:val="21"/>
                <w:szCs w:val="21"/>
              </w:rPr>
            </w:pPr>
            <w:r>
              <w:rPr>
                <w:color w:val="auto"/>
                <w:sz w:val="21"/>
                <w:szCs w:val="21"/>
              </w:rPr>
              <w:t>100-41-4</w:t>
            </w:r>
          </w:p>
        </w:tc>
        <w:tc>
          <w:tcPr>
            <w:tcW w:w="1136" w:type="dxa"/>
            <w:noWrap w:val="0"/>
            <w:vAlign w:val="center"/>
          </w:tcPr>
          <w:p w14:paraId="397EFA6A">
            <w:pPr>
              <w:spacing w:line="320" w:lineRule="exact"/>
              <w:jc w:val="center"/>
              <w:rPr>
                <w:color w:val="auto"/>
                <w:sz w:val="21"/>
                <w:szCs w:val="21"/>
              </w:rPr>
            </w:pPr>
            <w:r>
              <w:rPr>
                <w:color w:val="auto"/>
                <w:sz w:val="21"/>
                <w:szCs w:val="21"/>
              </w:rPr>
              <w:t>7.2</w:t>
            </w:r>
          </w:p>
        </w:tc>
        <w:tc>
          <w:tcPr>
            <w:tcW w:w="1138" w:type="dxa"/>
            <w:noWrap w:val="0"/>
            <w:vAlign w:val="center"/>
          </w:tcPr>
          <w:p w14:paraId="0239DE95">
            <w:pPr>
              <w:spacing w:line="320" w:lineRule="exact"/>
              <w:jc w:val="center"/>
              <w:rPr>
                <w:color w:val="auto"/>
                <w:sz w:val="21"/>
                <w:szCs w:val="21"/>
              </w:rPr>
            </w:pPr>
            <w:r>
              <w:rPr>
                <w:color w:val="auto"/>
                <w:sz w:val="21"/>
                <w:szCs w:val="21"/>
              </w:rPr>
              <w:t>28</w:t>
            </w:r>
          </w:p>
        </w:tc>
        <w:tc>
          <w:tcPr>
            <w:tcW w:w="1134" w:type="dxa"/>
            <w:noWrap w:val="0"/>
            <w:vAlign w:val="center"/>
          </w:tcPr>
          <w:p w14:paraId="4A5F2736">
            <w:pPr>
              <w:spacing w:line="320" w:lineRule="exact"/>
              <w:jc w:val="center"/>
              <w:rPr>
                <w:color w:val="auto"/>
                <w:sz w:val="21"/>
                <w:szCs w:val="21"/>
              </w:rPr>
            </w:pPr>
            <w:r>
              <w:rPr>
                <w:color w:val="auto"/>
                <w:sz w:val="21"/>
                <w:szCs w:val="21"/>
              </w:rPr>
              <w:t>72</w:t>
            </w:r>
          </w:p>
        </w:tc>
        <w:tc>
          <w:tcPr>
            <w:tcW w:w="907" w:type="dxa"/>
            <w:noWrap w:val="0"/>
            <w:vAlign w:val="center"/>
          </w:tcPr>
          <w:p w14:paraId="450252FB">
            <w:pPr>
              <w:spacing w:line="320" w:lineRule="exact"/>
              <w:jc w:val="center"/>
              <w:rPr>
                <w:color w:val="auto"/>
                <w:sz w:val="21"/>
                <w:szCs w:val="21"/>
              </w:rPr>
            </w:pPr>
            <w:r>
              <w:rPr>
                <w:color w:val="auto"/>
                <w:sz w:val="21"/>
                <w:szCs w:val="21"/>
              </w:rPr>
              <w:t>280</w:t>
            </w:r>
          </w:p>
        </w:tc>
      </w:tr>
      <w:tr w14:paraId="5E11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1241DB2B">
            <w:pPr>
              <w:spacing w:line="320" w:lineRule="exact"/>
              <w:jc w:val="center"/>
              <w:rPr>
                <w:color w:val="auto"/>
                <w:sz w:val="21"/>
                <w:szCs w:val="21"/>
              </w:rPr>
            </w:pPr>
            <w:r>
              <w:rPr>
                <w:color w:val="auto"/>
                <w:sz w:val="21"/>
                <w:szCs w:val="21"/>
              </w:rPr>
              <w:t>31</w:t>
            </w:r>
          </w:p>
        </w:tc>
        <w:tc>
          <w:tcPr>
            <w:tcW w:w="2117" w:type="dxa"/>
            <w:noWrap w:val="0"/>
            <w:vAlign w:val="center"/>
          </w:tcPr>
          <w:p w14:paraId="27DDC88E">
            <w:pPr>
              <w:widowControl/>
              <w:tabs>
                <w:tab w:val="left" w:pos="480"/>
              </w:tabs>
              <w:spacing w:line="320" w:lineRule="exact"/>
              <w:jc w:val="center"/>
              <w:rPr>
                <w:color w:val="auto"/>
                <w:sz w:val="21"/>
                <w:szCs w:val="21"/>
              </w:rPr>
            </w:pPr>
            <w:r>
              <w:rPr>
                <w:color w:val="auto"/>
                <w:sz w:val="21"/>
                <w:szCs w:val="21"/>
              </w:rPr>
              <w:t>苯乙烯</w:t>
            </w:r>
          </w:p>
        </w:tc>
        <w:tc>
          <w:tcPr>
            <w:tcW w:w="1279" w:type="dxa"/>
            <w:noWrap w:val="0"/>
            <w:vAlign w:val="center"/>
          </w:tcPr>
          <w:p w14:paraId="6DCA23C6">
            <w:pPr>
              <w:spacing w:line="320" w:lineRule="exact"/>
              <w:jc w:val="center"/>
              <w:rPr>
                <w:color w:val="auto"/>
                <w:sz w:val="21"/>
                <w:szCs w:val="21"/>
              </w:rPr>
            </w:pPr>
            <w:r>
              <w:rPr>
                <w:color w:val="auto"/>
                <w:sz w:val="21"/>
                <w:szCs w:val="21"/>
              </w:rPr>
              <w:t>100-42-5</w:t>
            </w:r>
          </w:p>
        </w:tc>
        <w:tc>
          <w:tcPr>
            <w:tcW w:w="1136" w:type="dxa"/>
            <w:noWrap w:val="0"/>
            <w:vAlign w:val="center"/>
          </w:tcPr>
          <w:p w14:paraId="7C640078">
            <w:pPr>
              <w:spacing w:line="320" w:lineRule="exact"/>
              <w:jc w:val="center"/>
              <w:rPr>
                <w:color w:val="auto"/>
                <w:sz w:val="21"/>
                <w:szCs w:val="21"/>
              </w:rPr>
            </w:pPr>
            <w:r>
              <w:rPr>
                <w:color w:val="auto"/>
                <w:sz w:val="21"/>
                <w:szCs w:val="21"/>
              </w:rPr>
              <w:t>1290</w:t>
            </w:r>
          </w:p>
        </w:tc>
        <w:tc>
          <w:tcPr>
            <w:tcW w:w="1138" w:type="dxa"/>
            <w:noWrap w:val="0"/>
            <w:vAlign w:val="center"/>
          </w:tcPr>
          <w:p w14:paraId="7835DF95">
            <w:pPr>
              <w:spacing w:line="320" w:lineRule="exact"/>
              <w:jc w:val="center"/>
              <w:rPr>
                <w:color w:val="auto"/>
                <w:sz w:val="21"/>
                <w:szCs w:val="21"/>
              </w:rPr>
            </w:pPr>
            <w:r>
              <w:rPr>
                <w:color w:val="auto"/>
                <w:sz w:val="21"/>
                <w:szCs w:val="21"/>
              </w:rPr>
              <w:t>1290</w:t>
            </w:r>
          </w:p>
        </w:tc>
        <w:tc>
          <w:tcPr>
            <w:tcW w:w="1134" w:type="dxa"/>
            <w:noWrap w:val="0"/>
            <w:vAlign w:val="center"/>
          </w:tcPr>
          <w:p w14:paraId="37FAB51E">
            <w:pPr>
              <w:spacing w:line="320" w:lineRule="exact"/>
              <w:jc w:val="center"/>
              <w:rPr>
                <w:color w:val="auto"/>
                <w:sz w:val="21"/>
                <w:szCs w:val="21"/>
              </w:rPr>
            </w:pPr>
            <w:r>
              <w:rPr>
                <w:color w:val="auto"/>
                <w:sz w:val="21"/>
                <w:szCs w:val="21"/>
              </w:rPr>
              <w:t>1290</w:t>
            </w:r>
          </w:p>
        </w:tc>
        <w:tc>
          <w:tcPr>
            <w:tcW w:w="907" w:type="dxa"/>
            <w:noWrap w:val="0"/>
            <w:vAlign w:val="center"/>
          </w:tcPr>
          <w:p w14:paraId="262B1247">
            <w:pPr>
              <w:spacing w:line="320" w:lineRule="exact"/>
              <w:jc w:val="center"/>
              <w:rPr>
                <w:color w:val="auto"/>
                <w:sz w:val="21"/>
                <w:szCs w:val="21"/>
              </w:rPr>
            </w:pPr>
            <w:r>
              <w:rPr>
                <w:color w:val="auto"/>
                <w:sz w:val="21"/>
                <w:szCs w:val="21"/>
              </w:rPr>
              <w:t>1290</w:t>
            </w:r>
          </w:p>
        </w:tc>
      </w:tr>
      <w:tr w14:paraId="48AF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4B458F9">
            <w:pPr>
              <w:spacing w:line="320" w:lineRule="exact"/>
              <w:jc w:val="center"/>
              <w:rPr>
                <w:color w:val="auto"/>
                <w:sz w:val="21"/>
                <w:szCs w:val="21"/>
              </w:rPr>
            </w:pPr>
            <w:r>
              <w:rPr>
                <w:color w:val="auto"/>
                <w:sz w:val="21"/>
                <w:szCs w:val="21"/>
              </w:rPr>
              <w:t>32</w:t>
            </w:r>
          </w:p>
        </w:tc>
        <w:tc>
          <w:tcPr>
            <w:tcW w:w="2117" w:type="dxa"/>
            <w:noWrap w:val="0"/>
            <w:vAlign w:val="center"/>
          </w:tcPr>
          <w:p w14:paraId="0BF9938B">
            <w:pPr>
              <w:widowControl/>
              <w:tabs>
                <w:tab w:val="left" w:pos="480"/>
              </w:tabs>
              <w:spacing w:line="320" w:lineRule="exact"/>
              <w:jc w:val="center"/>
              <w:rPr>
                <w:color w:val="auto"/>
                <w:sz w:val="21"/>
                <w:szCs w:val="21"/>
              </w:rPr>
            </w:pPr>
            <w:r>
              <w:rPr>
                <w:color w:val="auto"/>
                <w:sz w:val="21"/>
                <w:szCs w:val="21"/>
              </w:rPr>
              <w:t>甲苯</w:t>
            </w:r>
          </w:p>
        </w:tc>
        <w:tc>
          <w:tcPr>
            <w:tcW w:w="1279" w:type="dxa"/>
            <w:noWrap w:val="0"/>
            <w:vAlign w:val="center"/>
          </w:tcPr>
          <w:p w14:paraId="2E280B44">
            <w:pPr>
              <w:spacing w:line="320" w:lineRule="exact"/>
              <w:jc w:val="center"/>
              <w:rPr>
                <w:color w:val="auto"/>
                <w:sz w:val="21"/>
                <w:szCs w:val="21"/>
              </w:rPr>
            </w:pPr>
            <w:r>
              <w:rPr>
                <w:color w:val="auto"/>
                <w:sz w:val="21"/>
                <w:szCs w:val="21"/>
              </w:rPr>
              <w:t>108-88-3</w:t>
            </w:r>
          </w:p>
        </w:tc>
        <w:tc>
          <w:tcPr>
            <w:tcW w:w="1136" w:type="dxa"/>
            <w:noWrap w:val="0"/>
            <w:vAlign w:val="center"/>
          </w:tcPr>
          <w:p w14:paraId="6B1DE340">
            <w:pPr>
              <w:spacing w:line="320" w:lineRule="exact"/>
              <w:jc w:val="center"/>
              <w:rPr>
                <w:color w:val="auto"/>
                <w:sz w:val="21"/>
                <w:szCs w:val="21"/>
              </w:rPr>
            </w:pPr>
            <w:r>
              <w:rPr>
                <w:color w:val="auto"/>
                <w:sz w:val="21"/>
                <w:szCs w:val="21"/>
              </w:rPr>
              <w:t>1200</w:t>
            </w:r>
          </w:p>
        </w:tc>
        <w:tc>
          <w:tcPr>
            <w:tcW w:w="1138" w:type="dxa"/>
            <w:noWrap w:val="0"/>
            <w:vAlign w:val="center"/>
          </w:tcPr>
          <w:p w14:paraId="3D451EF3">
            <w:pPr>
              <w:spacing w:line="320" w:lineRule="exact"/>
              <w:jc w:val="center"/>
              <w:rPr>
                <w:color w:val="auto"/>
                <w:sz w:val="21"/>
                <w:szCs w:val="21"/>
              </w:rPr>
            </w:pPr>
            <w:r>
              <w:rPr>
                <w:color w:val="auto"/>
                <w:sz w:val="21"/>
                <w:szCs w:val="21"/>
              </w:rPr>
              <w:t>1200</w:t>
            </w:r>
          </w:p>
        </w:tc>
        <w:tc>
          <w:tcPr>
            <w:tcW w:w="1134" w:type="dxa"/>
            <w:noWrap w:val="0"/>
            <w:vAlign w:val="center"/>
          </w:tcPr>
          <w:p w14:paraId="517A0DB8">
            <w:pPr>
              <w:spacing w:line="320" w:lineRule="exact"/>
              <w:jc w:val="center"/>
              <w:rPr>
                <w:color w:val="auto"/>
                <w:sz w:val="21"/>
                <w:szCs w:val="21"/>
              </w:rPr>
            </w:pPr>
            <w:r>
              <w:rPr>
                <w:color w:val="auto"/>
                <w:sz w:val="21"/>
                <w:szCs w:val="21"/>
              </w:rPr>
              <w:t>1200</w:t>
            </w:r>
          </w:p>
        </w:tc>
        <w:tc>
          <w:tcPr>
            <w:tcW w:w="907" w:type="dxa"/>
            <w:noWrap w:val="0"/>
            <w:vAlign w:val="center"/>
          </w:tcPr>
          <w:p w14:paraId="0E4F74C3">
            <w:pPr>
              <w:spacing w:line="320" w:lineRule="exact"/>
              <w:jc w:val="center"/>
              <w:rPr>
                <w:color w:val="auto"/>
                <w:sz w:val="21"/>
                <w:szCs w:val="21"/>
              </w:rPr>
            </w:pPr>
            <w:r>
              <w:rPr>
                <w:color w:val="auto"/>
                <w:sz w:val="21"/>
                <w:szCs w:val="21"/>
              </w:rPr>
              <w:t>1200</w:t>
            </w:r>
          </w:p>
        </w:tc>
      </w:tr>
      <w:tr w14:paraId="62096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2009684F">
            <w:pPr>
              <w:spacing w:line="320" w:lineRule="exact"/>
              <w:jc w:val="center"/>
              <w:rPr>
                <w:color w:val="auto"/>
                <w:sz w:val="21"/>
                <w:szCs w:val="21"/>
              </w:rPr>
            </w:pPr>
            <w:r>
              <w:rPr>
                <w:color w:val="auto"/>
                <w:sz w:val="21"/>
                <w:szCs w:val="21"/>
              </w:rPr>
              <w:t>33</w:t>
            </w:r>
          </w:p>
        </w:tc>
        <w:tc>
          <w:tcPr>
            <w:tcW w:w="2117" w:type="dxa"/>
            <w:noWrap w:val="0"/>
            <w:vAlign w:val="center"/>
          </w:tcPr>
          <w:p w14:paraId="77F24E6D">
            <w:pPr>
              <w:widowControl/>
              <w:tabs>
                <w:tab w:val="left" w:pos="480"/>
              </w:tabs>
              <w:spacing w:line="320" w:lineRule="exact"/>
              <w:jc w:val="center"/>
              <w:rPr>
                <w:color w:val="auto"/>
                <w:sz w:val="21"/>
                <w:szCs w:val="21"/>
              </w:rPr>
            </w:pPr>
            <w:r>
              <w:rPr>
                <w:color w:val="auto"/>
                <w:sz w:val="21"/>
                <w:szCs w:val="21"/>
              </w:rPr>
              <w:t>间二甲苯+对二甲苯</w:t>
            </w:r>
          </w:p>
        </w:tc>
        <w:tc>
          <w:tcPr>
            <w:tcW w:w="1279" w:type="dxa"/>
            <w:noWrap w:val="0"/>
            <w:vAlign w:val="center"/>
          </w:tcPr>
          <w:p w14:paraId="538264C7">
            <w:pPr>
              <w:spacing w:line="320" w:lineRule="exact"/>
              <w:jc w:val="center"/>
              <w:rPr>
                <w:color w:val="auto"/>
                <w:sz w:val="21"/>
                <w:szCs w:val="21"/>
              </w:rPr>
            </w:pPr>
            <w:r>
              <w:rPr>
                <w:color w:val="auto"/>
                <w:sz w:val="21"/>
                <w:szCs w:val="21"/>
              </w:rPr>
              <w:t>108-38-3</w:t>
            </w:r>
          </w:p>
          <w:p w14:paraId="09610877">
            <w:pPr>
              <w:spacing w:line="320" w:lineRule="exact"/>
              <w:jc w:val="center"/>
              <w:rPr>
                <w:color w:val="auto"/>
                <w:sz w:val="21"/>
                <w:szCs w:val="21"/>
              </w:rPr>
            </w:pPr>
            <w:r>
              <w:rPr>
                <w:color w:val="auto"/>
                <w:sz w:val="21"/>
                <w:szCs w:val="21"/>
              </w:rPr>
              <w:t>106-42-3</w:t>
            </w:r>
          </w:p>
        </w:tc>
        <w:tc>
          <w:tcPr>
            <w:tcW w:w="1136" w:type="dxa"/>
            <w:noWrap w:val="0"/>
            <w:vAlign w:val="center"/>
          </w:tcPr>
          <w:p w14:paraId="516F4139">
            <w:pPr>
              <w:spacing w:line="320" w:lineRule="exact"/>
              <w:jc w:val="center"/>
              <w:rPr>
                <w:color w:val="auto"/>
                <w:sz w:val="21"/>
                <w:szCs w:val="21"/>
              </w:rPr>
            </w:pPr>
            <w:r>
              <w:rPr>
                <w:color w:val="auto"/>
                <w:sz w:val="21"/>
                <w:szCs w:val="21"/>
              </w:rPr>
              <w:t>163</w:t>
            </w:r>
          </w:p>
        </w:tc>
        <w:tc>
          <w:tcPr>
            <w:tcW w:w="1138" w:type="dxa"/>
            <w:noWrap w:val="0"/>
            <w:vAlign w:val="center"/>
          </w:tcPr>
          <w:p w14:paraId="797A9627">
            <w:pPr>
              <w:spacing w:line="320" w:lineRule="exact"/>
              <w:jc w:val="center"/>
              <w:rPr>
                <w:color w:val="auto"/>
                <w:sz w:val="21"/>
                <w:szCs w:val="21"/>
              </w:rPr>
            </w:pPr>
            <w:r>
              <w:rPr>
                <w:color w:val="auto"/>
                <w:sz w:val="21"/>
                <w:szCs w:val="21"/>
              </w:rPr>
              <w:t>570</w:t>
            </w:r>
          </w:p>
        </w:tc>
        <w:tc>
          <w:tcPr>
            <w:tcW w:w="1134" w:type="dxa"/>
            <w:noWrap w:val="0"/>
            <w:vAlign w:val="center"/>
          </w:tcPr>
          <w:p w14:paraId="2363341C">
            <w:pPr>
              <w:spacing w:line="320" w:lineRule="exact"/>
              <w:jc w:val="center"/>
              <w:rPr>
                <w:color w:val="auto"/>
                <w:sz w:val="21"/>
                <w:szCs w:val="21"/>
              </w:rPr>
            </w:pPr>
            <w:r>
              <w:rPr>
                <w:color w:val="auto"/>
                <w:sz w:val="21"/>
                <w:szCs w:val="21"/>
              </w:rPr>
              <w:t>500</w:t>
            </w:r>
          </w:p>
        </w:tc>
        <w:tc>
          <w:tcPr>
            <w:tcW w:w="907" w:type="dxa"/>
            <w:noWrap w:val="0"/>
            <w:vAlign w:val="center"/>
          </w:tcPr>
          <w:p w14:paraId="230BEAE3">
            <w:pPr>
              <w:spacing w:line="320" w:lineRule="exact"/>
              <w:jc w:val="center"/>
              <w:rPr>
                <w:color w:val="auto"/>
                <w:sz w:val="21"/>
                <w:szCs w:val="21"/>
              </w:rPr>
            </w:pPr>
            <w:r>
              <w:rPr>
                <w:color w:val="auto"/>
                <w:sz w:val="21"/>
                <w:szCs w:val="21"/>
              </w:rPr>
              <w:t>570</w:t>
            </w:r>
          </w:p>
        </w:tc>
      </w:tr>
      <w:tr w14:paraId="04B3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2ACEF0B4">
            <w:pPr>
              <w:spacing w:line="320" w:lineRule="exact"/>
              <w:jc w:val="center"/>
              <w:rPr>
                <w:color w:val="auto"/>
                <w:sz w:val="21"/>
                <w:szCs w:val="21"/>
              </w:rPr>
            </w:pPr>
            <w:r>
              <w:rPr>
                <w:color w:val="auto"/>
                <w:sz w:val="21"/>
                <w:szCs w:val="21"/>
              </w:rPr>
              <w:t>34</w:t>
            </w:r>
          </w:p>
        </w:tc>
        <w:tc>
          <w:tcPr>
            <w:tcW w:w="2117" w:type="dxa"/>
            <w:noWrap w:val="0"/>
            <w:vAlign w:val="center"/>
          </w:tcPr>
          <w:p w14:paraId="34F087D0">
            <w:pPr>
              <w:widowControl/>
              <w:tabs>
                <w:tab w:val="left" w:pos="480"/>
              </w:tabs>
              <w:spacing w:line="320" w:lineRule="exact"/>
              <w:jc w:val="center"/>
              <w:rPr>
                <w:color w:val="auto"/>
                <w:sz w:val="21"/>
                <w:szCs w:val="21"/>
              </w:rPr>
            </w:pPr>
            <w:r>
              <w:rPr>
                <w:color w:val="auto"/>
                <w:sz w:val="21"/>
                <w:szCs w:val="21"/>
              </w:rPr>
              <w:t>邻二甲苯</w:t>
            </w:r>
          </w:p>
        </w:tc>
        <w:tc>
          <w:tcPr>
            <w:tcW w:w="1279" w:type="dxa"/>
            <w:noWrap w:val="0"/>
            <w:vAlign w:val="center"/>
          </w:tcPr>
          <w:p w14:paraId="23B08F56">
            <w:pPr>
              <w:spacing w:line="320" w:lineRule="exact"/>
              <w:jc w:val="center"/>
              <w:rPr>
                <w:color w:val="auto"/>
                <w:sz w:val="21"/>
                <w:szCs w:val="21"/>
              </w:rPr>
            </w:pPr>
            <w:r>
              <w:rPr>
                <w:color w:val="auto"/>
                <w:sz w:val="21"/>
                <w:szCs w:val="21"/>
              </w:rPr>
              <w:t>95-47-6</w:t>
            </w:r>
          </w:p>
        </w:tc>
        <w:tc>
          <w:tcPr>
            <w:tcW w:w="1136" w:type="dxa"/>
            <w:noWrap w:val="0"/>
            <w:vAlign w:val="center"/>
          </w:tcPr>
          <w:p w14:paraId="38ECE256">
            <w:pPr>
              <w:spacing w:line="320" w:lineRule="exact"/>
              <w:jc w:val="center"/>
              <w:rPr>
                <w:color w:val="auto"/>
                <w:sz w:val="21"/>
                <w:szCs w:val="21"/>
              </w:rPr>
            </w:pPr>
            <w:r>
              <w:rPr>
                <w:color w:val="auto"/>
                <w:sz w:val="21"/>
                <w:szCs w:val="21"/>
              </w:rPr>
              <w:t>222</w:t>
            </w:r>
          </w:p>
        </w:tc>
        <w:tc>
          <w:tcPr>
            <w:tcW w:w="1138" w:type="dxa"/>
            <w:noWrap w:val="0"/>
            <w:vAlign w:val="center"/>
          </w:tcPr>
          <w:p w14:paraId="33680DBE">
            <w:pPr>
              <w:spacing w:line="320" w:lineRule="exact"/>
              <w:jc w:val="center"/>
              <w:rPr>
                <w:color w:val="auto"/>
                <w:sz w:val="21"/>
                <w:szCs w:val="21"/>
              </w:rPr>
            </w:pPr>
            <w:r>
              <w:rPr>
                <w:color w:val="auto"/>
                <w:sz w:val="21"/>
                <w:szCs w:val="21"/>
              </w:rPr>
              <w:t>640</w:t>
            </w:r>
          </w:p>
        </w:tc>
        <w:tc>
          <w:tcPr>
            <w:tcW w:w="1134" w:type="dxa"/>
            <w:noWrap w:val="0"/>
            <w:vAlign w:val="center"/>
          </w:tcPr>
          <w:p w14:paraId="230872D6">
            <w:pPr>
              <w:spacing w:line="320" w:lineRule="exact"/>
              <w:jc w:val="center"/>
              <w:rPr>
                <w:color w:val="auto"/>
                <w:sz w:val="21"/>
                <w:szCs w:val="21"/>
              </w:rPr>
            </w:pPr>
            <w:r>
              <w:rPr>
                <w:color w:val="auto"/>
                <w:sz w:val="21"/>
                <w:szCs w:val="21"/>
              </w:rPr>
              <w:t>640</w:t>
            </w:r>
          </w:p>
        </w:tc>
        <w:tc>
          <w:tcPr>
            <w:tcW w:w="907" w:type="dxa"/>
            <w:noWrap w:val="0"/>
            <w:vAlign w:val="center"/>
          </w:tcPr>
          <w:p w14:paraId="58C25A77">
            <w:pPr>
              <w:spacing w:line="320" w:lineRule="exact"/>
              <w:jc w:val="center"/>
              <w:rPr>
                <w:color w:val="auto"/>
                <w:sz w:val="21"/>
                <w:szCs w:val="21"/>
              </w:rPr>
            </w:pPr>
            <w:r>
              <w:rPr>
                <w:color w:val="auto"/>
                <w:sz w:val="21"/>
                <w:szCs w:val="21"/>
              </w:rPr>
              <w:t>640</w:t>
            </w:r>
          </w:p>
        </w:tc>
      </w:tr>
      <w:tr w14:paraId="2BA1F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7"/>
            <w:noWrap w:val="0"/>
            <w:vAlign w:val="center"/>
          </w:tcPr>
          <w:p w14:paraId="425C94EA">
            <w:pPr>
              <w:spacing w:line="320" w:lineRule="exact"/>
              <w:jc w:val="left"/>
              <w:rPr>
                <w:color w:val="auto"/>
                <w:sz w:val="21"/>
                <w:szCs w:val="21"/>
              </w:rPr>
            </w:pPr>
            <w:r>
              <w:rPr>
                <w:color w:val="auto"/>
                <w:sz w:val="21"/>
                <w:szCs w:val="21"/>
              </w:rPr>
              <w:t>半挥发性有机物</w:t>
            </w:r>
          </w:p>
        </w:tc>
      </w:tr>
      <w:tr w14:paraId="0F25C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6FC3DE69">
            <w:pPr>
              <w:spacing w:line="320" w:lineRule="exact"/>
              <w:jc w:val="center"/>
              <w:rPr>
                <w:color w:val="auto"/>
                <w:sz w:val="21"/>
                <w:szCs w:val="21"/>
              </w:rPr>
            </w:pPr>
            <w:r>
              <w:rPr>
                <w:color w:val="auto"/>
                <w:sz w:val="21"/>
                <w:szCs w:val="21"/>
              </w:rPr>
              <w:t>35</w:t>
            </w:r>
          </w:p>
        </w:tc>
        <w:tc>
          <w:tcPr>
            <w:tcW w:w="2117" w:type="dxa"/>
            <w:noWrap w:val="0"/>
            <w:vAlign w:val="center"/>
          </w:tcPr>
          <w:p w14:paraId="31768DDC">
            <w:pPr>
              <w:widowControl/>
              <w:tabs>
                <w:tab w:val="left" w:pos="480"/>
              </w:tabs>
              <w:spacing w:line="320" w:lineRule="exact"/>
              <w:jc w:val="center"/>
              <w:rPr>
                <w:color w:val="auto"/>
                <w:sz w:val="21"/>
                <w:szCs w:val="21"/>
              </w:rPr>
            </w:pPr>
            <w:r>
              <w:rPr>
                <w:color w:val="auto"/>
                <w:sz w:val="21"/>
                <w:szCs w:val="21"/>
              </w:rPr>
              <w:t>硝基苯</w:t>
            </w:r>
          </w:p>
        </w:tc>
        <w:tc>
          <w:tcPr>
            <w:tcW w:w="1279" w:type="dxa"/>
            <w:noWrap w:val="0"/>
            <w:vAlign w:val="center"/>
          </w:tcPr>
          <w:p w14:paraId="4D4674F0">
            <w:pPr>
              <w:spacing w:line="320" w:lineRule="exact"/>
              <w:jc w:val="center"/>
              <w:rPr>
                <w:color w:val="auto"/>
                <w:sz w:val="21"/>
                <w:szCs w:val="21"/>
              </w:rPr>
            </w:pPr>
            <w:r>
              <w:rPr>
                <w:color w:val="auto"/>
                <w:sz w:val="21"/>
                <w:szCs w:val="21"/>
              </w:rPr>
              <w:t>98-95-3</w:t>
            </w:r>
          </w:p>
        </w:tc>
        <w:tc>
          <w:tcPr>
            <w:tcW w:w="1136" w:type="dxa"/>
            <w:noWrap w:val="0"/>
            <w:vAlign w:val="center"/>
          </w:tcPr>
          <w:p w14:paraId="1C1B23B7">
            <w:pPr>
              <w:spacing w:line="320" w:lineRule="exact"/>
              <w:jc w:val="center"/>
              <w:rPr>
                <w:color w:val="auto"/>
                <w:sz w:val="21"/>
                <w:szCs w:val="21"/>
              </w:rPr>
            </w:pPr>
            <w:r>
              <w:rPr>
                <w:color w:val="auto"/>
                <w:sz w:val="21"/>
                <w:szCs w:val="21"/>
              </w:rPr>
              <w:t>34</w:t>
            </w:r>
          </w:p>
        </w:tc>
        <w:tc>
          <w:tcPr>
            <w:tcW w:w="1138" w:type="dxa"/>
            <w:noWrap w:val="0"/>
            <w:vAlign w:val="center"/>
          </w:tcPr>
          <w:p w14:paraId="455DDB3F">
            <w:pPr>
              <w:spacing w:line="320" w:lineRule="exact"/>
              <w:jc w:val="center"/>
              <w:rPr>
                <w:color w:val="auto"/>
                <w:sz w:val="21"/>
                <w:szCs w:val="21"/>
              </w:rPr>
            </w:pPr>
            <w:r>
              <w:rPr>
                <w:color w:val="auto"/>
                <w:sz w:val="21"/>
                <w:szCs w:val="21"/>
              </w:rPr>
              <w:t>76</w:t>
            </w:r>
          </w:p>
        </w:tc>
        <w:tc>
          <w:tcPr>
            <w:tcW w:w="1134" w:type="dxa"/>
            <w:noWrap w:val="0"/>
            <w:vAlign w:val="center"/>
          </w:tcPr>
          <w:p w14:paraId="7EEA54F8">
            <w:pPr>
              <w:spacing w:line="320" w:lineRule="exact"/>
              <w:jc w:val="center"/>
              <w:rPr>
                <w:color w:val="auto"/>
                <w:sz w:val="21"/>
                <w:szCs w:val="21"/>
              </w:rPr>
            </w:pPr>
            <w:r>
              <w:rPr>
                <w:color w:val="auto"/>
                <w:sz w:val="21"/>
                <w:szCs w:val="21"/>
              </w:rPr>
              <w:t>190</w:t>
            </w:r>
          </w:p>
        </w:tc>
        <w:tc>
          <w:tcPr>
            <w:tcW w:w="907" w:type="dxa"/>
            <w:noWrap w:val="0"/>
            <w:vAlign w:val="center"/>
          </w:tcPr>
          <w:p w14:paraId="20CFCAC1">
            <w:pPr>
              <w:spacing w:line="320" w:lineRule="exact"/>
              <w:jc w:val="center"/>
              <w:rPr>
                <w:color w:val="auto"/>
                <w:sz w:val="21"/>
                <w:szCs w:val="21"/>
              </w:rPr>
            </w:pPr>
            <w:r>
              <w:rPr>
                <w:color w:val="auto"/>
                <w:sz w:val="21"/>
                <w:szCs w:val="21"/>
              </w:rPr>
              <w:t>760</w:t>
            </w:r>
          </w:p>
        </w:tc>
      </w:tr>
      <w:tr w14:paraId="26F3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03C709FB">
            <w:pPr>
              <w:spacing w:line="320" w:lineRule="exact"/>
              <w:jc w:val="center"/>
              <w:rPr>
                <w:color w:val="auto"/>
                <w:sz w:val="21"/>
                <w:szCs w:val="21"/>
              </w:rPr>
            </w:pPr>
            <w:r>
              <w:rPr>
                <w:color w:val="auto"/>
                <w:sz w:val="21"/>
                <w:szCs w:val="21"/>
              </w:rPr>
              <w:t>36</w:t>
            </w:r>
          </w:p>
        </w:tc>
        <w:tc>
          <w:tcPr>
            <w:tcW w:w="2117" w:type="dxa"/>
            <w:noWrap w:val="0"/>
            <w:vAlign w:val="center"/>
          </w:tcPr>
          <w:p w14:paraId="1ED7E2F0">
            <w:pPr>
              <w:widowControl/>
              <w:tabs>
                <w:tab w:val="left" w:pos="480"/>
              </w:tabs>
              <w:spacing w:line="320" w:lineRule="exact"/>
              <w:jc w:val="center"/>
              <w:rPr>
                <w:color w:val="auto"/>
                <w:sz w:val="21"/>
                <w:szCs w:val="21"/>
              </w:rPr>
            </w:pPr>
            <w:r>
              <w:rPr>
                <w:color w:val="auto"/>
                <w:sz w:val="21"/>
                <w:szCs w:val="21"/>
              </w:rPr>
              <w:t>苯胺</w:t>
            </w:r>
          </w:p>
        </w:tc>
        <w:tc>
          <w:tcPr>
            <w:tcW w:w="1279" w:type="dxa"/>
            <w:noWrap w:val="0"/>
            <w:vAlign w:val="center"/>
          </w:tcPr>
          <w:p w14:paraId="48B2F8C9">
            <w:pPr>
              <w:spacing w:line="320" w:lineRule="exact"/>
              <w:jc w:val="center"/>
              <w:rPr>
                <w:color w:val="auto"/>
                <w:sz w:val="21"/>
                <w:szCs w:val="21"/>
              </w:rPr>
            </w:pPr>
            <w:r>
              <w:rPr>
                <w:color w:val="auto"/>
                <w:sz w:val="21"/>
                <w:szCs w:val="21"/>
              </w:rPr>
              <w:t>62-53-3</w:t>
            </w:r>
          </w:p>
        </w:tc>
        <w:tc>
          <w:tcPr>
            <w:tcW w:w="1136" w:type="dxa"/>
            <w:noWrap w:val="0"/>
            <w:vAlign w:val="center"/>
          </w:tcPr>
          <w:p w14:paraId="7E9797C7">
            <w:pPr>
              <w:spacing w:line="320" w:lineRule="exact"/>
              <w:jc w:val="center"/>
              <w:rPr>
                <w:color w:val="auto"/>
                <w:sz w:val="21"/>
                <w:szCs w:val="21"/>
              </w:rPr>
            </w:pPr>
            <w:r>
              <w:rPr>
                <w:color w:val="auto"/>
                <w:sz w:val="21"/>
                <w:szCs w:val="21"/>
              </w:rPr>
              <w:t>92</w:t>
            </w:r>
          </w:p>
        </w:tc>
        <w:tc>
          <w:tcPr>
            <w:tcW w:w="1138" w:type="dxa"/>
            <w:noWrap w:val="0"/>
            <w:vAlign w:val="center"/>
          </w:tcPr>
          <w:p w14:paraId="7183A822">
            <w:pPr>
              <w:spacing w:line="320" w:lineRule="exact"/>
              <w:jc w:val="center"/>
              <w:rPr>
                <w:color w:val="auto"/>
                <w:sz w:val="21"/>
                <w:szCs w:val="21"/>
              </w:rPr>
            </w:pPr>
            <w:r>
              <w:rPr>
                <w:color w:val="auto"/>
                <w:sz w:val="21"/>
                <w:szCs w:val="21"/>
              </w:rPr>
              <w:t>260</w:t>
            </w:r>
          </w:p>
        </w:tc>
        <w:tc>
          <w:tcPr>
            <w:tcW w:w="1134" w:type="dxa"/>
            <w:noWrap w:val="0"/>
            <w:vAlign w:val="center"/>
          </w:tcPr>
          <w:p w14:paraId="75499495">
            <w:pPr>
              <w:spacing w:line="320" w:lineRule="exact"/>
              <w:jc w:val="center"/>
              <w:rPr>
                <w:color w:val="auto"/>
                <w:sz w:val="21"/>
                <w:szCs w:val="21"/>
              </w:rPr>
            </w:pPr>
            <w:r>
              <w:rPr>
                <w:color w:val="auto"/>
                <w:sz w:val="21"/>
                <w:szCs w:val="21"/>
              </w:rPr>
              <w:t>211</w:t>
            </w:r>
          </w:p>
        </w:tc>
        <w:tc>
          <w:tcPr>
            <w:tcW w:w="907" w:type="dxa"/>
            <w:noWrap w:val="0"/>
            <w:vAlign w:val="center"/>
          </w:tcPr>
          <w:p w14:paraId="3FACC15D">
            <w:pPr>
              <w:spacing w:line="320" w:lineRule="exact"/>
              <w:jc w:val="center"/>
              <w:rPr>
                <w:color w:val="auto"/>
                <w:sz w:val="21"/>
                <w:szCs w:val="21"/>
              </w:rPr>
            </w:pPr>
            <w:r>
              <w:rPr>
                <w:color w:val="auto"/>
                <w:sz w:val="21"/>
                <w:szCs w:val="21"/>
              </w:rPr>
              <w:t>663</w:t>
            </w:r>
          </w:p>
        </w:tc>
      </w:tr>
      <w:tr w14:paraId="2BC6B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13D4AD2E">
            <w:pPr>
              <w:spacing w:line="320" w:lineRule="exact"/>
              <w:jc w:val="center"/>
              <w:rPr>
                <w:color w:val="auto"/>
                <w:sz w:val="21"/>
                <w:szCs w:val="21"/>
              </w:rPr>
            </w:pPr>
            <w:r>
              <w:rPr>
                <w:color w:val="auto"/>
                <w:sz w:val="21"/>
                <w:szCs w:val="21"/>
              </w:rPr>
              <w:t>37</w:t>
            </w:r>
          </w:p>
        </w:tc>
        <w:tc>
          <w:tcPr>
            <w:tcW w:w="2117" w:type="dxa"/>
            <w:noWrap w:val="0"/>
            <w:vAlign w:val="center"/>
          </w:tcPr>
          <w:p w14:paraId="608BF3F6">
            <w:pPr>
              <w:widowControl/>
              <w:tabs>
                <w:tab w:val="left" w:pos="480"/>
              </w:tabs>
              <w:spacing w:line="320" w:lineRule="exact"/>
              <w:jc w:val="center"/>
              <w:rPr>
                <w:color w:val="auto"/>
                <w:sz w:val="21"/>
                <w:szCs w:val="21"/>
              </w:rPr>
            </w:pPr>
            <w:r>
              <w:rPr>
                <w:color w:val="auto"/>
                <w:sz w:val="21"/>
                <w:szCs w:val="21"/>
              </w:rPr>
              <w:t>2-氯酚</w:t>
            </w:r>
          </w:p>
        </w:tc>
        <w:tc>
          <w:tcPr>
            <w:tcW w:w="1279" w:type="dxa"/>
            <w:noWrap w:val="0"/>
            <w:vAlign w:val="center"/>
          </w:tcPr>
          <w:p w14:paraId="15F6B017">
            <w:pPr>
              <w:spacing w:line="320" w:lineRule="exact"/>
              <w:jc w:val="center"/>
              <w:rPr>
                <w:color w:val="auto"/>
                <w:sz w:val="21"/>
                <w:szCs w:val="21"/>
              </w:rPr>
            </w:pPr>
            <w:r>
              <w:rPr>
                <w:color w:val="auto"/>
                <w:sz w:val="21"/>
                <w:szCs w:val="21"/>
              </w:rPr>
              <w:t>95-57-8</w:t>
            </w:r>
          </w:p>
        </w:tc>
        <w:tc>
          <w:tcPr>
            <w:tcW w:w="1136" w:type="dxa"/>
            <w:noWrap w:val="0"/>
            <w:vAlign w:val="center"/>
          </w:tcPr>
          <w:p w14:paraId="0653F9A6">
            <w:pPr>
              <w:spacing w:line="320" w:lineRule="exact"/>
              <w:jc w:val="center"/>
              <w:rPr>
                <w:color w:val="auto"/>
                <w:sz w:val="21"/>
                <w:szCs w:val="21"/>
              </w:rPr>
            </w:pPr>
            <w:r>
              <w:rPr>
                <w:color w:val="auto"/>
                <w:sz w:val="21"/>
                <w:szCs w:val="21"/>
              </w:rPr>
              <w:t>250</w:t>
            </w:r>
          </w:p>
        </w:tc>
        <w:tc>
          <w:tcPr>
            <w:tcW w:w="1138" w:type="dxa"/>
            <w:noWrap w:val="0"/>
            <w:vAlign w:val="center"/>
          </w:tcPr>
          <w:p w14:paraId="2E163DDF">
            <w:pPr>
              <w:spacing w:line="320" w:lineRule="exact"/>
              <w:jc w:val="center"/>
              <w:rPr>
                <w:color w:val="auto"/>
                <w:sz w:val="21"/>
                <w:szCs w:val="21"/>
              </w:rPr>
            </w:pPr>
            <w:r>
              <w:rPr>
                <w:color w:val="auto"/>
                <w:sz w:val="21"/>
                <w:szCs w:val="21"/>
              </w:rPr>
              <w:t>2256</w:t>
            </w:r>
          </w:p>
        </w:tc>
        <w:tc>
          <w:tcPr>
            <w:tcW w:w="1134" w:type="dxa"/>
            <w:noWrap w:val="0"/>
            <w:vAlign w:val="center"/>
          </w:tcPr>
          <w:p w14:paraId="58F773D1">
            <w:pPr>
              <w:spacing w:line="320" w:lineRule="exact"/>
              <w:jc w:val="center"/>
              <w:rPr>
                <w:color w:val="auto"/>
                <w:sz w:val="21"/>
                <w:szCs w:val="21"/>
              </w:rPr>
            </w:pPr>
            <w:r>
              <w:rPr>
                <w:color w:val="auto"/>
                <w:sz w:val="21"/>
                <w:szCs w:val="21"/>
              </w:rPr>
              <w:t>500</w:t>
            </w:r>
          </w:p>
        </w:tc>
        <w:tc>
          <w:tcPr>
            <w:tcW w:w="907" w:type="dxa"/>
            <w:noWrap w:val="0"/>
            <w:vAlign w:val="center"/>
          </w:tcPr>
          <w:p w14:paraId="6CBB0D78">
            <w:pPr>
              <w:spacing w:line="320" w:lineRule="exact"/>
              <w:jc w:val="center"/>
              <w:rPr>
                <w:color w:val="auto"/>
                <w:sz w:val="21"/>
                <w:szCs w:val="21"/>
              </w:rPr>
            </w:pPr>
            <w:r>
              <w:rPr>
                <w:color w:val="auto"/>
                <w:sz w:val="21"/>
                <w:szCs w:val="21"/>
              </w:rPr>
              <w:t>4500</w:t>
            </w:r>
          </w:p>
        </w:tc>
      </w:tr>
      <w:tr w14:paraId="0A14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D3807B7">
            <w:pPr>
              <w:spacing w:line="320" w:lineRule="exact"/>
              <w:jc w:val="center"/>
              <w:rPr>
                <w:color w:val="auto"/>
                <w:sz w:val="21"/>
                <w:szCs w:val="21"/>
              </w:rPr>
            </w:pPr>
            <w:r>
              <w:rPr>
                <w:color w:val="auto"/>
                <w:sz w:val="21"/>
                <w:szCs w:val="21"/>
              </w:rPr>
              <w:t>38</w:t>
            </w:r>
          </w:p>
        </w:tc>
        <w:tc>
          <w:tcPr>
            <w:tcW w:w="2117" w:type="dxa"/>
            <w:noWrap w:val="0"/>
            <w:vAlign w:val="center"/>
          </w:tcPr>
          <w:p w14:paraId="506DFE60">
            <w:pPr>
              <w:widowControl/>
              <w:tabs>
                <w:tab w:val="left" w:pos="480"/>
              </w:tabs>
              <w:spacing w:line="320" w:lineRule="exact"/>
              <w:jc w:val="center"/>
              <w:rPr>
                <w:color w:val="auto"/>
                <w:sz w:val="21"/>
                <w:szCs w:val="21"/>
              </w:rPr>
            </w:pPr>
            <w:r>
              <w:rPr>
                <w:color w:val="auto"/>
                <w:sz w:val="21"/>
                <w:szCs w:val="21"/>
              </w:rPr>
              <w:t>苯并[a]蒽</w:t>
            </w:r>
          </w:p>
        </w:tc>
        <w:tc>
          <w:tcPr>
            <w:tcW w:w="1279" w:type="dxa"/>
            <w:noWrap w:val="0"/>
            <w:vAlign w:val="center"/>
          </w:tcPr>
          <w:p w14:paraId="6ACEFD26">
            <w:pPr>
              <w:spacing w:line="320" w:lineRule="exact"/>
              <w:jc w:val="center"/>
              <w:rPr>
                <w:color w:val="auto"/>
                <w:sz w:val="21"/>
                <w:szCs w:val="21"/>
              </w:rPr>
            </w:pPr>
            <w:r>
              <w:rPr>
                <w:color w:val="auto"/>
                <w:sz w:val="21"/>
                <w:szCs w:val="21"/>
              </w:rPr>
              <w:t>56-55-3</w:t>
            </w:r>
          </w:p>
        </w:tc>
        <w:tc>
          <w:tcPr>
            <w:tcW w:w="1136" w:type="dxa"/>
            <w:noWrap w:val="0"/>
            <w:vAlign w:val="center"/>
          </w:tcPr>
          <w:p w14:paraId="34CF1112">
            <w:pPr>
              <w:spacing w:line="320" w:lineRule="exact"/>
              <w:jc w:val="center"/>
              <w:rPr>
                <w:color w:val="auto"/>
                <w:sz w:val="21"/>
                <w:szCs w:val="21"/>
              </w:rPr>
            </w:pPr>
            <w:r>
              <w:rPr>
                <w:color w:val="auto"/>
                <w:sz w:val="21"/>
                <w:szCs w:val="21"/>
              </w:rPr>
              <w:t>5.5</w:t>
            </w:r>
          </w:p>
        </w:tc>
        <w:tc>
          <w:tcPr>
            <w:tcW w:w="1138" w:type="dxa"/>
            <w:noWrap w:val="0"/>
            <w:vAlign w:val="center"/>
          </w:tcPr>
          <w:p w14:paraId="31E89411">
            <w:pPr>
              <w:spacing w:line="320" w:lineRule="exact"/>
              <w:jc w:val="center"/>
              <w:rPr>
                <w:color w:val="auto"/>
                <w:sz w:val="21"/>
                <w:szCs w:val="21"/>
              </w:rPr>
            </w:pPr>
            <w:r>
              <w:rPr>
                <w:color w:val="auto"/>
                <w:sz w:val="21"/>
                <w:szCs w:val="21"/>
              </w:rPr>
              <w:t>15</w:t>
            </w:r>
          </w:p>
        </w:tc>
        <w:tc>
          <w:tcPr>
            <w:tcW w:w="1134" w:type="dxa"/>
            <w:noWrap w:val="0"/>
            <w:vAlign w:val="center"/>
          </w:tcPr>
          <w:p w14:paraId="037B9F7C">
            <w:pPr>
              <w:spacing w:line="320" w:lineRule="exact"/>
              <w:jc w:val="center"/>
              <w:rPr>
                <w:color w:val="auto"/>
                <w:sz w:val="21"/>
                <w:szCs w:val="21"/>
              </w:rPr>
            </w:pPr>
            <w:r>
              <w:rPr>
                <w:color w:val="auto"/>
                <w:sz w:val="21"/>
                <w:szCs w:val="21"/>
              </w:rPr>
              <w:t>55</w:t>
            </w:r>
          </w:p>
        </w:tc>
        <w:tc>
          <w:tcPr>
            <w:tcW w:w="907" w:type="dxa"/>
            <w:noWrap w:val="0"/>
            <w:vAlign w:val="center"/>
          </w:tcPr>
          <w:p w14:paraId="3120B84B">
            <w:pPr>
              <w:spacing w:line="320" w:lineRule="exact"/>
              <w:jc w:val="center"/>
              <w:rPr>
                <w:color w:val="auto"/>
                <w:sz w:val="21"/>
                <w:szCs w:val="21"/>
              </w:rPr>
            </w:pPr>
            <w:r>
              <w:rPr>
                <w:color w:val="auto"/>
                <w:sz w:val="21"/>
                <w:szCs w:val="21"/>
              </w:rPr>
              <w:t>151</w:t>
            </w:r>
          </w:p>
        </w:tc>
      </w:tr>
      <w:tr w14:paraId="4D2C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2456A39C">
            <w:pPr>
              <w:spacing w:line="320" w:lineRule="exact"/>
              <w:jc w:val="center"/>
              <w:rPr>
                <w:color w:val="auto"/>
                <w:sz w:val="21"/>
                <w:szCs w:val="21"/>
              </w:rPr>
            </w:pPr>
            <w:r>
              <w:rPr>
                <w:color w:val="auto"/>
                <w:sz w:val="21"/>
                <w:szCs w:val="21"/>
              </w:rPr>
              <w:t>39</w:t>
            </w:r>
          </w:p>
        </w:tc>
        <w:tc>
          <w:tcPr>
            <w:tcW w:w="2117" w:type="dxa"/>
            <w:noWrap w:val="0"/>
            <w:vAlign w:val="center"/>
          </w:tcPr>
          <w:p w14:paraId="2D97BEB9">
            <w:pPr>
              <w:widowControl/>
              <w:tabs>
                <w:tab w:val="left" w:pos="480"/>
              </w:tabs>
              <w:spacing w:line="320" w:lineRule="exact"/>
              <w:jc w:val="center"/>
              <w:rPr>
                <w:color w:val="auto"/>
                <w:sz w:val="21"/>
                <w:szCs w:val="21"/>
              </w:rPr>
            </w:pPr>
            <w:r>
              <w:rPr>
                <w:color w:val="auto"/>
                <w:sz w:val="21"/>
                <w:szCs w:val="21"/>
              </w:rPr>
              <w:t>苯并[a]芘</w:t>
            </w:r>
          </w:p>
        </w:tc>
        <w:tc>
          <w:tcPr>
            <w:tcW w:w="1279" w:type="dxa"/>
            <w:noWrap w:val="0"/>
            <w:vAlign w:val="center"/>
          </w:tcPr>
          <w:p w14:paraId="0FEAAFAC">
            <w:pPr>
              <w:spacing w:line="320" w:lineRule="exact"/>
              <w:jc w:val="center"/>
              <w:rPr>
                <w:color w:val="auto"/>
                <w:sz w:val="21"/>
                <w:szCs w:val="21"/>
              </w:rPr>
            </w:pPr>
            <w:r>
              <w:rPr>
                <w:color w:val="auto"/>
                <w:sz w:val="21"/>
                <w:szCs w:val="21"/>
              </w:rPr>
              <w:t>50-32-8</w:t>
            </w:r>
          </w:p>
        </w:tc>
        <w:tc>
          <w:tcPr>
            <w:tcW w:w="1136" w:type="dxa"/>
            <w:noWrap w:val="0"/>
            <w:vAlign w:val="center"/>
          </w:tcPr>
          <w:p w14:paraId="22DE3C40">
            <w:pPr>
              <w:spacing w:line="320" w:lineRule="exact"/>
              <w:jc w:val="center"/>
              <w:rPr>
                <w:color w:val="auto"/>
                <w:sz w:val="21"/>
                <w:szCs w:val="21"/>
              </w:rPr>
            </w:pPr>
            <w:r>
              <w:rPr>
                <w:color w:val="auto"/>
                <w:sz w:val="21"/>
                <w:szCs w:val="21"/>
              </w:rPr>
              <w:t>0.55</w:t>
            </w:r>
          </w:p>
        </w:tc>
        <w:tc>
          <w:tcPr>
            <w:tcW w:w="1138" w:type="dxa"/>
            <w:noWrap w:val="0"/>
            <w:vAlign w:val="center"/>
          </w:tcPr>
          <w:p w14:paraId="4AEDB956">
            <w:pPr>
              <w:spacing w:line="320" w:lineRule="exact"/>
              <w:jc w:val="center"/>
              <w:rPr>
                <w:color w:val="auto"/>
                <w:sz w:val="21"/>
                <w:szCs w:val="21"/>
              </w:rPr>
            </w:pPr>
            <w:r>
              <w:rPr>
                <w:color w:val="auto"/>
                <w:sz w:val="21"/>
                <w:szCs w:val="21"/>
              </w:rPr>
              <w:t>1.5</w:t>
            </w:r>
          </w:p>
        </w:tc>
        <w:tc>
          <w:tcPr>
            <w:tcW w:w="1134" w:type="dxa"/>
            <w:noWrap w:val="0"/>
            <w:vAlign w:val="center"/>
          </w:tcPr>
          <w:p w14:paraId="7BD8DC9D">
            <w:pPr>
              <w:spacing w:line="320" w:lineRule="exact"/>
              <w:jc w:val="center"/>
              <w:rPr>
                <w:color w:val="auto"/>
                <w:sz w:val="21"/>
                <w:szCs w:val="21"/>
              </w:rPr>
            </w:pPr>
            <w:r>
              <w:rPr>
                <w:color w:val="auto"/>
                <w:sz w:val="21"/>
                <w:szCs w:val="21"/>
              </w:rPr>
              <w:t>5.5</w:t>
            </w:r>
          </w:p>
        </w:tc>
        <w:tc>
          <w:tcPr>
            <w:tcW w:w="907" w:type="dxa"/>
            <w:noWrap w:val="0"/>
            <w:vAlign w:val="center"/>
          </w:tcPr>
          <w:p w14:paraId="633BBF46">
            <w:pPr>
              <w:spacing w:line="320" w:lineRule="exact"/>
              <w:jc w:val="center"/>
              <w:rPr>
                <w:color w:val="auto"/>
                <w:sz w:val="21"/>
                <w:szCs w:val="21"/>
              </w:rPr>
            </w:pPr>
            <w:r>
              <w:rPr>
                <w:color w:val="auto"/>
                <w:sz w:val="21"/>
                <w:szCs w:val="21"/>
              </w:rPr>
              <w:t>15</w:t>
            </w:r>
          </w:p>
        </w:tc>
      </w:tr>
      <w:tr w14:paraId="7999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46C590E6">
            <w:pPr>
              <w:spacing w:line="320" w:lineRule="exact"/>
              <w:jc w:val="center"/>
              <w:rPr>
                <w:color w:val="auto"/>
                <w:sz w:val="21"/>
                <w:szCs w:val="21"/>
              </w:rPr>
            </w:pPr>
            <w:r>
              <w:rPr>
                <w:color w:val="auto"/>
                <w:sz w:val="21"/>
                <w:szCs w:val="21"/>
              </w:rPr>
              <w:t>40</w:t>
            </w:r>
          </w:p>
        </w:tc>
        <w:tc>
          <w:tcPr>
            <w:tcW w:w="2117" w:type="dxa"/>
            <w:noWrap w:val="0"/>
            <w:vAlign w:val="center"/>
          </w:tcPr>
          <w:p w14:paraId="0B82B364">
            <w:pPr>
              <w:widowControl/>
              <w:tabs>
                <w:tab w:val="left" w:pos="480"/>
              </w:tabs>
              <w:spacing w:line="320" w:lineRule="exact"/>
              <w:jc w:val="center"/>
              <w:rPr>
                <w:color w:val="auto"/>
                <w:sz w:val="21"/>
                <w:szCs w:val="21"/>
              </w:rPr>
            </w:pPr>
            <w:r>
              <w:rPr>
                <w:color w:val="auto"/>
                <w:sz w:val="21"/>
                <w:szCs w:val="21"/>
              </w:rPr>
              <w:t>苯并[b]荧蒽</w:t>
            </w:r>
          </w:p>
        </w:tc>
        <w:tc>
          <w:tcPr>
            <w:tcW w:w="1279" w:type="dxa"/>
            <w:noWrap w:val="0"/>
            <w:vAlign w:val="center"/>
          </w:tcPr>
          <w:p w14:paraId="3C1C2B1C">
            <w:pPr>
              <w:spacing w:line="320" w:lineRule="exact"/>
              <w:jc w:val="center"/>
              <w:rPr>
                <w:color w:val="auto"/>
                <w:sz w:val="21"/>
                <w:szCs w:val="21"/>
              </w:rPr>
            </w:pPr>
            <w:r>
              <w:rPr>
                <w:color w:val="auto"/>
                <w:sz w:val="21"/>
                <w:szCs w:val="21"/>
              </w:rPr>
              <w:t>205-99-2</w:t>
            </w:r>
          </w:p>
        </w:tc>
        <w:tc>
          <w:tcPr>
            <w:tcW w:w="1136" w:type="dxa"/>
            <w:noWrap w:val="0"/>
            <w:vAlign w:val="center"/>
          </w:tcPr>
          <w:p w14:paraId="5EC884BF">
            <w:pPr>
              <w:spacing w:line="320" w:lineRule="exact"/>
              <w:jc w:val="center"/>
              <w:rPr>
                <w:color w:val="auto"/>
                <w:sz w:val="21"/>
                <w:szCs w:val="21"/>
              </w:rPr>
            </w:pPr>
            <w:r>
              <w:rPr>
                <w:color w:val="auto"/>
                <w:sz w:val="21"/>
                <w:szCs w:val="21"/>
              </w:rPr>
              <w:t>5.5</w:t>
            </w:r>
          </w:p>
        </w:tc>
        <w:tc>
          <w:tcPr>
            <w:tcW w:w="1138" w:type="dxa"/>
            <w:noWrap w:val="0"/>
            <w:vAlign w:val="center"/>
          </w:tcPr>
          <w:p w14:paraId="57CC422B">
            <w:pPr>
              <w:spacing w:line="320" w:lineRule="exact"/>
              <w:jc w:val="center"/>
              <w:rPr>
                <w:color w:val="auto"/>
                <w:sz w:val="21"/>
                <w:szCs w:val="21"/>
              </w:rPr>
            </w:pPr>
            <w:r>
              <w:rPr>
                <w:color w:val="auto"/>
                <w:sz w:val="21"/>
                <w:szCs w:val="21"/>
              </w:rPr>
              <w:t>15</w:t>
            </w:r>
          </w:p>
        </w:tc>
        <w:tc>
          <w:tcPr>
            <w:tcW w:w="1134" w:type="dxa"/>
            <w:noWrap w:val="0"/>
            <w:vAlign w:val="center"/>
          </w:tcPr>
          <w:p w14:paraId="2058D0F1">
            <w:pPr>
              <w:spacing w:line="320" w:lineRule="exact"/>
              <w:jc w:val="center"/>
              <w:rPr>
                <w:color w:val="auto"/>
                <w:sz w:val="21"/>
                <w:szCs w:val="21"/>
              </w:rPr>
            </w:pPr>
            <w:r>
              <w:rPr>
                <w:color w:val="auto"/>
                <w:sz w:val="21"/>
                <w:szCs w:val="21"/>
              </w:rPr>
              <w:t>55</w:t>
            </w:r>
          </w:p>
        </w:tc>
        <w:tc>
          <w:tcPr>
            <w:tcW w:w="907" w:type="dxa"/>
            <w:noWrap w:val="0"/>
            <w:vAlign w:val="center"/>
          </w:tcPr>
          <w:p w14:paraId="7FF0E77D">
            <w:pPr>
              <w:spacing w:line="320" w:lineRule="exact"/>
              <w:jc w:val="center"/>
              <w:rPr>
                <w:color w:val="auto"/>
                <w:sz w:val="21"/>
                <w:szCs w:val="21"/>
              </w:rPr>
            </w:pPr>
            <w:r>
              <w:rPr>
                <w:color w:val="auto"/>
                <w:sz w:val="21"/>
                <w:szCs w:val="21"/>
              </w:rPr>
              <w:t>151</w:t>
            </w:r>
          </w:p>
        </w:tc>
      </w:tr>
      <w:tr w14:paraId="5C9B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36C9DE00">
            <w:pPr>
              <w:spacing w:line="320" w:lineRule="exact"/>
              <w:jc w:val="center"/>
              <w:rPr>
                <w:color w:val="auto"/>
                <w:sz w:val="21"/>
                <w:szCs w:val="21"/>
              </w:rPr>
            </w:pPr>
            <w:r>
              <w:rPr>
                <w:color w:val="auto"/>
                <w:sz w:val="21"/>
                <w:szCs w:val="21"/>
              </w:rPr>
              <w:t>41</w:t>
            </w:r>
          </w:p>
        </w:tc>
        <w:tc>
          <w:tcPr>
            <w:tcW w:w="2117" w:type="dxa"/>
            <w:noWrap w:val="0"/>
            <w:vAlign w:val="center"/>
          </w:tcPr>
          <w:p w14:paraId="2D2AA753">
            <w:pPr>
              <w:widowControl/>
              <w:tabs>
                <w:tab w:val="left" w:pos="480"/>
              </w:tabs>
              <w:spacing w:line="320" w:lineRule="exact"/>
              <w:jc w:val="center"/>
              <w:rPr>
                <w:color w:val="auto"/>
                <w:sz w:val="21"/>
                <w:szCs w:val="21"/>
              </w:rPr>
            </w:pPr>
            <w:r>
              <w:rPr>
                <w:color w:val="auto"/>
                <w:sz w:val="21"/>
                <w:szCs w:val="21"/>
              </w:rPr>
              <w:t>苯并[k]荧蒽</w:t>
            </w:r>
          </w:p>
        </w:tc>
        <w:tc>
          <w:tcPr>
            <w:tcW w:w="1279" w:type="dxa"/>
            <w:noWrap w:val="0"/>
            <w:vAlign w:val="center"/>
          </w:tcPr>
          <w:p w14:paraId="51371015">
            <w:pPr>
              <w:spacing w:line="320" w:lineRule="exact"/>
              <w:jc w:val="center"/>
              <w:rPr>
                <w:color w:val="auto"/>
                <w:sz w:val="21"/>
                <w:szCs w:val="21"/>
              </w:rPr>
            </w:pPr>
            <w:r>
              <w:rPr>
                <w:color w:val="auto"/>
                <w:sz w:val="21"/>
                <w:szCs w:val="21"/>
              </w:rPr>
              <w:t>207-08-9</w:t>
            </w:r>
          </w:p>
        </w:tc>
        <w:tc>
          <w:tcPr>
            <w:tcW w:w="1136" w:type="dxa"/>
            <w:noWrap w:val="0"/>
            <w:vAlign w:val="center"/>
          </w:tcPr>
          <w:p w14:paraId="6CE5633C">
            <w:pPr>
              <w:spacing w:line="320" w:lineRule="exact"/>
              <w:jc w:val="center"/>
              <w:rPr>
                <w:color w:val="auto"/>
                <w:sz w:val="21"/>
                <w:szCs w:val="21"/>
              </w:rPr>
            </w:pPr>
            <w:r>
              <w:rPr>
                <w:color w:val="auto"/>
                <w:sz w:val="21"/>
                <w:szCs w:val="21"/>
              </w:rPr>
              <w:t>55</w:t>
            </w:r>
          </w:p>
        </w:tc>
        <w:tc>
          <w:tcPr>
            <w:tcW w:w="1138" w:type="dxa"/>
            <w:noWrap w:val="0"/>
            <w:vAlign w:val="center"/>
          </w:tcPr>
          <w:p w14:paraId="690D39A8">
            <w:pPr>
              <w:spacing w:line="320" w:lineRule="exact"/>
              <w:jc w:val="center"/>
              <w:rPr>
                <w:color w:val="auto"/>
                <w:sz w:val="21"/>
                <w:szCs w:val="21"/>
              </w:rPr>
            </w:pPr>
            <w:r>
              <w:rPr>
                <w:color w:val="auto"/>
                <w:sz w:val="21"/>
                <w:szCs w:val="21"/>
              </w:rPr>
              <w:t>151</w:t>
            </w:r>
          </w:p>
        </w:tc>
        <w:tc>
          <w:tcPr>
            <w:tcW w:w="1134" w:type="dxa"/>
            <w:noWrap w:val="0"/>
            <w:vAlign w:val="center"/>
          </w:tcPr>
          <w:p w14:paraId="20335D91">
            <w:pPr>
              <w:spacing w:line="320" w:lineRule="exact"/>
              <w:jc w:val="center"/>
              <w:rPr>
                <w:color w:val="auto"/>
                <w:sz w:val="21"/>
                <w:szCs w:val="21"/>
              </w:rPr>
            </w:pPr>
            <w:r>
              <w:rPr>
                <w:color w:val="auto"/>
                <w:sz w:val="21"/>
                <w:szCs w:val="21"/>
              </w:rPr>
              <w:t>550</w:t>
            </w:r>
          </w:p>
        </w:tc>
        <w:tc>
          <w:tcPr>
            <w:tcW w:w="907" w:type="dxa"/>
            <w:noWrap w:val="0"/>
            <w:vAlign w:val="center"/>
          </w:tcPr>
          <w:p w14:paraId="599B094F">
            <w:pPr>
              <w:spacing w:line="320" w:lineRule="exact"/>
              <w:jc w:val="center"/>
              <w:rPr>
                <w:color w:val="auto"/>
                <w:sz w:val="21"/>
                <w:szCs w:val="21"/>
              </w:rPr>
            </w:pPr>
            <w:r>
              <w:rPr>
                <w:color w:val="auto"/>
                <w:sz w:val="21"/>
                <w:szCs w:val="21"/>
              </w:rPr>
              <w:t>1500</w:t>
            </w:r>
          </w:p>
        </w:tc>
      </w:tr>
      <w:tr w14:paraId="5648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1627AC5B">
            <w:pPr>
              <w:spacing w:line="320" w:lineRule="exact"/>
              <w:jc w:val="center"/>
              <w:rPr>
                <w:color w:val="auto"/>
                <w:sz w:val="21"/>
                <w:szCs w:val="21"/>
              </w:rPr>
            </w:pPr>
            <w:r>
              <w:rPr>
                <w:color w:val="auto"/>
                <w:sz w:val="21"/>
                <w:szCs w:val="21"/>
              </w:rPr>
              <w:t>42</w:t>
            </w:r>
          </w:p>
        </w:tc>
        <w:tc>
          <w:tcPr>
            <w:tcW w:w="2117" w:type="dxa"/>
            <w:noWrap w:val="0"/>
            <w:vAlign w:val="center"/>
          </w:tcPr>
          <w:p w14:paraId="7186460F">
            <w:pPr>
              <w:widowControl/>
              <w:tabs>
                <w:tab w:val="left" w:pos="480"/>
              </w:tabs>
              <w:spacing w:line="320" w:lineRule="exact"/>
              <w:jc w:val="center"/>
              <w:rPr>
                <w:color w:val="auto"/>
                <w:sz w:val="21"/>
                <w:szCs w:val="21"/>
              </w:rPr>
            </w:pPr>
            <w:r>
              <w:rPr>
                <w:color w:val="auto"/>
                <w:sz w:val="21"/>
                <w:szCs w:val="21"/>
              </w:rPr>
              <w:t>䓛</w:t>
            </w:r>
          </w:p>
        </w:tc>
        <w:tc>
          <w:tcPr>
            <w:tcW w:w="1279" w:type="dxa"/>
            <w:noWrap w:val="0"/>
            <w:vAlign w:val="center"/>
          </w:tcPr>
          <w:p w14:paraId="7B1320F3">
            <w:pPr>
              <w:spacing w:line="320" w:lineRule="exact"/>
              <w:jc w:val="center"/>
              <w:rPr>
                <w:color w:val="auto"/>
                <w:sz w:val="21"/>
                <w:szCs w:val="21"/>
              </w:rPr>
            </w:pPr>
            <w:r>
              <w:rPr>
                <w:color w:val="auto"/>
                <w:sz w:val="21"/>
                <w:szCs w:val="21"/>
              </w:rPr>
              <w:t>218-01-9</w:t>
            </w:r>
          </w:p>
        </w:tc>
        <w:tc>
          <w:tcPr>
            <w:tcW w:w="1136" w:type="dxa"/>
            <w:noWrap w:val="0"/>
            <w:vAlign w:val="center"/>
          </w:tcPr>
          <w:p w14:paraId="7CB3C816">
            <w:pPr>
              <w:spacing w:line="320" w:lineRule="exact"/>
              <w:jc w:val="center"/>
              <w:rPr>
                <w:color w:val="auto"/>
                <w:sz w:val="21"/>
                <w:szCs w:val="21"/>
              </w:rPr>
            </w:pPr>
            <w:r>
              <w:rPr>
                <w:color w:val="auto"/>
                <w:sz w:val="21"/>
                <w:szCs w:val="21"/>
              </w:rPr>
              <w:t>490</w:t>
            </w:r>
          </w:p>
        </w:tc>
        <w:tc>
          <w:tcPr>
            <w:tcW w:w="1138" w:type="dxa"/>
            <w:noWrap w:val="0"/>
            <w:vAlign w:val="center"/>
          </w:tcPr>
          <w:p w14:paraId="6BB62D46">
            <w:pPr>
              <w:spacing w:line="320" w:lineRule="exact"/>
              <w:jc w:val="center"/>
              <w:rPr>
                <w:color w:val="auto"/>
                <w:sz w:val="21"/>
                <w:szCs w:val="21"/>
              </w:rPr>
            </w:pPr>
            <w:r>
              <w:rPr>
                <w:color w:val="auto"/>
                <w:sz w:val="21"/>
                <w:szCs w:val="21"/>
              </w:rPr>
              <w:t>1293</w:t>
            </w:r>
          </w:p>
        </w:tc>
        <w:tc>
          <w:tcPr>
            <w:tcW w:w="1134" w:type="dxa"/>
            <w:noWrap w:val="0"/>
            <w:vAlign w:val="center"/>
          </w:tcPr>
          <w:p w14:paraId="05E03962">
            <w:pPr>
              <w:spacing w:line="320" w:lineRule="exact"/>
              <w:jc w:val="center"/>
              <w:rPr>
                <w:color w:val="auto"/>
                <w:sz w:val="21"/>
                <w:szCs w:val="21"/>
              </w:rPr>
            </w:pPr>
            <w:r>
              <w:rPr>
                <w:color w:val="auto"/>
                <w:sz w:val="21"/>
                <w:szCs w:val="21"/>
              </w:rPr>
              <w:t>4900</w:t>
            </w:r>
          </w:p>
        </w:tc>
        <w:tc>
          <w:tcPr>
            <w:tcW w:w="907" w:type="dxa"/>
            <w:noWrap w:val="0"/>
            <w:vAlign w:val="center"/>
          </w:tcPr>
          <w:p w14:paraId="5E3DFF9C">
            <w:pPr>
              <w:spacing w:line="320" w:lineRule="exact"/>
              <w:jc w:val="center"/>
              <w:rPr>
                <w:color w:val="auto"/>
                <w:sz w:val="21"/>
                <w:szCs w:val="21"/>
              </w:rPr>
            </w:pPr>
            <w:r>
              <w:rPr>
                <w:color w:val="auto"/>
                <w:sz w:val="21"/>
                <w:szCs w:val="21"/>
              </w:rPr>
              <w:t>12900</w:t>
            </w:r>
          </w:p>
        </w:tc>
      </w:tr>
      <w:tr w14:paraId="21DA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C47FC58">
            <w:pPr>
              <w:spacing w:line="320" w:lineRule="exact"/>
              <w:jc w:val="center"/>
              <w:rPr>
                <w:color w:val="auto"/>
                <w:sz w:val="21"/>
                <w:szCs w:val="21"/>
              </w:rPr>
            </w:pPr>
            <w:r>
              <w:rPr>
                <w:color w:val="auto"/>
                <w:sz w:val="21"/>
                <w:szCs w:val="21"/>
              </w:rPr>
              <w:t>43</w:t>
            </w:r>
          </w:p>
        </w:tc>
        <w:tc>
          <w:tcPr>
            <w:tcW w:w="2117" w:type="dxa"/>
            <w:noWrap w:val="0"/>
            <w:vAlign w:val="center"/>
          </w:tcPr>
          <w:p w14:paraId="306E2111">
            <w:pPr>
              <w:widowControl/>
              <w:tabs>
                <w:tab w:val="left" w:pos="480"/>
              </w:tabs>
              <w:spacing w:line="320" w:lineRule="exact"/>
              <w:jc w:val="center"/>
              <w:rPr>
                <w:color w:val="auto"/>
                <w:sz w:val="21"/>
                <w:szCs w:val="21"/>
              </w:rPr>
            </w:pPr>
            <w:r>
              <w:rPr>
                <w:color w:val="auto"/>
                <w:sz w:val="21"/>
                <w:szCs w:val="21"/>
              </w:rPr>
              <w:t>二苯并[a，h]蒽</w:t>
            </w:r>
          </w:p>
        </w:tc>
        <w:tc>
          <w:tcPr>
            <w:tcW w:w="1279" w:type="dxa"/>
            <w:noWrap w:val="0"/>
            <w:vAlign w:val="center"/>
          </w:tcPr>
          <w:p w14:paraId="386ED2AD">
            <w:pPr>
              <w:spacing w:line="320" w:lineRule="exact"/>
              <w:jc w:val="center"/>
              <w:rPr>
                <w:color w:val="auto"/>
                <w:sz w:val="21"/>
                <w:szCs w:val="21"/>
              </w:rPr>
            </w:pPr>
            <w:r>
              <w:rPr>
                <w:color w:val="auto"/>
                <w:sz w:val="21"/>
                <w:szCs w:val="21"/>
              </w:rPr>
              <w:t>53-70-3</w:t>
            </w:r>
          </w:p>
        </w:tc>
        <w:tc>
          <w:tcPr>
            <w:tcW w:w="1136" w:type="dxa"/>
            <w:noWrap w:val="0"/>
            <w:vAlign w:val="center"/>
          </w:tcPr>
          <w:p w14:paraId="623A8A5F">
            <w:pPr>
              <w:spacing w:line="320" w:lineRule="exact"/>
              <w:jc w:val="center"/>
              <w:rPr>
                <w:color w:val="auto"/>
                <w:sz w:val="21"/>
                <w:szCs w:val="21"/>
              </w:rPr>
            </w:pPr>
            <w:r>
              <w:rPr>
                <w:color w:val="auto"/>
                <w:sz w:val="21"/>
                <w:szCs w:val="21"/>
              </w:rPr>
              <w:t>0.55</w:t>
            </w:r>
          </w:p>
        </w:tc>
        <w:tc>
          <w:tcPr>
            <w:tcW w:w="1138" w:type="dxa"/>
            <w:noWrap w:val="0"/>
            <w:vAlign w:val="center"/>
          </w:tcPr>
          <w:p w14:paraId="005F12C3">
            <w:pPr>
              <w:spacing w:line="320" w:lineRule="exact"/>
              <w:jc w:val="center"/>
              <w:rPr>
                <w:color w:val="auto"/>
                <w:sz w:val="21"/>
                <w:szCs w:val="21"/>
              </w:rPr>
            </w:pPr>
            <w:r>
              <w:rPr>
                <w:color w:val="auto"/>
                <w:sz w:val="21"/>
                <w:szCs w:val="21"/>
              </w:rPr>
              <w:t>1.5</w:t>
            </w:r>
          </w:p>
        </w:tc>
        <w:tc>
          <w:tcPr>
            <w:tcW w:w="1134" w:type="dxa"/>
            <w:noWrap w:val="0"/>
            <w:vAlign w:val="center"/>
          </w:tcPr>
          <w:p w14:paraId="1D501895">
            <w:pPr>
              <w:spacing w:line="320" w:lineRule="exact"/>
              <w:jc w:val="center"/>
              <w:rPr>
                <w:color w:val="auto"/>
                <w:sz w:val="21"/>
                <w:szCs w:val="21"/>
              </w:rPr>
            </w:pPr>
            <w:r>
              <w:rPr>
                <w:color w:val="auto"/>
                <w:sz w:val="21"/>
                <w:szCs w:val="21"/>
              </w:rPr>
              <w:t>5.5</w:t>
            </w:r>
          </w:p>
        </w:tc>
        <w:tc>
          <w:tcPr>
            <w:tcW w:w="907" w:type="dxa"/>
            <w:noWrap w:val="0"/>
            <w:vAlign w:val="center"/>
          </w:tcPr>
          <w:p w14:paraId="335E24A3">
            <w:pPr>
              <w:spacing w:line="320" w:lineRule="exact"/>
              <w:jc w:val="center"/>
              <w:rPr>
                <w:color w:val="auto"/>
                <w:sz w:val="21"/>
                <w:szCs w:val="21"/>
              </w:rPr>
            </w:pPr>
            <w:r>
              <w:rPr>
                <w:color w:val="auto"/>
                <w:sz w:val="21"/>
                <w:szCs w:val="21"/>
              </w:rPr>
              <w:t>15</w:t>
            </w:r>
          </w:p>
        </w:tc>
      </w:tr>
      <w:tr w14:paraId="73AA0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17" w:type="dxa"/>
            <w:noWrap w:val="0"/>
            <w:vAlign w:val="center"/>
          </w:tcPr>
          <w:p w14:paraId="715732DF">
            <w:pPr>
              <w:spacing w:line="320" w:lineRule="exact"/>
              <w:jc w:val="center"/>
              <w:rPr>
                <w:color w:val="auto"/>
                <w:sz w:val="21"/>
                <w:szCs w:val="21"/>
              </w:rPr>
            </w:pPr>
            <w:r>
              <w:rPr>
                <w:color w:val="auto"/>
                <w:sz w:val="21"/>
                <w:szCs w:val="21"/>
              </w:rPr>
              <w:t>44</w:t>
            </w:r>
          </w:p>
        </w:tc>
        <w:tc>
          <w:tcPr>
            <w:tcW w:w="2117" w:type="dxa"/>
            <w:noWrap w:val="0"/>
            <w:vAlign w:val="center"/>
          </w:tcPr>
          <w:p w14:paraId="79A221E0">
            <w:pPr>
              <w:widowControl/>
              <w:tabs>
                <w:tab w:val="left" w:pos="480"/>
              </w:tabs>
              <w:spacing w:line="320" w:lineRule="exact"/>
              <w:jc w:val="center"/>
              <w:rPr>
                <w:color w:val="auto"/>
                <w:sz w:val="21"/>
                <w:szCs w:val="21"/>
              </w:rPr>
            </w:pPr>
            <w:r>
              <w:rPr>
                <w:color w:val="auto"/>
                <w:sz w:val="21"/>
                <w:szCs w:val="21"/>
              </w:rPr>
              <w:t>茚并[1，2，3-cd]芘</w:t>
            </w:r>
          </w:p>
        </w:tc>
        <w:tc>
          <w:tcPr>
            <w:tcW w:w="1279" w:type="dxa"/>
            <w:noWrap w:val="0"/>
            <w:vAlign w:val="center"/>
          </w:tcPr>
          <w:p w14:paraId="3B99C16E">
            <w:pPr>
              <w:spacing w:line="320" w:lineRule="exact"/>
              <w:jc w:val="center"/>
              <w:rPr>
                <w:color w:val="auto"/>
                <w:sz w:val="21"/>
                <w:szCs w:val="21"/>
              </w:rPr>
            </w:pPr>
            <w:r>
              <w:rPr>
                <w:color w:val="auto"/>
                <w:sz w:val="21"/>
                <w:szCs w:val="21"/>
              </w:rPr>
              <w:t>193-39-5</w:t>
            </w:r>
          </w:p>
        </w:tc>
        <w:tc>
          <w:tcPr>
            <w:tcW w:w="1136" w:type="dxa"/>
            <w:noWrap w:val="0"/>
            <w:vAlign w:val="center"/>
          </w:tcPr>
          <w:p w14:paraId="6E52847B">
            <w:pPr>
              <w:spacing w:line="320" w:lineRule="exact"/>
              <w:jc w:val="center"/>
              <w:rPr>
                <w:color w:val="auto"/>
                <w:sz w:val="21"/>
                <w:szCs w:val="21"/>
              </w:rPr>
            </w:pPr>
            <w:r>
              <w:rPr>
                <w:color w:val="auto"/>
                <w:sz w:val="21"/>
                <w:szCs w:val="21"/>
              </w:rPr>
              <w:t>55</w:t>
            </w:r>
          </w:p>
        </w:tc>
        <w:tc>
          <w:tcPr>
            <w:tcW w:w="1138" w:type="dxa"/>
            <w:noWrap w:val="0"/>
            <w:vAlign w:val="center"/>
          </w:tcPr>
          <w:p w14:paraId="3643C808">
            <w:pPr>
              <w:spacing w:line="320" w:lineRule="exact"/>
              <w:jc w:val="center"/>
              <w:rPr>
                <w:color w:val="auto"/>
                <w:sz w:val="21"/>
                <w:szCs w:val="21"/>
              </w:rPr>
            </w:pPr>
            <w:r>
              <w:rPr>
                <w:color w:val="auto"/>
                <w:sz w:val="21"/>
                <w:szCs w:val="21"/>
              </w:rPr>
              <w:t>15</w:t>
            </w:r>
          </w:p>
        </w:tc>
        <w:tc>
          <w:tcPr>
            <w:tcW w:w="1134" w:type="dxa"/>
            <w:noWrap w:val="0"/>
            <w:vAlign w:val="center"/>
          </w:tcPr>
          <w:p w14:paraId="3B45B08D">
            <w:pPr>
              <w:spacing w:line="320" w:lineRule="exact"/>
              <w:jc w:val="center"/>
              <w:rPr>
                <w:color w:val="auto"/>
                <w:sz w:val="21"/>
                <w:szCs w:val="21"/>
              </w:rPr>
            </w:pPr>
            <w:r>
              <w:rPr>
                <w:color w:val="auto"/>
                <w:sz w:val="21"/>
                <w:szCs w:val="21"/>
              </w:rPr>
              <w:t>55</w:t>
            </w:r>
          </w:p>
        </w:tc>
        <w:tc>
          <w:tcPr>
            <w:tcW w:w="907" w:type="dxa"/>
            <w:noWrap w:val="0"/>
            <w:vAlign w:val="center"/>
          </w:tcPr>
          <w:p w14:paraId="46188515">
            <w:pPr>
              <w:spacing w:line="320" w:lineRule="exact"/>
              <w:jc w:val="center"/>
              <w:rPr>
                <w:color w:val="auto"/>
                <w:sz w:val="21"/>
                <w:szCs w:val="21"/>
              </w:rPr>
            </w:pPr>
            <w:r>
              <w:rPr>
                <w:color w:val="auto"/>
                <w:sz w:val="21"/>
                <w:szCs w:val="21"/>
              </w:rPr>
              <w:t>151</w:t>
            </w:r>
          </w:p>
        </w:tc>
      </w:tr>
      <w:tr w14:paraId="3C93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817" w:type="dxa"/>
            <w:noWrap w:val="0"/>
            <w:vAlign w:val="center"/>
          </w:tcPr>
          <w:p w14:paraId="1375F9C3">
            <w:pPr>
              <w:spacing w:line="320" w:lineRule="exact"/>
              <w:jc w:val="center"/>
              <w:rPr>
                <w:color w:val="auto"/>
                <w:sz w:val="21"/>
                <w:szCs w:val="21"/>
              </w:rPr>
            </w:pPr>
            <w:r>
              <w:rPr>
                <w:color w:val="auto"/>
                <w:sz w:val="21"/>
                <w:szCs w:val="21"/>
              </w:rPr>
              <w:t>45</w:t>
            </w:r>
          </w:p>
        </w:tc>
        <w:tc>
          <w:tcPr>
            <w:tcW w:w="2117" w:type="dxa"/>
            <w:noWrap w:val="0"/>
            <w:vAlign w:val="center"/>
          </w:tcPr>
          <w:p w14:paraId="5C7C8307">
            <w:pPr>
              <w:widowControl/>
              <w:tabs>
                <w:tab w:val="left" w:pos="480"/>
              </w:tabs>
              <w:spacing w:line="320" w:lineRule="exact"/>
              <w:jc w:val="center"/>
              <w:rPr>
                <w:color w:val="auto"/>
                <w:sz w:val="21"/>
                <w:szCs w:val="21"/>
              </w:rPr>
            </w:pPr>
            <w:r>
              <w:rPr>
                <w:color w:val="auto"/>
                <w:sz w:val="21"/>
                <w:szCs w:val="21"/>
              </w:rPr>
              <w:t>萘</w:t>
            </w:r>
          </w:p>
        </w:tc>
        <w:tc>
          <w:tcPr>
            <w:tcW w:w="1279" w:type="dxa"/>
            <w:noWrap w:val="0"/>
            <w:vAlign w:val="center"/>
          </w:tcPr>
          <w:p w14:paraId="321BA831">
            <w:pPr>
              <w:spacing w:line="320" w:lineRule="exact"/>
              <w:jc w:val="center"/>
              <w:rPr>
                <w:color w:val="auto"/>
                <w:sz w:val="21"/>
                <w:szCs w:val="21"/>
              </w:rPr>
            </w:pPr>
            <w:r>
              <w:rPr>
                <w:color w:val="auto"/>
                <w:sz w:val="21"/>
                <w:szCs w:val="21"/>
              </w:rPr>
              <w:t>91-20-3</w:t>
            </w:r>
          </w:p>
        </w:tc>
        <w:tc>
          <w:tcPr>
            <w:tcW w:w="1136" w:type="dxa"/>
            <w:noWrap w:val="0"/>
            <w:vAlign w:val="center"/>
          </w:tcPr>
          <w:p w14:paraId="226BFC8C">
            <w:pPr>
              <w:spacing w:line="320" w:lineRule="exact"/>
              <w:jc w:val="center"/>
              <w:rPr>
                <w:color w:val="auto"/>
                <w:sz w:val="21"/>
                <w:szCs w:val="21"/>
              </w:rPr>
            </w:pPr>
            <w:r>
              <w:rPr>
                <w:color w:val="auto"/>
                <w:sz w:val="21"/>
                <w:szCs w:val="21"/>
              </w:rPr>
              <w:t>25</w:t>
            </w:r>
          </w:p>
        </w:tc>
        <w:tc>
          <w:tcPr>
            <w:tcW w:w="1138" w:type="dxa"/>
            <w:noWrap w:val="0"/>
            <w:vAlign w:val="center"/>
          </w:tcPr>
          <w:p w14:paraId="5F56BB23">
            <w:pPr>
              <w:spacing w:line="320" w:lineRule="exact"/>
              <w:jc w:val="center"/>
              <w:rPr>
                <w:color w:val="auto"/>
                <w:sz w:val="21"/>
                <w:szCs w:val="21"/>
              </w:rPr>
            </w:pPr>
            <w:r>
              <w:rPr>
                <w:color w:val="auto"/>
                <w:sz w:val="21"/>
                <w:szCs w:val="21"/>
              </w:rPr>
              <w:t>70</w:t>
            </w:r>
          </w:p>
        </w:tc>
        <w:tc>
          <w:tcPr>
            <w:tcW w:w="1134" w:type="dxa"/>
            <w:noWrap w:val="0"/>
            <w:vAlign w:val="center"/>
          </w:tcPr>
          <w:p w14:paraId="251587B6">
            <w:pPr>
              <w:spacing w:line="320" w:lineRule="exact"/>
              <w:jc w:val="center"/>
              <w:rPr>
                <w:color w:val="auto"/>
                <w:sz w:val="21"/>
                <w:szCs w:val="21"/>
              </w:rPr>
            </w:pPr>
            <w:r>
              <w:rPr>
                <w:color w:val="auto"/>
                <w:sz w:val="21"/>
                <w:szCs w:val="21"/>
              </w:rPr>
              <w:t>255</w:t>
            </w:r>
          </w:p>
        </w:tc>
        <w:tc>
          <w:tcPr>
            <w:tcW w:w="907" w:type="dxa"/>
            <w:noWrap w:val="0"/>
            <w:vAlign w:val="center"/>
          </w:tcPr>
          <w:p w14:paraId="7DDD5F1C">
            <w:pPr>
              <w:spacing w:line="320" w:lineRule="exact"/>
              <w:jc w:val="center"/>
              <w:rPr>
                <w:color w:val="auto"/>
                <w:sz w:val="21"/>
                <w:szCs w:val="21"/>
              </w:rPr>
            </w:pPr>
            <w:r>
              <w:rPr>
                <w:color w:val="auto"/>
                <w:sz w:val="21"/>
                <w:szCs w:val="21"/>
              </w:rPr>
              <w:t>700</w:t>
            </w:r>
          </w:p>
        </w:tc>
      </w:tr>
      <w:tr w14:paraId="1E9DB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528" w:type="dxa"/>
            <w:gridSpan w:val="7"/>
            <w:noWrap w:val="0"/>
            <w:vAlign w:val="center"/>
          </w:tcPr>
          <w:p w14:paraId="352A4912">
            <w:pPr>
              <w:spacing w:line="360" w:lineRule="exact"/>
              <w:jc w:val="left"/>
              <w:rPr>
                <w:color w:val="auto"/>
                <w:sz w:val="21"/>
                <w:szCs w:val="21"/>
              </w:rPr>
            </w:pPr>
            <w:r>
              <w:rPr>
                <w:color w:val="auto"/>
                <w:sz w:val="21"/>
                <w:szCs w:val="21"/>
              </w:rPr>
              <w:t>注：①具体地块土壤中污染物监测含量超过筛选值，但等于或者低于土壤环境背景值（见3.6）水平的，不纳入污染地块管理。土壤环境背景值可参见附录A。</w:t>
            </w:r>
          </w:p>
        </w:tc>
      </w:tr>
    </w:tbl>
    <w:p w14:paraId="2A5575CE">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2.3.3.2污染物排放标准</w:t>
      </w:r>
    </w:p>
    <w:p w14:paraId="09EE7B09">
      <w:pPr>
        <w:bidi w:val="0"/>
        <w:spacing w:line="360" w:lineRule="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1、</w:t>
      </w:r>
      <w:r>
        <w:rPr>
          <w:rFonts w:hint="eastAsia" w:ascii="Times New Roman" w:hAnsi="Times New Roman" w:eastAsia="宋体" w:cs="Times New Roman"/>
          <w:b/>
          <w:bCs/>
          <w:sz w:val="24"/>
          <w:szCs w:val="24"/>
          <w:lang w:val="en-US" w:eastAsia="zh-CN"/>
        </w:rPr>
        <w:t>施工期污染物排放标准</w:t>
      </w:r>
    </w:p>
    <w:p w14:paraId="44E0A7F4">
      <w:pPr>
        <w:bidi w:val="0"/>
        <w:spacing w:line="360" w:lineRule="auto"/>
        <w:ind w:firstLine="480" w:firstLineChars="200"/>
        <w:rPr>
          <w:rFonts w:hint="default"/>
          <w:sz w:val="24"/>
          <w:szCs w:val="32"/>
          <w:lang w:val="en-US" w:eastAsia="zh-CN"/>
        </w:rPr>
      </w:pPr>
      <w:r>
        <w:rPr>
          <w:rFonts w:hint="eastAsia"/>
          <w:sz w:val="24"/>
          <w:szCs w:val="32"/>
          <w:lang w:val="en-US" w:eastAsia="zh-CN"/>
        </w:rPr>
        <w:t>企业为未批先建项目，施工期已过，企业在施工期间采取了相应的污染防治措施，污染物排放量较小。</w:t>
      </w:r>
    </w:p>
    <w:p w14:paraId="4256CC01">
      <w:pPr>
        <w:bidi w:val="0"/>
        <w:spacing w:line="360" w:lineRule="auto"/>
        <w:rPr>
          <w:rFonts w:hint="eastAsia" w:ascii="Times New Roman" w:hAnsi="Times New Roman" w:eastAsia="宋体" w:cs="Times New Roman"/>
          <w:b/>
          <w:bCs/>
          <w:sz w:val="24"/>
          <w:szCs w:val="24"/>
          <w:lang w:val="en-US" w:eastAsia="zh-CN"/>
        </w:rPr>
      </w:pPr>
      <w:r>
        <w:rPr>
          <w:rFonts w:hint="eastAsia" w:cs="Times New Roman"/>
          <w:b/>
          <w:bCs/>
          <w:sz w:val="24"/>
          <w:szCs w:val="24"/>
          <w:lang w:val="en-US" w:eastAsia="zh-CN"/>
        </w:rPr>
        <w:t>2、</w:t>
      </w:r>
      <w:r>
        <w:rPr>
          <w:rFonts w:hint="eastAsia" w:ascii="Times New Roman" w:hAnsi="Times New Roman" w:eastAsia="宋体" w:cs="Times New Roman"/>
          <w:b/>
          <w:bCs/>
          <w:sz w:val="24"/>
          <w:szCs w:val="24"/>
          <w:lang w:val="en-US" w:eastAsia="zh-CN"/>
        </w:rPr>
        <w:t>运营期污染物排放标准</w:t>
      </w:r>
    </w:p>
    <w:p w14:paraId="58ACDDB3">
      <w:pPr>
        <w:spacing w:line="360" w:lineRule="auto"/>
        <w:rPr>
          <w:rFonts w:hint="eastAsia" w:eastAsia="宋体"/>
          <w:b/>
          <w:bCs/>
          <w:color w:val="auto"/>
          <w:sz w:val="24"/>
          <w:lang w:val="en-US" w:eastAsia="zh-CN"/>
        </w:rPr>
      </w:pPr>
      <w:r>
        <w:rPr>
          <w:b/>
          <w:bCs/>
          <w:color w:val="auto"/>
          <w:sz w:val="24"/>
        </w:rPr>
        <w:t>（1）</w:t>
      </w:r>
      <w:r>
        <w:rPr>
          <w:rFonts w:hint="eastAsia"/>
          <w:b/>
          <w:bCs/>
          <w:color w:val="auto"/>
          <w:sz w:val="24"/>
          <w:lang w:val="en-US" w:eastAsia="zh-CN"/>
        </w:rPr>
        <w:t>废气</w:t>
      </w:r>
    </w:p>
    <w:p w14:paraId="48CDA3FE">
      <w:pPr>
        <w:spacing w:line="360" w:lineRule="auto"/>
        <w:ind w:firstLine="480" w:firstLineChars="200"/>
        <w:rPr>
          <w:color w:val="auto"/>
          <w:sz w:val="24"/>
        </w:rPr>
      </w:pPr>
      <w:r>
        <w:rPr>
          <w:color w:val="auto"/>
          <w:sz w:val="24"/>
        </w:rPr>
        <w:t>运营期排放的</w:t>
      </w:r>
      <w:r>
        <w:rPr>
          <w:rFonts w:hint="eastAsia"/>
          <w:color w:val="auto"/>
          <w:sz w:val="24"/>
          <w:lang w:val="en-US" w:eastAsia="zh-CN"/>
        </w:rPr>
        <w:t>颗粒物</w:t>
      </w:r>
      <w:r>
        <w:rPr>
          <w:color w:val="auto"/>
          <w:sz w:val="24"/>
        </w:rPr>
        <w:t>执行</w:t>
      </w:r>
      <w:r>
        <w:rPr>
          <w:rFonts w:hint="eastAsia"/>
          <w:color w:val="auto"/>
          <w:sz w:val="24"/>
          <w:lang w:val="en-US" w:eastAsia="zh-CN"/>
        </w:rPr>
        <w:t>《大气污染物综合排放标准》</w:t>
      </w:r>
      <w:r>
        <w:rPr>
          <w:rFonts w:hint="default"/>
          <w:color w:val="auto"/>
          <w:sz w:val="24"/>
          <w:lang w:val="en-US" w:eastAsia="zh-CN"/>
        </w:rPr>
        <w:t>(GB16297- 1996</w:t>
      </w:r>
      <w:r>
        <w:rPr>
          <w:rFonts w:hint="eastAsia"/>
          <w:color w:val="auto"/>
          <w:sz w:val="24"/>
          <w:lang w:val="en-US" w:eastAsia="zh-CN"/>
        </w:rPr>
        <w:t>）表</w:t>
      </w:r>
      <w:r>
        <w:rPr>
          <w:rFonts w:hint="default"/>
          <w:color w:val="auto"/>
          <w:sz w:val="24"/>
          <w:lang w:val="en-US" w:eastAsia="zh-CN"/>
        </w:rPr>
        <w:t xml:space="preserve">2 </w:t>
      </w:r>
      <w:r>
        <w:rPr>
          <w:rFonts w:hint="eastAsia"/>
          <w:color w:val="auto"/>
          <w:sz w:val="24"/>
          <w:lang w:val="en-US" w:eastAsia="zh-CN"/>
        </w:rPr>
        <w:t>标准要求</w:t>
      </w:r>
      <w:r>
        <w:rPr>
          <w:rFonts w:hint="eastAsia"/>
          <w:color w:val="auto"/>
          <w:sz w:val="24"/>
        </w:rPr>
        <w:t>。</w:t>
      </w:r>
      <w:r>
        <w:rPr>
          <w:rFonts w:hint="eastAsia"/>
          <w:color w:val="auto"/>
          <w:sz w:val="24"/>
          <w:lang w:val="en-US" w:eastAsia="zh-CN"/>
        </w:rPr>
        <w:t>具体标准限值见下表</w:t>
      </w:r>
      <w:r>
        <w:rPr>
          <w:color w:val="auto"/>
          <w:sz w:val="24"/>
        </w:rPr>
        <w:t>。</w:t>
      </w:r>
    </w:p>
    <w:p w14:paraId="1AEC0166">
      <w:pPr>
        <w:spacing w:line="360" w:lineRule="auto"/>
        <w:ind w:firstLine="482"/>
        <w:jc w:val="center"/>
        <w:rPr>
          <w:rFonts w:hint="default" w:eastAsia="宋体"/>
          <w:b/>
          <w:bCs/>
          <w:color w:val="auto"/>
          <w:sz w:val="24"/>
          <w:szCs w:val="24"/>
          <w:lang w:val="en-US" w:eastAsia="zh-CN"/>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2.3-8</w:t>
      </w:r>
      <w:r>
        <w:rPr>
          <w:rFonts w:hint="eastAsia" w:ascii="Times New Roman" w:hAnsi="Times New Roman" w:eastAsia="宋体" w:cs="Times New Roman"/>
          <w:b/>
          <w:color w:val="auto"/>
          <w:kern w:val="2"/>
          <w:sz w:val="24"/>
          <w:szCs w:val="24"/>
          <w:lang w:val="en-US" w:eastAsia="zh-CN" w:bidi="ar-SA"/>
        </w:rPr>
        <w:t xml:space="preserve">  大气污染物排放标准限值 </w:t>
      </w:r>
      <w:r>
        <w:rPr>
          <w:rFonts w:hint="eastAsia"/>
          <w:b/>
          <w:bCs/>
          <w:color w:val="auto"/>
          <w:sz w:val="24"/>
          <w:szCs w:val="24"/>
          <w:lang w:val="en-US" w:eastAsia="zh-CN"/>
        </w:rPr>
        <w:t xml:space="preserve">  </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5" w:type="dxa"/>
          <w:left w:w="57" w:type="dxa"/>
          <w:bottom w:w="45" w:type="dxa"/>
          <w:right w:w="57" w:type="dxa"/>
        </w:tblCellMar>
      </w:tblPr>
      <w:tblGrid>
        <w:gridCol w:w="751"/>
        <w:gridCol w:w="1846"/>
        <w:gridCol w:w="2980"/>
        <w:gridCol w:w="3038"/>
      </w:tblGrid>
      <w:tr w14:paraId="14CEA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cantSplit/>
          <w:trHeight w:val="397" w:hRule="atLeast"/>
          <w:jc w:val="center"/>
        </w:trPr>
        <w:tc>
          <w:tcPr>
            <w:tcW w:w="436" w:type="pct"/>
            <w:vMerge w:val="restart"/>
            <w:tcBorders>
              <w:tl2br w:val="nil"/>
              <w:tr2bl w:val="nil"/>
            </w:tcBorders>
            <w:vAlign w:val="center"/>
          </w:tcPr>
          <w:p w14:paraId="68A6BBB9">
            <w:pPr>
              <w:pStyle w:val="184"/>
              <w:spacing w:line="240" w:lineRule="auto"/>
              <w:rPr>
                <w:color w:val="auto"/>
                <w:sz w:val="21"/>
              </w:rPr>
            </w:pPr>
            <w:r>
              <w:rPr>
                <w:color w:val="auto"/>
                <w:sz w:val="21"/>
              </w:rPr>
              <w:t>类别</w:t>
            </w:r>
          </w:p>
        </w:tc>
        <w:tc>
          <w:tcPr>
            <w:tcW w:w="1071" w:type="pct"/>
            <w:vMerge w:val="restart"/>
            <w:tcBorders>
              <w:tl2br w:val="nil"/>
              <w:tr2bl w:val="nil"/>
            </w:tcBorders>
            <w:vAlign w:val="center"/>
          </w:tcPr>
          <w:p w14:paraId="7C6F04D5">
            <w:pPr>
              <w:pStyle w:val="184"/>
              <w:spacing w:line="240" w:lineRule="auto"/>
              <w:rPr>
                <w:color w:val="auto"/>
                <w:sz w:val="21"/>
              </w:rPr>
            </w:pPr>
            <w:r>
              <w:rPr>
                <w:color w:val="auto"/>
                <w:sz w:val="21"/>
              </w:rPr>
              <w:t>污染因子</w:t>
            </w:r>
          </w:p>
        </w:tc>
        <w:tc>
          <w:tcPr>
            <w:tcW w:w="3492" w:type="pct"/>
            <w:gridSpan w:val="2"/>
            <w:tcBorders>
              <w:tl2br w:val="nil"/>
              <w:tr2bl w:val="nil"/>
            </w:tcBorders>
            <w:vAlign w:val="center"/>
          </w:tcPr>
          <w:p w14:paraId="1D406A0B">
            <w:pPr>
              <w:pStyle w:val="184"/>
              <w:spacing w:line="240" w:lineRule="auto"/>
              <w:rPr>
                <w:color w:val="auto"/>
                <w:sz w:val="21"/>
              </w:rPr>
            </w:pPr>
            <w:r>
              <w:rPr>
                <w:color w:val="auto"/>
                <w:sz w:val="21"/>
              </w:rPr>
              <w:t>标准值</w:t>
            </w:r>
          </w:p>
        </w:tc>
      </w:tr>
      <w:tr w14:paraId="6880C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cantSplit/>
          <w:trHeight w:val="397" w:hRule="atLeast"/>
          <w:jc w:val="center"/>
        </w:trPr>
        <w:tc>
          <w:tcPr>
            <w:tcW w:w="436" w:type="pct"/>
            <w:vMerge w:val="continue"/>
            <w:tcBorders>
              <w:tl2br w:val="nil"/>
              <w:tr2bl w:val="nil"/>
            </w:tcBorders>
            <w:vAlign w:val="center"/>
          </w:tcPr>
          <w:p w14:paraId="1B508B1B">
            <w:pPr>
              <w:rPr>
                <w:color w:val="auto"/>
              </w:rPr>
            </w:pPr>
          </w:p>
        </w:tc>
        <w:tc>
          <w:tcPr>
            <w:tcW w:w="1071" w:type="pct"/>
            <w:vMerge w:val="continue"/>
            <w:tcBorders>
              <w:tl2br w:val="nil"/>
              <w:tr2bl w:val="nil"/>
            </w:tcBorders>
            <w:vAlign w:val="center"/>
          </w:tcPr>
          <w:p w14:paraId="5E9D4149">
            <w:pPr>
              <w:rPr>
                <w:color w:val="auto"/>
              </w:rPr>
            </w:pPr>
          </w:p>
        </w:tc>
        <w:tc>
          <w:tcPr>
            <w:tcW w:w="1729" w:type="pct"/>
            <w:tcBorders>
              <w:tl2br w:val="nil"/>
              <w:tr2bl w:val="nil"/>
            </w:tcBorders>
            <w:vAlign w:val="center"/>
          </w:tcPr>
          <w:p w14:paraId="22D67D19">
            <w:pPr>
              <w:pStyle w:val="184"/>
              <w:spacing w:line="240" w:lineRule="auto"/>
              <w:rPr>
                <w:rFonts w:hint="eastAsia" w:eastAsia="宋体"/>
                <w:color w:val="auto"/>
                <w:sz w:val="21"/>
                <w:lang w:eastAsia="zh-CN"/>
              </w:rPr>
            </w:pPr>
            <w:r>
              <w:rPr>
                <w:rFonts w:hint="eastAsia"/>
                <w:color w:val="auto"/>
                <w:sz w:val="21"/>
                <w:lang w:eastAsia="zh-CN"/>
              </w:rPr>
              <w:t>排放形式</w:t>
            </w:r>
          </w:p>
        </w:tc>
        <w:tc>
          <w:tcPr>
            <w:tcW w:w="1762" w:type="pct"/>
            <w:tcBorders>
              <w:tl2br w:val="nil"/>
              <w:tr2bl w:val="nil"/>
            </w:tcBorders>
            <w:vAlign w:val="center"/>
          </w:tcPr>
          <w:p w14:paraId="482DB26B">
            <w:pPr>
              <w:pStyle w:val="184"/>
              <w:spacing w:line="240" w:lineRule="auto"/>
              <w:rPr>
                <w:rFonts w:hint="eastAsia" w:eastAsia="宋体"/>
                <w:color w:val="auto"/>
                <w:sz w:val="21"/>
                <w:lang w:eastAsia="zh-CN"/>
              </w:rPr>
            </w:pPr>
            <w:r>
              <w:rPr>
                <w:rFonts w:hint="eastAsia"/>
                <w:color w:val="auto"/>
                <w:sz w:val="21"/>
                <w:lang w:eastAsia="zh-CN"/>
              </w:rPr>
              <w:t>标准限值</w:t>
            </w:r>
          </w:p>
        </w:tc>
      </w:tr>
      <w:tr w14:paraId="7527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cantSplit/>
          <w:trHeight w:val="397" w:hRule="atLeast"/>
          <w:jc w:val="center"/>
        </w:trPr>
        <w:tc>
          <w:tcPr>
            <w:tcW w:w="436" w:type="pct"/>
            <w:vMerge w:val="restart"/>
            <w:tcBorders>
              <w:tl2br w:val="nil"/>
              <w:tr2bl w:val="nil"/>
            </w:tcBorders>
            <w:vAlign w:val="center"/>
          </w:tcPr>
          <w:p w14:paraId="35DACC81">
            <w:pPr>
              <w:pStyle w:val="184"/>
              <w:spacing w:line="240" w:lineRule="auto"/>
              <w:rPr>
                <w:color w:val="auto"/>
                <w:sz w:val="21"/>
              </w:rPr>
            </w:pPr>
            <w:r>
              <w:rPr>
                <w:color w:val="auto"/>
                <w:sz w:val="21"/>
              </w:rPr>
              <w:t>废气</w:t>
            </w:r>
          </w:p>
        </w:tc>
        <w:tc>
          <w:tcPr>
            <w:tcW w:w="1071" w:type="pct"/>
            <w:tcBorders>
              <w:tl2br w:val="nil"/>
              <w:tr2bl w:val="nil"/>
            </w:tcBorders>
            <w:vAlign w:val="center"/>
          </w:tcPr>
          <w:p w14:paraId="57FDBA2A">
            <w:pPr>
              <w:pStyle w:val="184"/>
              <w:spacing w:line="240" w:lineRule="auto"/>
              <w:rPr>
                <w:color w:val="auto"/>
                <w:sz w:val="21"/>
              </w:rPr>
            </w:pPr>
            <w:r>
              <w:rPr>
                <w:color w:val="auto"/>
                <w:sz w:val="21"/>
              </w:rPr>
              <w:t>颗粒物</w:t>
            </w:r>
          </w:p>
        </w:tc>
        <w:tc>
          <w:tcPr>
            <w:tcW w:w="1729" w:type="pct"/>
            <w:tcBorders>
              <w:tl2br w:val="nil"/>
              <w:tr2bl w:val="nil"/>
            </w:tcBorders>
            <w:vAlign w:val="center"/>
          </w:tcPr>
          <w:p w14:paraId="673D2396">
            <w:pPr>
              <w:pStyle w:val="184"/>
              <w:spacing w:line="240" w:lineRule="auto"/>
              <w:rPr>
                <w:rFonts w:hint="eastAsia" w:eastAsia="宋体"/>
                <w:color w:val="auto"/>
                <w:sz w:val="21"/>
                <w:lang w:eastAsia="zh-CN"/>
              </w:rPr>
            </w:pPr>
            <w:r>
              <w:rPr>
                <w:rFonts w:hint="eastAsia"/>
                <w:color w:val="auto"/>
                <w:sz w:val="21"/>
                <w:lang w:eastAsia="zh-CN"/>
              </w:rPr>
              <w:t>无组织</w:t>
            </w:r>
          </w:p>
        </w:tc>
        <w:tc>
          <w:tcPr>
            <w:tcW w:w="1762" w:type="pct"/>
            <w:tcBorders>
              <w:tl2br w:val="nil"/>
              <w:tr2bl w:val="nil"/>
            </w:tcBorders>
            <w:vAlign w:val="center"/>
          </w:tcPr>
          <w:p w14:paraId="3F66F914">
            <w:pPr>
              <w:pStyle w:val="184"/>
              <w:spacing w:line="240" w:lineRule="auto"/>
              <w:rPr>
                <w:color w:val="auto"/>
                <w:sz w:val="21"/>
              </w:rPr>
            </w:pPr>
            <w:r>
              <w:rPr>
                <w:rFonts w:hint="eastAsia"/>
                <w:color w:val="auto"/>
                <w:sz w:val="21"/>
                <w:lang w:val="en-US" w:eastAsia="zh-CN"/>
              </w:rPr>
              <w:t>1</w:t>
            </w:r>
            <w:r>
              <w:rPr>
                <w:color w:val="auto"/>
                <w:sz w:val="21"/>
              </w:rPr>
              <w:t>.0mg/m</w:t>
            </w:r>
            <w:r>
              <w:rPr>
                <w:color w:val="auto"/>
                <w:sz w:val="21"/>
                <w:vertAlign w:val="superscript"/>
              </w:rPr>
              <w:t>3</w:t>
            </w:r>
          </w:p>
        </w:tc>
      </w:tr>
      <w:tr w14:paraId="37A6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cantSplit/>
          <w:trHeight w:val="357" w:hRule="atLeast"/>
          <w:jc w:val="center"/>
        </w:trPr>
        <w:tc>
          <w:tcPr>
            <w:tcW w:w="436" w:type="pct"/>
            <w:vMerge w:val="continue"/>
            <w:tcBorders>
              <w:tl2br w:val="nil"/>
              <w:tr2bl w:val="nil"/>
            </w:tcBorders>
            <w:vAlign w:val="center"/>
          </w:tcPr>
          <w:p w14:paraId="3EBD8073">
            <w:pPr>
              <w:rPr>
                <w:color w:val="auto"/>
              </w:rPr>
            </w:pPr>
          </w:p>
        </w:tc>
        <w:tc>
          <w:tcPr>
            <w:tcW w:w="1071" w:type="pct"/>
            <w:vMerge w:val="restart"/>
            <w:tcBorders>
              <w:tl2br w:val="nil"/>
              <w:tr2bl w:val="nil"/>
            </w:tcBorders>
            <w:vAlign w:val="center"/>
          </w:tcPr>
          <w:p w14:paraId="26FDD9BF">
            <w:pPr>
              <w:pStyle w:val="184"/>
              <w:spacing w:line="240" w:lineRule="auto"/>
              <w:rPr>
                <w:color w:val="auto"/>
                <w:sz w:val="21"/>
              </w:rPr>
            </w:pPr>
            <w:r>
              <w:rPr>
                <w:color w:val="auto"/>
                <w:sz w:val="21"/>
              </w:rPr>
              <w:t>颗粒物</w:t>
            </w:r>
          </w:p>
        </w:tc>
        <w:tc>
          <w:tcPr>
            <w:tcW w:w="1729" w:type="pct"/>
            <w:tcBorders>
              <w:tl2br w:val="nil"/>
              <w:tr2bl w:val="nil"/>
            </w:tcBorders>
            <w:vAlign w:val="center"/>
          </w:tcPr>
          <w:p w14:paraId="452ABD15">
            <w:pPr>
              <w:pStyle w:val="184"/>
              <w:spacing w:line="240" w:lineRule="auto"/>
              <w:rPr>
                <w:rFonts w:hint="default" w:eastAsia="宋体"/>
                <w:color w:val="auto"/>
                <w:sz w:val="21"/>
                <w:lang w:val="en-US" w:eastAsia="zh-CN"/>
              </w:rPr>
            </w:pPr>
            <w:r>
              <w:rPr>
                <w:rFonts w:hint="eastAsia"/>
                <w:color w:val="auto"/>
                <w:sz w:val="21"/>
                <w:lang w:val="en-US" w:eastAsia="zh-CN"/>
              </w:rPr>
              <w:t>最高允许排放浓度</w:t>
            </w:r>
          </w:p>
        </w:tc>
        <w:tc>
          <w:tcPr>
            <w:tcW w:w="1762" w:type="pct"/>
            <w:tcBorders>
              <w:tl2br w:val="nil"/>
              <w:tr2bl w:val="nil"/>
            </w:tcBorders>
            <w:vAlign w:val="center"/>
          </w:tcPr>
          <w:p w14:paraId="5EDB9DA2">
            <w:pPr>
              <w:pStyle w:val="184"/>
              <w:spacing w:line="240" w:lineRule="auto"/>
              <w:rPr>
                <w:rFonts w:hint="default" w:eastAsia="宋体"/>
                <w:color w:val="auto"/>
                <w:sz w:val="21"/>
                <w:szCs w:val="21"/>
                <w:lang w:val="en-US" w:eastAsia="zh-CN"/>
              </w:rPr>
            </w:pPr>
            <w:r>
              <w:rPr>
                <w:rFonts w:hint="eastAsia"/>
                <w:color w:val="auto"/>
                <w:sz w:val="21"/>
                <w:szCs w:val="21"/>
                <w:lang w:val="en-US" w:eastAsia="zh-CN"/>
              </w:rPr>
              <w:t>120mg/m</w:t>
            </w:r>
            <w:r>
              <w:rPr>
                <w:rFonts w:hint="eastAsia"/>
                <w:color w:val="auto"/>
                <w:sz w:val="21"/>
                <w:szCs w:val="21"/>
                <w:vertAlign w:val="superscript"/>
                <w:lang w:val="en-US" w:eastAsia="zh-CN"/>
              </w:rPr>
              <w:t>3</w:t>
            </w:r>
          </w:p>
        </w:tc>
      </w:tr>
      <w:tr w14:paraId="13A2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5" w:type="dxa"/>
            <w:left w:w="57" w:type="dxa"/>
            <w:bottom w:w="45" w:type="dxa"/>
            <w:right w:w="57" w:type="dxa"/>
          </w:tblCellMar>
        </w:tblPrEx>
        <w:trPr>
          <w:cantSplit/>
          <w:trHeight w:val="357" w:hRule="atLeast"/>
          <w:jc w:val="center"/>
        </w:trPr>
        <w:tc>
          <w:tcPr>
            <w:tcW w:w="436" w:type="pct"/>
            <w:vMerge w:val="continue"/>
            <w:tcBorders>
              <w:tl2br w:val="nil"/>
              <w:tr2bl w:val="nil"/>
            </w:tcBorders>
            <w:vAlign w:val="center"/>
          </w:tcPr>
          <w:p w14:paraId="4BB2F15D">
            <w:pPr>
              <w:pStyle w:val="184"/>
              <w:spacing w:line="240" w:lineRule="auto"/>
            </w:pPr>
          </w:p>
        </w:tc>
        <w:tc>
          <w:tcPr>
            <w:tcW w:w="1071" w:type="pct"/>
            <w:vMerge w:val="continue"/>
            <w:tcBorders>
              <w:tl2br w:val="nil"/>
              <w:tr2bl w:val="nil"/>
            </w:tcBorders>
            <w:vAlign w:val="center"/>
          </w:tcPr>
          <w:p w14:paraId="084741CF">
            <w:pPr>
              <w:pStyle w:val="184"/>
              <w:spacing w:line="240" w:lineRule="auto"/>
            </w:pPr>
          </w:p>
        </w:tc>
        <w:tc>
          <w:tcPr>
            <w:tcW w:w="1729" w:type="pct"/>
            <w:tcBorders>
              <w:tl2br w:val="nil"/>
              <w:tr2bl w:val="nil"/>
            </w:tcBorders>
            <w:vAlign w:val="center"/>
          </w:tcPr>
          <w:p w14:paraId="04560EA8">
            <w:pPr>
              <w:pStyle w:val="184"/>
              <w:spacing w:line="240" w:lineRule="auto"/>
              <w:rPr>
                <w:rFonts w:hint="default" w:eastAsia="宋体"/>
                <w:color w:val="auto"/>
                <w:sz w:val="21"/>
                <w:szCs w:val="21"/>
                <w:lang w:val="en-US" w:eastAsia="zh-CN"/>
              </w:rPr>
            </w:pPr>
            <w:r>
              <w:rPr>
                <w:rFonts w:hint="eastAsia"/>
                <w:color w:val="auto"/>
                <w:sz w:val="21"/>
                <w:szCs w:val="21"/>
                <w:lang w:val="en-US" w:eastAsia="zh-CN"/>
              </w:rPr>
              <w:t>排放速率</w:t>
            </w:r>
          </w:p>
        </w:tc>
        <w:tc>
          <w:tcPr>
            <w:tcW w:w="1762" w:type="pct"/>
            <w:tcBorders>
              <w:tl2br w:val="nil"/>
              <w:tr2bl w:val="nil"/>
            </w:tcBorders>
            <w:vAlign w:val="center"/>
          </w:tcPr>
          <w:p w14:paraId="01860D5D">
            <w:pPr>
              <w:pStyle w:val="184"/>
              <w:spacing w:line="240" w:lineRule="auto"/>
              <w:rPr>
                <w:rFonts w:hint="eastAsia" w:eastAsia="宋体"/>
                <w:color w:val="auto"/>
                <w:sz w:val="21"/>
                <w:szCs w:val="21"/>
                <w:lang w:val="en-US" w:eastAsia="zh-CN"/>
              </w:rPr>
            </w:pPr>
            <w:r>
              <w:rPr>
                <w:rFonts w:hint="eastAsia"/>
                <w:color w:val="auto"/>
                <w:sz w:val="21"/>
                <w:szCs w:val="21"/>
                <w:lang w:val="en-US" w:eastAsia="zh-CN"/>
              </w:rPr>
              <w:t>3.5kg/h</w:t>
            </w:r>
            <w:r>
              <w:rPr>
                <w:rFonts w:hint="eastAsia"/>
                <w:color w:val="auto"/>
                <w:sz w:val="21"/>
                <w:szCs w:val="21"/>
                <w:lang w:val="en-US" w:eastAsia="zh-CN"/>
              </w:rPr>
              <w:tab/>
            </w:r>
          </w:p>
        </w:tc>
      </w:tr>
    </w:tbl>
    <w:p w14:paraId="440EF5E3">
      <w:pPr>
        <w:spacing w:line="360" w:lineRule="auto"/>
        <w:rPr>
          <w:rFonts w:hint="default"/>
          <w:b/>
          <w:bCs/>
          <w:color w:val="auto"/>
          <w:sz w:val="24"/>
          <w:lang w:val="en-US" w:eastAsia="zh-CN"/>
        </w:rPr>
      </w:pPr>
      <w:r>
        <w:rPr>
          <w:rFonts w:hint="eastAsia"/>
          <w:b/>
          <w:bCs/>
          <w:color w:val="auto"/>
          <w:sz w:val="24"/>
          <w:lang w:eastAsia="zh-CN"/>
        </w:rPr>
        <w:t>（</w:t>
      </w:r>
      <w:r>
        <w:rPr>
          <w:rFonts w:hint="eastAsia"/>
          <w:b/>
          <w:bCs/>
          <w:color w:val="auto"/>
          <w:sz w:val="24"/>
          <w:lang w:val="en-US" w:eastAsia="zh-CN"/>
        </w:rPr>
        <w:t>2）噪声</w:t>
      </w:r>
    </w:p>
    <w:p w14:paraId="4408FF23">
      <w:pPr>
        <w:spacing w:line="360" w:lineRule="auto"/>
        <w:ind w:firstLine="480" w:firstLineChars="200"/>
        <w:rPr>
          <w:color w:val="auto"/>
          <w:sz w:val="24"/>
        </w:rPr>
      </w:pPr>
      <w:r>
        <w:rPr>
          <w:rFonts w:hint="eastAsia"/>
          <w:color w:val="auto"/>
          <w:sz w:val="24"/>
          <w:lang w:val="en-US" w:eastAsia="zh-CN"/>
        </w:rPr>
        <w:t>运营期</w:t>
      </w:r>
      <w:r>
        <w:rPr>
          <w:rFonts w:hint="eastAsia"/>
          <w:color w:val="auto"/>
          <w:sz w:val="24"/>
          <w:lang w:eastAsia="zh-CN"/>
        </w:rPr>
        <w:t>厂界</w:t>
      </w:r>
      <w:r>
        <w:rPr>
          <w:color w:val="auto"/>
          <w:sz w:val="24"/>
        </w:rPr>
        <w:t>噪声执行《工业企业厂界环境噪声排放标准》（GB12348-2008）中</w:t>
      </w:r>
      <w:r>
        <w:rPr>
          <w:rFonts w:hint="eastAsia"/>
          <w:color w:val="auto"/>
          <w:sz w:val="24"/>
          <w:lang w:val="en-US" w:eastAsia="zh-CN"/>
        </w:rPr>
        <w:t>3</w:t>
      </w:r>
      <w:r>
        <w:rPr>
          <w:color w:val="auto"/>
          <w:sz w:val="24"/>
        </w:rPr>
        <w:t>类标准。</w:t>
      </w:r>
      <w:r>
        <w:rPr>
          <w:rFonts w:hint="eastAsia"/>
          <w:color w:val="auto"/>
          <w:sz w:val="24"/>
          <w:lang w:val="en-US" w:eastAsia="zh-CN"/>
        </w:rPr>
        <w:t>具体标准限值见下表</w:t>
      </w:r>
      <w:r>
        <w:rPr>
          <w:color w:val="auto"/>
          <w:sz w:val="24"/>
        </w:rPr>
        <w:t>。</w:t>
      </w:r>
    </w:p>
    <w:p w14:paraId="2AEDB700">
      <w:pPr>
        <w:tabs>
          <w:tab w:val="left" w:pos="2880"/>
        </w:tabs>
        <w:spacing w:line="360" w:lineRule="auto"/>
        <w:ind w:firstLine="482" w:firstLineChars="200"/>
        <w:jc w:val="center"/>
        <w:rPr>
          <w:color w:val="auto"/>
          <w:sz w:val="24"/>
          <w:szCs w:val="24"/>
        </w:rPr>
      </w:pPr>
      <w:r>
        <w:rPr>
          <w:b/>
          <w:color w:val="auto"/>
          <w:sz w:val="24"/>
          <w:szCs w:val="24"/>
        </w:rPr>
        <w:t>表2</w:t>
      </w:r>
      <w:r>
        <w:rPr>
          <w:rFonts w:hint="eastAsia"/>
          <w:b/>
          <w:color w:val="auto"/>
          <w:sz w:val="24"/>
          <w:szCs w:val="24"/>
          <w:lang w:val="en-US" w:eastAsia="zh-CN"/>
        </w:rPr>
        <w:t xml:space="preserve">.3-9  </w:t>
      </w:r>
      <w:r>
        <w:rPr>
          <w:b/>
          <w:color w:val="auto"/>
          <w:sz w:val="24"/>
          <w:szCs w:val="24"/>
        </w:rPr>
        <w:t xml:space="preserve">  工业企业厂界环境噪声排放标准   单位dB(A)</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2"/>
        <w:gridCol w:w="2842"/>
      </w:tblGrid>
      <w:tr w14:paraId="2547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2" w:type="dxa"/>
            <w:vAlign w:val="center"/>
          </w:tcPr>
          <w:p w14:paraId="348CBFC5">
            <w:pPr>
              <w:tabs>
                <w:tab w:val="left" w:pos="2880"/>
              </w:tabs>
              <w:jc w:val="center"/>
              <w:rPr>
                <w:b/>
                <w:color w:val="auto"/>
                <w:szCs w:val="21"/>
              </w:rPr>
            </w:pPr>
            <w:r>
              <w:rPr>
                <w:b/>
                <w:color w:val="auto"/>
                <w:szCs w:val="21"/>
              </w:rPr>
              <w:t>类别</w:t>
            </w:r>
          </w:p>
        </w:tc>
        <w:tc>
          <w:tcPr>
            <w:tcW w:w="2842" w:type="dxa"/>
            <w:vAlign w:val="center"/>
          </w:tcPr>
          <w:p w14:paraId="60C14624">
            <w:pPr>
              <w:tabs>
                <w:tab w:val="left" w:pos="2880"/>
              </w:tabs>
              <w:jc w:val="center"/>
              <w:rPr>
                <w:b/>
                <w:color w:val="auto"/>
                <w:szCs w:val="21"/>
              </w:rPr>
            </w:pPr>
            <w:r>
              <w:rPr>
                <w:b/>
                <w:color w:val="auto"/>
                <w:szCs w:val="21"/>
              </w:rPr>
              <w:t>昼间</w:t>
            </w:r>
          </w:p>
        </w:tc>
        <w:tc>
          <w:tcPr>
            <w:tcW w:w="2842" w:type="dxa"/>
            <w:vAlign w:val="center"/>
          </w:tcPr>
          <w:p w14:paraId="7FE881D4">
            <w:pPr>
              <w:tabs>
                <w:tab w:val="left" w:pos="2880"/>
              </w:tabs>
              <w:jc w:val="center"/>
              <w:rPr>
                <w:b/>
                <w:color w:val="auto"/>
                <w:szCs w:val="21"/>
              </w:rPr>
            </w:pPr>
            <w:r>
              <w:rPr>
                <w:b/>
                <w:color w:val="auto"/>
                <w:szCs w:val="21"/>
              </w:rPr>
              <w:t>夜间</w:t>
            </w:r>
          </w:p>
        </w:tc>
      </w:tr>
      <w:tr w14:paraId="2283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842" w:type="dxa"/>
            <w:vAlign w:val="center"/>
          </w:tcPr>
          <w:p w14:paraId="0828D6F6">
            <w:pPr>
              <w:tabs>
                <w:tab w:val="left" w:pos="2880"/>
              </w:tabs>
              <w:jc w:val="center"/>
              <w:rPr>
                <w:color w:val="auto"/>
                <w:szCs w:val="21"/>
              </w:rPr>
            </w:pPr>
            <w:r>
              <w:rPr>
                <w:rFonts w:hint="eastAsia"/>
                <w:color w:val="auto"/>
                <w:szCs w:val="21"/>
                <w:lang w:val="en-US" w:eastAsia="zh-CN"/>
              </w:rPr>
              <w:t>3</w:t>
            </w:r>
            <w:r>
              <w:rPr>
                <w:color w:val="auto"/>
                <w:szCs w:val="21"/>
              </w:rPr>
              <w:t>类标准</w:t>
            </w:r>
          </w:p>
        </w:tc>
        <w:tc>
          <w:tcPr>
            <w:tcW w:w="2842" w:type="dxa"/>
            <w:vAlign w:val="center"/>
          </w:tcPr>
          <w:p w14:paraId="4C8EBBB6">
            <w:pPr>
              <w:tabs>
                <w:tab w:val="left" w:pos="2880"/>
              </w:tabs>
              <w:jc w:val="center"/>
              <w:rPr>
                <w:rFonts w:hint="default" w:eastAsia="宋体"/>
                <w:color w:val="auto"/>
                <w:szCs w:val="21"/>
                <w:lang w:val="en-US" w:eastAsia="zh-CN"/>
              </w:rPr>
            </w:pPr>
            <w:r>
              <w:rPr>
                <w:rFonts w:hint="eastAsia"/>
                <w:color w:val="auto"/>
                <w:szCs w:val="21"/>
                <w:lang w:val="en-US" w:eastAsia="zh-CN"/>
              </w:rPr>
              <w:t>65</w:t>
            </w:r>
          </w:p>
        </w:tc>
        <w:tc>
          <w:tcPr>
            <w:tcW w:w="2842" w:type="dxa"/>
            <w:vAlign w:val="center"/>
          </w:tcPr>
          <w:p w14:paraId="10454281">
            <w:pPr>
              <w:tabs>
                <w:tab w:val="left" w:pos="2880"/>
              </w:tabs>
              <w:jc w:val="center"/>
              <w:rPr>
                <w:rFonts w:hint="default" w:eastAsia="宋体"/>
                <w:color w:val="auto"/>
                <w:szCs w:val="21"/>
                <w:lang w:val="en-US" w:eastAsia="zh-CN"/>
              </w:rPr>
            </w:pPr>
            <w:r>
              <w:rPr>
                <w:rFonts w:hint="eastAsia"/>
                <w:color w:val="auto"/>
                <w:szCs w:val="21"/>
                <w:lang w:val="en-US" w:eastAsia="zh-CN"/>
              </w:rPr>
              <w:t>55</w:t>
            </w:r>
          </w:p>
        </w:tc>
      </w:tr>
    </w:tbl>
    <w:p w14:paraId="2A695430">
      <w:pPr>
        <w:keepNext w:val="0"/>
        <w:keepLines w:val="0"/>
        <w:widowControl/>
        <w:numPr>
          <w:ilvl w:val="0"/>
          <w:numId w:val="4"/>
        </w:numPr>
        <w:suppressLineNumbers w:val="0"/>
        <w:spacing w:line="360" w:lineRule="auto"/>
        <w:ind w:left="0" w:leftChars="0" w:firstLine="0" w:firstLineChars="0"/>
        <w:jc w:val="left"/>
        <w:rPr>
          <w:rFonts w:hint="eastAsia"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废水</w:t>
      </w:r>
    </w:p>
    <w:p w14:paraId="3AC8C8C9">
      <w:pPr>
        <w:numPr>
          <w:ilvl w:val="0"/>
          <w:numId w:val="0"/>
        </w:numPr>
        <w:spacing w:line="360" w:lineRule="auto"/>
        <w:ind w:firstLine="480" w:firstLineChars="200"/>
        <w:rPr>
          <w:rFonts w:hint="eastAsia" w:eastAsia="宋体" w:cs="Times New Roman"/>
          <w:color w:val="auto"/>
          <w:kern w:val="0"/>
          <w:sz w:val="24"/>
          <w:szCs w:val="24"/>
          <w:highlight w:val="none"/>
          <w:lang w:val="en-US" w:eastAsia="zh-CN" w:bidi="ar"/>
        </w:rPr>
      </w:pPr>
      <w:r>
        <w:rPr>
          <w:rFonts w:hint="eastAsia" w:eastAsia="宋体" w:cs="Times New Roman"/>
          <w:color w:val="auto"/>
          <w:kern w:val="0"/>
          <w:sz w:val="24"/>
          <w:szCs w:val="24"/>
          <w:highlight w:val="none"/>
          <w:lang w:val="en-US" w:eastAsia="zh-CN" w:bidi="ar"/>
        </w:rPr>
        <w:t>生活污水依托现有旱厕处理，定期清掏，不外排；</w:t>
      </w:r>
      <w:r>
        <w:rPr>
          <w:rFonts w:hint="eastAsia" w:cs="Times New Roman"/>
          <w:color w:val="auto"/>
          <w:kern w:val="0"/>
          <w:sz w:val="24"/>
          <w:szCs w:val="24"/>
          <w:highlight w:val="none"/>
          <w:lang w:val="en-US" w:eastAsia="zh-CN" w:bidi="ar"/>
        </w:rPr>
        <w:t>生产废水（包括选矿工艺废水和车间地面清洗废水）全部回用于选矿工序</w:t>
      </w:r>
      <w:r>
        <w:rPr>
          <w:rFonts w:hint="eastAsia" w:eastAsia="宋体" w:cs="Times New Roman"/>
          <w:color w:val="auto"/>
          <w:kern w:val="0"/>
          <w:sz w:val="24"/>
          <w:szCs w:val="24"/>
          <w:highlight w:val="none"/>
          <w:lang w:val="en-US" w:eastAsia="zh-CN" w:bidi="ar"/>
        </w:rPr>
        <w:t>，金矿选矿用水对水质无指定要求，本次评价参照《城市污水再生利用工业用水水质标准》（</w:t>
      </w:r>
      <w:r>
        <w:rPr>
          <w:rFonts w:hint="default" w:eastAsia="宋体" w:cs="Times New Roman"/>
          <w:color w:val="auto"/>
          <w:kern w:val="0"/>
          <w:sz w:val="24"/>
          <w:szCs w:val="24"/>
          <w:highlight w:val="none"/>
          <w:lang w:val="en-US" w:eastAsia="zh-CN" w:bidi="ar"/>
        </w:rPr>
        <w:t>GB/T19923-2024</w:t>
      </w:r>
      <w:r>
        <w:rPr>
          <w:rFonts w:hint="eastAsia" w:eastAsia="宋体" w:cs="Times New Roman"/>
          <w:color w:val="auto"/>
          <w:kern w:val="0"/>
          <w:sz w:val="24"/>
          <w:szCs w:val="24"/>
          <w:highlight w:val="none"/>
          <w:lang w:val="en-US" w:eastAsia="zh-CN" w:bidi="ar"/>
        </w:rPr>
        <w:t>）中的工艺与产品用水水质标准执行。</w:t>
      </w:r>
      <w:r>
        <w:rPr>
          <w:rFonts w:hint="eastAsia"/>
          <w:color w:val="auto"/>
          <w:sz w:val="24"/>
          <w:lang w:val="en-US" w:eastAsia="zh-CN"/>
        </w:rPr>
        <w:t>具体标准限值见下表</w:t>
      </w:r>
      <w:r>
        <w:rPr>
          <w:color w:val="auto"/>
          <w:sz w:val="24"/>
        </w:rPr>
        <w:t>。</w:t>
      </w:r>
    </w:p>
    <w:p w14:paraId="65FFEE67">
      <w:pPr>
        <w:numPr>
          <w:ilvl w:val="0"/>
          <w:numId w:val="0"/>
        </w:numPr>
        <w:spacing w:line="360" w:lineRule="auto"/>
        <w:ind w:leftChars="0"/>
        <w:jc w:val="center"/>
        <w:rPr>
          <w:rFonts w:hint="eastAsia" w:cs="Times New Roman"/>
          <w:b/>
          <w:bCs/>
          <w:color w:val="auto"/>
          <w:kern w:val="0"/>
          <w:sz w:val="24"/>
          <w:szCs w:val="24"/>
          <w:highlight w:val="none"/>
          <w:lang w:val="en-US" w:eastAsia="zh-CN" w:bidi="ar"/>
        </w:rPr>
      </w:pPr>
      <w:r>
        <w:rPr>
          <w:rFonts w:hint="eastAsia" w:cs="Times New Roman"/>
          <w:b/>
          <w:bCs/>
          <w:color w:val="auto"/>
          <w:kern w:val="0"/>
          <w:sz w:val="24"/>
          <w:szCs w:val="24"/>
          <w:highlight w:val="none"/>
          <w:lang w:val="en-US" w:eastAsia="zh-CN" w:bidi="ar"/>
        </w:rPr>
        <w:t>表2.3-10   本项目选矿废水回用标准</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3"/>
        <w:gridCol w:w="1837"/>
        <w:gridCol w:w="2180"/>
        <w:gridCol w:w="2180"/>
      </w:tblGrid>
      <w:tr w14:paraId="08D56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52DA3FA4">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bookmarkStart w:id="15" w:name="_Toc22382"/>
            <w:bookmarkStart w:id="16" w:name="_Toc6890"/>
            <w:r>
              <w:rPr>
                <w:rFonts w:hint="default" w:ascii="Times New Roman" w:hAnsi="Times New Roman" w:cs="Times New Roman" w:eastAsiaTheme="minorEastAsia"/>
                <w:sz w:val="21"/>
                <w:szCs w:val="21"/>
                <w:vertAlign w:val="baseline"/>
                <w:lang w:val="en-US" w:eastAsia="zh-CN"/>
              </w:rPr>
              <w:t>污染因子</w:t>
            </w:r>
            <w:bookmarkEnd w:id="15"/>
            <w:bookmarkEnd w:id="16"/>
          </w:p>
        </w:tc>
        <w:tc>
          <w:tcPr>
            <w:tcW w:w="1837" w:type="dxa"/>
            <w:vAlign w:val="center"/>
          </w:tcPr>
          <w:p w14:paraId="24CB78E0">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bookmarkStart w:id="17" w:name="_Toc14557"/>
            <w:bookmarkStart w:id="18" w:name="_Toc16943"/>
            <w:r>
              <w:rPr>
                <w:rFonts w:hint="default" w:ascii="Times New Roman" w:hAnsi="Times New Roman" w:cs="Times New Roman" w:eastAsiaTheme="minorEastAsia"/>
                <w:sz w:val="21"/>
                <w:szCs w:val="21"/>
                <w:vertAlign w:val="baseline"/>
                <w:lang w:val="en-US" w:eastAsia="zh-CN"/>
              </w:rPr>
              <w:t>单位</w:t>
            </w:r>
            <w:bookmarkEnd w:id="17"/>
            <w:bookmarkEnd w:id="18"/>
          </w:p>
        </w:tc>
        <w:tc>
          <w:tcPr>
            <w:tcW w:w="2180" w:type="dxa"/>
            <w:vAlign w:val="center"/>
          </w:tcPr>
          <w:p w14:paraId="27FC1179">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bookmarkStart w:id="19" w:name="_Toc20338"/>
            <w:bookmarkStart w:id="20" w:name="_Toc27472"/>
            <w:r>
              <w:rPr>
                <w:rFonts w:hint="default" w:ascii="Times New Roman" w:hAnsi="Times New Roman" w:cs="Times New Roman" w:eastAsiaTheme="minorEastAsia"/>
                <w:sz w:val="21"/>
                <w:szCs w:val="21"/>
                <w:vertAlign w:val="baseline"/>
                <w:lang w:val="en-US" w:eastAsia="zh-CN"/>
              </w:rPr>
              <w:t>项目</w:t>
            </w:r>
            <w:bookmarkEnd w:id="19"/>
            <w:bookmarkEnd w:id="20"/>
          </w:p>
        </w:tc>
        <w:tc>
          <w:tcPr>
            <w:tcW w:w="2180" w:type="dxa"/>
            <w:vAlign w:val="center"/>
          </w:tcPr>
          <w:p w14:paraId="607F88D6">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bookmarkStart w:id="21" w:name="_Toc10402"/>
            <w:bookmarkStart w:id="22" w:name="_Toc18853"/>
            <w:r>
              <w:rPr>
                <w:rFonts w:hint="default" w:ascii="Times New Roman" w:hAnsi="Times New Roman" w:cs="Times New Roman" w:eastAsiaTheme="minorEastAsia"/>
                <w:sz w:val="21"/>
                <w:szCs w:val="21"/>
                <w:vertAlign w:val="baseline"/>
                <w:lang w:val="en-US" w:eastAsia="zh-CN"/>
              </w:rPr>
              <w:t>标准限值</w:t>
            </w:r>
            <w:bookmarkEnd w:id="21"/>
            <w:bookmarkEnd w:id="22"/>
          </w:p>
        </w:tc>
      </w:tr>
      <w:tr w14:paraId="5C1D8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09AEC50A">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pH值</w:t>
            </w:r>
          </w:p>
        </w:tc>
        <w:tc>
          <w:tcPr>
            <w:tcW w:w="1837" w:type="dxa"/>
            <w:vAlign w:val="center"/>
          </w:tcPr>
          <w:p w14:paraId="0551EA4D">
            <w:pPr>
              <w:spacing w:line="360" w:lineRule="auto"/>
              <w:jc w:val="center"/>
              <w:rPr>
                <w:rFonts w:hint="default" w:ascii="Times New Roman" w:hAnsi="Times New Roman" w:cs="Times New Roman" w:eastAsiaTheme="minorEastAsia"/>
                <w:sz w:val="21"/>
                <w:szCs w:val="21"/>
                <w:vertAlign w:val="baseline"/>
                <w:lang w:val="en-US" w:eastAsia="zh-CN"/>
              </w:rPr>
            </w:pPr>
            <w:r>
              <w:rPr>
                <w:rFonts w:hint="eastAsia" w:ascii="Times New Roman" w:hAnsi="Times New Roman" w:cs="Times New Roman" w:eastAsiaTheme="minorEastAsia"/>
                <w:sz w:val="21"/>
                <w:szCs w:val="21"/>
                <w:vertAlign w:val="baseline"/>
                <w:lang w:val="en-US" w:eastAsia="zh-CN"/>
              </w:rPr>
              <w:t>-</w:t>
            </w:r>
          </w:p>
        </w:tc>
        <w:tc>
          <w:tcPr>
            <w:tcW w:w="2180" w:type="dxa"/>
            <w:vMerge w:val="restart"/>
            <w:vAlign w:val="center"/>
          </w:tcPr>
          <w:p w14:paraId="30346CED">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bookmarkStart w:id="23" w:name="_Toc10202"/>
            <w:bookmarkStart w:id="24" w:name="_Toc13189"/>
            <w:r>
              <w:rPr>
                <w:rFonts w:hint="default" w:ascii="Times New Roman" w:hAnsi="Times New Roman" w:cs="Times New Roman" w:eastAsiaTheme="minorEastAsia"/>
                <w:b w:val="0"/>
                <w:bCs w:val="0"/>
                <w:sz w:val="21"/>
                <w:szCs w:val="21"/>
                <w:vertAlign w:val="baseline"/>
                <w:lang w:val="en-US" w:eastAsia="zh-CN"/>
              </w:rPr>
              <w:t>工艺用水</w:t>
            </w:r>
            <w:bookmarkEnd w:id="23"/>
            <w:bookmarkEnd w:id="24"/>
          </w:p>
        </w:tc>
        <w:tc>
          <w:tcPr>
            <w:tcW w:w="2180" w:type="dxa"/>
            <w:vAlign w:val="center"/>
          </w:tcPr>
          <w:p w14:paraId="5DB2B5D1">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6.5-8.5</w:t>
            </w:r>
          </w:p>
        </w:tc>
      </w:tr>
      <w:tr w14:paraId="2F84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3906EF02">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五日生化需氧量</w:t>
            </w:r>
          </w:p>
        </w:tc>
        <w:tc>
          <w:tcPr>
            <w:tcW w:w="1837" w:type="dxa"/>
            <w:vAlign w:val="center"/>
          </w:tcPr>
          <w:p w14:paraId="49D48C52">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5A2C9D1E">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468E61AB">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≤10</w:t>
            </w:r>
          </w:p>
        </w:tc>
      </w:tr>
      <w:tr w14:paraId="081E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708E8D21">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化学需氧量</w:t>
            </w:r>
          </w:p>
        </w:tc>
        <w:tc>
          <w:tcPr>
            <w:tcW w:w="1837" w:type="dxa"/>
            <w:vAlign w:val="center"/>
          </w:tcPr>
          <w:p w14:paraId="745086D3">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5A812B33">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3AED13F0">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≤60</w:t>
            </w:r>
          </w:p>
        </w:tc>
      </w:tr>
      <w:tr w14:paraId="0C6A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083B0438">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铁</w:t>
            </w:r>
          </w:p>
        </w:tc>
        <w:tc>
          <w:tcPr>
            <w:tcW w:w="1837" w:type="dxa"/>
            <w:vAlign w:val="center"/>
          </w:tcPr>
          <w:p w14:paraId="61B4B85E">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7740E940">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05E74209">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≤0.3</w:t>
            </w:r>
          </w:p>
        </w:tc>
      </w:tr>
      <w:tr w14:paraId="2BEFA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013B27B9">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锰</w:t>
            </w:r>
          </w:p>
        </w:tc>
        <w:tc>
          <w:tcPr>
            <w:tcW w:w="1837" w:type="dxa"/>
            <w:vAlign w:val="center"/>
          </w:tcPr>
          <w:p w14:paraId="6093AF6A">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2BED86B5">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7ECE74ED">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≤0.1</w:t>
            </w:r>
          </w:p>
        </w:tc>
      </w:tr>
      <w:tr w14:paraId="1488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45BFCC16">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总硬度</w:t>
            </w:r>
          </w:p>
        </w:tc>
        <w:tc>
          <w:tcPr>
            <w:tcW w:w="1837" w:type="dxa"/>
            <w:vAlign w:val="center"/>
          </w:tcPr>
          <w:p w14:paraId="7A9FA79A">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52A95A2A">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1709739C">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≤450</w:t>
            </w:r>
          </w:p>
        </w:tc>
      </w:tr>
      <w:tr w14:paraId="5F8E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5C1DF9C2">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硫酸盐</w:t>
            </w:r>
          </w:p>
        </w:tc>
        <w:tc>
          <w:tcPr>
            <w:tcW w:w="1837" w:type="dxa"/>
            <w:vAlign w:val="center"/>
          </w:tcPr>
          <w:p w14:paraId="525D732B">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68EC867B">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4BE79205">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≤250</w:t>
            </w:r>
          </w:p>
        </w:tc>
      </w:tr>
      <w:tr w14:paraId="4A9E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4AD746AB">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氨氮</w:t>
            </w:r>
          </w:p>
        </w:tc>
        <w:tc>
          <w:tcPr>
            <w:tcW w:w="1837" w:type="dxa"/>
            <w:vAlign w:val="center"/>
          </w:tcPr>
          <w:p w14:paraId="191A869C">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54F37B96">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244BA108">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≤10</w:t>
            </w:r>
          </w:p>
        </w:tc>
      </w:tr>
      <w:tr w14:paraId="00931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2429EA39">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总磷</w:t>
            </w:r>
          </w:p>
        </w:tc>
        <w:tc>
          <w:tcPr>
            <w:tcW w:w="1837" w:type="dxa"/>
            <w:vAlign w:val="center"/>
          </w:tcPr>
          <w:p w14:paraId="0611C1C9">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2E69D122">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384F1B3F">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≤1</w:t>
            </w:r>
          </w:p>
        </w:tc>
      </w:tr>
      <w:tr w14:paraId="7EF5B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350EADDF">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石油类</w:t>
            </w:r>
          </w:p>
        </w:tc>
        <w:tc>
          <w:tcPr>
            <w:tcW w:w="1837" w:type="dxa"/>
            <w:vAlign w:val="center"/>
          </w:tcPr>
          <w:p w14:paraId="64031140">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4C015F06">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0F5527C3">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≤1</w:t>
            </w:r>
          </w:p>
        </w:tc>
      </w:tr>
      <w:tr w14:paraId="6C77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4035ACA2">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阴离子表面活</w:t>
            </w:r>
            <w:r>
              <w:rPr>
                <w:rFonts w:hint="eastAsia" w:cs="Times New Roman" w:eastAsiaTheme="minorEastAsia"/>
                <w:color w:val="000000"/>
                <w:kern w:val="0"/>
                <w:sz w:val="21"/>
                <w:szCs w:val="21"/>
                <w:lang w:val="en-US" w:eastAsia="zh-CN" w:bidi="ar"/>
              </w:rPr>
              <w:t>性</w:t>
            </w:r>
            <w:r>
              <w:rPr>
                <w:rFonts w:hint="default" w:ascii="Times New Roman" w:hAnsi="Times New Roman" w:cs="Times New Roman" w:eastAsiaTheme="minorEastAsia"/>
                <w:color w:val="000000"/>
                <w:kern w:val="0"/>
                <w:sz w:val="21"/>
                <w:szCs w:val="21"/>
                <w:lang w:val="en-US" w:eastAsia="zh-CN" w:bidi="ar"/>
              </w:rPr>
              <w:t>剂</w:t>
            </w:r>
          </w:p>
        </w:tc>
        <w:tc>
          <w:tcPr>
            <w:tcW w:w="1837" w:type="dxa"/>
            <w:vAlign w:val="center"/>
          </w:tcPr>
          <w:p w14:paraId="0F74EA9C">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2B16906B">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32ABBCBC">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≤0.5</w:t>
            </w:r>
          </w:p>
        </w:tc>
      </w:tr>
      <w:tr w14:paraId="2614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0C3AE521">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粪大肠菌群</w:t>
            </w:r>
          </w:p>
        </w:tc>
        <w:tc>
          <w:tcPr>
            <w:tcW w:w="1837" w:type="dxa"/>
            <w:vAlign w:val="center"/>
          </w:tcPr>
          <w:p w14:paraId="4092CF45">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个/L</w:t>
            </w:r>
          </w:p>
        </w:tc>
        <w:tc>
          <w:tcPr>
            <w:tcW w:w="2180" w:type="dxa"/>
            <w:vMerge w:val="continue"/>
            <w:vAlign w:val="center"/>
          </w:tcPr>
          <w:p w14:paraId="1E4C7376">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1F80225D">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≤2000</w:t>
            </w:r>
          </w:p>
        </w:tc>
      </w:tr>
      <w:tr w14:paraId="6FC76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3" w:type="dxa"/>
            <w:vAlign w:val="center"/>
          </w:tcPr>
          <w:p w14:paraId="2818BCC8">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总碱度</w:t>
            </w:r>
          </w:p>
        </w:tc>
        <w:tc>
          <w:tcPr>
            <w:tcW w:w="1837" w:type="dxa"/>
            <w:vAlign w:val="center"/>
          </w:tcPr>
          <w:p w14:paraId="2C7FF3D4">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mg/L</w:t>
            </w:r>
          </w:p>
        </w:tc>
        <w:tc>
          <w:tcPr>
            <w:tcW w:w="2180" w:type="dxa"/>
            <w:vMerge w:val="continue"/>
            <w:vAlign w:val="center"/>
          </w:tcPr>
          <w:p w14:paraId="7E6AAC12">
            <w:pPr>
              <w:pStyle w:val="71"/>
              <w:keepNext w:val="0"/>
              <w:keepLines w:val="0"/>
              <w:pageBreakBefore w:val="0"/>
              <w:widowControl w:val="0"/>
              <w:kinsoku/>
              <w:wordWrap/>
              <w:overflowPunct/>
              <w:topLinePunct w:val="0"/>
              <w:autoSpaceDE/>
              <w:autoSpaceDN/>
              <w:bidi w:val="0"/>
              <w:adjustRightInd/>
              <w:snapToGrid/>
              <w:spacing w:before="0" w:after="0" w:line="36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2180" w:type="dxa"/>
            <w:vAlign w:val="center"/>
          </w:tcPr>
          <w:p w14:paraId="5B3E672C">
            <w:pPr>
              <w:keepNext w:val="0"/>
              <w:keepLines w:val="0"/>
              <w:widowControl/>
              <w:suppressLineNumbers w:val="0"/>
              <w:wordWrap/>
              <w:spacing w:line="360" w:lineRule="auto"/>
              <w:jc w:val="center"/>
              <w:textAlignment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≤350</w:t>
            </w:r>
          </w:p>
        </w:tc>
      </w:tr>
    </w:tbl>
    <w:p w14:paraId="061EA887">
      <w:pPr>
        <w:bidi w:val="0"/>
        <w:spacing w:line="360" w:lineRule="auto"/>
        <w:rPr>
          <w:rFonts w:hint="default"/>
          <w:b/>
          <w:bCs/>
          <w:sz w:val="24"/>
          <w:szCs w:val="32"/>
          <w:lang w:val="en-US" w:eastAsia="zh-CN"/>
        </w:rPr>
      </w:pPr>
      <w:r>
        <w:rPr>
          <w:rFonts w:hint="eastAsia"/>
          <w:b/>
          <w:bCs/>
          <w:sz w:val="24"/>
          <w:szCs w:val="32"/>
          <w:lang w:val="en-US" w:eastAsia="zh-CN"/>
        </w:rPr>
        <w:t>（4）固废</w:t>
      </w:r>
    </w:p>
    <w:p w14:paraId="76564567">
      <w:pPr>
        <w:numPr>
          <w:ilvl w:val="0"/>
          <w:numId w:val="0"/>
        </w:numPr>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 xml:space="preserve">一般工业固体废物处置执行《一般工业固体废物贮存和填埋污染控制标准》 </w:t>
      </w:r>
    </w:p>
    <w:p w14:paraId="0BE9B453">
      <w:pPr>
        <w:numPr>
          <w:ilvl w:val="0"/>
          <w:numId w:val="0"/>
        </w:numPr>
        <w:spacing w:line="360" w:lineRule="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（GB18599-2020）</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《辽宁省生态环境厅关于加强全省一般工业固体废物环境管理工作的通知》（辽环函</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2022</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42号）中相关要求。</w:t>
      </w:r>
    </w:p>
    <w:p w14:paraId="510D6955">
      <w:pPr>
        <w:numPr>
          <w:ilvl w:val="0"/>
          <w:numId w:val="0"/>
        </w:numPr>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危险废物执行</w:t>
      </w:r>
      <w:r>
        <w:rPr>
          <w:rFonts w:hint="eastAsia" w:ascii="Times New Roman" w:hAnsi="Times New Roman" w:eastAsia="宋体" w:cs="Times New Roman"/>
          <w:color w:val="auto"/>
          <w:kern w:val="0"/>
          <w:sz w:val="24"/>
          <w:szCs w:val="24"/>
          <w:highlight w:val="none"/>
          <w:lang w:val="en-US" w:eastAsia="zh-CN" w:bidi="ar"/>
        </w:rPr>
        <w:t>《危险废物贮存污染控制标准》（GB18597-2023）</w:t>
      </w:r>
      <w:r>
        <w:rPr>
          <w:rFonts w:hint="eastAsia"/>
          <w:color w:val="auto"/>
          <w:sz w:val="24"/>
          <w:szCs w:val="24"/>
        </w:rPr>
        <w:t>、《危险废物收集、贮存、运输技术规范》（</w:t>
      </w:r>
      <w:r>
        <w:rPr>
          <w:color w:val="auto"/>
          <w:sz w:val="24"/>
          <w:szCs w:val="24"/>
        </w:rPr>
        <w:t>HJ2025-2012</w:t>
      </w:r>
      <w:r>
        <w:rPr>
          <w:rFonts w:hint="eastAsia"/>
          <w:color w:val="auto"/>
          <w:sz w:val="24"/>
          <w:szCs w:val="24"/>
        </w:rPr>
        <w:t>）</w:t>
      </w:r>
      <w:r>
        <w:rPr>
          <w:rFonts w:hint="eastAsia"/>
          <w:color w:val="auto"/>
          <w:sz w:val="24"/>
          <w:szCs w:val="24"/>
          <w:lang w:val="en-US" w:eastAsia="zh-CN"/>
        </w:rPr>
        <w:t>中</w:t>
      </w:r>
      <w:r>
        <w:rPr>
          <w:rFonts w:hint="eastAsia"/>
          <w:color w:val="auto"/>
          <w:sz w:val="24"/>
          <w:szCs w:val="24"/>
        </w:rPr>
        <w:t>相关要求</w:t>
      </w:r>
      <w:r>
        <w:rPr>
          <w:rFonts w:hint="eastAsia" w:ascii="Times New Roman" w:hAnsi="Times New Roman" w:eastAsia="宋体" w:cs="Times New Roman"/>
          <w:color w:val="auto"/>
          <w:kern w:val="0"/>
          <w:sz w:val="24"/>
          <w:szCs w:val="24"/>
          <w:highlight w:val="none"/>
          <w:lang w:val="en-US" w:eastAsia="zh-CN" w:bidi="ar"/>
        </w:rPr>
        <w:t>。</w:t>
      </w:r>
    </w:p>
    <w:p w14:paraId="0C4AACF0">
      <w:pPr>
        <w:numPr>
          <w:ilvl w:val="0"/>
          <w:numId w:val="0"/>
        </w:numPr>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
        </w:rPr>
      </w:pPr>
      <w:r>
        <w:rPr>
          <w:rFonts w:hint="eastAsia"/>
          <w:color w:val="auto"/>
          <w:sz w:val="24"/>
          <w:szCs w:val="24"/>
        </w:rPr>
        <w:t>生活垃圾执行《城市生活垃圾管理办法（</w:t>
      </w:r>
      <w:r>
        <w:rPr>
          <w:color w:val="auto"/>
          <w:sz w:val="24"/>
          <w:szCs w:val="24"/>
        </w:rPr>
        <w:t>2015</w:t>
      </w:r>
      <w:r>
        <w:rPr>
          <w:rFonts w:hint="eastAsia"/>
          <w:color w:val="auto"/>
          <w:sz w:val="24"/>
          <w:szCs w:val="24"/>
        </w:rPr>
        <w:t>修正）》（建设部令第</w:t>
      </w:r>
      <w:r>
        <w:rPr>
          <w:color w:val="auto"/>
          <w:sz w:val="24"/>
          <w:szCs w:val="24"/>
        </w:rPr>
        <w:t>157</w:t>
      </w:r>
      <w:r>
        <w:rPr>
          <w:rFonts w:hint="eastAsia"/>
          <w:color w:val="auto"/>
          <w:sz w:val="24"/>
          <w:szCs w:val="24"/>
        </w:rPr>
        <w:t>号）</w:t>
      </w:r>
      <w:r>
        <w:rPr>
          <w:rFonts w:hint="eastAsia"/>
          <w:color w:val="auto"/>
          <w:sz w:val="24"/>
          <w:szCs w:val="24"/>
          <w:lang w:val="en-US" w:eastAsia="zh-CN"/>
        </w:rPr>
        <w:t>中相关要求。</w:t>
      </w:r>
    </w:p>
    <w:p w14:paraId="230D8E8A">
      <w:pPr>
        <w:bidi w:val="0"/>
        <w:spacing w:line="360" w:lineRule="auto"/>
        <w:rPr>
          <w:rFonts w:hint="eastAsia" w:eastAsia="宋体"/>
          <w:b/>
          <w:bCs/>
          <w:sz w:val="24"/>
          <w:szCs w:val="24"/>
          <w:lang w:eastAsia="zh-CN"/>
        </w:rPr>
      </w:pPr>
      <w:r>
        <w:rPr>
          <w:rFonts w:hint="eastAsia"/>
          <w:b/>
          <w:bCs/>
          <w:sz w:val="24"/>
          <w:szCs w:val="24"/>
          <w:lang w:val="en-US" w:eastAsia="zh-CN"/>
        </w:rPr>
        <w:t>2</w:t>
      </w:r>
      <w:r>
        <w:rPr>
          <w:b/>
          <w:bCs/>
          <w:sz w:val="24"/>
          <w:szCs w:val="24"/>
        </w:rPr>
        <w:t>.3.</w:t>
      </w:r>
      <w:r>
        <w:rPr>
          <w:rFonts w:hint="eastAsia"/>
          <w:b/>
          <w:bCs/>
          <w:sz w:val="24"/>
          <w:szCs w:val="24"/>
          <w:lang w:val="en-US" w:eastAsia="zh-CN"/>
        </w:rPr>
        <w:t>3</w:t>
      </w:r>
      <w:r>
        <w:rPr>
          <w:b/>
          <w:bCs/>
          <w:sz w:val="24"/>
          <w:szCs w:val="24"/>
        </w:rPr>
        <w:t>.</w:t>
      </w:r>
      <w:r>
        <w:rPr>
          <w:rFonts w:hint="eastAsia"/>
          <w:b/>
          <w:bCs/>
          <w:sz w:val="24"/>
          <w:szCs w:val="24"/>
          <w:lang w:val="en-US" w:eastAsia="zh-CN"/>
        </w:rPr>
        <w:t>3</w:t>
      </w:r>
      <w:r>
        <w:rPr>
          <w:b/>
          <w:bCs/>
          <w:sz w:val="24"/>
          <w:szCs w:val="24"/>
        </w:rPr>
        <w:t>环境</w:t>
      </w:r>
      <w:r>
        <w:rPr>
          <w:rFonts w:hint="eastAsia"/>
          <w:b/>
          <w:bCs/>
          <w:sz w:val="24"/>
          <w:szCs w:val="24"/>
          <w:lang w:eastAsia="zh-CN"/>
        </w:rPr>
        <w:t>功能区划</w:t>
      </w:r>
    </w:p>
    <w:p w14:paraId="17357B00">
      <w:pPr>
        <w:numPr>
          <w:ilvl w:val="0"/>
          <w:numId w:val="0"/>
        </w:numPr>
        <w:spacing w:line="360" w:lineRule="auto"/>
        <w:ind w:firstLine="482" w:firstLineChars="0"/>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环境功能区划见下表。</w:t>
      </w:r>
    </w:p>
    <w:p w14:paraId="1F71DABF">
      <w:pPr>
        <w:snapToGrid w:val="0"/>
        <w:spacing w:line="360" w:lineRule="auto"/>
        <w:ind w:firstLine="482" w:firstLineChars="200"/>
        <w:jc w:val="center"/>
        <w:rPr>
          <w:b/>
          <w:color w:val="auto"/>
          <w:sz w:val="24"/>
          <w:szCs w:val="24"/>
        </w:rPr>
      </w:pPr>
      <w:r>
        <w:rPr>
          <w:b/>
          <w:color w:val="auto"/>
          <w:sz w:val="24"/>
          <w:szCs w:val="24"/>
        </w:rPr>
        <w:t>表</w:t>
      </w:r>
      <w:r>
        <w:rPr>
          <w:rFonts w:hint="eastAsia"/>
          <w:b/>
          <w:color w:val="auto"/>
          <w:sz w:val="24"/>
          <w:szCs w:val="24"/>
          <w:lang w:val="en-US" w:eastAsia="zh-CN"/>
        </w:rPr>
        <w:t>2.3-11</w:t>
      </w:r>
      <w:r>
        <w:rPr>
          <w:b/>
          <w:color w:val="auto"/>
          <w:sz w:val="24"/>
          <w:szCs w:val="24"/>
        </w:rPr>
        <w:t xml:space="preserve">    环境功能区划一览表</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252"/>
        <w:gridCol w:w="1362"/>
        <w:gridCol w:w="5195"/>
      </w:tblGrid>
      <w:tr w14:paraId="067EA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tcBorders>
              <w:tl2br w:val="nil"/>
              <w:tr2bl w:val="nil"/>
            </w:tcBorders>
            <w:vAlign w:val="center"/>
          </w:tcPr>
          <w:p w14:paraId="6DBC776D">
            <w:pPr>
              <w:spacing w:line="300" w:lineRule="exact"/>
              <w:jc w:val="center"/>
              <w:rPr>
                <w:b/>
                <w:color w:val="auto"/>
                <w:szCs w:val="21"/>
              </w:rPr>
            </w:pPr>
            <w:r>
              <w:rPr>
                <w:b/>
                <w:color w:val="auto"/>
                <w:szCs w:val="21"/>
              </w:rPr>
              <w:t>序号</w:t>
            </w:r>
          </w:p>
        </w:tc>
        <w:tc>
          <w:tcPr>
            <w:tcW w:w="1252" w:type="dxa"/>
            <w:tcBorders>
              <w:tl2br w:val="nil"/>
              <w:tr2bl w:val="nil"/>
            </w:tcBorders>
            <w:vAlign w:val="center"/>
          </w:tcPr>
          <w:p w14:paraId="36B57AD8">
            <w:pPr>
              <w:spacing w:line="300" w:lineRule="exact"/>
              <w:jc w:val="center"/>
              <w:rPr>
                <w:b/>
                <w:color w:val="auto"/>
                <w:szCs w:val="21"/>
              </w:rPr>
            </w:pPr>
            <w:r>
              <w:rPr>
                <w:b/>
                <w:color w:val="auto"/>
                <w:szCs w:val="21"/>
              </w:rPr>
              <w:t>名称</w:t>
            </w:r>
          </w:p>
        </w:tc>
        <w:tc>
          <w:tcPr>
            <w:tcW w:w="1362" w:type="dxa"/>
            <w:tcBorders>
              <w:tl2br w:val="nil"/>
              <w:tr2bl w:val="nil"/>
            </w:tcBorders>
            <w:vAlign w:val="center"/>
          </w:tcPr>
          <w:p w14:paraId="13608181">
            <w:pPr>
              <w:spacing w:line="300" w:lineRule="exact"/>
              <w:jc w:val="center"/>
              <w:rPr>
                <w:b/>
                <w:color w:val="auto"/>
                <w:szCs w:val="21"/>
              </w:rPr>
            </w:pPr>
            <w:r>
              <w:rPr>
                <w:b/>
                <w:color w:val="auto"/>
                <w:szCs w:val="21"/>
              </w:rPr>
              <w:t>功能区级别</w:t>
            </w:r>
          </w:p>
        </w:tc>
        <w:tc>
          <w:tcPr>
            <w:tcW w:w="5195" w:type="dxa"/>
            <w:tcBorders>
              <w:tl2br w:val="nil"/>
              <w:tr2bl w:val="nil"/>
            </w:tcBorders>
            <w:vAlign w:val="center"/>
          </w:tcPr>
          <w:p w14:paraId="689A83E5">
            <w:pPr>
              <w:spacing w:line="300" w:lineRule="exact"/>
              <w:jc w:val="center"/>
              <w:rPr>
                <w:b/>
                <w:color w:val="auto"/>
                <w:szCs w:val="21"/>
              </w:rPr>
            </w:pPr>
            <w:r>
              <w:rPr>
                <w:b/>
                <w:color w:val="auto"/>
                <w:szCs w:val="21"/>
              </w:rPr>
              <w:t>备注</w:t>
            </w:r>
          </w:p>
        </w:tc>
      </w:tr>
      <w:tr w14:paraId="3ED0D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tcBorders>
              <w:tl2br w:val="nil"/>
              <w:tr2bl w:val="nil"/>
            </w:tcBorders>
            <w:vAlign w:val="center"/>
          </w:tcPr>
          <w:p w14:paraId="61866A6C">
            <w:pPr>
              <w:spacing w:line="300" w:lineRule="exact"/>
              <w:jc w:val="center"/>
              <w:rPr>
                <w:color w:val="auto"/>
                <w:szCs w:val="21"/>
              </w:rPr>
            </w:pPr>
            <w:r>
              <w:rPr>
                <w:color w:val="auto"/>
                <w:szCs w:val="21"/>
              </w:rPr>
              <w:t>1</w:t>
            </w:r>
          </w:p>
        </w:tc>
        <w:tc>
          <w:tcPr>
            <w:tcW w:w="1252" w:type="dxa"/>
            <w:tcBorders>
              <w:tl2br w:val="nil"/>
              <w:tr2bl w:val="nil"/>
            </w:tcBorders>
            <w:vAlign w:val="center"/>
          </w:tcPr>
          <w:p w14:paraId="57D92D39">
            <w:pPr>
              <w:spacing w:line="300" w:lineRule="exact"/>
              <w:jc w:val="center"/>
              <w:rPr>
                <w:color w:val="auto"/>
                <w:szCs w:val="21"/>
              </w:rPr>
            </w:pPr>
            <w:r>
              <w:rPr>
                <w:color w:val="auto"/>
                <w:szCs w:val="21"/>
              </w:rPr>
              <w:t>环境空气</w:t>
            </w:r>
          </w:p>
        </w:tc>
        <w:tc>
          <w:tcPr>
            <w:tcW w:w="1362" w:type="dxa"/>
            <w:tcBorders>
              <w:tl2br w:val="nil"/>
              <w:tr2bl w:val="nil"/>
            </w:tcBorders>
            <w:vAlign w:val="center"/>
          </w:tcPr>
          <w:p w14:paraId="50E6CAD6">
            <w:pPr>
              <w:spacing w:line="300" w:lineRule="exact"/>
              <w:jc w:val="center"/>
              <w:rPr>
                <w:color w:val="auto"/>
                <w:szCs w:val="21"/>
              </w:rPr>
            </w:pPr>
            <w:r>
              <w:rPr>
                <w:color w:val="auto"/>
                <w:szCs w:val="21"/>
              </w:rPr>
              <w:t>二类</w:t>
            </w:r>
          </w:p>
        </w:tc>
        <w:tc>
          <w:tcPr>
            <w:tcW w:w="5195" w:type="dxa"/>
            <w:tcBorders>
              <w:tl2br w:val="nil"/>
              <w:tr2bl w:val="nil"/>
            </w:tcBorders>
            <w:vAlign w:val="center"/>
          </w:tcPr>
          <w:p w14:paraId="4AC00FAD">
            <w:pPr>
              <w:snapToGrid w:val="0"/>
              <w:spacing w:line="300" w:lineRule="exact"/>
              <w:jc w:val="center"/>
              <w:rPr>
                <w:bCs/>
                <w:color w:val="auto"/>
                <w:szCs w:val="21"/>
              </w:rPr>
            </w:pPr>
            <w:r>
              <w:rPr>
                <w:bCs/>
                <w:color w:val="auto"/>
                <w:szCs w:val="21"/>
              </w:rPr>
              <w:t>《环境空气质量标准》（GB3095-2012）二级标准</w:t>
            </w:r>
          </w:p>
        </w:tc>
      </w:tr>
      <w:tr w14:paraId="45F97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tcBorders>
              <w:tl2br w:val="nil"/>
              <w:tr2bl w:val="nil"/>
            </w:tcBorders>
            <w:vAlign w:val="center"/>
          </w:tcPr>
          <w:p w14:paraId="686ACCD2">
            <w:pPr>
              <w:spacing w:line="300" w:lineRule="exact"/>
              <w:jc w:val="center"/>
              <w:rPr>
                <w:color w:val="auto"/>
                <w:szCs w:val="21"/>
              </w:rPr>
            </w:pPr>
            <w:r>
              <w:rPr>
                <w:color w:val="auto"/>
                <w:szCs w:val="21"/>
              </w:rPr>
              <w:t>2</w:t>
            </w:r>
          </w:p>
        </w:tc>
        <w:tc>
          <w:tcPr>
            <w:tcW w:w="1252" w:type="dxa"/>
            <w:tcBorders>
              <w:tl2br w:val="nil"/>
              <w:tr2bl w:val="nil"/>
            </w:tcBorders>
            <w:vAlign w:val="center"/>
          </w:tcPr>
          <w:p w14:paraId="10ED0158">
            <w:pPr>
              <w:spacing w:line="300" w:lineRule="exact"/>
              <w:jc w:val="center"/>
              <w:rPr>
                <w:color w:val="auto"/>
                <w:szCs w:val="21"/>
              </w:rPr>
            </w:pPr>
            <w:r>
              <w:rPr>
                <w:color w:val="auto"/>
                <w:szCs w:val="21"/>
              </w:rPr>
              <w:t>声环境</w:t>
            </w:r>
          </w:p>
        </w:tc>
        <w:tc>
          <w:tcPr>
            <w:tcW w:w="1362" w:type="dxa"/>
            <w:tcBorders>
              <w:tl2br w:val="nil"/>
              <w:tr2bl w:val="nil"/>
            </w:tcBorders>
            <w:vAlign w:val="center"/>
          </w:tcPr>
          <w:p w14:paraId="189FB321">
            <w:pPr>
              <w:spacing w:line="300" w:lineRule="exact"/>
              <w:jc w:val="center"/>
              <w:rPr>
                <w:color w:val="auto"/>
                <w:szCs w:val="21"/>
              </w:rPr>
            </w:pPr>
            <w:r>
              <w:rPr>
                <w:rFonts w:hint="eastAsia"/>
                <w:color w:val="auto"/>
                <w:szCs w:val="21"/>
                <w:lang w:val="en-US" w:eastAsia="zh-CN"/>
              </w:rPr>
              <w:t>3</w:t>
            </w:r>
            <w:r>
              <w:rPr>
                <w:color w:val="auto"/>
                <w:szCs w:val="21"/>
              </w:rPr>
              <w:t>类</w:t>
            </w:r>
          </w:p>
        </w:tc>
        <w:tc>
          <w:tcPr>
            <w:tcW w:w="5195" w:type="dxa"/>
            <w:tcBorders>
              <w:tl2br w:val="nil"/>
              <w:tr2bl w:val="nil"/>
            </w:tcBorders>
            <w:vAlign w:val="center"/>
          </w:tcPr>
          <w:p w14:paraId="32603304">
            <w:pPr>
              <w:snapToGrid w:val="0"/>
              <w:spacing w:line="300" w:lineRule="exact"/>
              <w:jc w:val="center"/>
              <w:rPr>
                <w:bCs/>
                <w:color w:val="auto"/>
                <w:szCs w:val="21"/>
              </w:rPr>
            </w:pPr>
            <w:r>
              <w:rPr>
                <w:bCs/>
                <w:color w:val="auto"/>
                <w:szCs w:val="21"/>
              </w:rPr>
              <w:t>《声环境质量标准》（GB3096-2008）</w:t>
            </w:r>
            <w:r>
              <w:rPr>
                <w:rFonts w:hint="eastAsia"/>
                <w:bCs/>
                <w:color w:val="auto"/>
                <w:szCs w:val="21"/>
                <w:lang w:val="en-US" w:eastAsia="zh-CN"/>
              </w:rPr>
              <w:t>3</w:t>
            </w:r>
            <w:r>
              <w:rPr>
                <w:bCs/>
                <w:color w:val="auto"/>
                <w:szCs w:val="21"/>
              </w:rPr>
              <w:t>类标准</w:t>
            </w:r>
          </w:p>
        </w:tc>
      </w:tr>
      <w:tr w14:paraId="57B93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9" w:type="dxa"/>
            <w:tcBorders>
              <w:tl2br w:val="nil"/>
              <w:tr2bl w:val="nil"/>
            </w:tcBorders>
            <w:vAlign w:val="center"/>
          </w:tcPr>
          <w:p w14:paraId="791CB6D9">
            <w:pPr>
              <w:spacing w:line="300" w:lineRule="exact"/>
              <w:jc w:val="center"/>
              <w:rPr>
                <w:rFonts w:hint="eastAsia" w:eastAsia="宋体"/>
                <w:color w:val="auto"/>
                <w:szCs w:val="21"/>
                <w:lang w:val="en-US" w:eastAsia="zh-CN"/>
              </w:rPr>
            </w:pPr>
            <w:r>
              <w:rPr>
                <w:rFonts w:hint="eastAsia"/>
                <w:color w:val="auto"/>
                <w:szCs w:val="21"/>
                <w:lang w:val="en-US" w:eastAsia="zh-CN"/>
              </w:rPr>
              <w:t>4</w:t>
            </w:r>
          </w:p>
        </w:tc>
        <w:tc>
          <w:tcPr>
            <w:tcW w:w="1252" w:type="dxa"/>
            <w:tcBorders>
              <w:tl2br w:val="nil"/>
              <w:tr2bl w:val="nil"/>
            </w:tcBorders>
            <w:vAlign w:val="center"/>
          </w:tcPr>
          <w:p w14:paraId="4DCAFF0F">
            <w:pPr>
              <w:spacing w:line="300" w:lineRule="exact"/>
              <w:jc w:val="center"/>
              <w:rPr>
                <w:color w:val="auto"/>
                <w:szCs w:val="21"/>
              </w:rPr>
            </w:pPr>
            <w:r>
              <w:rPr>
                <w:color w:val="auto"/>
                <w:szCs w:val="21"/>
              </w:rPr>
              <w:t>地下水</w:t>
            </w:r>
          </w:p>
        </w:tc>
        <w:tc>
          <w:tcPr>
            <w:tcW w:w="1362" w:type="dxa"/>
            <w:tcBorders>
              <w:tl2br w:val="nil"/>
              <w:tr2bl w:val="nil"/>
            </w:tcBorders>
            <w:vAlign w:val="center"/>
          </w:tcPr>
          <w:p w14:paraId="12714021">
            <w:pPr>
              <w:spacing w:line="300" w:lineRule="exact"/>
              <w:jc w:val="center"/>
              <w:rPr>
                <w:color w:val="auto"/>
                <w:szCs w:val="21"/>
              </w:rPr>
            </w:pPr>
            <w:r>
              <w:rPr>
                <w:color w:val="auto"/>
                <w:szCs w:val="21"/>
              </w:rPr>
              <w:t>Ⅲ类</w:t>
            </w:r>
          </w:p>
        </w:tc>
        <w:tc>
          <w:tcPr>
            <w:tcW w:w="5195" w:type="dxa"/>
            <w:tcBorders>
              <w:tl2br w:val="nil"/>
              <w:tr2bl w:val="nil"/>
            </w:tcBorders>
            <w:vAlign w:val="center"/>
          </w:tcPr>
          <w:p w14:paraId="09A10015">
            <w:pPr>
              <w:snapToGrid w:val="0"/>
              <w:spacing w:line="300" w:lineRule="exact"/>
              <w:jc w:val="center"/>
              <w:rPr>
                <w:bCs/>
                <w:color w:val="auto"/>
                <w:szCs w:val="21"/>
              </w:rPr>
            </w:pPr>
            <w:r>
              <w:rPr>
                <w:bCs/>
                <w:color w:val="auto"/>
                <w:szCs w:val="21"/>
              </w:rPr>
              <w:t>《地下水质量标准》（GB/T14848-2017）中Ⅲ类标准</w:t>
            </w:r>
          </w:p>
        </w:tc>
      </w:tr>
    </w:tbl>
    <w:p w14:paraId="641DC2F7">
      <w:pPr>
        <w:pStyle w:val="4"/>
        <w:bidi w:val="0"/>
        <w:rPr>
          <w:rFonts w:hint="default" w:ascii="Times New Roman" w:hAnsi="Times New Roman" w:cs="Times New Roman" w:eastAsiaTheme="minorEastAsia"/>
          <w:lang w:val="en-US" w:eastAsia="zh-CN"/>
        </w:rPr>
      </w:pPr>
      <w:bookmarkStart w:id="25" w:name="_Toc339121989"/>
      <w:bookmarkEnd w:id="25"/>
      <w:bookmarkStart w:id="26" w:name="_Toc431195231"/>
      <w:bookmarkEnd w:id="26"/>
      <w:bookmarkStart w:id="27" w:name="_Toc9498"/>
      <w:r>
        <w:rPr>
          <w:rFonts w:hint="default" w:ascii="Times New Roman" w:hAnsi="Times New Roman" w:cs="Times New Roman" w:eastAsiaTheme="minorEastAsia"/>
          <w:lang w:val="en-US" w:eastAsia="zh-CN"/>
        </w:rPr>
        <w:t>2.4评价工作等级及评价范围</w:t>
      </w:r>
      <w:bookmarkEnd w:id="27"/>
    </w:p>
    <w:p w14:paraId="4BCC4F5D">
      <w:pPr>
        <w:pStyle w:val="5"/>
        <w:bidi w:val="0"/>
        <w:rPr>
          <w:rFonts w:hint="eastAsia"/>
          <w:lang w:val="en-US" w:eastAsia="zh-CN"/>
        </w:rPr>
      </w:pPr>
      <w:r>
        <w:rPr>
          <w:rFonts w:hint="eastAsia"/>
          <w:lang w:val="en-US" w:eastAsia="zh-CN"/>
        </w:rPr>
        <w:t>2.4.1评价工作等级</w:t>
      </w:r>
    </w:p>
    <w:p w14:paraId="5AF4CAB8">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2.4.1.1环境空气评价等级</w:t>
      </w:r>
    </w:p>
    <w:p w14:paraId="12936CE8">
      <w:pPr>
        <w:autoSpaceDE w:val="0"/>
        <w:autoSpaceDN w:val="0"/>
        <w:spacing w:line="360" w:lineRule="auto"/>
        <w:ind w:firstLine="480" w:firstLineChars="200"/>
        <w:rPr>
          <w:b/>
          <w:color w:val="auto"/>
        </w:rPr>
      </w:pPr>
      <w:r>
        <w:rPr>
          <w:rFonts w:hint="eastAsia"/>
          <w:color w:val="auto"/>
          <w:sz w:val="24"/>
        </w:rPr>
        <w:t>根据《环境影响评价技术导则—大气环境》（</w:t>
      </w:r>
      <w:r>
        <w:rPr>
          <w:color w:val="auto"/>
          <w:sz w:val="24"/>
        </w:rPr>
        <w:t>HJ2.2-2018</w:t>
      </w:r>
      <w:r>
        <w:rPr>
          <w:rFonts w:hint="eastAsia"/>
          <w:color w:val="auto"/>
          <w:sz w:val="24"/>
        </w:rPr>
        <w:t>）</w:t>
      </w:r>
      <w:r>
        <w:rPr>
          <w:color w:val="auto"/>
          <w:sz w:val="24"/>
        </w:rPr>
        <w:t>5.3</w:t>
      </w:r>
      <w:r>
        <w:rPr>
          <w:rFonts w:hint="eastAsia"/>
          <w:color w:val="auto"/>
          <w:sz w:val="24"/>
        </w:rPr>
        <w:t>要求，选择</w:t>
      </w:r>
      <w:r>
        <w:rPr>
          <w:rFonts w:hint="eastAsia"/>
          <w:color w:val="auto"/>
          <w:sz w:val="24"/>
          <w:lang w:val="en-US" w:eastAsia="zh-CN"/>
        </w:rPr>
        <w:t>导则中</w:t>
      </w:r>
      <w:r>
        <w:rPr>
          <w:rFonts w:hint="eastAsia"/>
          <w:color w:val="auto"/>
          <w:sz w:val="24"/>
        </w:rPr>
        <w:t>推荐模型AERSCREEN估算模型对项目的大气环境评价工作进行分级，计算公式及评价工作级别如下：</w:t>
      </w:r>
    </w:p>
    <w:p w14:paraId="797C38F1">
      <w:pPr>
        <w:pStyle w:val="73"/>
        <w:spacing w:after="0"/>
        <w:ind w:firstLine="480" w:firstLineChars="200"/>
        <w:jc w:val="center"/>
        <w:rPr>
          <w:b/>
          <w:color w:val="auto"/>
        </w:rPr>
      </w:pPr>
      <w:r>
        <w:rPr>
          <w:color w:val="auto"/>
          <w:sz w:val="24"/>
        </w:rPr>
        <w:drawing>
          <wp:inline distT="0" distB="0" distL="0" distR="0">
            <wp:extent cx="1002030" cy="461010"/>
            <wp:effectExtent l="0" t="0" r="0" b="12065"/>
            <wp:docPr id="31" name="_x0000_i1025"/>
            <wp:cNvGraphicFramePr/>
            <a:graphic xmlns:a="http://schemas.openxmlformats.org/drawingml/2006/main">
              <a:graphicData uri="http://schemas.openxmlformats.org/drawingml/2006/picture">
                <pic:pic xmlns:pic="http://schemas.openxmlformats.org/drawingml/2006/picture">
                  <pic:nvPicPr>
                    <pic:cNvPr id="31" name="_x0000_i1025"/>
                    <pic:cNvPicPr/>
                  </pic:nvPicPr>
                  <pic:blipFill>
                    <a:blip r:embed="rId29"/>
                    <a:stretch>
                      <a:fillRect/>
                    </a:stretch>
                  </pic:blipFill>
                  <pic:spPr>
                    <a:xfrm>
                      <a:off x="0" y="0"/>
                      <a:ext cx="1002030" cy="461010"/>
                    </a:xfrm>
                    <a:prstGeom prst="rect">
                      <a:avLst/>
                    </a:prstGeom>
                  </pic:spPr>
                </pic:pic>
              </a:graphicData>
            </a:graphic>
          </wp:inline>
        </w:drawing>
      </w:r>
    </w:p>
    <w:p w14:paraId="1E6CBB62">
      <w:pPr>
        <w:autoSpaceDE w:val="0"/>
        <w:autoSpaceDN w:val="0"/>
        <w:spacing w:line="360" w:lineRule="auto"/>
        <w:ind w:firstLine="480" w:firstLineChars="200"/>
        <w:rPr>
          <w:color w:val="auto"/>
          <w:sz w:val="24"/>
        </w:rPr>
      </w:pPr>
      <w:r>
        <w:rPr>
          <w:color w:val="auto"/>
          <w:sz w:val="24"/>
        </w:rPr>
        <w:t>式中：</w:t>
      </w:r>
      <w:r>
        <w:rPr>
          <w:color w:val="auto"/>
          <w:sz w:val="24"/>
        </w:rPr>
        <w:drawing>
          <wp:inline distT="0" distB="0" distL="0" distR="0">
            <wp:extent cx="95250" cy="182880"/>
            <wp:effectExtent l="0" t="0" r="11430" b="0"/>
            <wp:docPr id="32" name="_x0000_i1026"/>
            <wp:cNvGraphicFramePr/>
            <a:graphic xmlns:a="http://schemas.openxmlformats.org/drawingml/2006/main">
              <a:graphicData uri="http://schemas.openxmlformats.org/drawingml/2006/picture">
                <pic:pic xmlns:pic="http://schemas.openxmlformats.org/drawingml/2006/picture">
                  <pic:nvPicPr>
                    <pic:cNvPr id="32" name="_x0000_i1026"/>
                    <pic:cNvPicPr/>
                  </pic:nvPicPr>
                  <pic:blipFill>
                    <a:blip r:embed="rId30"/>
                    <a:stretch>
                      <a:fillRect/>
                    </a:stretch>
                  </pic:blipFill>
                  <pic:spPr>
                    <a:xfrm>
                      <a:off x="0" y="0"/>
                      <a:ext cx="95250" cy="182880"/>
                    </a:xfrm>
                    <a:prstGeom prst="rect">
                      <a:avLst/>
                    </a:prstGeom>
                  </pic:spPr>
                </pic:pic>
              </a:graphicData>
            </a:graphic>
          </wp:inline>
        </w:drawing>
      </w:r>
      <w:r>
        <w:rPr>
          <w:color w:val="auto"/>
          <w:sz w:val="24"/>
        </w:rPr>
        <w:t>—第i个污染物的最大地面浓度占标率，%；</w:t>
      </w:r>
    </w:p>
    <w:p w14:paraId="17E0C5E8">
      <w:pPr>
        <w:autoSpaceDE w:val="0"/>
        <w:autoSpaceDN w:val="0"/>
        <w:spacing w:line="360" w:lineRule="auto"/>
        <w:ind w:firstLine="480" w:firstLineChars="200"/>
        <w:rPr>
          <w:color w:val="auto"/>
          <w:sz w:val="24"/>
        </w:rPr>
      </w:pPr>
      <w:r>
        <w:rPr>
          <w:color w:val="auto"/>
          <w:sz w:val="24"/>
        </w:rPr>
        <w:t xml:space="preserve">      </w:t>
      </w:r>
      <w:r>
        <w:rPr>
          <w:color w:val="auto"/>
          <w:sz w:val="24"/>
        </w:rPr>
        <w:drawing>
          <wp:inline distT="0" distB="0" distL="0" distR="0">
            <wp:extent cx="182880" cy="182880"/>
            <wp:effectExtent l="0" t="0" r="0" b="0"/>
            <wp:docPr id="33" name="_x0000_i1027"/>
            <wp:cNvGraphicFramePr/>
            <a:graphic xmlns:a="http://schemas.openxmlformats.org/drawingml/2006/main">
              <a:graphicData uri="http://schemas.openxmlformats.org/drawingml/2006/picture">
                <pic:pic xmlns:pic="http://schemas.openxmlformats.org/drawingml/2006/picture">
                  <pic:nvPicPr>
                    <pic:cNvPr id="33" name="_x0000_i1027"/>
                    <pic:cNvPicPr/>
                  </pic:nvPicPr>
                  <pic:blipFill>
                    <a:blip r:embed="rId31"/>
                    <a:stretch>
                      <a:fillRect/>
                    </a:stretch>
                  </pic:blipFill>
                  <pic:spPr>
                    <a:xfrm>
                      <a:off x="0" y="0"/>
                      <a:ext cx="182880" cy="182880"/>
                    </a:xfrm>
                    <a:prstGeom prst="rect">
                      <a:avLst/>
                    </a:prstGeom>
                  </pic:spPr>
                </pic:pic>
              </a:graphicData>
            </a:graphic>
          </wp:inline>
        </w:drawing>
      </w:r>
      <w:r>
        <w:rPr>
          <w:color w:val="auto"/>
          <w:sz w:val="24"/>
        </w:rPr>
        <w:t>—</w:t>
      </w:r>
      <w:r>
        <w:rPr>
          <w:rFonts w:hint="eastAsia"/>
          <w:color w:val="auto"/>
          <w:sz w:val="24"/>
        </w:rPr>
        <w:t>采用估算模型计算出的第</w:t>
      </w:r>
      <w:r>
        <w:rPr>
          <w:color w:val="auto"/>
          <w:sz w:val="24"/>
        </w:rPr>
        <w:t>i</w:t>
      </w:r>
      <w:r>
        <w:rPr>
          <w:rFonts w:hint="eastAsia"/>
          <w:color w:val="auto"/>
          <w:sz w:val="24"/>
        </w:rPr>
        <w:t>个污染物的最大</w:t>
      </w:r>
      <w:r>
        <w:rPr>
          <w:color w:val="auto"/>
          <w:sz w:val="24"/>
        </w:rPr>
        <w:t>1h</w:t>
      </w:r>
      <w:r>
        <w:rPr>
          <w:rFonts w:hint="eastAsia"/>
          <w:color w:val="auto"/>
          <w:sz w:val="24"/>
        </w:rPr>
        <w:t>地面空气质量浓度，</w:t>
      </w:r>
      <w:r>
        <w:rPr>
          <w:color w:val="auto"/>
          <w:sz w:val="24"/>
        </w:rPr>
        <w:t>μg/m</w:t>
      </w:r>
      <w:r>
        <w:rPr>
          <w:color w:val="auto"/>
          <w:sz w:val="24"/>
          <w:vertAlign w:val="superscript"/>
        </w:rPr>
        <w:t>3</w:t>
      </w:r>
      <w:r>
        <w:rPr>
          <w:rFonts w:hint="eastAsia"/>
          <w:color w:val="auto"/>
          <w:sz w:val="24"/>
        </w:rPr>
        <w:t>；</w:t>
      </w:r>
    </w:p>
    <w:p w14:paraId="264815AA">
      <w:pPr>
        <w:autoSpaceDE w:val="0"/>
        <w:autoSpaceDN w:val="0"/>
        <w:spacing w:line="360" w:lineRule="auto"/>
        <w:ind w:firstLine="480" w:firstLineChars="200"/>
        <w:rPr>
          <w:color w:val="auto"/>
          <w:sz w:val="24"/>
        </w:rPr>
      </w:pPr>
      <w:r>
        <w:rPr>
          <w:color w:val="auto"/>
          <w:sz w:val="24"/>
        </w:rPr>
        <w:t xml:space="preserve">      </w:t>
      </w:r>
      <w:r>
        <w:rPr>
          <w:color w:val="auto"/>
          <w:sz w:val="24"/>
        </w:rPr>
        <w:drawing>
          <wp:inline distT="0" distB="0" distL="0" distR="0">
            <wp:extent cx="182880" cy="182880"/>
            <wp:effectExtent l="0" t="0" r="0" b="0"/>
            <wp:docPr id="34" name="_x0000_i1028"/>
            <wp:cNvGraphicFramePr/>
            <a:graphic xmlns:a="http://schemas.openxmlformats.org/drawingml/2006/main">
              <a:graphicData uri="http://schemas.openxmlformats.org/drawingml/2006/picture">
                <pic:pic xmlns:pic="http://schemas.openxmlformats.org/drawingml/2006/picture">
                  <pic:nvPicPr>
                    <pic:cNvPr id="34" name="_x0000_i1028"/>
                    <pic:cNvPicPr/>
                  </pic:nvPicPr>
                  <pic:blipFill>
                    <a:blip r:embed="rId32"/>
                    <a:stretch>
                      <a:fillRect/>
                    </a:stretch>
                  </pic:blipFill>
                  <pic:spPr>
                    <a:xfrm>
                      <a:off x="0" y="0"/>
                      <a:ext cx="182880" cy="182880"/>
                    </a:xfrm>
                    <a:prstGeom prst="rect">
                      <a:avLst/>
                    </a:prstGeom>
                  </pic:spPr>
                </pic:pic>
              </a:graphicData>
            </a:graphic>
          </wp:inline>
        </w:drawing>
      </w:r>
      <w:r>
        <w:rPr>
          <w:color w:val="auto"/>
          <w:sz w:val="24"/>
        </w:rPr>
        <w:t>—</w:t>
      </w:r>
      <w:r>
        <w:rPr>
          <w:rFonts w:hint="eastAsia"/>
          <w:color w:val="auto"/>
          <w:sz w:val="24"/>
        </w:rPr>
        <w:t>第</w:t>
      </w:r>
      <w:r>
        <w:rPr>
          <w:color w:val="auto"/>
          <w:sz w:val="24"/>
        </w:rPr>
        <w:t>i</w:t>
      </w:r>
      <w:r>
        <w:rPr>
          <w:rFonts w:hint="eastAsia"/>
          <w:color w:val="auto"/>
          <w:sz w:val="24"/>
        </w:rPr>
        <w:t>个污染物的环境空气质量浓度标准，</w:t>
      </w:r>
      <w:r>
        <w:rPr>
          <w:color w:val="auto"/>
          <w:sz w:val="24"/>
        </w:rPr>
        <w:t>μg/m</w:t>
      </w:r>
      <w:r>
        <w:rPr>
          <w:color w:val="auto"/>
          <w:sz w:val="24"/>
          <w:vertAlign w:val="superscript"/>
        </w:rPr>
        <w:t>3</w:t>
      </w:r>
      <w:r>
        <w:rPr>
          <w:rFonts w:hint="eastAsia"/>
          <w:color w:val="auto"/>
          <w:sz w:val="24"/>
        </w:rPr>
        <w:t>。</w:t>
      </w:r>
    </w:p>
    <w:p w14:paraId="4D991A0D">
      <w:pPr>
        <w:spacing w:line="360" w:lineRule="auto"/>
        <w:ind w:firstLine="482"/>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2</w:t>
      </w:r>
      <w:r>
        <w:rPr>
          <w:rFonts w:hint="eastAsia" w:ascii="Times New Roman" w:hAnsi="Times New Roman" w:eastAsia="宋体" w:cs="Times New Roman"/>
          <w:b/>
          <w:color w:val="auto"/>
          <w:kern w:val="2"/>
          <w:sz w:val="24"/>
          <w:szCs w:val="24"/>
          <w:lang w:val="en-US" w:eastAsia="zh-CN" w:bidi="ar-SA"/>
        </w:rPr>
        <w:t>.4-1    评价工作等级判定表</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9"/>
        <w:gridCol w:w="5821"/>
      </w:tblGrid>
      <w:tr w14:paraId="693F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2" w:type="pct"/>
            <w:tcBorders>
              <w:tl2br w:val="nil"/>
              <w:tr2bl w:val="nil"/>
            </w:tcBorders>
            <w:vAlign w:val="center"/>
          </w:tcPr>
          <w:p w14:paraId="3828ABA1">
            <w:pPr>
              <w:pStyle w:val="176"/>
              <w:adjustRightInd/>
              <w:spacing w:line="300" w:lineRule="exact"/>
              <w:ind w:firstLine="0"/>
              <w:jc w:val="center"/>
              <w:rPr>
                <w:color w:val="auto"/>
                <w:kern w:val="2"/>
                <w:sz w:val="21"/>
                <w:szCs w:val="21"/>
              </w:rPr>
            </w:pPr>
            <w:r>
              <w:rPr>
                <w:rFonts w:hint="eastAsia"/>
                <w:color w:val="auto"/>
                <w:kern w:val="2"/>
                <w:sz w:val="21"/>
                <w:szCs w:val="21"/>
              </w:rPr>
              <w:t>评价工作等级</w:t>
            </w:r>
          </w:p>
        </w:tc>
        <w:tc>
          <w:tcPr>
            <w:tcW w:w="3338" w:type="pct"/>
            <w:tcBorders>
              <w:tl2br w:val="nil"/>
              <w:tr2bl w:val="nil"/>
            </w:tcBorders>
            <w:vAlign w:val="center"/>
          </w:tcPr>
          <w:p w14:paraId="4F03B3B1">
            <w:pPr>
              <w:pStyle w:val="176"/>
              <w:adjustRightInd/>
              <w:spacing w:line="300" w:lineRule="exact"/>
              <w:ind w:firstLine="0"/>
              <w:jc w:val="center"/>
              <w:rPr>
                <w:color w:val="auto"/>
                <w:kern w:val="2"/>
                <w:sz w:val="21"/>
                <w:szCs w:val="21"/>
              </w:rPr>
            </w:pPr>
            <w:r>
              <w:rPr>
                <w:rFonts w:hint="eastAsia"/>
                <w:color w:val="auto"/>
                <w:kern w:val="2"/>
                <w:sz w:val="21"/>
                <w:szCs w:val="21"/>
              </w:rPr>
              <w:t>评价工作分级判据</w:t>
            </w:r>
          </w:p>
        </w:tc>
      </w:tr>
      <w:tr w14:paraId="1283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2" w:type="pct"/>
            <w:tcBorders>
              <w:tl2br w:val="nil"/>
              <w:tr2bl w:val="nil"/>
            </w:tcBorders>
            <w:vAlign w:val="center"/>
          </w:tcPr>
          <w:p w14:paraId="232258DC">
            <w:pPr>
              <w:pStyle w:val="176"/>
              <w:adjustRightInd/>
              <w:spacing w:line="300" w:lineRule="exact"/>
              <w:ind w:firstLine="0"/>
              <w:jc w:val="center"/>
              <w:rPr>
                <w:color w:val="auto"/>
                <w:kern w:val="2"/>
                <w:sz w:val="21"/>
                <w:szCs w:val="21"/>
              </w:rPr>
            </w:pPr>
            <w:r>
              <w:rPr>
                <w:rFonts w:hint="eastAsia"/>
                <w:color w:val="auto"/>
                <w:kern w:val="2"/>
                <w:sz w:val="21"/>
                <w:szCs w:val="21"/>
              </w:rPr>
              <w:t>一级</w:t>
            </w:r>
          </w:p>
        </w:tc>
        <w:tc>
          <w:tcPr>
            <w:tcW w:w="3338" w:type="pct"/>
            <w:tcBorders>
              <w:tl2br w:val="nil"/>
              <w:tr2bl w:val="nil"/>
            </w:tcBorders>
            <w:vAlign w:val="center"/>
          </w:tcPr>
          <w:p w14:paraId="6C38E848">
            <w:pPr>
              <w:pStyle w:val="176"/>
              <w:adjustRightInd/>
              <w:spacing w:line="300" w:lineRule="exact"/>
              <w:ind w:firstLine="0"/>
              <w:jc w:val="center"/>
              <w:rPr>
                <w:color w:val="auto"/>
                <w:kern w:val="2"/>
                <w:sz w:val="21"/>
                <w:szCs w:val="21"/>
              </w:rPr>
            </w:pPr>
            <w:r>
              <w:rPr>
                <w:color w:val="auto"/>
                <w:kern w:val="2"/>
                <w:sz w:val="21"/>
                <w:szCs w:val="21"/>
              </w:rPr>
              <w:t>P</w:t>
            </w:r>
            <w:r>
              <w:rPr>
                <w:color w:val="auto"/>
                <w:kern w:val="2"/>
                <w:sz w:val="21"/>
                <w:szCs w:val="21"/>
                <w:vertAlign w:val="subscript"/>
              </w:rPr>
              <w:t>max</w:t>
            </w:r>
            <w:r>
              <w:rPr>
                <w:color w:val="auto"/>
                <w:kern w:val="2"/>
                <w:sz w:val="21"/>
                <w:szCs w:val="21"/>
              </w:rPr>
              <w:t>≥10%</w:t>
            </w:r>
          </w:p>
        </w:tc>
      </w:tr>
      <w:tr w14:paraId="22107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2" w:type="pct"/>
            <w:tcBorders>
              <w:tl2br w:val="nil"/>
              <w:tr2bl w:val="nil"/>
            </w:tcBorders>
            <w:vAlign w:val="center"/>
          </w:tcPr>
          <w:p w14:paraId="3A22A26A">
            <w:pPr>
              <w:pStyle w:val="176"/>
              <w:adjustRightInd/>
              <w:spacing w:line="300" w:lineRule="exact"/>
              <w:ind w:firstLine="0"/>
              <w:jc w:val="center"/>
              <w:rPr>
                <w:color w:val="auto"/>
                <w:kern w:val="2"/>
                <w:sz w:val="21"/>
                <w:szCs w:val="21"/>
              </w:rPr>
            </w:pPr>
            <w:r>
              <w:rPr>
                <w:rFonts w:hint="eastAsia"/>
                <w:color w:val="auto"/>
                <w:kern w:val="2"/>
                <w:sz w:val="21"/>
                <w:szCs w:val="21"/>
              </w:rPr>
              <w:t>二级</w:t>
            </w:r>
          </w:p>
        </w:tc>
        <w:tc>
          <w:tcPr>
            <w:tcW w:w="3338" w:type="pct"/>
            <w:tcBorders>
              <w:tl2br w:val="nil"/>
              <w:tr2bl w:val="nil"/>
            </w:tcBorders>
            <w:vAlign w:val="center"/>
          </w:tcPr>
          <w:p w14:paraId="770950E4">
            <w:pPr>
              <w:pStyle w:val="176"/>
              <w:adjustRightInd/>
              <w:spacing w:line="300" w:lineRule="exact"/>
              <w:ind w:firstLine="0"/>
              <w:jc w:val="center"/>
              <w:rPr>
                <w:color w:val="auto"/>
                <w:kern w:val="2"/>
                <w:sz w:val="21"/>
                <w:szCs w:val="21"/>
              </w:rPr>
            </w:pPr>
            <w:r>
              <w:rPr>
                <w:color w:val="auto"/>
                <w:kern w:val="2"/>
                <w:sz w:val="21"/>
                <w:szCs w:val="21"/>
              </w:rPr>
              <w:t>1%≤P</w:t>
            </w:r>
            <w:r>
              <w:rPr>
                <w:color w:val="auto"/>
                <w:kern w:val="2"/>
                <w:sz w:val="21"/>
                <w:szCs w:val="21"/>
                <w:vertAlign w:val="subscript"/>
              </w:rPr>
              <w:t>max</w:t>
            </w:r>
            <w:r>
              <w:rPr>
                <w:color w:val="auto"/>
                <w:kern w:val="2"/>
                <w:sz w:val="21"/>
                <w:szCs w:val="21"/>
              </w:rPr>
              <w:t>&lt;10%</w:t>
            </w:r>
          </w:p>
        </w:tc>
      </w:tr>
      <w:tr w14:paraId="251C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2" w:type="pct"/>
            <w:tcBorders>
              <w:tl2br w:val="nil"/>
              <w:tr2bl w:val="nil"/>
            </w:tcBorders>
            <w:vAlign w:val="center"/>
          </w:tcPr>
          <w:p w14:paraId="55567E66">
            <w:pPr>
              <w:pStyle w:val="176"/>
              <w:adjustRightInd/>
              <w:spacing w:line="300" w:lineRule="exact"/>
              <w:ind w:firstLine="0"/>
              <w:jc w:val="center"/>
              <w:rPr>
                <w:color w:val="auto"/>
                <w:kern w:val="2"/>
                <w:sz w:val="21"/>
                <w:szCs w:val="21"/>
              </w:rPr>
            </w:pPr>
            <w:r>
              <w:rPr>
                <w:rFonts w:hint="eastAsia"/>
                <w:color w:val="auto"/>
                <w:kern w:val="2"/>
                <w:sz w:val="21"/>
                <w:szCs w:val="21"/>
              </w:rPr>
              <w:t>三级</w:t>
            </w:r>
          </w:p>
        </w:tc>
        <w:tc>
          <w:tcPr>
            <w:tcW w:w="3338" w:type="pct"/>
            <w:tcBorders>
              <w:tl2br w:val="nil"/>
              <w:tr2bl w:val="nil"/>
            </w:tcBorders>
            <w:vAlign w:val="center"/>
          </w:tcPr>
          <w:p w14:paraId="6387EE7E">
            <w:pPr>
              <w:pStyle w:val="176"/>
              <w:adjustRightInd/>
              <w:spacing w:line="300" w:lineRule="exact"/>
              <w:ind w:firstLine="0"/>
              <w:jc w:val="center"/>
              <w:rPr>
                <w:color w:val="auto"/>
                <w:kern w:val="2"/>
                <w:sz w:val="21"/>
                <w:szCs w:val="21"/>
              </w:rPr>
            </w:pPr>
            <w:r>
              <w:rPr>
                <w:color w:val="auto"/>
                <w:kern w:val="2"/>
                <w:sz w:val="21"/>
                <w:szCs w:val="21"/>
              </w:rPr>
              <w:t>P</w:t>
            </w:r>
            <w:r>
              <w:rPr>
                <w:color w:val="auto"/>
                <w:kern w:val="2"/>
                <w:sz w:val="21"/>
                <w:szCs w:val="21"/>
                <w:vertAlign w:val="subscript"/>
              </w:rPr>
              <w:t>max</w:t>
            </w:r>
            <w:r>
              <w:rPr>
                <w:color w:val="auto"/>
                <w:kern w:val="2"/>
                <w:sz w:val="21"/>
                <w:szCs w:val="21"/>
              </w:rPr>
              <w:t>&lt;1%</w:t>
            </w:r>
          </w:p>
        </w:tc>
      </w:tr>
    </w:tbl>
    <w:p w14:paraId="49AF3A10">
      <w:pPr>
        <w:pStyle w:val="1486"/>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具体评价因子和评价标准的筛选结果见表</w:t>
      </w:r>
      <w:r>
        <w:rPr>
          <w:rFonts w:hint="eastAsia"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，估算模型参数见表</w:t>
      </w:r>
      <w:r>
        <w:rPr>
          <w:rFonts w:hint="eastAsia"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.4-</w:t>
      </w:r>
      <w:r>
        <w:rPr>
          <w:rFonts w:hint="eastAsia" w:eastAsia="宋体"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，各污染源排放参数见表</w:t>
      </w:r>
      <w:r>
        <w:rPr>
          <w:rFonts w:hint="eastAsia" w:eastAsia="宋体"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.4-</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p>
    <w:p w14:paraId="07E4F130">
      <w:pPr>
        <w:spacing w:line="240" w:lineRule="auto"/>
        <w:ind w:firstLine="482"/>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w:t>
      </w:r>
      <w:r>
        <w:rPr>
          <w:rFonts w:hint="eastAsia" w:cs="Times New Roman"/>
          <w:b/>
          <w:color w:val="auto"/>
          <w:kern w:val="2"/>
          <w:sz w:val="21"/>
          <w:szCs w:val="21"/>
          <w:lang w:val="en-US" w:eastAsia="zh-CN" w:bidi="ar-SA"/>
        </w:rPr>
        <w:t>2</w:t>
      </w:r>
      <w:r>
        <w:rPr>
          <w:rFonts w:hint="eastAsia" w:ascii="Times New Roman" w:hAnsi="Times New Roman" w:eastAsia="宋体" w:cs="Times New Roman"/>
          <w:b/>
          <w:color w:val="auto"/>
          <w:kern w:val="2"/>
          <w:sz w:val="21"/>
          <w:szCs w:val="21"/>
          <w:lang w:val="en-US" w:eastAsia="zh-CN" w:bidi="ar-SA"/>
        </w:rPr>
        <w:t>.4-2   评价因子和评价标准</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2"/>
        <w:gridCol w:w="2045"/>
        <w:gridCol w:w="2041"/>
        <w:gridCol w:w="2612"/>
      </w:tblGrid>
      <w:tr w14:paraId="171C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pct"/>
            <w:tcBorders>
              <w:tl2br w:val="nil"/>
              <w:tr2bl w:val="nil"/>
            </w:tcBorders>
            <w:vAlign w:val="center"/>
          </w:tcPr>
          <w:p w14:paraId="7EB33260">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rFonts w:hint="eastAsia"/>
                <w:color w:val="auto"/>
                <w:sz w:val="21"/>
                <w:szCs w:val="21"/>
              </w:rPr>
              <w:t>评价因子</w:t>
            </w:r>
          </w:p>
        </w:tc>
        <w:tc>
          <w:tcPr>
            <w:tcW w:w="1172" w:type="pct"/>
            <w:tcBorders>
              <w:tl2br w:val="nil"/>
              <w:tr2bl w:val="nil"/>
            </w:tcBorders>
            <w:vAlign w:val="center"/>
          </w:tcPr>
          <w:p w14:paraId="102A4C61">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rFonts w:hint="eastAsia"/>
                <w:color w:val="auto"/>
                <w:sz w:val="21"/>
                <w:szCs w:val="21"/>
              </w:rPr>
              <w:t>平均时段</w:t>
            </w:r>
          </w:p>
        </w:tc>
        <w:tc>
          <w:tcPr>
            <w:tcW w:w="1170" w:type="pct"/>
            <w:tcBorders>
              <w:tl2br w:val="nil"/>
              <w:tr2bl w:val="nil"/>
            </w:tcBorders>
            <w:vAlign w:val="center"/>
          </w:tcPr>
          <w:p w14:paraId="10F30A04">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rFonts w:hint="eastAsia"/>
                <w:color w:val="auto"/>
                <w:sz w:val="21"/>
                <w:szCs w:val="21"/>
              </w:rPr>
              <w:t>标准值（</w:t>
            </w:r>
            <w:r>
              <w:rPr>
                <w:color w:val="auto"/>
                <w:sz w:val="21"/>
                <w:szCs w:val="21"/>
              </w:rPr>
              <w:t>μg/m</w:t>
            </w:r>
            <w:r>
              <w:rPr>
                <w:color w:val="auto"/>
                <w:sz w:val="21"/>
                <w:szCs w:val="21"/>
                <w:vertAlign w:val="superscript"/>
              </w:rPr>
              <w:t>3</w:t>
            </w:r>
            <w:r>
              <w:rPr>
                <w:rFonts w:hint="eastAsia"/>
                <w:color w:val="auto"/>
                <w:sz w:val="21"/>
                <w:szCs w:val="21"/>
              </w:rPr>
              <w:t>）</w:t>
            </w:r>
          </w:p>
        </w:tc>
        <w:tc>
          <w:tcPr>
            <w:tcW w:w="1497" w:type="pct"/>
            <w:tcBorders>
              <w:tl2br w:val="nil"/>
              <w:tr2bl w:val="nil"/>
            </w:tcBorders>
            <w:vAlign w:val="center"/>
          </w:tcPr>
          <w:p w14:paraId="268F9355">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rFonts w:hint="eastAsia"/>
                <w:color w:val="auto"/>
                <w:sz w:val="21"/>
                <w:szCs w:val="21"/>
              </w:rPr>
              <w:t>标准来源</w:t>
            </w:r>
          </w:p>
        </w:tc>
      </w:tr>
      <w:tr w14:paraId="6F45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pct"/>
            <w:tcBorders>
              <w:tl2br w:val="nil"/>
              <w:tr2bl w:val="nil"/>
            </w:tcBorders>
            <w:vAlign w:val="center"/>
          </w:tcPr>
          <w:p w14:paraId="760FD70A">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rFonts w:hint="eastAsia"/>
                <w:color w:val="auto"/>
                <w:sz w:val="21"/>
                <w:szCs w:val="21"/>
              </w:rPr>
              <w:t>颗粒物（</w:t>
            </w:r>
            <w:r>
              <w:rPr>
                <w:color w:val="auto"/>
                <w:sz w:val="21"/>
                <w:szCs w:val="21"/>
              </w:rPr>
              <w:t>PM</w:t>
            </w:r>
            <w:r>
              <w:rPr>
                <w:color w:val="auto"/>
                <w:sz w:val="21"/>
                <w:szCs w:val="21"/>
                <w:vertAlign w:val="subscript"/>
              </w:rPr>
              <w:t>10</w:t>
            </w:r>
            <w:r>
              <w:rPr>
                <w:rFonts w:hint="eastAsia"/>
                <w:color w:val="auto"/>
                <w:sz w:val="21"/>
                <w:szCs w:val="21"/>
              </w:rPr>
              <w:t>）</w:t>
            </w:r>
          </w:p>
        </w:tc>
        <w:tc>
          <w:tcPr>
            <w:tcW w:w="1172" w:type="pct"/>
            <w:tcBorders>
              <w:tl2br w:val="nil"/>
              <w:tr2bl w:val="nil"/>
            </w:tcBorders>
            <w:vAlign w:val="center"/>
          </w:tcPr>
          <w:p w14:paraId="1F638051">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color w:val="auto"/>
                <w:sz w:val="21"/>
                <w:szCs w:val="21"/>
              </w:rPr>
              <w:t>1h</w:t>
            </w:r>
            <w:r>
              <w:rPr>
                <w:rFonts w:hint="eastAsia"/>
                <w:color w:val="auto"/>
                <w:sz w:val="21"/>
                <w:szCs w:val="21"/>
              </w:rPr>
              <w:t>平均</w:t>
            </w:r>
          </w:p>
        </w:tc>
        <w:tc>
          <w:tcPr>
            <w:tcW w:w="1170" w:type="pct"/>
            <w:tcBorders>
              <w:tl2br w:val="nil"/>
              <w:tr2bl w:val="nil"/>
            </w:tcBorders>
            <w:vAlign w:val="center"/>
          </w:tcPr>
          <w:p w14:paraId="2133D224">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color w:val="auto"/>
                <w:sz w:val="21"/>
                <w:szCs w:val="21"/>
              </w:rPr>
              <w:t>450</w:t>
            </w:r>
          </w:p>
        </w:tc>
        <w:tc>
          <w:tcPr>
            <w:tcW w:w="1497" w:type="pct"/>
            <w:vMerge w:val="restart"/>
            <w:tcBorders>
              <w:tl2br w:val="nil"/>
              <w:tr2bl w:val="nil"/>
            </w:tcBorders>
            <w:vAlign w:val="center"/>
          </w:tcPr>
          <w:p w14:paraId="71837207">
            <w:pPr>
              <w:keepNext w:val="0"/>
              <w:keepLines w:val="0"/>
              <w:pageBreakBefore w:val="0"/>
              <w:widowControl w:val="0"/>
              <w:kinsoku/>
              <w:wordWrap/>
              <w:overflowPunct/>
              <w:topLinePunct w:val="0"/>
              <w:autoSpaceDE/>
              <w:autoSpaceDN/>
              <w:bidi w:val="0"/>
              <w:adjustRightInd/>
              <w:snapToGrid/>
              <w:spacing w:line="360" w:lineRule="auto"/>
              <w:jc w:val="center"/>
              <w:rPr>
                <w:color w:val="auto"/>
                <w:sz w:val="21"/>
                <w:szCs w:val="21"/>
              </w:rPr>
            </w:pPr>
            <w:r>
              <w:rPr>
                <w:rFonts w:hint="eastAsia"/>
                <w:color w:val="auto"/>
                <w:sz w:val="21"/>
                <w:szCs w:val="21"/>
              </w:rPr>
              <w:t>《环境空气质量标准》（</w:t>
            </w:r>
            <w:r>
              <w:rPr>
                <w:color w:val="auto"/>
                <w:sz w:val="21"/>
                <w:szCs w:val="21"/>
              </w:rPr>
              <w:t>GB3095-2012</w:t>
            </w:r>
            <w:r>
              <w:rPr>
                <w:rFonts w:hint="eastAsia"/>
                <w:color w:val="auto"/>
                <w:sz w:val="21"/>
                <w:szCs w:val="21"/>
              </w:rPr>
              <w:t>）</w:t>
            </w:r>
          </w:p>
        </w:tc>
      </w:tr>
      <w:tr w14:paraId="6189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9" w:type="pct"/>
            <w:tcBorders>
              <w:tl2br w:val="nil"/>
              <w:tr2bl w:val="nil"/>
            </w:tcBorders>
            <w:vAlign w:val="center"/>
          </w:tcPr>
          <w:p w14:paraId="1E4EAFFA">
            <w:pPr>
              <w:keepNext w:val="0"/>
              <w:keepLines w:val="0"/>
              <w:pageBreakBefore w:val="0"/>
              <w:widowControl w:val="0"/>
              <w:kinsoku/>
              <w:wordWrap/>
              <w:overflowPunct/>
              <w:topLinePunct w:val="0"/>
              <w:autoSpaceDE/>
              <w:autoSpaceDN/>
              <w:bidi w:val="0"/>
              <w:adjustRightInd/>
              <w:snapToGrid/>
              <w:spacing w:line="360" w:lineRule="auto"/>
              <w:jc w:val="center"/>
              <w:rPr>
                <w:rFonts w:hint="eastAsia"/>
                <w:color w:val="auto"/>
                <w:sz w:val="21"/>
                <w:szCs w:val="21"/>
              </w:rPr>
            </w:pPr>
            <w:r>
              <w:rPr>
                <w:rFonts w:hint="eastAsia"/>
                <w:color w:val="auto"/>
                <w:sz w:val="21"/>
                <w:szCs w:val="21"/>
              </w:rPr>
              <w:t>颗粒物（TSP）</w:t>
            </w:r>
          </w:p>
        </w:tc>
        <w:tc>
          <w:tcPr>
            <w:tcW w:w="1172" w:type="pct"/>
            <w:tcBorders>
              <w:tl2br w:val="nil"/>
              <w:tr2bl w:val="nil"/>
            </w:tcBorders>
            <w:vAlign w:val="center"/>
          </w:tcPr>
          <w:p w14:paraId="7B83478E">
            <w:pPr>
              <w:keepNext w:val="0"/>
              <w:keepLines w:val="0"/>
              <w:pageBreakBefore w:val="0"/>
              <w:widowControl w:val="0"/>
              <w:kinsoku/>
              <w:wordWrap/>
              <w:overflowPunct/>
              <w:topLinePunct w:val="0"/>
              <w:autoSpaceDE/>
              <w:autoSpaceDN/>
              <w:bidi w:val="0"/>
              <w:adjustRightInd/>
              <w:snapToGrid/>
              <w:spacing w:line="360" w:lineRule="auto"/>
              <w:jc w:val="center"/>
              <w:rPr>
                <w:rFonts w:hint="eastAsia"/>
                <w:color w:val="auto"/>
                <w:sz w:val="21"/>
                <w:szCs w:val="21"/>
              </w:rPr>
            </w:pPr>
            <w:r>
              <w:rPr>
                <w:rFonts w:hint="eastAsia"/>
                <w:color w:val="auto"/>
                <w:sz w:val="21"/>
                <w:szCs w:val="21"/>
              </w:rPr>
              <w:t>1h平均</w:t>
            </w:r>
          </w:p>
        </w:tc>
        <w:tc>
          <w:tcPr>
            <w:tcW w:w="1170" w:type="pct"/>
            <w:tcBorders>
              <w:tl2br w:val="nil"/>
              <w:tr2bl w:val="nil"/>
            </w:tcBorders>
            <w:vAlign w:val="center"/>
          </w:tcPr>
          <w:p w14:paraId="37490F50">
            <w:pPr>
              <w:keepNext w:val="0"/>
              <w:keepLines w:val="0"/>
              <w:pageBreakBefore w:val="0"/>
              <w:widowControl w:val="0"/>
              <w:kinsoku/>
              <w:wordWrap/>
              <w:overflowPunct/>
              <w:topLinePunct w:val="0"/>
              <w:autoSpaceDE/>
              <w:autoSpaceDN/>
              <w:bidi w:val="0"/>
              <w:adjustRightInd/>
              <w:snapToGrid/>
              <w:spacing w:line="360" w:lineRule="auto"/>
              <w:jc w:val="center"/>
              <w:rPr>
                <w:rFonts w:hint="eastAsia"/>
                <w:color w:val="auto"/>
                <w:sz w:val="21"/>
                <w:szCs w:val="21"/>
              </w:rPr>
            </w:pPr>
            <w:r>
              <w:rPr>
                <w:rFonts w:hint="eastAsia"/>
                <w:color w:val="auto"/>
                <w:sz w:val="21"/>
                <w:szCs w:val="21"/>
              </w:rPr>
              <w:t>900</w:t>
            </w:r>
          </w:p>
        </w:tc>
        <w:tc>
          <w:tcPr>
            <w:tcW w:w="1497" w:type="pct"/>
            <w:vMerge w:val="continue"/>
            <w:tcBorders>
              <w:tl2br w:val="nil"/>
              <w:tr2bl w:val="nil"/>
            </w:tcBorders>
            <w:vAlign w:val="center"/>
          </w:tcPr>
          <w:p w14:paraId="64206BD0">
            <w:pPr>
              <w:keepNext w:val="0"/>
              <w:keepLines w:val="0"/>
              <w:pageBreakBefore w:val="0"/>
              <w:widowControl w:val="0"/>
              <w:kinsoku/>
              <w:wordWrap/>
              <w:overflowPunct/>
              <w:topLinePunct w:val="0"/>
              <w:autoSpaceDE/>
              <w:autoSpaceDN/>
              <w:bidi w:val="0"/>
              <w:adjustRightInd/>
              <w:snapToGrid/>
              <w:spacing w:line="360" w:lineRule="auto"/>
              <w:jc w:val="center"/>
              <w:rPr>
                <w:rFonts w:hint="eastAsia"/>
                <w:color w:val="auto"/>
                <w:sz w:val="21"/>
                <w:szCs w:val="21"/>
              </w:rPr>
            </w:pPr>
          </w:p>
        </w:tc>
      </w:tr>
    </w:tbl>
    <w:p w14:paraId="6931DCC0">
      <w:pPr>
        <w:spacing w:line="360" w:lineRule="auto"/>
        <w:ind w:firstLine="480" w:firstLineChars="200"/>
        <w:rPr>
          <w:color w:val="auto"/>
          <w:sz w:val="24"/>
        </w:rPr>
      </w:pPr>
      <w:r>
        <w:rPr>
          <w:color w:val="auto"/>
          <w:sz w:val="24"/>
        </w:rPr>
        <w:t>本环评预测模式选择《环境影响评价技术导则—大气环境》(HJ2.2－2018)中推荐的ARESCREEN模式对项目排放的污染物扩散情况进行估算。模式中参数设置如下：</w:t>
      </w:r>
    </w:p>
    <w:p w14:paraId="60EC590C">
      <w:pPr>
        <w:autoSpaceDE w:val="0"/>
        <w:autoSpaceDN w:val="0"/>
        <w:jc w:val="center"/>
        <w:rPr>
          <w:b/>
          <w:color w:val="auto"/>
          <w:sz w:val="21"/>
          <w:szCs w:val="21"/>
        </w:rPr>
      </w:pPr>
      <w:r>
        <w:rPr>
          <w:rFonts w:hint="eastAsia"/>
          <w:b/>
          <w:color w:val="auto"/>
          <w:sz w:val="21"/>
          <w:szCs w:val="21"/>
        </w:rPr>
        <w:t>表</w:t>
      </w:r>
      <w:r>
        <w:rPr>
          <w:rFonts w:hint="eastAsia"/>
          <w:b/>
          <w:color w:val="auto"/>
          <w:sz w:val="21"/>
          <w:szCs w:val="21"/>
          <w:lang w:val="en-US" w:eastAsia="zh-CN"/>
        </w:rPr>
        <w:t>2</w:t>
      </w:r>
      <w:r>
        <w:rPr>
          <w:b/>
          <w:color w:val="auto"/>
          <w:sz w:val="21"/>
          <w:szCs w:val="21"/>
        </w:rPr>
        <w:t xml:space="preserve">.4-3    </w:t>
      </w:r>
      <w:r>
        <w:rPr>
          <w:rFonts w:hint="eastAsia"/>
          <w:b/>
          <w:color w:val="auto"/>
          <w:sz w:val="21"/>
          <w:szCs w:val="21"/>
        </w:rPr>
        <w:t>估算模型参数表</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63"/>
        <w:gridCol w:w="3263"/>
        <w:gridCol w:w="2194"/>
      </w:tblGrid>
      <w:tr w14:paraId="644D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pct"/>
            <w:gridSpan w:val="2"/>
            <w:tcBorders>
              <w:tl2br w:val="nil"/>
              <w:tr2bl w:val="nil"/>
            </w:tcBorders>
            <w:vAlign w:val="center"/>
          </w:tcPr>
          <w:p w14:paraId="3F0CC2C7">
            <w:pPr>
              <w:spacing w:line="360" w:lineRule="auto"/>
              <w:jc w:val="center"/>
              <w:rPr>
                <w:color w:val="auto"/>
                <w:sz w:val="21"/>
                <w:szCs w:val="21"/>
              </w:rPr>
            </w:pPr>
            <w:r>
              <w:rPr>
                <w:rFonts w:hint="eastAsia"/>
                <w:color w:val="auto"/>
                <w:sz w:val="21"/>
                <w:szCs w:val="21"/>
              </w:rPr>
              <w:t>参数</w:t>
            </w:r>
          </w:p>
        </w:tc>
        <w:tc>
          <w:tcPr>
            <w:tcW w:w="1258" w:type="pct"/>
            <w:tcBorders>
              <w:tl2br w:val="nil"/>
              <w:tr2bl w:val="nil"/>
            </w:tcBorders>
            <w:vAlign w:val="center"/>
          </w:tcPr>
          <w:p w14:paraId="4FD3097C">
            <w:pPr>
              <w:spacing w:line="360" w:lineRule="auto"/>
              <w:jc w:val="center"/>
              <w:rPr>
                <w:color w:val="auto"/>
                <w:sz w:val="21"/>
                <w:szCs w:val="21"/>
              </w:rPr>
            </w:pPr>
            <w:r>
              <w:rPr>
                <w:rFonts w:hint="eastAsia"/>
                <w:color w:val="auto"/>
                <w:sz w:val="21"/>
                <w:szCs w:val="21"/>
              </w:rPr>
              <w:t>取值</w:t>
            </w:r>
          </w:p>
        </w:tc>
      </w:tr>
      <w:tr w14:paraId="3B1C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pct"/>
            <w:tcBorders>
              <w:tl2br w:val="nil"/>
              <w:tr2bl w:val="nil"/>
            </w:tcBorders>
            <w:vAlign w:val="center"/>
          </w:tcPr>
          <w:p w14:paraId="07875ABC">
            <w:pPr>
              <w:spacing w:line="360" w:lineRule="auto"/>
              <w:jc w:val="center"/>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农村选项</w:t>
            </w:r>
          </w:p>
        </w:tc>
        <w:tc>
          <w:tcPr>
            <w:tcW w:w="1871" w:type="pct"/>
            <w:tcBorders>
              <w:tl2br w:val="nil"/>
              <w:tr2bl w:val="nil"/>
            </w:tcBorders>
            <w:vAlign w:val="center"/>
          </w:tcPr>
          <w:p w14:paraId="17033D3D">
            <w:pPr>
              <w:spacing w:line="360" w:lineRule="auto"/>
              <w:jc w:val="center"/>
              <w:rPr>
                <w:color w:val="auto"/>
                <w:sz w:val="21"/>
                <w:szCs w:val="21"/>
              </w:rPr>
            </w:pPr>
            <w:r>
              <w:rPr>
                <w:rFonts w:hint="eastAsia"/>
                <w:color w:val="auto"/>
                <w:sz w:val="21"/>
                <w:szCs w:val="21"/>
              </w:rPr>
              <w:t>城市</w:t>
            </w:r>
            <w:r>
              <w:rPr>
                <w:color w:val="auto"/>
                <w:sz w:val="21"/>
                <w:szCs w:val="21"/>
              </w:rPr>
              <w:t>/</w:t>
            </w:r>
            <w:r>
              <w:rPr>
                <w:rFonts w:hint="eastAsia"/>
                <w:color w:val="auto"/>
                <w:sz w:val="21"/>
                <w:szCs w:val="21"/>
              </w:rPr>
              <w:t>农村</w:t>
            </w:r>
          </w:p>
        </w:tc>
        <w:tc>
          <w:tcPr>
            <w:tcW w:w="1258" w:type="pct"/>
            <w:tcBorders>
              <w:tl2br w:val="nil"/>
              <w:tr2bl w:val="nil"/>
            </w:tcBorders>
            <w:vAlign w:val="center"/>
          </w:tcPr>
          <w:p w14:paraId="231F3D70">
            <w:pPr>
              <w:spacing w:line="360" w:lineRule="auto"/>
              <w:jc w:val="center"/>
              <w:rPr>
                <w:color w:val="auto"/>
                <w:sz w:val="21"/>
                <w:szCs w:val="21"/>
              </w:rPr>
            </w:pPr>
            <w:r>
              <w:rPr>
                <w:rFonts w:hint="eastAsia"/>
                <w:color w:val="auto"/>
                <w:sz w:val="21"/>
                <w:szCs w:val="21"/>
              </w:rPr>
              <w:t>农村</w:t>
            </w:r>
          </w:p>
        </w:tc>
      </w:tr>
      <w:tr w14:paraId="5487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pct"/>
            <w:gridSpan w:val="2"/>
            <w:tcBorders>
              <w:tl2br w:val="nil"/>
              <w:tr2bl w:val="nil"/>
            </w:tcBorders>
            <w:vAlign w:val="center"/>
          </w:tcPr>
          <w:p w14:paraId="49ADE939">
            <w:pPr>
              <w:spacing w:line="360" w:lineRule="auto"/>
              <w:jc w:val="center"/>
              <w:rPr>
                <w:color w:val="auto"/>
                <w:sz w:val="21"/>
                <w:szCs w:val="21"/>
              </w:rPr>
            </w:pPr>
            <w:r>
              <w:rPr>
                <w:rFonts w:hint="eastAsia"/>
                <w:color w:val="auto"/>
                <w:sz w:val="21"/>
                <w:szCs w:val="21"/>
              </w:rPr>
              <w:t>最高环境温度</w:t>
            </w:r>
            <w:r>
              <w:rPr>
                <w:color w:val="auto"/>
                <w:sz w:val="21"/>
                <w:szCs w:val="21"/>
              </w:rPr>
              <w:t>/</w:t>
            </w:r>
            <w:r>
              <w:rPr>
                <w:rFonts w:hint="eastAsia" w:ascii="宋体" w:cs="宋体"/>
                <w:color w:val="auto"/>
                <w:sz w:val="21"/>
                <w:szCs w:val="21"/>
              </w:rPr>
              <w:t>℃</w:t>
            </w:r>
          </w:p>
        </w:tc>
        <w:tc>
          <w:tcPr>
            <w:tcW w:w="1258" w:type="pct"/>
            <w:tcBorders>
              <w:tl2br w:val="nil"/>
              <w:tr2bl w:val="nil"/>
            </w:tcBorders>
            <w:vAlign w:val="center"/>
          </w:tcPr>
          <w:p w14:paraId="1C9EBF89">
            <w:pPr>
              <w:spacing w:line="360" w:lineRule="auto"/>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42</w:t>
            </w:r>
          </w:p>
        </w:tc>
      </w:tr>
      <w:tr w14:paraId="3B68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pct"/>
            <w:gridSpan w:val="2"/>
            <w:tcBorders>
              <w:tl2br w:val="nil"/>
              <w:tr2bl w:val="nil"/>
            </w:tcBorders>
            <w:vAlign w:val="center"/>
          </w:tcPr>
          <w:p w14:paraId="73199AFF">
            <w:pPr>
              <w:spacing w:line="360" w:lineRule="auto"/>
              <w:jc w:val="center"/>
              <w:rPr>
                <w:color w:val="auto"/>
                <w:sz w:val="21"/>
                <w:szCs w:val="21"/>
              </w:rPr>
            </w:pPr>
            <w:r>
              <w:rPr>
                <w:rFonts w:hint="eastAsia"/>
                <w:color w:val="auto"/>
                <w:sz w:val="21"/>
                <w:szCs w:val="21"/>
              </w:rPr>
              <w:t>最低环境温度</w:t>
            </w:r>
            <w:r>
              <w:rPr>
                <w:color w:val="auto"/>
                <w:sz w:val="21"/>
                <w:szCs w:val="21"/>
              </w:rPr>
              <w:t>/</w:t>
            </w:r>
            <w:r>
              <w:rPr>
                <w:rFonts w:hint="eastAsia" w:ascii="宋体" w:cs="宋体"/>
                <w:color w:val="auto"/>
                <w:sz w:val="21"/>
                <w:szCs w:val="21"/>
              </w:rPr>
              <w:t>℃</w:t>
            </w:r>
          </w:p>
        </w:tc>
        <w:tc>
          <w:tcPr>
            <w:tcW w:w="1258" w:type="pct"/>
            <w:tcBorders>
              <w:tl2br w:val="nil"/>
              <w:tr2bl w:val="nil"/>
            </w:tcBorders>
            <w:vAlign w:val="center"/>
          </w:tcPr>
          <w:p w14:paraId="4A334C45">
            <w:pPr>
              <w:spacing w:line="360" w:lineRule="auto"/>
              <w:jc w:val="center"/>
              <w:rPr>
                <w:rFonts w:hint="default" w:eastAsia="宋体"/>
                <w:color w:val="auto"/>
                <w:sz w:val="21"/>
                <w:szCs w:val="21"/>
                <w:highlight w:val="none"/>
                <w:lang w:val="en-US" w:eastAsia="zh-CN"/>
              </w:rPr>
            </w:pPr>
            <w:r>
              <w:rPr>
                <w:rFonts w:hint="eastAsia"/>
                <w:color w:val="auto"/>
                <w:sz w:val="21"/>
                <w:szCs w:val="21"/>
                <w:highlight w:val="none"/>
              </w:rPr>
              <w:t>-</w:t>
            </w:r>
            <w:r>
              <w:rPr>
                <w:rFonts w:hint="eastAsia"/>
                <w:color w:val="auto"/>
                <w:sz w:val="21"/>
                <w:szCs w:val="21"/>
                <w:highlight w:val="none"/>
                <w:lang w:val="en-US" w:eastAsia="zh-CN"/>
              </w:rPr>
              <w:t>38.5</w:t>
            </w:r>
          </w:p>
        </w:tc>
      </w:tr>
      <w:tr w14:paraId="4365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pct"/>
            <w:gridSpan w:val="2"/>
            <w:tcBorders>
              <w:tl2br w:val="nil"/>
              <w:tr2bl w:val="nil"/>
            </w:tcBorders>
            <w:vAlign w:val="center"/>
          </w:tcPr>
          <w:p w14:paraId="1E5450AE">
            <w:pPr>
              <w:spacing w:line="360" w:lineRule="auto"/>
              <w:jc w:val="center"/>
              <w:rPr>
                <w:color w:val="auto"/>
                <w:sz w:val="21"/>
                <w:szCs w:val="21"/>
              </w:rPr>
            </w:pPr>
            <w:r>
              <w:rPr>
                <w:rFonts w:hint="eastAsia"/>
                <w:color w:val="auto"/>
                <w:sz w:val="21"/>
                <w:szCs w:val="21"/>
              </w:rPr>
              <w:t>土地利用类型</w:t>
            </w:r>
          </w:p>
        </w:tc>
        <w:tc>
          <w:tcPr>
            <w:tcW w:w="1258" w:type="pct"/>
            <w:tcBorders>
              <w:tl2br w:val="nil"/>
              <w:tr2bl w:val="nil"/>
            </w:tcBorders>
            <w:vAlign w:val="center"/>
          </w:tcPr>
          <w:p w14:paraId="52D36FB5">
            <w:pPr>
              <w:spacing w:line="360" w:lineRule="auto"/>
              <w:jc w:val="center"/>
              <w:rPr>
                <w:color w:val="auto"/>
                <w:sz w:val="21"/>
                <w:szCs w:val="21"/>
              </w:rPr>
            </w:pPr>
            <w:r>
              <w:rPr>
                <w:rFonts w:hint="eastAsia"/>
                <w:color w:val="auto"/>
                <w:sz w:val="21"/>
                <w:szCs w:val="21"/>
              </w:rPr>
              <w:t>工业用地</w:t>
            </w:r>
          </w:p>
        </w:tc>
      </w:tr>
      <w:tr w14:paraId="0984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42" w:type="pct"/>
            <w:gridSpan w:val="2"/>
            <w:tcBorders>
              <w:tl2br w:val="nil"/>
              <w:tr2bl w:val="nil"/>
            </w:tcBorders>
            <w:vAlign w:val="center"/>
          </w:tcPr>
          <w:p w14:paraId="1EEBB5A3">
            <w:pPr>
              <w:pStyle w:val="217"/>
              <w:spacing w:line="360" w:lineRule="auto"/>
              <w:jc w:val="center"/>
              <w:rPr>
                <w:rFonts w:ascii="Times New Roman" w:cs="Times New Roman"/>
                <w:color w:val="auto"/>
                <w:sz w:val="21"/>
                <w:szCs w:val="21"/>
              </w:rPr>
            </w:pPr>
            <w:r>
              <w:rPr>
                <w:rFonts w:ascii="Times New Roman" w:cs="Times New Roman"/>
                <w:color w:val="auto"/>
                <w:sz w:val="21"/>
                <w:szCs w:val="21"/>
              </w:rPr>
              <w:t>区域湿度条件</w:t>
            </w:r>
          </w:p>
        </w:tc>
        <w:tc>
          <w:tcPr>
            <w:tcW w:w="1258" w:type="pct"/>
            <w:tcBorders>
              <w:tl2br w:val="nil"/>
              <w:tr2bl w:val="nil"/>
            </w:tcBorders>
            <w:vAlign w:val="center"/>
          </w:tcPr>
          <w:p w14:paraId="1C3C3FBE">
            <w:pPr>
              <w:pStyle w:val="217"/>
              <w:spacing w:line="360" w:lineRule="auto"/>
              <w:jc w:val="center"/>
              <w:rPr>
                <w:rFonts w:ascii="Times New Roman" w:cs="Times New Roman"/>
                <w:color w:val="auto"/>
                <w:sz w:val="21"/>
                <w:szCs w:val="21"/>
              </w:rPr>
            </w:pPr>
            <w:r>
              <w:rPr>
                <w:rFonts w:hint="eastAsia" w:ascii="Times New Roman" w:cs="Times New Roman"/>
                <w:color w:val="auto"/>
                <w:sz w:val="21"/>
                <w:szCs w:val="21"/>
                <w:lang w:eastAsia="zh-CN"/>
              </w:rPr>
              <w:t>干燥气候</w:t>
            </w:r>
          </w:p>
        </w:tc>
      </w:tr>
      <w:tr w14:paraId="10BC6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pct"/>
            <w:vMerge w:val="restart"/>
            <w:tcBorders>
              <w:tl2br w:val="nil"/>
              <w:tr2bl w:val="nil"/>
            </w:tcBorders>
            <w:vAlign w:val="center"/>
          </w:tcPr>
          <w:p w14:paraId="58D3DCFC">
            <w:pPr>
              <w:pStyle w:val="217"/>
              <w:spacing w:line="360" w:lineRule="auto"/>
              <w:jc w:val="center"/>
              <w:rPr>
                <w:rFonts w:ascii="Times New Roman" w:cs="Times New Roman"/>
                <w:color w:val="auto"/>
                <w:sz w:val="21"/>
                <w:szCs w:val="21"/>
              </w:rPr>
            </w:pPr>
            <w:r>
              <w:rPr>
                <w:rFonts w:ascii="Times New Roman" w:cs="Times New Roman"/>
                <w:color w:val="auto"/>
                <w:sz w:val="21"/>
                <w:szCs w:val="21"/>
              </w:rPr>
              <w:t>是否考虑地形</w:t>
            </w:r>
          </w:p>
        </w:tc>
        <w:tc>
          <w:tcPr>
            <w:tcW w:w="1871" w:type="pct"/>
            <w:tcBorders>
              <w:tl2br w:val="nil"/>
              <w:tr2bl w:val="nil"/>
            </w:tcBorders>
            <w:vAlign w:val="center"/>
          </w:tcPr>
          <w:p w14:paraId="7B2F4CD5">
            <w:pPr>
              <w:pStyle w:val="217"/>
              <w:spacing w:line="360" w:lineRule="auto"/>
              <w:jc w:val="center"/>
              <w:rPr>
                <w:rFonts w:ascii="Times New Roman" w:cs="Times New Roman"/>
                <w:color w:val="auto"/>
                <w:sz w:val="21"/>
                <w:szCs w:val="21"/>
              </w:rPr>
            </w:pPr>
            <w:r>
              <w:rPr>
                <w:rFonts w:ascii="Times New Roman" w:cs="Times New Roman"/>
                <w:color w:val="auto"/>
                <w:sz w:val="21"/>
                <w:szCs w:val="21"/>
              </w:rPr>
              <w:t>考虑地形</w:t>
            </w:r>
          </w:p>
        </w:tc>
        <w:tc>
          <w:tcPr>
            <w:tcW w:w="1258" w:type="pct"/>
            <w:tcBorders>
              <w:tl2br w:val="nil"/>
              <w:tr2bl w:val="nil"/>
            </w:tcBorders>
            <w:vAlign w:val="center"/>
          </w:tcPr>
          <w:p w14:paraId="05F69F08">
            <w:pPr>
              <w:pStyle w:val="217"/>
              <w:spacing w:line="360" w:lineRule="auto"/>
              <w:jc w:val="center"/>
              <w:rPr>
                <w:rFonts w:ascii="Times New Roman" w:cs="Times New Roman"/>
                <w:color w:val="auto"/>
                <w:sz w:val="21"/>
                <w:szCs w:val="21"/>
              </w:rPr>
            </w:pPr>
            <w:r>
              <w:rPr>
                <w:rFonts w:hint="eastAsia" w:ascii="Times New Roman" w:cs="Times New Roman"/>
                <w:color w:val="auto"/>
                <w:sz w:val="21"/>
                <w:szCs w:val="21"/>
                <w:lang w:eastAsia="zh-CN"/>
              </w:rPr>
              <w:t>☑</w:t>
            </w:r>
            <w:r>
              <w:rPr>
                <w:rFonts w:ascii="Times New Roman" w:cs="Times New Roman"/>
                <w:color w:val="auto"/>
                <w:sz w:val="21"/>
                <w:szCs w:val="21"/>
              </w:rPr>
              <w:t>是</w:t>
            </w:r>
            <w:r>
              <w:rPr>
                <w:rFonts w:hint="eastAsia" w:ascii="Times New Roman" w:cs="Times New Roman"/>
                <w:color w:val="auto"/>
                <w:sz w:val="21"/>
                <w:szCs w:val="21"/>
                <w:lang w:eastAsia="zh-CN"/>
              </w:rPr>
              <w:t>□</w:t>
            </w:r>
            <w:r>
              <w:rPr>
                <w:rFonts w:ascii="Times New Roman" w:cs="Times New Roman"/>
                <w:color w:val="auto"/>
                <w:sz w:val="21"/>
                <w:szCs w:val="21"/>
              </w:rPr>
              <w:t>否</w:t>
            </w:r>
          </w:p>
        </w:tc>
      </w:tr>
      <w:tr w14:paraId="1903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pct"/>
            <w:vMerge w:val="continue"/>
            <w:tcBorders>
              <w:tl2br w:val="nil"/>
              <w:tr2bl w:val="nil"/>
            </w:tcBorders>
            <w:vAlign w:val="center"/>
          </w:tcPr>
          <w:p w14:paraId="20388F0A">
            <w:pPr>
              <w:spacing w:line="360" w:lineRule="auto"/>
              <w:rPr>
                <w:color w:val="auto"/>
                <w:sz w:val="21"/>
                <w:szCs w:val="21"/>
              </w:rPr>
            </w:pPr>
          </w:p>
        </w:tc>
        <w:tc>
          <w:tcPr>
            <w:tcW w:w="1871" w:type="pct"/>
            <w:tcBorders>
              <w:tl2br w:val="nil"/>
              <w:tr2bl w:val="nil"/>
            </w:tcBorders>
            <w:vAlign w:val="center"/>
          </w:tcPr>
          <w:p w14:paraId="6D74C32E">
            <w:pPr>
              <w:pStyle w:val="217"/>
              <w:spacing w:line="360" w:lineRule="auto"/>
              <w:jc w:val="center"/>
              <w:rPr>
                <w:rFonts w:ascii="Times New Roman" w:cs="Times New Roman"/>
                <w:color w:val="auto"/>
                <w:sz w:val="21"/>
                <w:szCs w:val="21"/>
              </w:rPr>
            </w:pPr>
            <w:r>
              <w:rPr>
                <w:rFonts w:ascii="Times New Roman" w:cs="Times New Roman"/>
                <w:color w:val="auto"/>
                <w:sz w:val="21"/>
                <w:szCs w:val="21"/>
              </w:rPr>
              <w:t>地形数据分辨率/ m</w:t>
            </w:r>
          </w:p>
        </w:tc>
        <w:tc>
          <w:tcPr>
            <w:tcW w:w="1258" w:type="pct"/>
            <w:tcBorders>
              <w:tl2br w:val="nil"/>
              <w:tr2bl w:val="nil"/>
            </w:tcBorders>
            <w:vAlign w:val="center"/>
          </w:tcPr>
          <w:p w14:paraId="634B19F9">
            <w:pPr>
              <w:pStyle w:val="217"/>
              <w:spacing w:line="360" w:lineRule="auto"/>
              <w:jc w:val="center"/>
              <w:rPr>
                <w:rFonts w:hint="default" w:ascii="Times New Roman" w:eastAsia="宋体" w:cs="Times New Roman"/>
                <w:color w:val="auto"/>
                <w:sz w:val="21"/>
                <w:szCs w:val="21"/>
                <w:lang w:val="en-US" w:eastAsia="zh-CN"/>
              </w:rPr>
            </w:pPr>
            <w:r>
              <w:rPr>
                <w:rFonts w:hint="eastAsia" w:ascii="Times New Roman" w:cs="Times New Roman"/>
                <w:color w:val="auto"/>
                <w:sz w:val="21"/>
                <w:szCs w:val="21"/>
                <w:lang w:val="en-US" w:eastAsia="zh-CN"/>
              </w:rPr>
              <w:t>90</w:t>
            </w:r>
          </w:p>
        </w:tc>
      </w:tr>
      <w:tr w14:paraId="0B22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pct"/>
            <w:vMerge w:val="restart"/>
            <w:tcBorders>
              <w:tl2br w:val="nil"/>
              <w:tr2bl w:val="nil"/>
            </w:tcBorders>
            <w:vAlign w:val="center"/>
          </w:tcPr>
          <w:p w14:paraId="5284DCCC">
            <w:pPr>
              <w:pStyle w:val="217"/>
              <w:spacing w:line="360" w:lineRule="auto"/>
              <w:jc w:val="center"/>
              <w:rPr>
                <w:rFonts w:ascii="Times New Roman" w:cs="Times New Roman"/>
                <w:color w:val="auto"/>
                <w:sz w:val="21"/>
                <w:szCs w:val="21"/>
              </w:rPr>
            </w:pPr>
            <w:r>
              <w:rPr>
                <w:rFonts w:ascii="Times New Roman" w:cs="Times New Roman"/>
                <w:color w:val="auto"/>
                <w:sz w:val="21"/>
                <w:szCs w:val="21"/>
              </w:rPr>
              <w:t>是否考虑岸线熏烟</w:t>
            </w:r>
          </w:p>
        </w:tc>
        <w:tc>
          <w:tcPr>
            <w:tcW w:w="1871" w:type="pct"/>
            <w:tcBorders>
              <w:tl2br w:val="nil"/>
              <w:tr2bl w:val="nil"/>
            </w:tcBorders>
            <w:vAlign w:val="center"/>
          </w:tcPr>
          <w:p w14:paraId="12B746EF">
            <w:pPr>
              <w:pStyle w:val="217"/>
              <w:spacing w:line="360" w:lineRule="auto"/>
              <w:jc w:val="center"/>
              <w:rPr>
                <w:rFonts w:ascii="Times New Roman" w:cs="Times New Roman"/>
                <w:color w:val="auto"/>
                <w:sz w:val="21"/>
                <w:szCs w:val="21"/>
              </w:rPr>
            </w:pPr>
            <w:r>
              <w:rPr>
                <w:rFonts w:ascii="Times New Roman" w:cs="Times New Roman"/>
                <w:color w:val="auto"/>
                <w:sz w:val="21"/>
                <w:szCs w:val="21"/>
              </w:rPr>
              <w:t>考虑岸线熏烟</w:t>
            </w:r>
          </w:p>
        </w:tc>
        <w:tc>
          <w:tcPr>
            <w:tcW w:w="1258" w:type="pct"/>
            <w:tcBorders>
              <w:tl2br w:val="nil"/>
              <w:tr2bl w:val="nil"/>
            </w:tcBorders>
            <w:vAlign w:val="center"/>
          </w:tcPr>
          <w:p w14:paraId="4B5EE51F">
            <w:pPr>
              <w:pStyle w:val="217"/>
              <w:spacing w:line="360" w:lineRule="auto"/>
              <w:jc w:val="center"/>
              <w:rPr>
                <w:rFonts w:ascii="Times New Roman" w:cs="Times New Roman"/>
                <w:color w:val="auto"/>
                <w:sz w:val="21"/>
                <w:szCs w:val="21"/>
              </w:rPr>
            </w:pPr>
            <w:r>
              <w:rPr>
                <w:rFonts w:hint="eastAsia" w:ascii="Times New Roman" w:cs="Times New Roman"/>
                <w:color w:val="auto"/>
                <w:sz w:val="21"/>
                <w:szCs w:val="21"/>
              </w:rPr>
              <w:t>□</w:t>
            </w:r>
            <w:r>
              <w:rPr>
                <w:rFonts w:ascii="Times New Roman" w:cs="Times New Roman"/>
                <w:color w:val="auto"/>
                <w:sz w:val="21"/>
                <w:szCs w:val="21"/>
              </w:rPr>
              <w:t>是</w:t>
            </w:r>
            <w:r>
              <w:rPr>
                <w:rFonts w:hint="eastAsia" w:ascii="Times New Roman" w:cs="Times New Roman"/>
                <w:color w:val="auto"/>
                <w:sz w:val="21"/>
                <w:szCs w:val="21"/>
                <w:lang w:eastAsia="zh-CN"/>
              </w:rPr>
              <w:t>☑</w:t>
            </w:r>
            <w:r>
              <w:rPr>
                <w:rFonts w:ascii="Times New Roman" w:cs="Times New Roman"/>
                <w:color w:val="auto"/>
                <w:sz w:val="21"/>
                <w:szCs w:val="21"/>
              </w:rPr>
              <w:t>否</w:t>
            </w:r>
          </w:p>
        </w:tc>
      </w:tr>
      <w:tr w14:paraId="4BC4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pct"/>
            <w:vMerge w:val="continue"/>
            <w:tcBorders>
              <w:tl2br w:val="nil"/>
              <w:tr2bl w:val="nil"/>
            </w:tcBorders>
            <w:vAlign w:val="center"/>
          </w:tcPr>
          <w:p w14:paraId="2B44DA45">
            <w:pPr>
              <w:spacing w:line="360" w:lineRule="auto"/>
              <w:rPr>
                <w:color w:val="auto"/>
                <w:sz w:val="21"/>
                <w:szCs w:val="21"/>
              </w:rPr>
            </w:pPr>
          </w:p>
        </w:tc>
        <w:tc>
          <w:tcPr>
            <w:tcW w:w="1871" w:type="pct"/>
            <w:tcBorders>
              <w:tl2br w:val="nil"/>
              <w:tr2bl w:val="nil"/>
            </w:tcBorders>
            <w:vAlign w:val="center"/>
          </w:tcPr>
          <w:p w14:paraId="1DBE4022">
            <w:pPr>
              <w:pStyle w:val="217"/>
              <w:spacing w:line="360" w:lineRule="auto"/>
              <w:jc w:val="center"/>
              <w:rPr>
                <w:rFonts w:ascii="Times New Roman" w:cs="Times New Roman"/>
                <w:color w:val="auto"/>
                <w:sz w:val="21"/>
                <w:szCs w:val="21"/>
              </w:rPr>
            </w:pPr>
            <w:r>
              <w:rPr>
                <w:rFonts w:ascii="Times New Roman" w:cs="Times New Roman"/>
                <w:color w:val="auto"/>
                <w:sz w:val="21"/>
                <w:szCs w:val="21"/>
              </w:rPr>
              <w:t>岸线距离/ km</w:t>
            </w:r>
          </w:p>
        </w:tc>
        <w:tc>
          <w:tcPr>
            <w:tcW w:w="1258" w:type="pct"/>
            <w:tcBorders>
              <w:tl2br w:val="nil"/>
              <w:tr2bl w:val="nil"/>
            </w:tcBorders>
            <w:vAlign w:val="center"/>
          </w:tcPr>
          <w:p w14:paraId="41C32F21">
            <w:pPr>
              <w:pStyle w:val="217"/>
              <w:spacing w:line="360" w:lineRule="auto"/>
              <w:jc w:val="center"/>
              <w:rPr>
                <w:rFonts w:ascii="Times New Roman" w:cs="Times New Roman"/>
                <w:color w:val="auto"/>
                <w:sz w:val="21"/>
                <w:szCs w:val="21"/>
              </w:rPr>
            </w:pPr>
            <w:r>
              <w:rPr>
                <w:rFonts w:ascii="Times New Roman" w:cs="Times New Roman"/>
                <w:color w:val="auto"/>
                <w:sz w:val="21"/>
                <w:szCs w:val="21"/>
              </w:rPr>
              <w:t>/</w:t>
            </w:r>
          </w:p>
        </w:tc>
      </w:tr>
      <w:tr w14:paraId="7F382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1" w:type="pct"/>
            <w:vMerge w:val="continue"/>
            <w:tcBorders>
              <w:tl2br w:val="nil"/>
              <w:tr2bl w:val="nil"/>
            </w:tcBorders>
            <w:vAlign w:val="center"/>
          </w:tcPr>
          <w:p w14:paraId="509DEDC7">
            <w:pPr>
              <w:spacing w:line="360" w:lineRule="auto"/>
              <w:rPr>
                <w:color w:val="auto"/>
                <w:sz w:val="21"/>
                <w:szCs w:val="21"/>
              </w:rPr>
            </w:pPr>
          </w:p>
        </w:tc>
        <w:tc>
          <w:tcPr>
            <w:tcW w:w="1871" w:type="pct"/>
            <w:tcBorders>
              <w:tl2br w:val="nil"/>
              <w:tr2bl w:val="nil"/>
            </w:tcBorders>
            <w:vAlign w:val="center"/>
          </w:tcPr>
          <w:p w14:paraId="0089F028">
            <w:pPr>
              <w:pStyle w:val="217"/>
              <w:spacing w:line="360" w:lineRule="auto"/>
              <w:jc w:val="center"/>
              <w:rPr>
                <w:rFonts w:ascii="Times New Roman" w:cs="Times New Roman"/>
                <w:color w:val="auto"/>
                <w:sz w:val="21"/>
                <w:szCs w:val="21"/>
              </w:rPr>
            </w:pPr>
            <w:r>
              <w:rPr>
                <w:rFonts w:ascii="Times New Roman" w:cs="Times New Roman"/>
                <w:color w:val="auto"/>
                <w:sz w:val="21"/>
                <w:szCs w:val="21"/>
              </w:rPr>
              <w:t>岸线方向/ °</w:t>
            </w:r>
          </w:p>
        </w:tc>
        <w:tc>
          <w:tcPr>
            <w:tcW w:w="1258" w:type="pct"/>
            <w:tcBorders>
              <w:tl2br w:val="nil"/>
              <w:tr2bl w:val="nil"/>
            </w:tcBorders>
            <w:vAlign w:val="center"/>
          </w:tcPr>
          <w:p w14:paraId="7406F418">
            <w:pPr>
              <w:pStyle w:val="217"/>
              <w:spacing w:line="360" w:lineRule="auto"/>
              <w:jc w:val="center"/>
              <w:rPr>
                <w:rFonts w:ascii="Times New Roman" w:cs="Times New Roman"/>
                <w:color w:val="auto"/>
                <w:sz w:val="21"/>
                <w:szCs w:val="21"/>
              </w:rPr>
            </w:pPr>
            <w:r>
              <w:rPr>
                <w:rFonts w:ascii="Times New Roman" w:cs="Times New Roman"/>
                <w:color w:val="auto"/>
                <w:sz w:val="21"/>
                <w:szCs w:val="21"/>
              </w:rPr>
              <w:t>/</w:t>
            </w:r>
          </w:p>
        </w:tc>
      </w:tr>
    </w:tbl>
    <w:p w14:paraId="4816B24F">
      <w:pPr>
        <w:pStyle w:val="1504"/>
        <w:spacing w:before="0" w:beforeLines="0" w:line="360" w:lineRule="auto"/>
        <w:ind w:left="6" w:firstLine="480" w:firstLineChars="200"/>
        <w:jc w:val="both"/>
        <w:rPr>
          <w:rFonts w:hint="default" w:eastAsia="宋体"/>
          <w:b w:val="0"/>
          <w:color w:val="auto"/>
          <w:sz w:val="24"/>
          <w:szCs w:val="24"/>
          <w:highlight w:val="none"/>
          <w:lang w:val="en-US" w:eastAsia="zh-CN"/>
        </w:rPr>
      </w:pPr>
      <w:r>
        <w:rPr>
          <w:rFonts w:eastAsia="宋体"/>
          <w:b w:val="0"/>
          <w:color w:val="auto"/>
          <w:sz w:val="24"/>
          <w:szCs w:val="24"/>
          <w:highlight w:val="none"/>
        </w:rPr>
        <w:t>本项目污染源强参数见表2</w:t>
      </w:r>
      <w:r>
        <w:rPr>
          <w:rFonts w:hint="eastAsia" w:eastAsia="宋体"/>
          <w:b w:val="0"/>
          <w:color w:val="auto"/>
          <w:sz w:val="24"/>
          <w:szCs w:val="24"/>
          <w:highlight w:val="none"/>
          <w:lang w:val="en-US" w:eastAsia="zh-CN"/>
        </w:rPr>
        <w:t>.4-4，评价等级汇总见表2.4-5。</w:t>
      </w:r>
    </w:p>
    <w:p w14:paraId="4A0EE5EF">
      <w:pPr>
        <w:snapToGrid w:val="0"/>
        <w:spacing w:line="360" w:lineRule="auto"/>
        <w:ind w:firstLine="482" w:firstLineChars="20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w:t>
      </w:r>
      <w:r>
        <w:rPr>
          <w:rFonts w:hint="eastAsia" w:ascii="Times New Roman" w:hAnsi="Times New Roman" w:eastAsia="宋体" w:cs="Times New Roman"/>
          <w:b/>
          <w:bCs/>
          <w:color w:val="auto"/>
          <w:sz w:val="24"/>
          <w:szCs w:val="24"/>
          <w:lang w:val="en-US" w:eastAsia="zh-CN"/>
        </w:rPr>
        <w:t xml:space="preserve">2.4-4  </w:t>
      </w:r>
      <w:r>
        <w:rPr>
          <w:rFonts w:ascii="Times New Roman" w:hAnsi="Times New Roman" w:eastAsia="宋体" w:cs="Times New Roman"/>
          <w:b/>
          <w:bCs/>
          <w:color w:val="auto"/>
          <w:sz w:val="24"/>
          <w:szCs w:val="24"/>
        </w:rPr>
        <w:t xml:space="preserve">  污染源清单（点源）</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023"/>
        <w:gridCol w:w="750"/>
        <w:gridCol w:w="825"/>
        <w:gridCol w:w="607"/>
        <w:gridCol w:w="407"/>
        <w:gridCol w:w="441"/>
        <w:gridCol w:w="837"/>
        <w:gridCol w:w="447"/>
        <w:gridCol w:w="576"/>
        <w:gridCol w:w="553"/>
        <w:gridCol w:w="619"/>
        <w:gridCol w:w="603"/>
        <w:gridCol w:w="636"/>
      </w:tblGrid>
      <w:tr w14:paraId="63AD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blHeader/>
          <w:jc w:val="center"/>
        </w:trPr>
        <w:tc>
          <w:tcPr>
            <w:tcW w:w="396" w:type="dxa"/>
            <w:vMerge w:val="restart"/>
            <w:tcBorders>
              <w:tl2br w:val="nil"/>
              <w:tr2bl w:val="nil"/>
            </w:tcBorders>
            <w:noWrap w:val="0"/>
            <w:vAlign w:val="center"/>
          </w:tcPr>
          <w:p w14:paraId="3A41D149">
            <w:pPr>
              <w:autoSpaceDE w:val="0"/>
              <w:autoSpaceDN w:val="0"/>
              <w:adjustRightInd w:val="0"/>
              <w:jc w:val="center"/>
              <w:rPr>
                <w:bCs/>
                <w:color w:val="auto"/>
                <w:sz w:val="18"/>
                <w:szCs w:val="18"/>
                <w:highlight w:val="none"/>
              </w:rPr>
            </w:pPr>
            <w:r>
              <w:rPr>
                <w:bCs/>
                <w:color w:val="auto"/>
                <w:sz w:val="18"/>
                <w:szCs w:val="18"/>
                <w:highlight w:val="none"/>
              </w:rPr>
              <w:t>编号</w:t>
            </w:r>
          </w:p>
        </w:tc>
        <w:tc>
          <w:tcPr>
            <w:tcW w:w="1023" w:type="dxa"/>
            <w:vMerge w:val="restart"/>
            <w:tcBorders>
              <w:tl2br w:val="nil"/>
              <w:tr2bl w:val="nil"/>
            </w:tcBorders>
            <w:noWrap w:val="0"/>
            <w:vAlign w:val="center"/>
          </w:tcPr>
          <w:p w14:paraId="207FAEF2">
            <w:pPr>
              <w:autoSpaceDE w:val="0"/>
              <w:autoSpaceDN w:val="0"/>
              <w:adjustRightInd w:val="0"/>
              <w:jc w:val="center"/>
              <w:rPr>
                <w:bCs/>
                <w:color w:val="auto"/>
                <w:sz w:val="18"/>
                <w:szCs w:val="18"/>
                <w:highlight w:val="none"/>
              </w:rPr>
            </w:pPr>
            <w:r>
              <w:rPr>
                <w:bCs/>
                <w:color w:val="auto"/>
                <w:sz w:val="18"/>
                <w:szCs w:val="18"/>
                <w:highlight w:val="none"/>
              </w:rPr>
              <w:t>名称</w:t>
            </w:r>
          </w:p>
        </w:tc>
        <w:tc>
          <w:tcPr>
            <w:tcW w:w="1575" w:type="dxa"/>
            <w:gridSpan w:val="2"/>
            <w:tcBorders>
              <w:tl2br w:val="nil"/>
              <w:tr2bl w:val="nil"/>
            </w:tcBorders>
            <w:noWrap w:val="0"/>
            <w:vAlign w:val="center"/>
          </w:tcPr>
          <w:p w14:paraId="51CC9919">
            <w:pPr>
              <w:autoSpaceDE w:val="0"/>
              <w:autoSpaceDN w:val="0"/>
              <w:adjustRightInd w:val="0"/>
              <w:jc w:val="center"/>
              <w:rPr>
                <w:rFonts w:hint="eastAsia" w:eastAsia="宋体"/>
                <w:bCs/>
                <w:color w:val="auto"/>
                <w:sz w:val="18"/>
                <w:szCs w:val="18"/>
                <w:highlight w:val="none"/>
                <w:lang w:eastAsia="zh-CN"/>
              </w:rPr>
            </w:pPr>
            <w:r>
              <w:rPr>
                <w:bCs/>
                <w:color w:val="auto"/>
                <w:sz w:val="18"/>
                <w:szCs w:val="18"/>
                <w:highlight w:val="none"/>
              </w:rPr>
              <w:t>排气筒底部中心坐标/</w:t>
            </w:r>
            <w:r>
              <w:rPr>
                <w:rFonts w:hint="eastAsia"/>
                <w:bCs/>
                <w:color w:val="auto"/>
                <w:sz w:val="18"/>
                <w:szCs w:val="18"/>
                <w:highlight w:val="none"/>
                <w:lang w:val="en-US" w:eastAsia="zh-CN"/>
              </w:rPr>
              <w:t>m</w:t>
            </w:r>
          </w:p>
        </w:tc>
        <w:tc>
          <w:tcPr>
            <w:tcW w:w="607" w:type="dxa"/>
            <w:vMerge w:val="restart"/>
            <w:tcBorders>
              <w:tl2br w:val="nil"/>
              <w:tr2bl w:val="nil"/>
            </w:tcBorders>
            <w:noWrap w:val="0"/>
            <w:vAlign w:val="center"/>
          </w:tcPr>
          <w:p w14:paraId="7787E3D2">
            <w:pPr>
              <w:autoSpaceDE w:val="0"/>
              <w:autoSpaceDN w:val="0"/>
              <w:adjustRightInd w:val="0"/>
              <w:jc w:val="center"/>
              <w:rPr>
                <w:bCs/>
                <w:color w:val="auto"/>
                <w:sz w:val="18"/>
                <w:szCs w:val="18"/>
                <w:highlight w:val="none"/>
              </w:rPr>
            </w:pPr>
            <w:r>
              <w:rPr>
                <w:bCs/>
                <w:color w:val="auto"/>
                <w:sz w:val="18"/>
                <w:szCs w:val="18"/>
                <w:highlight w:val="none"/>
              </w:rPr>
              <w:t>排气筒底部海拔高度/m</w:t>
            </w:r>
          </w:p>
        </w:tc>
        <w:tc>
          <w:tcPr>
            <w:tcW w:w="407" w:type="dxa"/>
            <w:vMerge w:val="restart"/>
            <w:tcBorders>
              <w:tl2br w:val="nil"/>
              <w:tr2bl w:val="nil"/>
            </w:tcBorders>
            <w:noWrap w:val="0"/>
            <w:vAlign w:val="center"/>
          </w:tcPr>
          <w:p w14:paraId="3827C612">
            <w:pPr>
              <w:autoSpaceDE w:val="0"/>
              <w:autoSpaceDN w:val="0"/>
              <w:adjustRightInd w:val="0"/>
              <w:jc w:val="center"/>
              <w:rPr>
                <w:bCs/>
                <w:color w:val="auto"/>
                <w:sz w:val="18"/>
                <w:szCs w:val="18"/>
                <w:highlight w:val="none"/>
              </w:rPr>
            </w:pPr>
            <w:r>
              <w:rPr>
                <w:bCs/>
                <w:color w:val="auto"/>
                <w:sz w:val="18"/>
                <w:szCs w:val="18"/>
                <w:highlight w:val="none"/>
              </w:rPr>
              <w:t>排气筒高度/m</w:t>
            </w:r>
          </w:p>
        </w:tc>
        <w:tc>
          <w:tcPr>
            <w:tcW w:w="441" w:type="dxa"/>
            <w:vMerge w:val="restart"/>
            <w:tcBorders>
              <w:tl2br w:val="nil"/>
              <w:tr2bl w:val="nil"/>
            </w:tcBorders>
            <w:noWrap w:val="0"/>
            <w:vAlign w:val="center"/>
          </w:tcPr>
          <w:p w14:paraId="2C176226">
            <w:pPr>
              <w:autoSpaceDE w:val="0"/>
              <w:autoSpaceDN w:val="0"/>
              <w:adjustRightInd w:val="0"/>
              <w:jc w:val="center"/>
              <w:rPr>
                <w:bCs/>
                <w:color w:val="auto"/>
                <w:sz w:val="18"/>
                <w:szCs w:val="18"/>
                <w:highlight w:val="none"/>
              </w:rPr>
            </w:pPr>
            <w:r>
              <w:rPr>
                <w:bCs/>
                <w:color w:val="auto"/>
                <w:sz w:val="18"/>
                <w:szCs w:val="18"/>
                <w:highlight w:val="none"/>
              </w:rPr>
              <w:t>出口内径/m</w:t>
            </w:r>
          </w:p>
        </w:tc>
        <w:tc>
          <w:tcPr>
            <w:tcW w:w="837" w:type="dxa"/>
            <w:vMerge w:val="restart"/>
            <w:tcBorders>
              <w:tl2br w:val="nil"/>
              <w:tr2bl w:val="nil"/>
            </w:tcBorders>
            <w:noWrap w:val="0"/>
            <w:vAlign w:val="center"/>
          </w:tcPr>
          <w:p w14:paraId="3B56CFFD">
            <w:pPr>
              <w:autoSpaceDE w:val="0"/>
              <w:autoSpaceDN w:val="0"/>
              <w:adjustRightInd w:val="0"/>
              <w:jc w:val="center"/>
              <w:rPr>
                <w:bCs/>
                <w:color w:val="auto"/>
                <w:sz w:val="18"/>
                <w:szCs w:val="18"/>
                <w:highlight w:val="none"/>
              </w:rPr>
            </w:pPr>
            <w:r>
              <w:rPr>
                <w:bCs/>
                <w:color w:val="auto"/>
                <w:sz w:val="18"/>
                <w:szCs w:val="18"/>
                <w:highlight w:val="none"/>
              </w:rPr>
              <w:t>烟气流速/（m/s）</w:t>
            </w:r>
          </w:p>
        </w:tc>
        <w:tc>
          <w:tcPr>
            <w:tcW w:w="447" w:type="dxa"/>
            <w:vMerge w:val="restart"/>
            <w:tcBorders>
              <w:tl2br w:val="nil"/>
              <w:tr2bl w:val="nil"/>
            </w:tcBorders>
            <w:noWrap w:val="0"/>
            <w:vAlign w:val="center"/>
          </w:tcPr>
          <w:p w14:paraId="2DF5F8C6">
            <w:pPr>
              <w:autoSpaceDE w:val="0"/>
              <w:autoSpaceDN w:val="0"/>
              <w:adjustRightInd w:val="0"/>
              <w:jc w:val="center"/>
              <w:rPr>
                <w:bCs/>
                <w:color w:val="auto"/>
                <w:sz w:val="18"/>
                <w:szCs w:val="18"/>
                <w:highlight w:val="none"/>
              </w:rPr>
            </w:pPr>
            <w:r>
              <w:rPr>
                <w:bCs/>
                <w:color w:val="auto"/>
                <w:sz w:val="18"/>
                <w:szCs w:val="18"/>
                <w:highlight w:val="none"/>
              </w:rPr>
              <w:t>烟气温度/</w:t>
            </w:r>
            <w:r>
              <w:rPr>
                <w:rFonts w:hAnsi="宋体"/>
                <w:bCs/>
                <w:color w:val="auto"/>
                <w:sz w:val="18"/>
                <w:szCs w:val="18"/>
                <w:highlight w:val="none"/>
              </w:rPr>
              <w:t>℃</w:t>
            </w:r>
          </w:p>
        </w:tc>
        <w:tc>
          <w:tcPr>
            <w:tcW w:w="576" w:type="dxa"/>
            <w:vMerge w:val="restart"/>
            <w:tcBorders>
              <w:tl2br w:val="nil"/>
              <w:tr2bl w:val="nil"/>
            </w:tcBorders>
            <w:noWrap w:val="0"/>
            <w:vAlign w:val="center"/>
          </w:tcPr>
          <w:p w14:paraId="2CA25EC4">
            <w:pPr>
              <w:autoSpaceDE w:val="0"/>
              <w:autoSpaceDN w:val="0"/>
              <w:adjustRightInd w:val="0"/>
              <w:jc w:val="center"/>
              <w:rPr>
                <w:bCs/>
                <w:color w:val="auto"/>
                <w:sz w:val="18"/>
                <w:szCs w:val="18"/>
                <w:highlight w:val="none"/>
              </w:rPr>
            </w:pPr>
            <w:r>
              <w:rPr>
                <w:bCs/>
                <w:color w:val="auto"/>
                <w:sz w:val="18"/>
                <w:szCs w:val="18"/>
                <w:highlight w:val="none"/>
              </w:rPr>
              <w:t>年排放小时数/h</w:t>
            </w:r>
          </w:p>
        </w:tc>
        <w:tc>
          <w:tcPr>
            <w:tcW w:w="553" w:type="dxa"/>
            <w:vMerge w:val="restart"/>
            <w:tcBorders>
              <w:tl2br w:val="nil"/>
              <w:tr2bl w:val="nil"/>
            </w:tcBorders>
            <w:noWrap w:val="0"/>
            <w:vAlign w:val="center"/>
          </w:tcPr>
          <w:p w14:paraId="74782FFB">
            <w:pPr>
              <w:autoSpaceDE w:val="0"/>
              <w:autoSpaceDN w:val="0"/>
              <w:adjustRightInd w:val="0"/>
              <w:jc w:val="center"/>
              <w:rPr>
                <w:bCs/>
                <w:color w:val="auto"/>
                <w:sz w:val="18"/>
                <w:szCs w:val="18"/>
                <w:highlight w:val="none"/>
              </w:rPr>
            </w:pPr>
            <w:r>
              <w:rPr>
                <w:bCs/>
                <w:color w:val="auto"/>
                <w:sz w:val="18"/>
                <w:szCs w:val="18"/>
                <w:highlight w:val="none"/>
              </w:rPr>
              <w:t>排放工况</w:t>
            </w:r>
          </w:p>
        </w:tc>
        <w:tc>
          <w:tcPr>
            <w:tcW w:w="1222" w:type="dxa"/>
            <w:gridSpan w:val="2"/>
            <w:vMerge w:val="restart"/>
            <w:tcBorders>
              <w:tl2br w:val="nil"/>
              <w:tr2bl w:val="nil"/>
            </w:tcBorders>
            <w:noWrap w:val="0"/>
            <w:vAlign w:val="center"/>
          </w:tcPr>
          <w:p w14:paraId="27E5D140">
            <w:pPr>
              <w:autoSpaceDE w:val="0"/>
              <w:autoSpaceDN w:val="0"/>
              <w:adjustRightInd w:val="0"/>
              <w:jc w:val="center"/>
              <w:rPr>
                <w:bCs/>
                <w:color w:val="auto"/>
                <w:sz w:val="18"/>
                <w:szCs w:val="18"/>
                <w:highlight w:val="none"/>
              </w:rPr>
            </w:pPr>
            <w:r>
              <w:rPr>
                <w:bCs/>
                <w:color w:val="auto"/>
                <w:sz w:val="18"/>
                <w:szCs w:val="18"/>
                <w:highlight w:val="none"/>
              </w:rPr>
              <w:t>污染物排放速率/（kg/h）</w:t>
            </w:r>
          </w:p>
        </w:tc>
        <w:tc>
          <w:tcPr>
            <w:tcW w:w="636" w:type="dxa"/>
            <w:vMerge w:val="restart"/>
            <w:tcBorders>
              <w:tl2br w:val="nil"/>
              <w:tr2bl w:val="nil"/>
            </w:tcBorders>
            <w:noWrap w:val="0"/>
            <w:vAlign w:val="center"/>
          </w:tcPr>
          <w:p w14:paraId="50E3FC03">
            <w:pPr>
              <w:autoSpaceDE w:val="0"/>
              <w:autoSpaceDN w:val="0"/>
              <w:adjustRightInd w:val="0"/>
              <w:jc w:val="center"/>
              <w:rPr>
                <w:rFonts w:hint="eastAsia" w:eastAsia="宋体"/>
                <w:bCs/>
                <w:color w:val="auto"/>
                <w:sz w:val="18"/>
                <w:szCs w:val="18"/>
                <w:highlight w:val="none"/>
                <w:lang w:eastAsia="zh-CN"/>
              </w:rPr>
            </w:pPr>
            <w:r>
              <w:rPr>
                <w:rFonts w:hint="eastAsia"/>
                <w:bCs/>
                <w:color w:val="auto"/>
                <w:sz w:val="18"/>
                <w:szCs w:val="18"/>
                <w:highlight w:val="none"/>
                <w:lang w:eastAsia="zh-CN"/>
              </w:rPr>
              <w:t>排放口类型</w:t>
            </w:r>
          </w:p>
        </w:tc>
      </w:tr>
      <w:tr w14:paraId="1FEC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blHeader/>
          <w:jc w:val="center"/>
        </w:trPr>
        <w:tc>
          <w:tcPr>
            <w:tcW w:w="396" w:type="dxa"/>
            <w:vMerge w:val="continue"/>
            <w:tcBorders>
              <w:tl2br w:val="nil"/>
              <w:tr2bl w:val="nil"/>
            </w:tcBorders>
            <w:noWrap w:val="0"/>
            <w:vAlign w:val="center"/>
          </w:tcPr>
          <w:p w14:paraId="17B2635A">
            <w:pPr>
              <w:widowControl/>
              <w:jc w:val="center"/>
              <w:rPr>
                <w:bCs/>
                <w:color w:val="auto"/>
                <w:sz w:val="18"/>
                <w:szCs w:val="18"/>
                <w:highlight w:val="none"/>
              </w:rPr>
            </w:pPr>
          </w:p>
        </w:tc>
        <w:tc>
          <w:tcPr>
            <w:tcW w:w="1023" w:type="dxa"/>
            <w:vMerge w:val="continue"/>
            <w:tcBorders>
              <w:tl2br w:val="nil"/>
              <w:tr2bl w:val="nil"/>
            </w:tcBorders>
            <w:noWrap w:val="0"/>
            <w:vAlign w:val="center"/>
          </w:tcPr>
          <w:p w14:paraId="3BD4CA92">
            <w:pPr>
              <w:widowControl/>
              <w:jc w:val="center"/>
              <w:rPr>
                <w:bCs/>
                <w:color w:val="auto"/>
                <w:sz w:val="18"/>
                <w:szCs w:val="18"/>
                <w:highlight w:val="none"/>
              </w:rPr>
            </w:pPr>
          </w:p>
        </w:tc>
        <w:tc>
          <w:tcPr>
            <w:tcW w:w="750" w:type="dxa"/>
            <w:tcBorders>
              <w:tl2br w:val="nil"/>
              <w:tr2bl w:val="nil"/>
            </w:tcBorders>
            <w:noWrap w:val="0"/>
            <w:vAlign w:val="center"/>
          </w:tcPr>
          <w:p w14:paraId="65CA879F">
            <w:pPr>
              <w:autoSpaceDE w:val="0"/>
              <w:autoSpaceDN w:val="0"/>
              <w:adjustRightInd w:val="0"/>
              <w:jc w:val="center"/>
              <w:rPr>
                <w:rFonts w:hint="default" w:eastAsia="宋体"/>
                <w:bCs/>
                <w:color w:val="auto"/>
                <w:sz w:val="18"/>
                <w:szCs w:val="18"/>
                <w:highlight w:val="none"/>
                <w:lang w:val="en-US" w:eastAsia="zh-CN"/>
              </w:rPr>
            </w:pPr>
            <w:r>
              <w:rPr>
                <w:rFonts w:hint="eastAsia" w:eastAsia="宋体"/>
                <w:bCs/>
                <w:color w:val="auto"/>
                <w:sz w:val="18"/>
                <w:szCs w:val="18"/>
                <w:highlight w:val="none"/>
                <w:lang w:val="en-US" w:eastAsia="zh-CN"/>
              </w:rPr>
              <w:t>X</w:t>
            </w:r>
          </w:p>
        </w:tc>
        <w:tc>
          <w:tcPr>
            <w:tcW w:w="825" w:type="dxa"/>
            <w:tcBorders>
              <w:tl2br w:val="nil"/>
              <w:tr2bl w:val="nil"/>
            </w:tcBorders>
            <w:noWrap w:val="0"/>
            <w:vAlign w:val="center"/>
          </w:tcPr>
          <w:p w14:paraId="502E2439">
            <w:pPr>
              <w:autoSpaceDE w:val="0"/>
              <w:autoSpaceDN w:val="0"/>
              <w:adjustRightInd w:val="0"/>
              <w:jc w:val="center"/>
              <w:rPr>
                <w:rFonts w:hint="default" w:eastAsia="宋体"/>
                <w:bCs/>
                <w:color w:val="auto"/>
                <w:sz w:val="18"/>
                <w:szCs w:val="18"/>
                <w:highlight w:val="none"/>
                <w:lang w:val="en-US" w:eastAsia="zh-CN"/>
              </w:rPr>
            </w:pPr>
            <w:r>
              <w:rPr>
                <w:rFonts w:hint="eastAsia" w:eastAsia="宋体"/>
                <w:bCs/>
                <w:color w:val="auto"/>
                <w:sz w:val="18"/>
                <w:szCs w:val="18"/>
                <w:highlight w:val="none"/>
                <w:lang w:val="en-US" w:eastAsia="zh-CN"/>
              </w:rPr>
              <w:t>Y</w:t>
            </w:r>
          </w:p>
        </w:tc>
        <w:tc>
          <w:tcPr>
            <w:tcW w:w="607" w:type="dxa"/>
            <w:vMerge w:val="continue"/>
            <w:tcBorders>
              <w:tl2br w:val="nil"/>
              <w:tr2bl w:val="nil"/>
            </w:tcBorders>
            <w:noWrap w:val="0"/>
            <w:vAlign w:val="center"/>
          </w:tcPr>
          <w:p w14:paraId="456A9571">
            <w:pPr>
              <w:widowControl/>
              <w:jc w:val="center"/>
              <w:rPr>
                <w:bCs/>
                <w:color w:val="auto"/>
                <w:sz w:val="18"/>
                <w:szCs w:val="18"/>
                <w:highlight w:val="none"/>
              </w:rPr>
            </w:pPr>
          </w:p>
        </w:tc>
        <w:tc>
          <w:tcPr>
            <w:tcW w:w="407" w:type="dxa"/>
            <w:vMerge w:val="continue"/>
            <w:tcBorders>
              <w:tl2br w:val="nil"/>
              <w:tr2bl w:val="nil"/>
            </w:tcBorders>
            <w:noWrap w:val="0"/>
            <w:vAlign w:val="center"/>
          </w:tcPr>
          <w:p w14:paraId="4B52E3A1">
            <w:pPr>
              <w:widowControl/>
              <w:jc w:val="center"/>
              <w:rPr>
                <w:bCs/>
                <w:color w:val="auto"/>
                <w:sz w:val="18"/>
                <w:szCs w:val="18"/>
                <w:highlight w:val="none"/>
              </w:rPr>
            </w:pPr>
          </w:p>
        </w:tc>
        <w:tc>
          <w:tcPr>
            <w:tcW w:w="441" w:type="dxa"/>
            <w:vMerge w:val="continue"/>
            <w:tcBorders>
              <w:tl2br w:val="nil"/>
              <w:tr2bl w:val="nil"/>
            </w:tcBorders>
            <w:noWrap w:val="0"/>
            <w:vAlign w:val="center"/>
          </w:tcPr>
          <w:p w14:paraId="4FA9DEEA">
            <w:pPr>
              <w:widowControl/>
              <w:jc w:val="center"/>
              <w:rPr>
                <w:bCs/>
                <w:color w:val="auto"/>
                <w:sz w:val="18"/>
                <w:szCs w:val="18"/>
                <w:highlight w:val="none"/>
              </w:rPr>
            </w:pPr>
          </w:p>
        </w:tc>
        <w:tc>
          <w:tcPr>
            <w:tcW w:w="837" w:type="dxa"/>
            <w:vMerge w:val="continue"/>
            <w:tcBorders>
              <w:tl2br w:val="nil"/>
              <w:tr2bl w:val="nil"/>
            </w:tcBorders>
            <w:noWrap w:val="0"/>
            <w:vAlign w:val="center"/>
          </w:tcPr>
          <w:p w14:paraId="44B1213B">
            <w:pPr>
              <w:widowControl/>
              <w:jc w:val="center"/>
              <w:rPr>
                <w:bCs/>
                <w:color w:val="auto"/>
                <w:sz w:val="18"/>
                <w:szCs w:val="18"/>
                <w:highlight w:val="none"/>
              </w:rPr>
            </w:pPr>
          </w:p>
        </w:tc>
        <w:tc>
          <w:tcPr>
            <w:tcW w:w="447" w:type="dxa"/>
            <w:vMerge w:val="continue"/>
            <w:tcBorders>
              <w:tl2br w:val="nil"/>
              <w:tr2bl w:val="nil"/>
            </w:tcBorders>
            <w:noWrap w:val="0"/>
            <w:vAlign w:val="center"/>
          </w:tcPr>
          <w:p w14:paraId="54AA8895">
            <w:pPr>
              <w:widowControl/>
              <w:jc w:val="center"/>
              <w:rPr>
                <w:bCs/>
                <w:color w:val="auto"/>
                <w:sz w:val="18"/>
                <w:szCs w:val="18"/>
                <w:highlight w:val="none"/>
              </w:rPr>
            </w:pPr>
          </w:p>
        </w:tc>
        <w:tc>
          <w:tcPr>
            <w:tcW w:w="576" w:type="dxa"/>
            <w:vMerge w:val="continue"/>
            <w:tcBorders>
              <w:tl2br w:val="nil"/>
              <w:tr2bl w:val="nil"/>
            </w:tcBorders>
            <w:noWrap w:val="0"/>
            <w:vAlign w:val="center"/>
          </w:tcPr>
          <w:p w14:paraId="0B88EF31">
            <w:pPr>
              <w:widowControl/>
              <w:jc w:val="center"/>
              <w:rPr>
                <w:bCs/>
                <w:color w:val="auto"/>
                <w:sz w:val="18"/>
                <w:szCs w:val="18"/>
                <w:highlight w:val="none"/>
              </w:rPr>
            </w:pPr>
          </w:p>
        </w:tc>
        <w:tc>
          <w:tcPr>
            <w:tcW w:w="553" w:type="dxa"/>
            <w:vMerge w:val="continue"/>
            <w:tcBorders>
              <w:tl2br w:val="nil"/>
              <w:tr2bl w:val="nil"/>
            </w:tcBorders>
            <w:noWrap w:val="0"/>
            <w:vAlign w:val="center"/>
          </w:tcPr>
          <w:p w14:paraId="6907F857">
            <w:pPr>
              <w:widowControl/>
              <w:jc w:val="center"/>
              <w:rPr>
                <w:bCs/>
                <w:color w:val="auto"/>
                <w:sz w:val="18"/>
                <w:szCs w:val="18"/>
                <w:highlight w:val="none"/>
              </w:rPr>
            </w:pPr>
          </w:p>
        </w:tc>
        <w:tc>
          <w:tcPr>
            <w:tcW w:w="1222" w:type="dxa"/>
            <w:gridSpan w:val="2"/>
            <w:vMerge w:val="continue"/>
            <w:tcBorders>
              <w:tl2br w:val="nil"/>
              <w:tr2bl w:val="nil"/>
            </w:tcBorders>
            <w:noWrap w:val="0"/>
            <w:vAlign w:val="center"/>
          </w:tcPr>
          <w:p w14:paraId="288C07C6">
            <w:pPr>
              <w:widowControl/>
              <w:jc w:val="center"/>
              <w:rPr>
                <w:bCs/>
                <w:color w:val="auto"/>
                <w:sz w:val="18"/>
                <w:szCs w:val="18"/>
                <w:highlight w:val="none"/>
              </w:rPr>
            </w:pPr>
          </w:p>
        </w:tc>
        <w:tc>
          <w:tcPr>
            <w:tcW w:w="636" w:type="dxa"/>
            <w:vMerge w:val="continue"/>
            <w:tcBorders>
              <w:tl2br w:val="nil"/>
              <w:tr2bl w:val="nil"/>
            </w:tcBorders>
            <w:noWrap w:val="0"/>
            <w:vAlign w:val="center"/>
          </w:tcPr>
          <w:p w14:paraId="54D2914E">
            <w:pPr>
              <w:widowControl/>
              <w:jc w:val="center"/>
              <w:rPr>
                <w:bCs/>
                <w:color w:val="auto"/>
                <w:sz w:val="18"/>
                <w:szCs w:val="18"/>
                <w:highlight w:val="none"/>
              </w:rPr>
            </w:pPr>
          </w:p>
        </w:tc>
      </w:tr>
      <w:tr w14:paraId="0323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blHeader/>
          <w:jc w:val="center"/>
        </w:trPr>
        <w:tc>
          <w:tcPr>
            <w:tcW w:w="396" w:type="dxa"/>
            <w:tcBorders>
              <w:tl2br w:val="nil"/>
              <w:tr2bl w:val="nil"/>
            </w:tcBorders>
            <w:noWrap w:val="0"/>
            <w:vAlign w:val="center"/>
          </w:tcPr>
          <w:p w14:paraId="7E37C2B9">
            <w:pPr>
              <w:autoSpaceDE w:val="0"/>
              <w:autoSpaceDN w:val="0"/>
              <w:adjustRightInd w:val="0"/>
              <w:jc w:val="center"/>
              <w:rPr>
                <w:color w:val="auto"/>
                <w:sz w:val="18"/>
                <w:szCs w:val="18"/>
                <w:highlight w:val="none"/>
              </w:rPr>
            </w:pPr>
            <w:r>
              <w:rPr>
                <w:color w:val="auto"/>
                <w:sz w:val="18"/>
                <w:szCs w:val="18"/>
                <w:highlight w:val="none"/>
              </w:rPr>
              <w:t>1</w:t>
            </w:r>
          </w:p>
        </w:tc>
        <w:tc>
          <w:tcPr>
            <w:tcW w:w="1023" w:type="dxa"/>
            <w:tcBorders>
              <w:tl2br w:val="nil"/>
              <w:tr2bl w:val="nil"/>
            </w:tcBorders>
            <w:noWrap w:val="0"/>
            <w:vAlign w:val="center"/>
          </w:tcPr>
          <w:p w14:paraId="044FAAD2">
            <w:pPr>
              <w:widowControl/>
              <w:jc w:val="center"/>
              <w:textAlignment w:val="center"/>
              <w:rPr>
                <w:rFonts w:hint="default"/>
                <w:color w:val="auto"/>
                <w:sz w:val="18"/>
                <w:szCs w:val="18"/>
                <w:highlight w:val="none"/>
                <w:lang w:val="en-US"/>
              </w:rPr>
            </w:pPr>
            <w:r>
              <w:rPr>
                <w:rFonts w:hint="eastAsia"/>
                <w:color w:val="auto"/>
                <w:sz w:val="18"/>
                <w:szCs w:val="18"/>
                <w:highlight w:val="none"/>
                <w:lang w:val="en-US" w:eastAsia="zh-CN"/>
              </w:rPr>
              <w:t>DA001</w:t>
            </w:r>
          </w:p>
        </w:tc>
        <w:tc>
          <w:tcPr>
            <w:tcW w:w="750" w:type="dxa"/>
            <w:tcBorders>
              <w:tl2br w:val="nil"/>
              <w:tr2bl w:val="nil"/>
            </w:tcBorders>
            <w:noWrap w:val="0"/>
            <w:vAlign w:val="center"/>
          </w:tcPr>
          <w:p w14:paraId="7FEA93D8">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302586.70</w:t>
            </w:r>
          </w:p>
        </w:tc>
        <w:tc>
          <w:tcPr>
            <w:tcW w:w="825" w:type="dxa"/>
            <w:tcBorders>
              <w:tl2br w:val="nil"/>
              <w:tr2bl w:val="nil"/>
            </w:tcBorders>
            <w:noWrap w:val="0"/>
            <w:vAlign w:val="center"/>
          </w:tcPr>
          <w:p w14:paraId="7124AE66">
            <w:pPr>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4656233.36</w:t>
            </w:r>
          </w:p>
        </w:tc>
        <w:tc>
          <w:tcPr>
            <w:tcW w:w="607" w:type="dxa"/>
            <w:tcBorders>
              <w:tl2br w:val="nil"/>
              <w:tr2bl w:val="nil"/>
            </w:tcBorders>
            <w:noWrap w:val="0"/>
            <w:vAlign w:val="center"/>
          </w:tcPr>
          <w:p w14:paraId="0C883019">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370</w:t>
            </w:r>
          </w:p>
        </w:tc>
        <w:tc>
          <w:tcPr>
            <w:tcW w:w="407" w:type="dxa"/>
            <w:tcBorders>
              <w:tl2br w:val="nil"/>
              <w:tr2bl w:val="nil"/>
            </w:tcBorders>
            <w:noWrap w:val="0"/>
            <w:vAlign w:val="center"/>
          </w:tcPr>
          <w:p w14:paraId="7ED36A01">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15</w:t>
            </w:r>
          </w:p>
        </w:tc>
        <w:tc>
          <w:tcPr>
            <w:tcW w:w="441" w:type="dxa"/>
            <w:tcBorders>
              <w:tl2br w:val="nil"/>
              <w:tr2bl w:val="nil"/>
            </w:tcBorders>
            <w:noWrap w:val="0"/>
            <w:vAlign w:val="center"/>
          </w:tcPr>
          <w:p w14:paraId="60D31FC8">
            <w:pPr>
              <w:jc w:val="center"/>
              <w:rPr>
                <w:rFonts w:hint="default" w:ascii="Times New Roman" w:hAnsi="Times New Roman" w:eastAsia="宋体" w:cs="Times New Roman"/>
                <w:color w:val="auto"/>
                <w:sz w:val="18"/>
                <w:szCs w:val="18"/>
                <w:highlight w:val="none"/>
                <w:lang w:val="en-US" w:eastAsia="zh-CN"/>
              </w:rPr>
            </w:pPr>
            <w:r>
              <w:rPr>
                <w:rFonts w:hint="eastAsia" w:eastAsia="宋体"/>
                <w:color w:val="auto"/>
                <w:sz w:val="18"/>
                <w:szCs w:val="18"/>
                <w:highlight w:val="none"/>
                <w:lang w:val="en-US" w:eastAsia="zh-CN"/>
              </w:rPr>
              <w:t>1.0</w:t>
            </w:r>
          </w:p>
        </w:tc>
        <w:tc>
          <w:tcPr>
            <w:tcW w:w="837" w:type="dxa"/>
            <w:tcBorders>
              <w:tl2br w:val="nil"/>
              <w:tr2bl w:val="nil"/>
            </w:tcBorders>
            <w:noWrap w:val="0"/>
            <w:vAlign w:val="center"/>
          </w:tcPr>
          <w:p w14:paraId="1AE00702">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1.63</w:t>
            </w:r>
          </w:p>
        </w:tc>
        <w:tc>
          <w:tcPr>
            <w:tcW w:w="447" w:type="dxa"/>
            <w:tcBorders>
              <w:tl2br w:val="nil"/>
              <w:tr2bl w:val="nil"/>
            </w:tcBorders>
            <w:noWrap w:val="0"/>
            <w:vAlign w:val="center"/>
          </w:tcPr>
          <w:p w14:paraId="57528C6E">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20</w:t>
            </w:r>
          </w:p>
        </w:tc>
        <w:tc>
          <w:tcPr>
            <w:tcW w:w="576" w:type="dxa"/>
            <w:tcBorders>
              <w:tl2br w:val="nil"/>
              <w:tr2bl w:val="nil"/>
            </w:tcBorders>
            <w:noWrap w:val="0"/>
            <w:vAlign w:val="center"/>
          </w:tcPr>
          <w:p w14:paraId="2C981FBD">
            <w:pPr>
              <w:jc w:val="center"/>
              <w:rPr>
                <w:rFonts w:hint="default" w:ascii="Times New Roman" w:hAnsi="Times New Roman" w:eastAsia="宋体" w:cs="Times New Roman"/>
                <w:color w:val="auto"/>
                <w:sz w:val="18"/>
                <w:szCs w:val="18"/>
                <w:highlight w:val="none"/>
                <w:lang w:val="en-US" w:eastAsia="zh-CN"/>
              </w:rPr>
            </w:pPr>
            <w:r>
              <w:rPr>
                <w:rFonts w:hint="eastAsia" w:cs="Times New Roman"/>
                <w:color w:val="auto"/>
                <w:sz w:val="18"/>
                <w:szCs w:val="18"/>
                <w:highlight w:val="none"/>
                <w:lang w:val="en-US" w:eastAsia="zh-CN"/>
              </w:rPr>
              <w:t>7200</w:t>
            </w:r>
          </w:p>
        </w:tc>
        <w:tc>
          <w:tcPr>
            <w:tcW w:w="553" w:type="dxa"/>
            <w:tcBorders>
              <w:tl2br w:val="nil"/>
              <w:tr2bl w:val="nil"/>
            </w:tcBorders>
            <w:noWrap w:val="0"/>
            <w:vAlign w:val="center"/>
          </w:tcPr>
          <w:p w14:paraId="7316AE5A">
            <w:pPr>
              <w:pStyle w:val="1505"/>
              <w:jc w:val="center"/>
              <w:rPr>
                <w:color w:val="auto"/>
                <w:sz w:val="18"/>
                <w:szCs w:val="18"/>
                <w:highlight w:val="none"/>
              </w:rPr>
            </w:pPr>
            <w:r>
              <w:rPr>
                <w:rFonts w:hAnsi="宋体" w:eastAsia="宋体"/>
                <w:color w:val="auto"/>
                <w:sz w:val="18"/>
                <w:szCs w:val="18"/>
                <w:highlight w:val="none"/>
              </w:rPr>
              <w:t>正常</w:t>
            </w:r>
          </w:p>
        </w:tc>
        <w:tc>
          <w:tcPr>
            <w:tcW w:w="619" w:type="dxa"/>
            <w:tcBorders>
              <w:tl2br w:val="nil"/>
              <w:tr2bl w:val="nil"/>
            </w:tcBorders>
            <w:noWrap w:val="0"/>
            <w:vAlign w:val="center"/>
          </w:tcPr>
          <w:p w14:paraId="38304650">
            <w:pPr>
              <w:widowControl/>
              <w:jc w:val="center"/>
              <w:textAlignment w:val="center"/>
              <w:rPr>
                <w:rFonts w:hint="default" w:eastAsia="宋体"/>
                <w:bCs/>
                <w:color w:val="auto"/>
                <w:sz w:val="18"/>
                <w:szCs w:val="18"/>
                <w:highlight w:val="none"/>
                <w:lang w:val="en-US" w:eastAsia="zh-CN"/>
              </w:rPr>
            </w:pPr>
            <w:r>
              <w:rPr>
                <w:rFonts w:hint="eastAsia"/>
                <w:color w:val="auto"/>
                <w:sz w:val="18"/>
                <w:szCs w:val="18"/>
                <w:highlight w:val="none"/>
                <w:lang w:val="en-US" w:eastAsia="zh-CN"/>
              </w:rPr>
              <w:t>PM</w:t>
            </w:r>
            <w:r>
              <w:rPr>
                <w:rFonts w:hint="eastAsia"/>
                <w:color w:val="auto"/>
                <w:sz w:val="18"/>
                <w:szCs w:val="18"/>
                <w:highlight w:val="none"/>
                <w:vertAlign w:val="subscript"/>
                <w:lang w:val="en-US" w:eastAsia="zh-CN"/>
              </w:rPr>
              <w:t>10</w:t>
            </w:r>
          </w:p>
        </w:tc>
        <w:tc>
          <w:tcPr>
            <w:tcW w:w="603" w:type="dxa"/>
            <w:tcBorders>
              <w:tl2br w:val="nil"/>
              <w:tr2bl w:val="nil"/>
            </w:tcBorders>
            <w:noWrap w:val="0"/>
            <w:vAlign w:val="center"/>
          </w:tcPr>
          <w:p w14:paraId="75830886">
            <w:pPr>
              <w:widowControl/>
              <w:jc w:val="center"/>
              <w:textAlignment w:val="center"/>
              <w:rPr>
                <w:rFonts w:hint="default" w:eastAsia="宋体"/>
                <w:color w:val="auto"/>
                <w:sz w:val="18"/>
                <w:szCs w:val="18"/>
                <w:highlight w:val="none"/>
                <w:lang w:val="en-US" w:eastAsia="zh-CN"/>
              </w:rPr>
            </w:pPr>
            <w:r>
              <w:rPr>
                <w:rFonts w:hint="eastAsia"/>
                <w:color w:val="auto"/>
                <w:sz w:val="18"/>
                <w:szCs w:val="18"/>
                <w:highlight w:val="none"/>
                <w:lang w:val="en-US" w:eastAsia="zh-CN"/>
              </w:rPr>
              <w:t xml:space="preserve">0.1385 </w:t>
            </w:r>
          </w:p>
        </w:tc>
        <w:tc>
          <w:tcPr>
            <w:tcW w:w="636" w:type="dxa"/>
            <w:tcBorders>
              <w:tl2br w:val="nil"/>
              <w:tr2bl w:val="nil"/>
            </w:tcBorders>
            <w:noWrap w:val="0"/>
            <w:vAlign w:val="center"/>
          </w:tcPr>
          <w:p w14:paraId="4C6BED0F">
            <w:pPr>
              <w:widowControl/>
              <w:jc w:val="center"/>
              <w:textAlignment w:val="center"/>
              <w:rPr>
                <w:rFonts w:hint="eastAsia" w:eastAsia="宋体"/>
                <w:color w:val="auto"/>
                <w:sz w:val="18"/>
                <w:szCs w:val="18"/>
                <w:highlight w:val="none"/>
                <w:lang w:val="en-US" w:eastAsia="zh-CN"/>
              </w:rPr>
            </w:pPr>
            <w:r>
              <w:rPr>
                <w:rFonts w:hint="eastAsia" w:eastAsia="宋体"/>
                <w:color w:val="auto"/>
                <w:sz w:val="18"/>
                <w:szCs w:val="18"/>
                <w:highlight w:val="none"/>
                <w:lang w:val="en-US" w:eastAsia="zh-CN"/>
              </w:rPr>
              <w:t>一般排放口</w:t>
            </w:r>
          </w:p>
        </w:tc>
      </w:tr>
    </w:tbl>
    <w:p w14:paraId="11A7C159">
      <w:pPr>
        <w:spacing w:line="360" w:lineRule="auto"/>
        <w:jc w:val="center"/>
        <w:rPr>
          <w:b/>
          <w:color w:val="auto"/>
          <w:sz w:val="24"/>
          <w:szCs w:val="24"/>
        </w:rPr>
      </w:pPr>
      <w:r>
        <w:rPr>
          <w:b/>
          <w:color w:val="auto"/>
          <w:sz w:val="24"/>
          <w:szCs w:val="24"/>
        </w:rPr>
        <w:t>表</w:t>
      </w:r>
      <w:r>
        <w:rPr>
          <w:rFonts w:hint="eastAsia"/>
          <w:b/>
          <w:color w:val="auto"/>
          <w:sz w:val="24"/>
          <w:szCs w:val="24"/>
          <w:lang w:val="en-US" w:eastAsia="zh-CN"/>
        </w:rPr>
        <w:t xml:space="preserve">2.4-5  </w:t>
      </w:r>
      <w:r>
        <w:rPr>
          <w:b/>
          <w:color w:val="auto"/>
          <w:sz w:val="24"/>
          <w:szCs w:val="24"/>
        </w:rPr>
        <w:t xml:space="preserve">  </w:t>
      </w:r>
      <w:r>
        <w:rPr>
          <w:rFonts w:hint="eastAsia"/>
          <w:b/>
          <w:color w:val="auto"/>
          <w:sz w:val="24"/>
          <w:szCs w:val="24"/>
        </w:rPr>
        <w:t>无组织面源</w:t>
      </w:r>
      <w:r>
        <w:rPr>
          <w:b/>
          <w:color w:val="auto"/>
          <w:sz w:val="24"/>
          <w:szCs w:val="24"/>
        </w:rPr>
        <w:t>污染源清单（</w:t>
      </w:r>
      <w:r>
        <w:rPr>
          <w:rFonts w:hint="eastAsia"/>
          <w:b/>
          <w:color w:val="auto"/>
          <w:sz w:val="24"/>
          <w:szCs w:val="24"/>
          <w:lang w:val="en-US" w:eastAsia="zh-CN"/>
        </w:rPr>
        <w:t>多边形</w:t>
      </w:r>
      <w:r>
        <w:rPr>
          <w:b/>
          <w:color w:val="auto"/>
          <w:sz w:val="24"/>
          <w:szCs w:val="24"/>
        </w:rPr>
        <w:t>面源）</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4"/>
        <w:gridCol w:w="1214"/>
        <w:gridCol w:w="1319"/>
        <w:gridCol w:w="776"/>
        <w:gridCol w:w="938"/>
        <w:gridCol w:w="801"/>
        <w:gridCol w:w="689"/>
        <w:gridCol w:w="989"/>
        <w:gridCol w:w="731"/>
      </w:tblGrid>
      <w:tr w14:paraId="035E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244" w:type="pct"/>
            <w:vMerge w:val="restart"/>
            <w:tcBorders>
              <w:tl2br w:val="nil"/>
              <w:tr2bl w:val="nil"/>
            </w:tcBorders>
            <w:noWrap w:val="0"/>
            <w:vAlign w:val="center"/>
          </w:tcPr>
          <w:p w14:paraId="79FDEB1B">
            <w:pPr>
              <w:autoSpaceDE w:val="0"/>
              <w:autoSpaceDN w:val="0"/>
              <w:adjustRightInd w:val="0"/>
              <w:jc w:val="center"/>
              <w:rPr>
                <w:bCs/>
                <w:color w:val="auto"/>
                <w:szCs w:val="21"/>
                <w:highlight w:val="none"/>
              </w:rPr>
            </w:pPr>
            <w:r>
              <w:rPr>
                <w:bCs/>
                <w:color w:val="auto"/>
                <w:szCs w:val="21"/>
                <w:highlight w:val="none"/>
              </w:rPr>
              <w:t>编号</w:t>
            </w:r>
          </w:p>
        </w:tc>
        <w:tc>
          <w:tcPr>
            <w:tcW w:w="478" w:type="pct"/>
            <w:vMerge w:val="restart"/>
            <w:tcBorders>
              <w:tl2br w:val="nil"/>
              <w:tr2bl w:val="nil"/>
            </w:tcBorders>
            <w:noWrap w:val="0"/>
            <w:vAlign w:val="center"/>
          </w:tcPr>
          <w:p w14:paraId="5415AD68">
            <w:pPr>
              <w:autoSpaceDE w:val="0"/>
              <w:autoSpaceDN w:val="0"/>
              <w:adjustRightInd w:val="0"/>
              <w:jc w:val="center"/>
              <w:rPr>
                <w:bCs/>
                <w:color w:val="auto"/>
                <w:szCs w:val="21"/>
                <w:highlight w:val="none"/>
              </w:rPr>
            </w:pPr>
            <w:r>
              <w:rPr>
                <w:bCs/>
                <w:color w:val="auto"/>
                <w:szCs w:val="21"/>
                <w:highlight w:val="none"/>
              </w:rPr>
              <w:t>名称</w:t>
            </w:r>
          </w:p>
        </w:tc>
        <w:tc>
          <w:tcPr>
            <w:tcW w:w="1452" w:type="pct"/>
            <w:gridSpan w:val="2"/>
            <w:tcBorders>
              <w:tl2br w:val="nil"/>
              <w:tr2bl w:val="nil"/>
            </w:tcBorders>
            <w:noWrap w:val="0"/>
            <w:vAlign w:val="center"/>
          </w:tcPr>
          <w:p w14:paraId="35B44B8B">
            <w:pPr>
              <w:autoSpaceDE w:val="0"/>
              <w:autoSpaceDN w:val="0"/>
              <w:adjustRightInd w:val="0"/>
              <w:jc w:val="center"/>
              <w:rPr>
                <w:rFonts w:hint="default" w:eastAsia="宋体"/>
                <w:bCs/>
                <w:color w:val="auto"/>
                <w:szCs w:val="21"/>
                <w:highlight w:val="none"/>
                <w:lang w:val="en-US" w:eastAsia="zh-CN"/>
              </w:rPr>
            </w:pPr>
            <w:r>
              <w:rPr>
                <w:rFonts w:hint="eastAsia"/>
                <w:bCs/>
                <w:color w:val="auto"/>
                <w:szCs w:val="21"/>
                <w:highlight w:val="none"/>
                <w:lang w:val="en-US" w:eastAsia="zh-CN"/>
              </w:rPr>
              <w:t>面源各顶点</w:t>
            </w:r>
            <w:r>
              <w:rPr>
                <w:bCs/>
                <w:color w:val="auto"/>
                <w:szCs w:val="21"/>
                <w:highlight w:val="none"/>
              </w:rPr>
              <w:t>坐标</w:t>
            </w:r>
            <w:r>
              <w:rPr>
                <w:rFonts w:hint="eastAsia"/>
                <w:bCs/>
                <w:color w:val="auto"/>
                <w:szCs w:val="21"/>
                <w:highlight w:val="none"/>
                <w:lang w:val="en-US" w:eastAsia="zh-CN"/>
              </w:rPr>
              <w:t>/m</w:t>
            </w:r>
          </w:p>
        </w:tc>
        <w:tc>
          <w:tcPr>
            <w:tcW w:w="445" w:type="pct"/>
            <w:vMerge w:val="restart"/>
            <w:tcBorders>
              <w:tl2br w:val="nil"/>
              <w:tr2bl w:val="nil"/>
            </w:tcBorders>
            <w:noWrap w:val="0"/>
            <w:vAlign w:val="center"/>
          </w:tcPr>
          <w:p w14:paraId="720F4713">
            <w:pPr>
              <w:autoSpaceDE w:val="0"/>
              <w:autoSpaceDN w:val="0"/>
              <w:adjustRightInd w:val="0"/>
              <w:jc w:val="center"/>
              <w:rPr>
                <w:bCs/>
                <w:color w:val="auto"/>
                <w:szCs w:val="21"/>
                <w:highlight w:val="none"/>
              </w:rPr>
            </w:pPr>
            <w:r>
              <w:rPr>
                <w:bCs/>
                <w:color w:val="auto"/>
                <w:szCs w:val="21"/>
                <w:highlight w:val="none"/>
              </w:rPr>
              <w:t>面源海拔高度/m</w:t>
            </w:r>
          </w:p>
        </w:tc>
        <w:tc>
          <w:tcPr>
            <w:tcW w:w="538" w:type="pct"/>
            <w:vMerge w:val="restart"/>
            <w:tcBorders>
              <w:tl2br w:val="nil"/>
              <w:tr2bl w:val="nil"/>
            </w:tcBorders>
            <w:noWrap w:val="0"/>
            <w:vAlign w:val="center"/>
          </w:tcPr>
          <w:p w14:paraId="60651D13">
            <w:pPr>
              <w:autoSpaceDE w:val="0"/>
              <w:autoSpaceDN w:val="0"/>
              <w:adjustRightInd w:val="0"/>
              <w:jc w:val="center"/>
              <w:rPr>
                <w:bCs/>
                <w:color w:val="auto"/>
                <w:szCs w:val="21"/>
                <w:highlight w:val="none"/>
              </w:rPr>
            </w:pPr>
            <w:r>
              <w:rPr>
                <w:bCs/>
                <w:color w:val="auto"/>
                <w:szCs w:val="21"/>
                <w:highlight w:val="none"/>
              </w:rPr>
              <w:t>面源有效排放高度/m</w:t>
            </w:r>
          </w:p>
        </w:tc>
        <w:tc>
          <w:tcPr>
            <w:tcW w:w="459" w:type="pct"/>
            <w:vMerge w:val="restart"/>
            <w:tcBorders>
              <w:tl2br w:val="nil"/>
              <w:tr2bl w:val="nil"/>
            </w:tcBorders>
            <w:noWrap w:val="0"/>
            <w:vAlign w:val="center"/>
          </w:tcPr>
          <w:p w14:paraId="39CF2BC8">
            <w:pPr>
              <w:autoSpaceDE w:val="0"/>
              <w:autoSpaceDN w:val="0"/>
              <w:adjustRightInd w:val="0"/>
              <w:jc w:val="center"/>
              <w:rPr>
                <w:bCs/>
                <w:color w:val="auto"/>
                <w:szCs w:val="21"/>
                <w:highlight w:val="none"/>
              </w:rPr>
            </w:pPr>
            <w:r>
              <w:rPr>
                <w:bCs/>
                <w:color w:val="auto"/>
                <w:szCs w:val="21"/>
                <w:highlight w:val="none"/>
              </w:rPr>
              <w:t>年排放小时数/h</w:t>
            </w:r>
          </w:p>
        </w:tc>
        <w:tc>
          <w:tcPr>
            <w:tcW w:w="395" w:type="pct"/>
            <w:vMerge w:val="restart"/>
            <w:tcBorders>
              <w:tl2br w:val="nil"/>
              <w:tr2bl w:val="nil"/>
            </w:tcBorders>
            <w:noWrap w:val="0"/>
            <w:vAlign w:val="center"/>
          </w:tcPr>
          <w:p w14:paraId="184EE86E">
            <w:pPr>
              <w:autoSpaceDE w:val="0"/>
              <w:autoSpaceDN w:val="0"/>
              <w:adjustRightInd w:val="0"/>
              <w:jc w:val="center"/>
              <w:rPr>
                <w:bCs/>
                <w:color w:val="auto"/>
                <w:szCs w:val="21"/>
                <w:highlight w:val="none"/>
              </w:rPr>
            </w:pPr>
            <w:r>
              <w:rPr>
                <w:bCs/>
                <w:color w:val="auto"/>
                <w:szCs w:val="21"/>
                <w:highlight w:val="none"/>
              </w:rPr>
              <w:t>排放工况</w:t>
            </w:r>
          </w:p>
        </w:tc>
        <w:tc>
          <w:tcPr>
            <w:tcW w:w="986" w:type="pct"/>
            <w:gridSpan w:val="2"/>
            <w:vMerge w:val="restart"/>
            <w:tcBorders>
              <w:tl2br w:val="nil"/>
              <w:tr2bl w:val="nil"/>
            </w:tcBorders>
            <w:noWrap w:val="0"/>
            <w:vAlign w:val="center"/>
          </w:tcPr>
          <w:p w14:paraId="7AF16165">
            <w:pPr>
              <w:autoSpaceDE w:val="0"/>
              <w:autoSpaceDN w:val="0"/>
              <w:adjustRightInd w:val="0"/>
              <w:jc w:val="center"/>
              <w:rPr>
                <w:bCs/>
                <w:color w:val="auto"/>
                <w:szCs w:val="21"/>
                <w:highlight w:val="none"/>
              </w:rPr>
            </w:pPr>
            <w:r>
              <w:rPr>
                <w:bCs/>
                <w:color w:val="auto"/>
                <w:szCs w:val="21"/>
                <w:highlight w:val="none"/>
              </w:rPr>
              <w:t>污染物排放速率（kg/h）</w:t>
            </w:r>
          </w:p>
        </w:tc>
      </w:tr>
      <w:tr w14:paraId="68CA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44" w:type="pct"/>
            <w:vMerge w:val="continue"/>
            <w:tcBorders>
              <w:tl2br w:val="nil"/>
              <w:tr2bl w:val="nil"/>
            </w:tcBorders>
            <w:noWrap w:val="0"/>
            <w:vAlign w:val="center"/>
          </w:tcPr>
          <w:p w14:paraId="42DB5FEF">
            <w:pPr>
              <w:widowControl/>
              <w:jc w:val="left"/>
              <w:rPr>
                <w:bCs/>
                <w:color w:val="auto"/>
                <w:szCs w:val="21"/>
                <w:highlight w:val="none"/>
              </w:rPr>
            </w:pPr>
          </w:p>
        </w:tc>
        <w:tc>
          <w:tcPr>
            <w:tcW w:w="478" w:type="pct"/>
            <w:vMerge w:val="continue"/>
            <w:tcBorders>
              <w:tl2br w:val="nil"/>
              <w:tr2bl w:val="nil"/>
            </w:tcBorders>
            <w:noWrap w:val="0"/>
            <w:vAlign w:val="center"/>
          </w:tcPr>
          <w:p w14:paraId="0F9EC2E7">
            <w:pPr>
              <w:widowControl/>
              <w:jc w:val="left"/>
              <w:rPr>
                <w:bCs/>
                <w:color w:val="auto"/>
                <w:szCs w:val="21"/>
                <w:highlight w:val="none"/>
              </w:rPr>
            </w:pPr>
          </w:p>
        </w:tc>
        <w:tc>
          <w:tcPr>
            <w:tcW w:w="696" w:type="pct"/>
            <w:tcBorders>
              <w:tl2br w:val="nil"/>
              <w:tr2bl w:val="nil"/>
            </w:tcBorders>
            <w:noWrap w:val="0"/>
            <w:vAlign w:val="center"/>
          </w:tcPr>
          <w:p w14:paraId="31A6EC57">
            <w:pPr>
              <w:autoSpaceDE w:val="0"/>
              <w:autoSpaceDN w:val="0"/>
              <w:adjustRightIn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X</w:t>
            </w:r>
          </w:p>
        </w:tc>
        <w:tc>
          <w:tcPr>
            <w:tcW w:w="756" w:type="pct"/>
            <w:tcBorders>
              <w:tl2br w:val="nil"/>
              <w:tr2bl w:val="nil"/>
            </w:tcBorders>
            <w:noWrap w:val="0"/>
            <w:vAlign w:val="center"/>
          </w:tcPr>
          <w:p w14:paraId="1CBDE7F7">
            <w:pPr>
              <w:autoSpaceDE w:val="0"/>
              <w:autoSpaceDN w:val="0"/>
              <w:adjustRightInd w:val="0"/>
              <w:jc w:val="center"/>
              <w:rPr>
                <w:rFonts w:hint="default" w:eastAsia="宋体"/>
                <w:bCs/>
                <w:color w:val="auto"/>
                <w:szCs w:val="21"/>
                <w:highlight w:val="none"/>
                <w:lang w:val="en-US" w:eastAsia="zh-CN"/>
              </w:rPr>
            </w:pPr>
            <w:r>
              <w:rPr>
                <w:rFonts w:hint="eastAsia" w:eastAsia="宋体"/>
                <w:bCs/>
                <w:color w:val="auto"/>
                <w:szCs w:val="21"/>
                <w:highlight w:val="none"/>
                <w:lang w:val="en-US" w:eastAsia="zh-CN"/>
              </w:rPr>
              <w:t>Y</w:t>
            </w:r>
          </w:p>
        </w:tc>
        <w:tc>
          <w:tcPr>
            <w:tcW w:w="445" w:type="pct"/>
            <w:vMerge w:val="continue"/>
            <w:tcBorders>
              <w:tl2br w:val="nil"/>
              <w:tr2bl w:val="nil"/>
            </w:tcBorders>
            <w:noWrap w:val="0"/>
            <w:vAlign w:val="center"/>
          </w:tcPr>
          <w:p w14:paraId="759FCEFA">
            <w:pPr>
              <w:widowControl/>
              <w:jc w:val="left"/>
              <w:rPr>
                <w:bCs/>
                <w:color w:val="auto"/>
                <w:szCs w:val="21"/>
                <w:highlight w:val="none"/>
              </w:rPr>
            </w:pPr>
          </w:p>
        </w:tc>
        <w:tc>
          <w:tcPr>
            <w:tcW w:w="538" w:type="pct"/>
            <w:vMerge w:val="continue"/>
            <w:tcBorders>
              <w:tl2br w:val="nil"/>
              <w:tr2bl w:val="nil"/>
            </w:tcBorders>
            <w:noWrap w:val="0"/>
            <w:vAlign w:val="center"/>
          </w:tcPr>
          <w:p w14:paraId="7074B703">
            <w:pPr>
              <w:widowControl/>
              <w:jc w:val="left"/>
              <w:rPr>
                <w:bCs/>
                <w:color w:val="auto"/>
                <w:szCs w:val="21"/>
                <w:highlight w:val="none"/>
              </w:rPr>
            </w:pPr>
          </w:p>
        </w:tc>
        <w:tc>
          <w:tcPr>
            <w:tcW w:w="459" w:type="pct"/>
            <w:vMerge w:val="continue"/>
            <w:tcBorders>
              <w:tl2br w:val="nil"/>
              <w:tr2bl w:val="nil"/>
            </w:tcBorders>
            <w:noWrap w:val="0"/>
            <w:vAlign w:val="center"/>
          </w:tcPr>
          <w:p w14:paraId="5828E419">
            <w:pPr>
              <w:widowControl/>
              <w:jc w:val="left"/>
              <w:rPr>
                <w:bCs/>
                <w:color w:val="auto"/>
                <w:szCs w:val="21"/>
                <w:highlight w:val="none"/>
              </w:rPr>
            </w:pPr>
          </w:p>
        </w:tc>
        <w:tc>
          <w:tcPr>
            <w:tcW w:w="395" w:type="pct"/>
            <w:vMerge w:val="continue"/>
            <w:tcBorders>
              <w:tl2br w:val="nil"/>
              <w:tr2bl w:val="nil"/>
            </w:tcBorders>
            <w:noWrap w:val="0"/>
            <w:vAlign w:val="center"/>
          </w:tcPr>
          <w:p w14:paraId="08DB6FCC">
            <w:pPr>
              <w:widowControl/>
              <w:jc w:val="left"/>
              <w:rPr>
                <w:bCs/>
                <w:color w:val="auto"/>
                <w:szCs w:val="21"/>
                <w:highlight w:val="none"/>
              </w:rPr>
            </w:pPr>
          </w:p>
        </w:tc>
        <w:tc>
          <w:tcPr>
            <w:tcW w:w="986" w:type="pct"/>
            <w:gridSpan w:val="2"/>
            <w:vMerge w:val="continue"/>
            <w:tcBorders>
              <w:tl2br w:val="nil"/>
              <w:tr2bl w:val="nil"/>
            </w:tcBorders>
            <w:noWrap w:val="0"/>
            <w:vAlign w:val="center"/>
          </w:tcPr>
          <w:p w14:paraId="04AD7C78">
            <w:pPr>
              <w:widowControl/>
              <w:jc w:val="left"/>
              <w:rPr>
                <w:bCs/>
                <w:color w:val="auto"/>
                <w:szCs w:val="21"/>
                <w:highlight w:val="none"/>
              </w:rPr>
            </w:pPr>
          </w:p>
        </w:tc>
      </w:tr>
      <w:tr w14:paraId="1BBFD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4" w:type="pct"/>
            <w:tcBorders>
              <w:tl2br w:val="nil"/>
              <w:tr2bl w:val="nil"/>
            </w:tcBorders>
            <w:noWrap w:val="0"/>
            <w:vAlign w:val="center"/>
          </w:tcPr>
          <w:p w14:paraId="74B9A309">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1</w:t>
            </w:r>
          </w:p>
        </w:tc>
        <w:tc>
          <w:tcPr>
            <w:tcW w:w="478" w:type="pct"/>
            <w:vMerge w:val="restart"/>
            <w:tcBorders>
              <w:tl2br w:val="nil"/>
              <w:tr2bl w:val="nil"/>
            </w:tcBorders>
            <w:noWrap w:val="0"/>
            <w:vAlign w:val="center"/>
          </w:tcPr>
          <w:p w14:paraId="2A82AF30">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厂区</w:t>
            </w:r>
          </w:p>
        </w:tc>
        <w:tc>
          <w:tcPr>
            <w:tcW w:w="696" w:type="pct"/>
            <w:tcBorders>
              <w:tl2br w:val="nil"/>
              <w:tr2bl w:val="nil"/>
            </w:tcBorders>
            <w:noWrap w:val="0"/>
            <w:vAlign w:val="center"/>
          </w:tcPr>
          <w:p w14:paraId="32330BC1">
            <w:pPr>
              <w:autoSpaceDE w:val="0"/>
              <w:autoSpaceDN w:val="0"/>
              <w:adjustRightInd w:val="0"/>
              <w:jc w:val="center"/>
              <w:rPr>
                <w:rFonts w:hint="default" w:ascii="Times New Roman" w:hAnsi="Times New Roman" w:eastAsia="宋体" w:cs="Times New Roman"/>
                <w:bCs/>
                <w:iCs/>
                <w:color w:val="auto"/>
                <w:sz w:val="21"/>
                <w:szCs w:val="21"/>
                <w:highlight w:val="none"/>
                <w:lang w:val="en-US" w:eastAsia="zh-CN"/>
              </w:rPr>
            </w:pPr>
            <w:r>
              <w:rPr>
                <w:rFonts w:hint="default" w:ascii="Times New Roman" w:hAnsi="Times New Roman" w:eastAsia="宋体" w:cs="Times New Roman"/>
                <w:bCs/>
                <w:iCs/>
                <w:color w:val="auto"/>
                <w:sz w:val="21"/>
                <w:szCs w:val="21"/>
                <w:highlight w:val="none"/>
                <w:lang w:val="en-US" w:eastAsia="zh-CN"/>
              </w:rPr>
              <w:t>302567.64</w:t>
            </w:r>
          </w:p>
        </w:tc>
        <w:tc>
          <w:tcPr>
            <w:tcW w:w="756" w:type="pct"/>
            <w:tcBorders>
              <w:tl2br w:val="nil"/>
              <w:tr2bl w:val="nil"/>
            </w:tcBorders>
            <w:noWrap w:val="0"/>
            <w:vAlign w:val="center"/>
          </w:tcPr>
          <w:p w14:paraId="0DD36104">
            <w:pPr>
              <w:autoSpaceDE w:val="0"/>
              <w:autoSpaceDN w:val="0"/>
              <w:adjustRightInd w:val="0"/>
              <w:jc w:val="center"/>
              <w:rPr>
                <w:rFonts w:hint="default" w:ascii="Times New Roman" w:hAnsi="Times New Roman" w:eastAsia="宋体" w:cs="Times New Roman"/>
                <w:bCs/>
                <w:iCs/>
                <w:color w:val="auto"/>
                <w:sz w:val="21"/>
                <w:szCs w:val="21"/>
                <w:highlight w:val="none"/>
                <w:lang w:val="en-US" w:eastAsia="zh-CN"/>
              </w:rPr>
            </w:pPr>
            <w:r>
              <w:rPr>
                <w:rFonts w:hint="default" w:ascii="Times New Roman" w:hAnsi="Times New Roman" w:eastAsia="宋体" w:cs="Times New Roman"/>
                <w:bCs/>
                <w:iCs/>
                <w:color w:val="auto"/>
                <w:sz w:val="21"/>
                <w:szCs w:val="21"/>
                <w:highlight w:val="none"/>
                <w:lang w:val="en-US" w:eastAsia="zh-CN"/>
              </w:rPr>
              <w:t>4656314.92</w:t>
            </w:r>
          </w:p>
        </w:tc>
        <w:tc>
          <w:tcPr>
            <w:tcW w:w="445" w:type="pct"/>
            <w:vMerge w:val="restart"/>
            <w:tcBorders>
              <w:tl2br w:val="nil"/>
              <w:tr2bl w:val="nil"/>
            </w:tcBorders>
            <w:noWrap w:val="0"/>
            <w:vAlign w:val="center"/>
          </w:tcPr>
          <w:p w14:paraId="249C1184">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370</w:t>
            </w:r>
          </w:p>
        </w:tc>
        <w:tc>
          <w:tcPr>
            <w:tcW w:w="538" w:type="pct"/>
            <w:vMerge w:val="restart"/>
            <w:tcBorders>
              <w:tl2br w:val="nil"/>
              <w:tr2bl w:val="nil"/>
            </w:tcBorders>
            <w:noWrap w:val="0"/>
            <w:vAlign w:val="center"/>
          </w:tcPr>
          <w:p w14:paraId="2B920FFA">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5</w:t>
            </w:r>
          </w:p>
        </w:tc>
        <w:tc>
          <w:tcPr>
            <w:tcW w:w="459" w:type="pct"/>
            <w:vMerge w:val="restart"/>
            <w:tcBorders>
              <w:tl2br w:val="nil"/>
              <w:tr2bl w:val="nil"/>
            </w:tcBorders>
            <w:noWrap w:val="0"/>
            <w:vAlign w:val="center"/>
          </w:tcPr>
          <w:p w14:paraId="69440B5A">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2400</w:t>
            </w:r>
          </w:p>
        </w:tc>
        <w:tc>
          <w:tcPr>
            <w:tcW w:w="395" w:type="pct"/>
            <w:vMerge w:val="restart"/>
            <w:tcBorders>
              <w:tl2br w:val="nil"/>
              <w:tr2bl w:val="nil"/>
            </w:tcBorders>
            <w:noWrap w:val="0"/>
            <w:vAlign w:val="center"/>
          </w:tcPr>
          <w:p w14:paraId="5AE3E4D1">
            <w:pPr>
              <w:widowControl/>
              <w:jc w:val="center"/>
              <w:rPr>
                <w:rFonts w:hint="eastAsia" w:eastAsia="宋体"/>
                <w:bCs/>
                <w:color w:val="auto"/>
                <w:szCs w:val="21"/>
                <w:highlight w:val="none"/>
                <w:lang w:eastAsia="zh-CN"/>
              </w:rPr>
            </w:pPr>
            <w:r>
              <w:rPr>
                <w:rFonts w:hint="eastAsia"/>
                <w:bCs/>
                <w:color w:val="auto"/>
                <w:szCs w:val="21"/>
                <w:highlight w:val="none"/>
                <w:lang w:eastAsia="zh-CN"/>
              </w:rPr>
              <w:t>正常</w:t>
            </w:r>
          </w:p>
        </w:tc>
        <w:tc>
          <w:tcPr>
            <w:tcW w:w="567" w:type="pct"/>
            <w:vMerge w:val="restart"/>
            <w:tcBorders>
              <w:tl2br w:val="nil"/>
              <w:tr2bl w:val="nil"/>
            </w:tcBorders>
            <w:noWrap w:val="0"/>
            <w:vAlign w:val="center"/>
          </w:tcPr>
          <w:p w14:paraId="1A538FC4">
            <w:pPr>
              <w:autoSpaceDE w:val="0"/>
              <w:autoSpaceDN w:val="0"/>
              <w:adjustRightInd w:val="0"/>
              <w:jc w:val="center"/>
              <w:rPr>
                <w:rFonts w:hint="default" w:eastAsia="宋体"/>
                <w:bCs/>
                <w:color w:val="auto"/>
                <w:szCs w:val="21"/>
                <w:highlight w:val="none"/>
                <w:lang w:val="en-US" w:eastAsia="zh-CN"/>
              </w:rPr>
            </w:pPr>
            <w:r>
              <w:rPr>
                <w:rFonts w:hint="eastAsia"/>
                <w:bCs/>
                <w:color w:val="auto"/>
                <w:szCs w:val="21"/>
                <w:highlight w:val="none"/>
                <w:lang w:val="en-US" w:eastAsia="zh-CN"/>
              </w:rPr>
              <w:t>TSP</w:t>
            </w:r>
          </w:p>
        </w:tc>
        <w:tc>
          <w:tcPr>
            <w:tcW w:w="419" w:type="pct"/>
            <w:vMerge w:val="restart"/>
            <w:tcBorders>
              <w:tl2br w:val="nil"/>
              <w:tr2bl w:val="nil"/>
            </w:tcBorders>
            <w:noWrap w:val="0"/>
            <w:vAlign w:val="center"/>
          </w:tcPr>
          <w:p w14:paraId="78E59BE1">
            <w:pPr>
              <w:widowControl/>
              <w:jc w:val="center"/>
              <w:rPr>
                <w:rFonts w:hint="default" w:eastAsia="宋体"/>
                <w:bCs/>
                <w:color w:val="auto"/>
                <w:szCs w:val="21"/>
                <w:highlight w:val="none"/>
                <w:lang w:val="en-US" w:eastAsia="zh-CN"/>
              </w:rPr>
            </w:pPr>
            <w:r>
              <w:rPr>
                <w:rFonts w:hint="eastAsia"/>
                <w:bCs/>
                <w:color w:val="auto"/>
                <w:szCs w:val="21"/>
                <w:highlight w:val="none"/>
                <w:lang w:val="en-US" w:eastAsia="zh-CN"/>
              </w:rPr>
              <w:t>0.776</w:t>
            </w:r>
          </w:p>
        </w:tc>
      </w:tr>
      <w:tr w14:paraId="688E1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4" w:type="pct"/>
            <w:tcBorders>
              <w:tl2br w:val="nil"/>
              <w:tr2bl w:val="nil"/>
            </w:tcBorders>
            <w:noWrap w:val="0"/>
            <w:vAlign w:val="center"/>
          </w:tcPr>
          <w:p w14:paraId="5E7A6CEA">
            <w:pPr>
              <w:widowControl/>
              <w:jc w:val="center"/>
              <w:rPr>
                <w:rFonts w:hint="default"/>
                <w:bCs/>
                <w:color w:val="auto"/>
                <w:szCs w:val="21"/>
                <w:highlight w:val="none"/>
                <w:lang w:val="en-US" w:eastAsia="zh-CN"/>
              </w:rPr>
            </w:pPr>
            <w:r>
              <w:rPr>
                <w:rFonts w:hint="eastAsia"/>
                <w:bCs/>
                <w:color w:val="auto"/>
                <w:szCs w:val="21"/>
                <w:highlight w:val="none"/>
                <w:lang w:val="en-US" w:eastAsia="zh-CN"/>
              </w:rPr>
              <w:t>2</w:t>
            </w:r>
          </w:p>
        </w:tc>
        <w:tc>
          <w:tcPr>
            <w:tcW w:w="478" w:type="pct"/>
            <w:vMerge w:val="continue"/>
            <w:tcBorders>
              <w:tl2br w:val="nil"/>
              <w:tr2bl w:val="nil"/>
            </w:tcBorders>
            <w:noWrap w:val="0"/>
            <w:vAlign w:val="center"/>
          </w:tcPr>
          <w:p w14:paraId="093F972D">
            <w:pPr>
              <w:widowControl/>
              <w:jc w:val="center"/>
              <w:rPr>
                <w:rFonts w:hint="eastAsia"/>
                <w:bCs/>
                <w:color w:val="auto"/>
                <w:szCs w:val="21"/>
                <w:highlight w:val="none"/>
                <w:lang w:val="en-US" w:eastAsia="zh-CN"/>
              </w:rPr>
            </w:pPr>
          </w:p>
        </w:tc>
        <w:tc>
          <w:tcPr>
            <w:tcW w:w="696" w:type="pct"/>
            <w:tcBorders>
              <w:tl2br w:val="nil"/>
              <w:tr2bl w:val="nil"/>
            </w:tcBorders>
            <w:noWrap w:val="0"/>
            <w:vAlign w:val="center"/>
          </w:tcPr>
          <w:p w14:paraId="769FA972">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302552.57</w:t>
            </w:r>
          </w:p>
        </w:tc>
        <w:tc>
          <w:tcPr>
            <w:tcW w:w="756" w:type="pct"/>
            <w:tcBorders>
              <w:tl2br w:val="nil"/>
              <w:tr2bl w:val="nil"/>
            </w:tcBorders>
            <w:noWrap w:val="0"/>
            <w:vAlign w:val="center"/>
          </w:tcPr>
          <w:p w14:paraId="2259FCD0">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4656316.23</w:t>
            </w:r>
          </w:p>
        </w:tc>
        <w:tc>
          <w:tcPr>
            <w:tcW w:w="445" w:type="pct"/>
            <w:vMerge w:val="continue"/>
            <w:tcBorders>
              <w:tl2br w:val="nil"/>
              <w:tr2bl w:val="nil"/>
            </w:tcBorders>
            <w:noWrap w:val="0"/>
            <w:vAlign w:val="center"/>
          </w:tcPr>
          <w:p w14:paraId="45309A6F">
            <w:pPr>
              <w:widowControl/>
              <w:jc w:val="center"/>
              <w:rPr>
                <w:rFonts w:hint="eastAsia"/>
                <w:bCs/>
                <w:color w:val="auto"/>
                <w:szCs w:val="21"/>
                <w:highlight w:val="none"/>
                <w:lang w:val="en-US" w:eastAsia="zh-CN"/>
              </w:rPr>
            </w:pPr>
          </w:p>
        </w:tc>
        <w:tc>
          <w:tcPr>
            <w:tcW w:w="538" w:type="pct"/>
            <w:vMerge w:val="continue"/>
            <w:tcBorders>
              <w:tl2br w:val="nil"/>
              <w:tr2bl w:val="nil"/>
            </w:tcBorders>
            <w:noWrap w:val="0"/>
            <w:vAlign w:val="center"/>
          </w:tcPr>
          <w:p w14:paraId="3AF0B08E">
            <w:pPr>
              <w:widowControl/>
              <w:jc w:val="center"/>
              <w:rPr>
                <w:rFonts w:hint="eastAsia"/>
                <w:bCs/>
                <w:color w:val="auto"/>
                <w:szCs w:val="21"/>
                <w:highlight w:val="none"/>
                <w:lang w:val="en-US" w:eastAsia="zh-CN"/>
              </w:rPr>
            </w:pPr>
          </w:p>
        </w:tc>
        <w:tc>
          <w:tcPr>
            <w:tcW w:w="459" w:type="pct"/>
            <w:vMerge w:val="continue"/>
            <w:tcBorders>
              <w:tl2br w:val="nil"/>
              <w:tr2bl w:val="nil"/>
            </w:tcBorders>
            <w:noWrap w:val="0"/>
            <w:vAlign w:val="center"/>
          </w:tcPr>
          <w:p w14:paraId="77F8CEB4">
            <w:pPr>
              <w:widowControl/>
              <w:jc w:val="center"/>
              <w:rPr>
                <w:rFonts w:hint="eastAsia"/>
                <w:bCs/>
                <w:color w:val="auto"/>
                <w:szCs w:val="21"/>
                <w:highlight w:val="none"/>
                <w:lang w:val="en-US" w:eastAsia="zh-CN"/>
              </w:rPr>
            </w:pPr>
          </w:p>
        </w:tc>
        <w:tc>
          <w:tcPr>
            <w:tcW w:w="395" w:type="pct"/>
            <w:vMerge w:val="continue"/>
            <w:tcBorders>
              <w:tl2br w:val="nil"/>
              <w:tr2bl w:val="nil"/>
            </w:tcBorders>
            <w:noWrap w:val="0"/>
            <w:vAlign w:val="center"/>
          </w:tcPr>
          <w:p w14:paraId="7E4B9BD2">
            <w:pPr>
              <w:widowControl/>
              <w:jc w:val="center"/>
              <w:rPr>
                <w:rFonts w:hint="eastAsia"/>
                <w:bCs/>
                <w:color w:val="auto"/>
                <w:szCs w:val="21"/>
                <w:highlight w:val="none"/>
                <w:lang w:eastAsia="zh-CN"/>
              </w:rPr>
            </w:pPr>
          </w:p>
        </w:tc>
        <w:tc>
          <w:tcPr>
            <w:tcW w:w="567" w:type="pct"/>
            <w:vMerge w:val="continue"/>
            <w:tcBorders>
              <w:tl2br w:val="nil"/>
              <w:tr2bl w:val="nil"/>
            </w:tcBorders>
            <w:noWrap w:val="0"/>
            <w:vAlign w:val="center"/>
          </w:tcPr>
          <w:p w14:paraId="4D0398E1">
            <w:pPr>
              <w:autoSpaceDE w:val="0"/>
              <w:autoSpaceDN w:val="0"/>
              <w:adjustRightInd w:val="0"/>
              <w:jc w:val="center"/>
              <w:rPr>
                <w:bCs/>
                <w:color w:val="auto"/>
                <w:szCs w:val="21"/>
                <w:highlight w:val="none"/>
              </w:rPr>
            </w:pPr>
          </w:p>
        </w:tc>
        <w:tc>
          <w:tcPr>
            <w:tcW w:w="419" w:type="pct"/>
            <w:vMerge w:val="continue"/>
            <w:tcBorders>
              <w:tl2br w:val="nil"/>
              <w:tr2bl w:val="nil"/>
            </w:tcBorders>
            <w:noWrap w:val="0"/>
            <w:vAlign w:val="center"/>
          </w:tcPr>
          <w:p w14:paraId="255ABA78">
            <w:pPr>
              <w:widowControl/>
              <w:jc w:val="center"/>
              <w:rPr>
                <w:rFonts w:hint="eastAsia" w:eastAsia="宋体"/>
                <w:bCs/>
                <w:color w:val="auto"/>
                <w:szCs w:val="21"/>
                <w:highlight w:val="none"/>
                <w:lang w:val="en-US" w:eastAsia="zh-CN"/>
              </w:rPr>
            </w:pPr>
          </w:p>
        </w:tc>
      </w:tr>
      <w:tr w14:paraId="5FD9D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4" w:type="pct"/>
            <w:tcBorders>
              <w:tl2br w:val="nil"/>
              <w:tr2bl w:val="nil"/>
            </w:tcBorders>
            <w:noWrap w:val="0"/>
            <w:vAlign w:val="center"/>
          </w:tcPr>
          <w:p w14:paraId="3A1CC2E6">
            <w:pPr>
              <w:widowControl/>
              <w:jc w:val="center"/>
              <w:rPr>
                <w:rFonts w:hint="default"/>
                <w:bCs/>
                <w:color w:val="auto"/>
                <w:szCs w:val="21"/>
                <w:highlight w:val="none"/>
                <w:lang w:val="en-US" w:eastAsia="zh-CN"/>
              </w:rPr>
            </w:pPr>
            <w:r>
              <w:rPr>
                <w:rFonts w:hint="eastAsia"/>
                <w:bCs/>
                <w:color w:val="auto"/>
                <w:szCs w:val="21"/>
                <w:highlight w:val="none"/>
                <w:lang w:val="en-US" w:eastAsia="zh-CN"/>
              </w:rPr>
              <w:t>3</w:t>
            </w:r>
          </w:p>
        </w:tc>
        <w:tc>
          <w:tcPr>
            <w:tcW w:w="478" w:type="pct"/>
            <w:vMerge w:val="continue"/>
            <w:tcBorders>
              <w:tl2br w:val="nil"/>
              <w:tr2bl w:val="nil"/>
            </w:tcBorders>
            <w:noWrap w:val="0"/>
            <w:vAlign w:val="center"/>
          </w:tcPr>
          <w:p w14:paraId="58BAE312">
            <w:pPr>
              <w:widowControl/>
              <w:jc w:val="center"/>
              <w:rPr>
                <w:rFonts w:hint="eastAsia"/>
                <w:bCs/>
                <w:color w:val="auto"/>
                <w:szCs w:val="21"/>
                <w:highlight w:val="none"/>
                <w:lang w:val="en-US" w:eastAsia="zh-CN"/>
              </w:rPr>
            </w:pPr>
          </w:p>
        </w:tc>
        <w:tc>
          <w:tcPr>
            <w:tcW w:w="696" w:type="pct"/>
            <w:tcBorders>
              <w:tl2br w:val="nil"/>
              <w:tr2bl w:val="nil"/>
            </w:tcBorders>
            <w:noWrap w:val="0"/>
            <w:vAlign w:val="center"/>
          </w:tcPr>
          <w:p w14:paraId="4425E896">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302575.44</w:t>
            </w:r>
          </w:p>
        </w:tc>
        <w:tc>
          <w:tcPr>
            <w:tcW w:w="756" w:type="pct"/>
            <w:tcBorders>
              <w:tl2br w:val="nil"/>
              <w:tr2bl w:val="nil"/>
            </w:tcBorders>
            <w:noWrap w:val="0"/>
            <w:vAlign w:val="center"/>
          </w:tcPr>
          <w:p w14:paraId="3166427E">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4656259.80</w:t>
            </w:r>
          </w:p>
        </w:tc>
        <w:tc>
          <w:tcPr>
            <w:tcW w:w="445" w:type="pct"/>
            <w:vMerge w:val="continue"/>
            <w:tcBorders>
              <w:tl2br w:val="nil"/>
              <w:tr2bl w:val="nil"/>
            </w:tcBorders>
            <w:noWrap w:val="0"/>
            <w:vAlign w:val="center"/>
          </w:tcPr>
          <w:p w14:paraId="5FA39045">
            <w:pPr>
              <w:widowControl/>
              <w:jc w:val="center"/>
              <w:rPr>
                <w:rFonts w:hint="eastAsia"/>
                <w:bCs/>
                <w:color w:val="auto"/>
                <w:szCs w:val="21"/>
                <w:highlight w:val="none"/>
                <w:lang w:val="en-US" w:eastAsia="zh-CN"/>
              </w:rPr>
            </w:pPr>
          </w:p>
        </w:tc>
        <w:tc>
          <w:tcPr>
            <w:tcW w:w="538" w:type="pct"/>
            <w:vMerge w:val="continue"/>
            <w:tcBorders>
              <w:tl2br w:val="nil"/>
              <w:tr2bl w:val="nil"/>
            </w:tcBorders>
            <w:noWrap w:val="0"/>
            <w:vAlign w:val="center"/>
          </w:tcPr>
          <w:p w14:paraId="0A5C602A">
            <w:pPr>
              <w:widowControl/>
              <w:jc w:val="center"/>
              <w:rPr>
                <w:rFonts w:hint="eastAsia"/>
                <w:bCs/>
                <w:color w:val="auto"/>
                <w:szCs w:val="21"/>
                <w:highlight w:val="none"/>
                <w:lang w:val="en-US" w:eastAsia="zh-CN"/>
              </w:rPr>
            </w:pPr>
          </w:p>
        </w:tc>
        <w:tc>
          <w:tcPr>
            <w:tcW w:w="459" w:type="pct"/>
            <w:vMerge w:val="continue"/>
            <w:tcBorders>
              <w:tl2br w:val="nil"/>
              <w:tr2bl w:val="nil"/>
            </w:tcBorders>
            <w:noWrap w:val="0"/>
            <w:vAlign w:val="center"/>
          </w:tcPr>
          <w:p w14:paraId="1430B4CE">
            <w:pPr>
              <w:widowControl/>
              <w:jc w:val="center"/>
              <w:rPr>
                <w:rFonts w:hint="eastAsia"/>
                <w:bCs/>
                <w:color w:val="auto"/>
                <w:szCs w:val="21"/>
                <w:highlight w:val="none"/>
                <w:lang w:val="en-US" w:eastAsia="zh-CN"/>
              </w:rPr>
            </w:pPr>
          </w:p>
        </w:tc>
        <w:tc>
          <w:tcPr>
            <w:tcW w:w="395" w:type="pct"/>
            <w:vMerge w:val="continue"/>
            <w:tcBorders>
              <w:tl2br w:val="nil"/>
              <w:tr2bl w:val="nil"/>
            </w:tcBorders>
            <w:noWrap w:val="0"/>
            <w:vAlign w:val="center"/>
          </w:tcPr>
          <w:p w14:paraId="4C0521D9">
            <w:pPr>
              <w:widowControl/>
              <w:jc w:val="center"/>
              <w:rPr>
                <w:rFonts w:hint="eastAsia"/>
                <w:bCs/>
                <w:color w:val="auto"/>
                <w:szCs w:val="21"/>
                <w:highlight w:val="none"/>
                <w:lang w:eastAsia="zh-CN"/>
              </w:rPr>
            </w:pPr>
          </w:p>
        </w:tc>
        <w:tc>
          <w:tcPr>
            <w:tcW w:w="567" w:type="pct"/>
            <w:vMerge w:val="continue"/>
            <w:tcBorders>
              <w:tl2br w:val="nil"/>
              <w:tr2bl w:val="nil"/>
            </w:tcBorders>
            <w:noWrap w:val="0"/>
            <w:vAlign w:val="center"/>
          </w:tcPr>
          <w:p w14:paraId="28672BDC">
            <w:pPr>
              <w:autoSpaceDE w:val="0"/>
              <w:autoSpaceDN w:val="0"/>
              <w:adjustRightInd w:val="0"/>
              <w:jc w:val="center"/>
              <w:rPr>
                <w:bCs/>
                <w:color w:val="auto"/>
                <w:szCs w:val="21"/>
                <w:highlight w:val="none"/>
              </w:rPr>
            </w:pPr>
          </w:p>
        </w:tc>
        <w:tc>
          <w:tcPr>
            <w:tcW w:w="419" w:type="pct"/>
            <w:vMerge w:val="continue"/>
            <w:tcBorders>
              <w:tl2br w:val="nil"/>
              <w:tr2bl w:val="nil"/>
            </w:tcBorders>
            <w:noWrap w:val="0"/>
            <w:vAlign w:val="center"/>
          </w:tcPr>
          <w:p w14:paraId="5BCD86C6">
            <w:pPr>
              <w:widowControl/>
              <w:jc w:val="center"/>
              <w:rPr>
                <w:rFonts w:hint="eastAsia" w:eastAsia="宋体"/>
                <w:bCs/>
                <w:color w:val="auto"/>
                <w:szCs w:val="21"/>
                <w:highlight w:val="none"/>
                <w:lang w:val="en-US" w:eastAsia="zh-CN"/>
              </w:rPr>
            </w:pPr>
          </w:p>
        </w:tc>
      </w:tr>
      <w:tr w14:paraId="6A9D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4" w:type="pct"/>
            <w:tcBorders>
              <w:tl2br w:val="nil"/>
              <w:tr2bl w:val="nil"/>
            </w:tcBorders>
            <w:noWrap w:val="0"/>
            <w:vAlign w:val="center"/>
          </w:tcPr>
          <w:p w14:paraId="5D9D1129">
            <w:pPr>
              <w:widowControl/>
              <w:jc w:val="center"/>
              <w:rPr>
                <w:rFonts w:hint="default"/>
                <w:bCs/>
                <w:color w:val="auto"/>
                <w:szCs w:val="21"/>
                <w:highlight w:val="none"/>
                <w:lang w:val="en-US" w:eastAsia="zh-CN"/>
              </w:rPr>
            </w:pPr>
            <w:r>
              <w:rPr>
                <w:rFonts w:hint="eastAsia"/>
                <w:bCs/>
                <w:color w:val="auto"/>
                <w:szCs w:val="21"/>
                <w:highlight w:val="none"/>
                <w:lang w:val="en-US" w:eastAsia="zh-CN"/>
              </w:rPr>
              <w:t>4</w:t>
            </w:r>
          </w:p>
        </w:tc>
        <w:tc>
          <w:tcPr>
            <w:tcW w:w="478" w:type="pct"/>
            <w:vMerge w:val="continue"/>
            <w:tcBorders>
              <w:tl2br w:val="nil"/>
              <w:tr2bl w:val="nil"/>
            </w:tcBorders>
            <w:noWrap w:val="0"/>
            <w:vAlign w:val="center"/>
          </w:tcPr>
          <w:p w14:paraId="7FBD6DE7">
            <w:pPr>
              <w:widowControl/>
              <w:jc w:val="center"/>
              <w:rPr>
                <w:rFonts w:hint="eastAsia"/>
                <w:bCs/>
                <w:color w:val="auto"/>
                <w:szCs w:val="21"/>
                <w:highlight w:val="none"/>
                <w:lang w:val="en-US" w:eastAsia="zh-CN"/>
              </w:rPr>
            </w:pPr>
          </w:p>
        </w:tc>
        <w:tc>
          <w:tcPr>
            <w:tcW w:w="696" w:type="pct"/>
            <w:tcBorders>
              <w:tl2br w:val="nil"/>
              <w:tr2bl w:val="nil"/>
            </w:tcBorders>
            <w:noWrap w:val="0"/>
            <w:vAlign w:val="center"/>
          </w:tcPr>
          <w:p w14:paraId="76EE09BD">
            <w:pPr>
              <w:autoSpaceDE w:val="0"/>
              <w:autoSpaceDN w:val="0"/>
              <w:adjustRightInd w:val="0"/>
              <w:jc w:val="center"/>
              <w:rPr>
                <w:rFonts w:hint="default" w:cs="Times New Roman"/>
                <w:bCs/>
                <w:iCs/>
                <w:color w:val="auto"/>
                <w:sz w:val="21"/>
                <w:szCs w:val="21"/>
                <w:highlight w:val="none"/>
                <w:lang w:val="en-US" w:eastAsia="zh-CN"/>
              </w:rPr>
            </w:pPr>
            <w:r>
              <w:rPr>
                <w:rFonts w:hint="eastAsia"/>
              </w:rPr>
              <w:t>302533.71</w:t>
            </w:r>
          </w:p>
        </w:tc>
        <w:tc>
          <w:tcPr>
            <w:tcW w:w="756" w:type="pct"/>
            <w:tcBorders>
              <w:tl2br w:val="nil"/>
              <w:tr2bl w:val="nil"/>
            </w:tcBorders>
            <w:noWrap w:val="0"/>
            <w:vAlign w:val="center"/>
          </w:tcPr>
          <w:p w14:paraId="35E96D70">
            <w:pPr>
              <w:autoSpaceDE w:val="0"/>
              <w:autoSpaceDN w:val="0"/>
              <w:adjustRightInd w:val="0"/>
              <w:jc w:val="center"/>
              <w:rPr>
                <w:rFonts w:hint="default" w:cs="Times New Roman"/>
                <w:bCs/>
                <w:iCs/>
                <w:color w:val="auto"/>
                <w:sz w:val="21"/>
                <w:szCs w:val="21"/>
                <w:highlight w:val="none"/>
                <w:lang w:val="en-US" w:eastAsia="zh-CN"/>
              </w:rPr>
            </w:pPr>
            <w:r>
              <w:rPr>
                <w:rFonts w:hint="eastAsia"/>
              </w:rPr>
              <w:t>4656213.59</w:t>
            </w:r>
          </w:p>
        </w:tc>
        <w:tc>
          <w:tcPr>
            <w:tcW w:w="445" w:type="pct"/>
            <w:vMerge w:val="continue"/>
            <w:tcBorders>
              <w:tl2br w:val="nil"/>
              <w:tr2bl w:val="nil"/>
            </w:tcBorders>
            <w:noWrap w:val="0"/>
            <w:vAlign w:val="center"/>
          </w:tcPr>
          <w:p w14:paraId="3EB563A9">
            <w:pPr>
              <w:widowControl/>
              <w:jc w:val="center"/>
              <w:rPr>
                <w:rFonts w:hint="eastAsia"/>
                <w:bCs/>
                <w:color w:val="auto"/>
                <w:szCs w:val="21"/>
                <w:highlight w:val="none"/>
                <w:lang w:val="en-US" w:eastAsia="zh-CN"/>
              </w:rPr>
            </w:pPr>
          </w:p>
        </w:tc>
        <w:tc>
          <w:tcPr>
            <w:tcW w:w="538" w:type="pct"/>
            <w:vMerge w:val="continue"/>
            <w:tcBorders>
              <w:tl2br w:val="nil"/>
              <w:tr2bl w:val="nil"/>
            </w:tcBorders>
            <w:noWrap w:val="0"/>
            <w:vAlign w:val="center"/>
          </w:tcPr>
          <w:p w14:paraId="50A5216C">
            <w:pPr>
              <w:widowControl/>
              <w:jc w:val="center"/>
              <w:rPr>
                <w:rFonts w:hint="eastAsia"/>
                <w:bCs/>
                <w:color w:val="auto"/>
                <w:szCs w:val="21"/>
                <w:highlight w:val="none"/>
                <w:lang w:val="en-US" w:eastAsia="zh-CN"/>
              </w:rPr>
            </w:pPr>
          </w:p>
        </w:tc>
        <w:tc>
          <w:tcPr>
            <w:tcW w:w="459" w:type="pct"/>
            <w:vMerge w:val="continue"/>
            <w:tcBorders>
              <w:tl2br w:val="nil"/>
              <w:tr2bl w:val="nil"/>
            </w:tcBorders>
            <w:noWrap w:val="0"/>
            <w:vAlign w:val="center"/>
          </w:tcPr>
          <w:p w14:paraId="4003330F">
            <w:pPr>
              <w:widowControl/>
              <w:jc w:val="center"/>
              <w:rPr>
                <w:rFonts w:hint="eastAsia"/>
                <w:bCs/>
                <w:color w:val="auto"/>
                <w:szCs w:val="21"/>
                <w:highlight w:val="none"/>
                <w:lang w:val="en-US" w:eastAsia="zh-CN"/>
              </w:rPr>
            </w:pPr>
          </w:p>
        </w:tc>
        <w:tc>
          <w:tcPr>
            <w:tcW w:w="395" w:type="pct"/>
            <w:vMerge w:val="continue"/>
            <w:tcBorders>
              <w:tl2br w:val="nil"/>
              <w:tr2bl w:val="nil"/>
            </w:tcBorders>
            <w:noWrap w:val="0"/>
            <w:vAlign w:val="center"/>
          </w:tcPr>
          <w:p w14:paraId="149A879B">
            <w:pPr>
              <w:widowControl/>
              <w:jc w:val="center"/>
              <w:rPr>
                <w:rFonts w:hint="eastAsia"/>
                <w:bCs/>
                <w:color w:val="auto"/>
                <w:szCs w:val="21"/>
                <w:highlight w:val="none"/>
                <w:lang w:eastAsia="zh-CN"/>
              </w:rPr>
            </w:pPr>
          </w:p>
        </w:tc>
        <w:tc>
          <w:tcPr>
            <w:tcW w:w="567" w:type="pct"/>
            <w:vMerge w:val="continue"/>
            <w:tcBorders>
              <w:tl2br w:val="nil"/>
              <w:tr2bl w:val="nil"/>
            </w:tcBorders>
            <w:noWrap w:val="0"/>
            <w:vAlign w:val="center"/>
          </w:tcPr>
          <w:p w14:paraId="24B5C765">
            <w:pPr>
              <w:autoSpaceDE w:val="0"/>
              <w:autoSpaceDN w:val="0"/>
              <w:adjustRightInd w:val="0"/>
              <w:jc w:val="center"/>
              <w:rPr>
                <w:bCs/>
                <w:color w:val="auto"/>
                <w:szCs w:val="21"/>
                <w:highlight w:val="none"/>
              </w:rPr>
            </w:pPr>
          </w:p>
        </w:tc>
        <w:tc>
          <w:tcPr>
            <w:tcW w:w="419" w:type="pct"/>
            <w:vMerge w:val="continue"/>
            <w:tcBorders>
              <w:tl2br w:val="nil"/>
              <w:tr2bl w:val="nil"/>
            </w:tcBorders>
            <w:noWrap w:val="0"/>
            <w:vAlign w:val="center"/>
          </w:tcPr>
          <w:p w14:paraId="502A2198">
            <w:pPr>
              <w:widowControl/>
              <w:jc w:val="center"/>
              <w:rPr>
                <w:rFonts w:hint="eastAsia" w:eastAsia="宋体"/>
                <w:bCs/>
                <w:color w:val="auto"/>
                <w:szCs w:val="21"/>
                <w:highlight w:val="none"/>
                <w:lang w:val="en-US" w:eastAsia="zh-CN"/>
              </w:rPr>
            </w:pPr>
          </w:p>
        </w:tc>
      </w:tr>
      <w:tr w14:paraId="6706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4" w:type="pct"/>
            <w:tcBorders>
              <w:tl2br w:val="nil"/>
              <w:tr2bl w:val="nil"/>
            </w:tcBorders>
            <w:noWrap w:val="0"/>
            <w:vAlign w:val="center"/>
          </w:tcPr>
          <w:p w14:paraId="4D4F25D8">
            <w:pPr>
              <w:widowControl/>
              <w:jc w:val="center"/>
              <w:rPr>
                <w:rFonts w:hint="default"/>
                <w:bCs/>
                <w:color w:val="auto"/>
                <w:szCs w:val="21"/>
                <w:highlight w:val="none"/>
                <w:lang w:val="en-US" w:eastAsia="zh-CN"/>
              </w:rPr>
            </w:pPr>
            <w:r>
              <w:rPr>
                <w:rFonts w:hint="eastAsia"/>
                <w:bCs/>
                <w:color w:val="auto"/>
                <w:szCs w:val="21"/>
                <w:highlight w:val="none"/>
                <w:lang w:val="en-US" w:eastAsia="zh-CN"/>
              </w:rPr>
              <w:t>5</w:t>
            </w:r>
          </w:p>
        </w:tc>
        <w:tc>
          <w:tcPr>
            <w:tcW w:w="478" w:type="pct"/>
            <w:vMerge w:val="continue"/>
            <w:tcBorders>
              <w:tl2br w:val="nil"/>
              <w:tr2bl w:val="nil"/>
            </w:tcBorders>
            <w:noWrap w:val="0"/>
            <w:vAlign w:val="center"/>
          </w:tcPr>
          <w:p w14:paraId="4F5C5AF2">
            <w:pPr>
              <w:widowControl/>
              <w:jc w:val="center"/>
              <w:rPr>
                <w:rFonts w:hint="eastAsia"/>
                <w:bCs/>
                <w:color w:val="auto"/>
                <w:szCs w:val="21"/>
                <w:highlight w:val="none"/>
                <w:lang w:val="en-US" w:eastAsia="zh-CN"/>
              </w:rPr>
            </w:pPr>
          </w:p>
        </w:tc>
        <w:tc>
          <w:tcPr>
            <w:tcW w:w="696" w:type="pct"/>
            <w:tcBorders>
              <w:tl2br w:val="nil"/>
              <w:tr2bl w:val="nil"/>
            </w:tcBorders>
            <w:noWrap w:val="0"/>
            <w:vAlign w:val="center"/>
          </w:tcPr>
          <w:p w14:paraId="217E6D5F">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302603.24</w:t>
            </w:r>
          </w:p>
        </w:tc>
        <w:tc>
          <w:tcPr>
            <w:tcW w:w="756" w:type="pct"/>
            <w:tcBorders>
              <w:tl2br w:val="nil"/>
              <w:tr2bl w:val="nil"/>
            </w:tcBorders>
            <w:noWrap w:val="0"/>
            <w:vAlign w:val="center"/>
          </w:tcPr>
          <w:p w14:paraId="615BAA0B">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4656157.19</w:t>
            </w:r>
          </w:p>
        </w:tc>
        <w:tc>
          <w:tcPr>
            <w:tcW w:w="445" w:type="pct"/>
            <w:vMerge w:val="continue"/>
            <w:tcBorders>
              <w:tl2br w:val="nil"/>
              <w:tr2bl w:val="nil"/>
            </w:tcBorders>
            <w:noWrap w:val="0"/>
            <w:vAlign w:val="center"/>
          </w:tcPr>
          <w:p w14:paraId="68710E2A">
            <w:pPr>
              <w:widowControl/>
              <w:jc w:val="center"/>
              <w:rPr>
                <w:rFonts w:hint="eastAsia"/>
                <w:bCs/>
                <w:color w:val="auto"/>
                <w:szCs w:val="21"/>
                <w:highlight w:val="none"/>
                <w:lang w:val="en-US" w:eastAsia="zh-CN"/>
              </w:rPr>
            </w:pPr>
          </w:p>
        </w:tc>
        <w:tc>
          <w:tcPr>
            <w:tcW w:w="538" w:type="pct"/>
            <w:vMerge w:val="continue"/>
            <w:tcBorders>
              <w:tl2br w:val="nil"/>
              <w:tr2bl w:val="nil"/>
            </w:tcBorders>
            <w:noWrap w:val="0"/>
            <w:vAlign w:val="center"/>
          </w:tcPr>
          <w:p w14:paraId="7D40C7AE">
            <w:pPr>
              <w:widowControl/>
              <w:jc w:val="center"/>
              <w:rPr>
                <w:rFonts w:hint="eastAsia"/>
                <w:bCs/>
                <w:color w:val="auto"/>
                <w:szCs w:val="21"/>
                <w:highlight w:val="none"/>
                <w:lang w:val="en-US" w:eastAsia="zh-CN"/>
              </w:rPr>
            </w:pPr>
          </w:p>
        </w:tc>
        <w:tc>
          <w:tcPr>
            <w:tcW w:w="459" w:type="pct"/>
            <w:vMerge w:val="continue"/>
            <w:tcBorders>
              <w:tl2br w:val="nil"/>
              <w:tr2bl w:val="nil"/>
            </w:tcBorders>
            <w:noWrap w:val="0"/>
            <w:vAlign w:val="center"/>
          </w:tcPr>
          <w:p w14:paraId="5CF85920">
            <w:pPr>
              <w:widowControl/>
              <w:jc w:val="center"/>
              <w:rPr>
                <w:rFonts w:hint="eastAsia"/>
                <w:bCs/>
                <w:color w:val="auto"/>
                <w:szCs w:val="21"/>
                <w:highlight w:val="none"/>
                <w:lang w:val="en-US" w:eastAsia="zh-CN"/>
              </w:rPr>
            </w:pPr>
          </w:p>
        </w:tc>
        <w:tc>
          <w:tcPr>
            <w:tcW w:w="395" w:type="pct"/>
            <w:vMerge w:val="continue"/>
            <w:tcBorders>
              <w:tl2br w:val="nil"/>
              <w:tr2bl w:val="nil"/>
            </w:tcBorders>
            <w:noWrap w:val="0"/>
            <w:vAlign w:val="center"/>
          </w:tcPr>
          <w:p w14:paraId="55E7A07A">
            <w:pPr>
              <w:widowControl/>
              <w:jc w:val="center"/>
              <w:rPr>
                <w:rFonts w:hint="eastAsia"/>
                <w:bCs/>
                <w:color w:val="auto"/>
                <w:szCs w:val="21"/>
                <w:highlight w:val="none"/>
                <w:lang w:eastAsia="zh-CN"/>
              </w:rPr>
            </w:pPr>
          </w:p>
        </w:tc>
        <w:tc>
          <w:tcPr>
            <w:tcW w:w="567" w:type="pct"/>
            <w:vMerge w:val="continue"/>
            <w:tcBorders>
              <w:tl2br w:val="nil"/>
              <w:tr2bl w:val="nil"/>
            </w:tcBorders>
            <w:noWrap w:val="0"/>
            <w:vAlign w:val="center"/>
          </w:tcPr>
          <w:p w14:paraId="338B0C57">
            <w:pPr>
              <w:autoSpaceDE w:val="0"/>
              <w:autoSpaceDN w:val="0"/>
              <w:adjustRightInd w:val="0"/>
              <w:jc w:val="center"/>
              <w:rPr>
                <w:bCs/>
                <w:color w:val="auto"/>
                <w:szCs w:val="21"/>
                <w:highlight w:val="none"/>
              </w:rPr>
            </w:pPr>
          </w:p>
        </w:tc>
        <w:tc>
          <w:tcPr>
            <w:tcW w:w="419" w:type="pct"/>
            <w:vMerge w:val="continue"/>
            <w:tcBorders>
              <w:tl2br w:val="nil"/>
              <w:tr2bl w:val="nil"/>
            </w:tcBorders>
            <w:noWrap w:val="0"/>
            <w:vAlign w:val="center"/>
          </w:tcPr>
          <w:p w14:paraId="60A1680C">
            <w:pPr>
              <w:widowControl/>
              <w:jc w:val="center"/>
              <w:rPr>
                <w:rFonts w:hint="eastAsia" w:eastAsia="宋体"/>
                <w:bCs/>
                <w:color w:val="auto"/>
                <w:szCs w:val="21"/>
                <w:highlight w:val="none"/>
                <w:lang w:val="en-US" w:eastAsia="zh-CN"/>
              </w:rPr>
            </w:pPr>
          </w:p>
        </w:tc>
      </w:tr>
      <w:tr w14:paraId="02AFA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44" w:type="pct"/>
            <w:tcBorders>
              <w:tl2br w:val="nil"/>
              <w:tr2bl w:val="nil"/>
            </w:tcBorders>
            <w:noWrap w:val="0"/>
            <w:vAlign w:val="center"/>
          </w:tcPr>
          <w:p w14:paraId="6D994AA1">
            <w:pPr>
              <w:widowControl/>
              <w:jc w:val="center"/>
              <w:rPr>
                <w:rFonts w:hint="default"/>
                <w:bCs/>
                <w:color w:val="auto"/>
                <w:szCs w:val="21"/>
                <w:highlight w:val="none"/>
                <w:lang w:val="en-US" w:eastAsia="zh-CN"/>
              </w:rPr>
            </w:pPr>
            <w:r>
              <w:rPr>
                <w:rFonts w:hint="eastAsia"/>
                <w:bCs/>
                <w:color w:val="auto"/>
                <w:szCs w:val="21"/>
                <w:highlight w:val="none"/>
                <w:lang w:val="en-US" w:eastAsia="zh-CN"/>
              </w:rPr>
              <w:t>6</w:t>
            </w:r>
          </w:p>
        </w:tc>
        <w:tc>
          <w:tcPr>
            <w:tcW w:w="478" w:type="pct"/>
            <w:vMerge w:val="continue"/>
            <w:tcBorders>
              <w:tl2br w:val="nil"/>
              <w:tr2bl w:val="nil"/>
            </w:tcBorders>
            <w:noWrap w:val="0"/>
            <w:vAlign w:val="center"/>
          </w:tcPr>
          <w:p w14:paraId="78FF8B67">
            <w:pPr>
              <w:widowControl/>
              <w:jc w:val="center"/>
              <w:rPr>
                <w:rFonts w:hint="eastAsia"/>
                <w:bCs/>
                <w:color w:val="auto"/>
                <w:szCs w:val="21"/>
                <w:highlight w:val="none"/>
                <w:lang w:val="en-US" w:eastAsia="zh-CN"/>
              </w:rPr>
            </w:pPr>
          </w:p>
        </w:tc>
        <w:tc>
          <w:tcPr>
            <w:tcW w:w="696" w:type="pct"/>
            <w:tcBorders>
              <w:tl2br w:val="nil"/>
              <w:tr2bl w:val="nil"/>
            </w:tcBorders>
            <w:noWrap w:val="0"/>
            <w:vAlign w:val="center"/>
          </w:tcPr>
          <w:p w14:paraId="3ADD7B44">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302648.16</w:t>
            </w:r>
          </w:p>
        </w:tc>
        <w:tc>
          <w:tcPr>
            <w:tcW w:w="756" w:type="pct"/>
            <w:tcBorders>
              <w:tl2br w:val="nil"/>
              <w:tr2bl w:val="nil"/>
            </w:tcBorders>
            <w:noWrap w:val="0"/>
            <w:vAlign w:val="center"/>
          </w:tcPr>
          <w:p w14:paraId="3B745322">
            <w:pPr>
              <w:autoSpaceDE w:val="0"/>
              <w:autoSpaceDN w:val="0"/>
              <w:adjustRightInd w:val="0"/>
              <w:jc w:val="center"/>
              <w:rPr>
                <w:rFonts w:hint="default" w:cs="Times New Roman"/>
                <w:bCs/>
                <w:iCs/>
                <w:color w:val="auto"/>
                <w:sz w:val="21"/>
                <w:szCs w:val="21"/>
                <w:highlight w:val="none"/>
                <w:lang w:val="en-US" w:eastAsia="zh-CN"/>
              </w:rPr>
            </w:pPr>
            <w:r>
              <w:rPr>
                <w:rFonts w:hint="default" w:cs="Times New Roman"/>
                <w:bCs/>
                <w:iCs/>
                <w:color w:val="auto"/>
                <w:sz w:val="21"/>
                <w:szCs w:val="21"/>
                <w:highlight w:val="none"/>
                <w:lang w:val="en-US" w:eastAsia="zh-CN"/>
              </w:rPr>
              <w:t>4656221.91</w:t>
            </w:r>
          </w:p>
        </w:tc>
        <w:tc>
          <w:tcPr>
            <w:tcW w:w="445" w:type="pct"/>
            <w:vMerge w:val="continue"/>
            <w:tcBorders>
              <w:tl2br w:val="nil"/>
              <w:tr2bl w:val="nil"/>
            </w:tcBorders>
            <w:noWrap w:val="0"/>
            <w:vAlign w:val="center"/>
          </w:tcPr>
          <w:p w14:paraId="7721D2D6">
            <w:pPr>
              <w:widowControl/>
              <w:jc w:val="center"/>
              <w:rPr>
                <w:rFonts w:hint="default"/>
                <w:bCs/>
                <w:color w:val="auto"/>
                <w:szCs w:val="21"/>
                <w:highlight w:val="none"/>
                <w:lang w:val="en-US" w:eastAsia="zh-CN"/>
              </w:rPr>
            </w:pPr>
          </w:p>
        </w:tc>
        <w:tc>
          <w:tcPr>
            <w:tcW w:w="538" w:type="pct"/>
            <w:vMerge w:val="continue"/>
            <w:tcBorders>
              <w:tl2br w:val="nil"/>
              <w:tr2bl w:val="nil"/>
            </w:tcBorders>
            <w:noWrap w:val="0"/>
            <w:vAlign w:val="center"/>
          </w:tcPr>
          <w:p w14:paraId="613CA515">
            <w:pPr>
              <w:widowControl/>
              <w:jc w:val="center"/>
              <w:rPr>
                <w:rFonts w:hint="eastAsia"/>
                <w:bCs/>
                <w:color w:val="auto"/>
                <w:szCs w:val="21"/>
                <w:highlight w:val="none"/>
                <w:lang w:val="en-US" w:eastAsia="zh-CN"/>
              </w:rPr>
            </w:pPr>
          </w:p>
        </w:tc>
        <w:tc>
          <w:tcPr>
            <w:tcW w:w="459" w:type="pct"/>
            <w:vMerge w:val="continue"/>
            <w:tcBorders>
              <w:tl2br w:val="nil"/>
              <w:tr2bl w:val="nil"/>
            </w:tcBorders>
            <w:noWrap w:val="0"/>
            <w:vAlign w:val="center"/>
          </w:tcPr>
          <w:p w14:paraId="05016255">
            <w:pPr>
              <w:widowControl/>
              <w:jc w:val="center"/>
              <w:rPr>
                <w:rFonts w:hint="eastAsia"/>
                <w:bCs/>
                <w:color w:val="auto"/>
                <w:szCs w:val="21"/>
                <w:highlight w:val="none"/>
                <w:lang w:val="en-US" w:eastAsia="zh-CN"/>
              </w:rPr>
            </w:pPr>
          </w:p>
        </w:tc>
        <w:tc>
          <w:tcPr>
            <w:tcW w:w="395" w:type="pct"/>
            <w:vMerge w:val="continue"/>
            <w:tcBorders>
              <w:tl2br w:val="nil"/>
              <w:tr2bl w:val="nil"/>
            </w:tcBorders>
            <w:noWrap w:val="0"/>
            <w:vAlign w:val="center"/>
          </w:tcPr>
          <w:p w14:paraId="4AE0679D">
            <w:pPr>
              <w:widowControl/>
              <w:jc w:val="center"/>
              <w:rPr>
                <w:rFonts w:hint="eastAsia"/>
                <w:bCs/>
                <w:color w:val="auto"/>
                <w:szCs w:val="21"/>
                <w:highlight w:val="none"/>
                <w:lang w:eastAsia="zh-CN"/>
              </w:rPr>
            </w:pPr>
          </w:p>
        </w:tc>
        <w:tc>
          <w:tcPr>
            <w:tcW w:w="567" w:type="pct"/>
            <w:vMerge w:val="continue"/>
            <w:tcBorders>
              <w:tl2br w:val="nil"/>
              <w:tr2bl w:val="nil"/>
            </w:tcBorders>
            <w:noWrap w:val="0"/>
            <w:vAlign w:val="center"/>
          </w:tcPr>
          <w:p w14:paraId="37ADDFF7">
            <w:pPr>
              <w:autoSpaceDE w:val="0"/>
              <w:autoSpaceDN w:val="0"/>
              <w:adjustRightInd w:val="0"/>
              <w:jc w:val="center"/>
              <w:rPr>
                <w:bCs/>
                <w:color w:val="auto"/>
                <w:szCs w:val="21"/>
                <w:highlight w:val="none"/>
              </w:rPr>
            </w:pPr>
          </w:p>
        </w:tc>
        <w:tc>
          <w:tcPr>
            <w:tcW w:w="419" w:type="pct"/>
            <w:vMerge w:val="continue"/>
            <w:tcBorders>
              <w:tl2br w:val="nil"/>
              <w:tr2bl w:val="nil"/>
            </w:tcBorders>
            <w:noWrap w:val="0"/>
            <w:vAlign w:val="center"/>
          </w:tcPr>
          <w:p w14:paraId="1464C15E">
            <w:pPr>
              <w:widowControl/>
              <w:jc w:val="center"/>
              <w:rPr>
                <w:rFonts w:hint="eastAsia" w:eastAsia="宋体"/>
                <w:bCs/>
                <w:color w:val="auto"/>
                <w:szCs w:val="21"/>
                <w:highlight w:val="none"/>
                <w:lang w:val="en-US" w:eastAsia="zh-CN"/>
              </w:rPr>
            </w:pPr>
          </w:p>
        </w:tc>
      </w:tr>
    </w:tbl>
    <w:p w14:paraId="2EF8035A">
      <w:pPr>
        <w:tabs>
          <w:tab w:val="left" w:pos="4425"/>
        </w:tabs>
        <w:jc w:val="both"/>
        <w:rPr>
          <w:rFonts w:hint="default" w:eastAsia="宋体"/>
          <w:b w:val="0"/>
          <w:bCs/>
          <w:color w:val="auto"/>
          <w:szCs w:val="21"/>
          <w:highlight w:val="none"/>
          <w:lang w:val="en-US" w:eastAsia="zh-CN"/>
        </w:rPr>
      </w:pPr>
      <w:r>
        <w:rPr>
          <w:rFonts w:hint="eastAsia"/>
          <w:b w:val="0"/>
          <w:bCs/>
          <w:color w:val="auto"/>
          <w:szCs w:val="21"/>
          <w:highlight w:val="none"/>
          <w:lang w:val="en-US" w:eastAsia="zh-CN"/>
        </w:rPr>
        <w:t>注：本项目无组织面源包括物料堆场装卸、道路运输、皮带输送及选矿车间内未被收集的粉尘，由于本项目物料堆场占厂区面积较大，且各个无组织面源较分散，因此本次环评无组织排放源按整个厂区计算。</w:t>
      </w:r>
    </w:p>
    <w:p w14:paraId="12837286">
      <w:pPr>
        <w:tabs>
          <w:tab w:val="left" w:pos="4425"/>
        </w:tabs>
        <w:spacing w:line="360" w:lineRule="auto"/>
        <w:ind w:firstLine="482"/>
        <w:jc w:val="center"/>
        <w:rPr>
          <w:b/>
          <w:color w:val="auto"/>
          <w:sz w:val="24"/>
          <w:szCs w:val="24"/>
          <w:highlight w:val="none"/>
        </w:rPr>
      </w:pPr>
      <w:r>
        <w:rPr>
          <w:b/>
          <w:color w:val="auto"/>
          <w:sz w:val="24"/>
          <w:szCs w:val="24"/>
          <w:highlight w:val="none"/>
        </w:rPr>
        <w:t>表</w:t>
      </w:r>
      <w:r>
        <w:rPr>
          <w:rFonts w:hint="eastAsia"/>
          <w:b/>
          <w:color w:val="auto"/>
          <w:sz w:val="24"/>
          <w:szCs w:val="24"/>
          <w:highlight w:val="none"/>
          <w:lang w:val="en-US" w:eastAsia="zh-CN"/>
        </w:rPr>
        <w:t>2.4-6</w:t>
      </w:r>
      <w:r>
        <w:rPr>
          <w:b/>
          <w:color w:val="auto"/>
          <w:sz w:val="24"/>
          <w:szCs w:val="24"/>
          <w:highlight w:val="none"/>
        </w:rPr>
        <w:t xml:space="preserve">    评价等级汇总表</w:t>
      </w:r>
    </w:p>
    <w:tbl>
      <w:tblPr>
        <w:tblStyle w:val="297"/>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3"/>
        <w:gridCol w:w="1481"/>
        <w:gridCol w:w="1032"/>
        <w:gridCol w:w="1067"/>
        <w:gridCol w:w="1255"/>
        <w:gridCol w:w="943"/>
        <w:gridCol w:w="737"/>
        <w:gridCol w:w="737"/>
      </w:tblGrid>
      <w:tr w14:paraId="71FF3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1" w:hRule="atLeast"/>
        </w:trPr>
        <w:tc>
          <w:tcPr>
            <w:tcW w:w="736" w:type="pct"/>
            <w:tcBorders>
              <w:tl2br w:val="nil"/>
              <w:tr2bl w:val="nil"/>
            </w:tcBorders>
            <w:noWrap w:val="0"/>
            <w:vAlign w:val="center"/>
          </w:tcPr>
          <w:p w14:paraId="5361115D">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污染源</w:t>
            </w:r>
          </w:p>
          <w:p w14:paraId="5457D4EB">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名称</w:t>
            </w:r>
          </w:p>
        </w:tc>
        <w:tc>
          <w:tcPr>
            <w:tcW w:w="870" w:type="pct"/>
            <w:tcBorders>
              <w:tl2br w:val="nil"/>
              <w:tr2bl w:val="nil"/>
            </w:tcBorders>
            <w:noWrap w:val="0"/>
            <w:vAlign w:val="center"/>
          </w:tcPr>
          <w:p w14:paraId="56872818">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评价因子</w:t>
            </w:r>
          </w:p>
        </w:tc>
        <w:tc>
          <w:tcPr>
            <w:tcW w:w="606" w:type="pct"/>
            <w:tcBorders>
              <w:tl2br w:val="nil"/>
              <w:tr2bl w:val="nil"/>
            </w:tcBorders>
            <w:noWrap w:val="0"/>
            <w:vAlign w:val="center"/>
          </w:tcPr>
          <w:p w14:paraId="211E9A1B">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评价标准</w:t>
            </w:r>
          </w:p>
          <w:p w14:paraId="2D626DCA">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(μg/m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tc>
        <w:tc>
          <w:tcPr>
            <w:tcW w:w="627" w:type="pct"/>
            <w:tcBorders>
              <w:tl2br w:val="nil"/>
              <w:tr2bl w:val="nil"/>
            </w:tcBorders>
            <w:noWrap w:val="0"/>
            <w:vAlign w:val="center"/>
          </w:tcPr>
          <w:p w14:paraId="3C947124">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Cmax</w:t>
            </w:r>
          </w:p>
          <w:p w14:paraId="3CE01243">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(μg/m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w:t>
            </w:r>
          </w:p>
        </w:tc>
        <w:tc>
          <w:tcPr>
            <w:tcW w:w="737" w:type="pct"/>
            <w:tcBorders>
              <w:tl2br w:val="nil"/>
              <w:tr2bl w:val="nil"/>
            </w:tcBorders>
            <w:noWrap w:val="0"/>
            <w:vAlign w:val="center"/>
          </w:tcPr>
          <w:p w14:paraId="227DC9E5">
            <w:pPr>
              <w:pStyle w:val="1505"/>
              <w:jc w:val="center"/>
              <w:rPr>
                <w:rFonts w:hint="default"/>
                <w:color w:val="auto"/>
                <w:highlight w:val="none"/>
              </w:rPr>
            </w:pPr>
            <w:r>
              <w:rPr>
                <w:rFonts w:hint="default"/>
                <w:color w:val="auto"/>
                <w:highlight w:val="none"/>
              </w:rPr>
              <w:t>最大浓度</w:t>
            </w:r>
          </w:p>
          <w:p w14:paraId="09762AFC">
            <w:pPr>
              <w:pStyle w:val="1505"/>
              <w:jc w:val="center"/>
              <w:rPr>
                <w:rFonts w:hint="eastAsia"/>
                <w:color w:val="auto"/>
                <w:highlight w:val="none"/>
                <w:lang w:val="en-US" w:eastAsia="zh-CN"/>
              </w:rPr>
            </w:pPr>
            <w:r>
              <w:rPr>
                <w:rFonts w:hint="default"/>
                <w:color w:val="auto"/>
                <w:highlight w:val="none"/>
              </w:rPr>
              <w:t>出现距离</w:t>
            </w:r>
            <w:r>
              <w:rPr>
                <w:rFonts w:hint="eastAsia" w:eastAsia="宋体"/>
                <w:color w:val="auto"/>
                <w:highlight w:val="none"/>
                <w:lang w:val="en-US" w:eastAsia="zh-CN"/>
              </w:rPr>
              <w:t>m</w:t>
            </w:r>
          </w:p>
        </w:tc>
        <w:tc>
          <w:tcPr>
            <w:tcW w:w="554" w:type="pct"/>
            <w:tcBorders>
              <w:tl2br w:val="nil"/>
              <w:tr2bl w:val="nil"/>
            </w:tcBorders>
            <w:noWrap w:val="0"/>
            <w:vAlign w:val="center"/>
          </w:tcPr>
          <w:p w14:paraId="126F4C4F">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Pmax</w:t>
            </w:r>
          </w:p>
          <w:p w14:paraId="0B9E020F">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p>
        </w:tc>
        <w:tc>
          <w:tcPr>
            <w:tcW w:w="433" w:type="pct"/>
            <w:tcBorders>
              <w:tl2br w:val="nil"/>
              <w:tr2bl w:val="nil"/>
            </w:tcBorders>
            <w:noWrap w:val="0"/>
            <w:vAlign w:val="center"/>
          </w:tcPr>
          <w:p w14:paraId="1A3CF97A">
            <w:pPr>
              <w:pStyle w:val="1505"/>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D10% (m)</w:t>
            </w:r>
          </w:p>
        </w:tc>
        <w:tc>
          <w:tcPr>
            <w:tcW w:w="433" w:type="pct"/>
            <w:tcBorders>
              <w:tl2br w:val="nil"/>
              <w:tr2bl w:val="nil"/>
            </w:tcBorders>
            <w:noWrap w:val="0"/>
            <w:vAlign w:val="center"/>
          </w:tcPr>
          <w:p w14:paraId="22E39E47">
            <w:pPr>
              <w:pStyle w:val="1505"/>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评价等级</w:t>
            </w:r>
          </w:p>
        </w:tc>
      </w:tr>
      <w:tr w14:paraId="5140D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736" w:type="pct"/>
            <w:tcBorders>
              <w:tl2br w:val="nil"/>
              <w:tr2bl w:val="nil"/>
            </w:tcBorders>
            <w:noWrap w:val="0"/>
            <w:vAlign w:val="center"/>
          </w:tcPr>
          <w:p w14:paraId="751D8009">
            <w:pPr>
              <w:widowControl/>
              <w:jc w:val="center"/>
              <w:textAlignment w:val="center"/>
              <w:rPr>
                <w:rFonts w:hint="default" w:ascii="Times New Roman" w:hAnsi="Times New Roman" w:eastAsia="宋体" w:cs="Times New Roman"/>
                <w:color w:val="auto"/>
                <w:highlight w:val="none"/>
                <w:lang w:val="en-US"/>
              </w:rPr>
            </w:pPr>
            <w:r>
              <w:rPr>
                <w:rFonts w:hint="eastAsia"/>
                <w:color w:val="auto"/>
                <w:szCs w:val="21"/>
                <w:highlight w:val="none"/>
                <w:lang w:val="en-US" w:eastAsia="zh-CN"/>
              </w:rPr>
              <w:t>厂区</w:t>
            </w:r>
          </w:p>
        </w:tc>
        <w:tc>
          <w:tcPr>
            <w:tcW w:w="870" w:type="pct"/>
            <w:tcBorders>
              <w:tl2br w:val="nil"/>
              <w:tr2bl w:val="nil"/>
            </w:tcBorders>
            <w:noWrap w:val="0"/>
            <w:vAlign w:val="center"/>
          </w:tcPr>
          <w:p w14:paraId="717BBD19">
            <w:pPr>
              <w:pStyle w:val="1505"/>
              <w:jc w:val="center"/>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颗粒物</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TSP</w:t>
            </w:r>
            <w:r>
              <w:rPr>
                <w:rFonts w:hint="eastAsia" w:ascii="Times New Roman" w:hAnsi="Times New Roman" w:eastAsia="宋体" w:cs="Times New Roman"/>
                <w:color w:val="auto"/>
                <w:highlight w:val="none"/>
                <w:lang w:eastAsia="zh-CN"/>
              </w:rPr>
              <w:t>）</w:t>
            </w:r>
          </w:p>
        </w:tc>
        <w:tc>
          <w:tcPr>
            <w:tcW w:w="606" w:type="pct"/>
            <w:tcBorders>
              <w:tl2br w:val="nil"/>
              <w:tr2bl w:val="nil"/>
            </w:tcBorders>
            <w:noWrap w:val="0"/>
            <w:vAlign w:val="center"/>
          </w:tcPr>
          <w:p w14:paraId="18F5D8DC">
            <w:pPr>
              <w:pStyle w:val="1505"/>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900</w:t>
            </w:r>
          </w:p>
        </w:tc>
        <w:tc>
          <w:tcPr>
            <w:tcW w:w="627" w:type="pct"/>
            <w:tcBorders>
              <w:tl2br w:val="nil"/>
              <w:tr2bl w:val="nil"/>
            </w:tcBorders>
            <w:noWrap w:val="0"/>
            <w:vAlign w:val="center"/>
          </w:tcPr>
          <w:p w14:paraId="5EDFEA9A">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59.7</w:t>
            </w:r>
          </w:p>
        </w:tc>
        <w:tc>
          <w:tcPr>
            <w:tcW w:w="737" w:type="pct"/>
            <w:tcBorders>
              <w:tl2br w:val="nil"/>
              <w:tr2bl w:val="nil"/>
            </w:tcBorders>
            <w:noWrap w:val="0"/>
            <w:vAlign w:val="center"/>
          </w:tcPr>
          <w:p w14:paraId="64672703">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141</w:t>
            </w:r>
          </w:p>
        </w:tc>
        <w:tc>
          <w:tcPr>
            <w:tcW w:w="554" w:type="pct"/>
            <w:tcBorders>
              <w:tl2br w:val="nil"/>
              <w:tr2bl w:val="nil"/>
            </w:tcBorders>
            <w:noWrap w:val="0"/>
            <w:vAlign w:val="center"/>
          </w:tcPr>
          <w:p w14:paraId="4AE58062">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6.64</w:t>
            </w:r>
          </w:p>
        </w:tc>
        <w:tc>
          <w:tcPr>
            <w:tcW w:w="433" w:type="pct"/>
            <w:tcBorders>
              <w:tl2br w:val="nil"/>
              <w:tr2bl w:val="nil"/>
            </w:tcBorders>
            <w:noWrap w:val="0"/>
            <w:vAlign w:val="center"/>
          </w:tcPr>
          <w:p w14:paraId="2D92FB32">
            <w:pPr>
              <w:pStyle w:val="1505"/>
              <w:jc w:val="center"/>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w:t>
            </w:r>
          </w:p>
        </w:tc>
        <w:tc>
          <w:tcPr>
            <w:tcW w:w="433" w:type="pct"/>
            <w:tcBorders>
              <w:tl2br w:val="nil"/>
              <w:tr2bl w:val="nil"/>
            </w:tcBorders>
            <w:noWrap w:val="0"/>
            <w:vAlign w:val="center"/>
          </w:tcPr>
          <w:p w14:paraId="5B30056C">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二级</w:t>
            </w:r>
          </w:p>
        </w:tc>
      </w:tr>
      <w:tr w14:paraId="479C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736" w:type="pct"/>
            <w:tcBorders>
              <w:tl2br w:val="nil"/>
              <w:tr2bl w:val="nil"/>
            </w:tcBorders>
            <w:noWrap w:val="0"/>
            <w:vAlign w:val="center"/>
          </w:tcPr>
          <w:p w14:paraId="5C36DFA2">
            <w:pPr>
              <w:widowControl/>
              <w:jc w:val="center"/>
              <w:textAlignment w:val="center"/>
              <w:rPr>
                <w:rFonts w:hint="default"/>
                <w:color w:val="auto"/>
                <w:szCs w:val="21"/>
                <w:highlight w:val="none"/>
                <w:lang w:val="en-US" w:eastAsia="zh-CN"/>
              </w:rPr>
            </w:pPr>
            <w:r>
              <w:rPr>
                <w:rFonts w:hint="eastAsia"/>
                <w:color w:val="auto"/>
                <w:szCs w:val="21"/>
                <w:highlight w:val="none"/>
                <w:lang w:val="en-US" w:eastAsia="zh-CN"/>
              </w:rPr>
              <w:t>DA001</w:t>
            </w:r>
          </w:p>
        </w:tc>
        <w:tc>
          <w:tcPr>
            <w:tcW w:w="870" w:type="pct"/>
            <w:tcBorders>
              <w:tl2br w:val="nil"/>
              <w:tr2bl w:val="nil"/>
            </w:tcBorders>
            <w:noWrap w:val="0"/>
            <w:vAlign w:val="center"/>
          </w:tcPr>
          <w:p w14:paraId="3CA62372">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颗粒物（PM</w:t>
            </w:r>
            <w:r>
              <w:rPr>
                <w:rFonts w:hint="eastAsia" w:eastAsia="宋体" w:cs="Times New Roman"/>
                <w:color w:val="auto"/>
                <w:highlight w:val="none"/>
                <w:vertAlign w:val="subscript"/>
                <w:lang w:val="en-US" w:eastAsia="zh-CN"/>
              </w:rPr>
              <w:t>10</w:t>
            </w:r>
            <w:r>
              <w:rPr>
                <w:rFonts w:hint="eastAsia" w:eastAsia="宋体" w:cs="Times New Roman"/>
                <w:color w:val="auto"/>
                <w:highlight w:val="none"/>
                <w:lang w:val="en-US" w:eastAsia="zh-CN"/>
              </w:rPr>
              <w:t>）</w:t>
            </w:r>
          </w:p>
        </w:tc>
        <w:tc>
          <w:tcPr>
            <w:tcW w:w="606" w:type="pct"/>
            <w:tcBorders>
              <w:tl2br w:val="nil"/>
              <w:tr2bl w:val="nil"/>
            </w:tcBorders>
            <w:noWrap w:val="0"/>
            <w:vAlign w:val="center"/>
          </w:tcPr>
          <w:p w14:paraId="248956E3">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450</w:t>
            </w:r>
          </w:p>
        </w:tc>
        <w:tc>
          <w:tcPr>
            <w:tcW w:w="627" w:type="pct"/>
            <w:tcBorders>
              <w:tl2br w:val="nil"/>
              <w:tr2bl w:val="nil"/>
            </w:tcBorders>
            <w:noWrap w:val="0"/>
            <w:vAlign w:val="center"/>
          </w:tcPr>
          <w:p w14:paraId="1BD6E6C2">
            <w:pPr>
              <w:pStyle w:val="1505"/>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1.23</w:t>
            </w:r>
          </w:p>
        </w:tc>
        <w:tc>
          <w:tcPr>
            <w:tcW w:w="737" w:type="pct"/>
            <w:tcBorders>
              <w:tl2br w:val="nil"/>
              <w:tr2bl w:val="nil"/>
            </w:tcBorders>
            <w:noWrap w:val="0"/>
            <w:vAlign w:val="center"/>
          </w:tcPr>
          <w:p w14:paraId="5ED0BA22">
            <w:pPr>
              <w:pStyle w:val="1505"/>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213</w:t>
            </w:r>
          </w:p>
        </w:tc>
        <w:tc>
          <w:tcPr>
            <w:tcW w:w="554" w:type="pct"/>
            <w:tcBorders>
              <w:tl2br w:val="nil"/>
              <w:tr2bl w:val="nil"/>
            </w:tcBorders>
            <w:noWrap w:val="0"/>
            <w:vAlign w:val="center"/>
          </w:tcPr>
          <w:p w14:paraId="286900B0">
            <w:pPr>
              <w:pStyle w:val="1505"/>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0</w:t>
            </w:r>
          </w:p>
        </w:tc>
        <w:tc>
          <w:tcPr>
            <w:tcW w:w="433" w:type="pct"/>
            <w:tcBorders>
              <w:tl2br w:val="nil"/>
              <w:tr2bl w:val="nil"/>
            </w:tcBorders>
            <w:noWrap w:val="0"/>
            <w:vAlign w:val="center"/>
          </w:tcPr>
          <w:p w14:paraId="5C646D0A">
            <w:pPr>
              <w:pStyle w:val="1505"/>
              <w:jc w:val="center"/>
              <w:rPr>
                <w:rFonts w:hint="default" w:ascii="Times New Roman" w:hAnsi="Times New Roman" w:eastAsia="宋体" w:cs="Times New Roman"/>
                <w:color w:val="auto"/>
                <w:highlight w:val="none"/>
                <w:lang w:val="en-US" w:eastAsia="zh-CN"/>
              </w:rPr>
            </w:pPr>
            <w:r>
              <w:rPr>
                <w:rFonts w:hint="eastAsia" w:eastAsia="宋体" w:cs="Times New Roman"/>
                <w:color w:val="auto"/>
                <w:highlight w:val="none"/>
                <w:lang w:val="en-US" w:eastAsia="zh-CN"/>
              </w:rPr>
              <w:t>-</w:t>
            </w:r>
          </w:p>
        </w:tc>
        <w:tc>
          <w:tcPr>
            <w:tcW w:w="433" w:type="pct"/>
            <w:tcBorders>
              <w:tl2br w:val="nil"/>
              <w:tr2bl w:val="nil"/>
            </w:tcBorders>
            <w:noWrap w:val="0"/>
            <w:vAlign w:val="center"/>
          </w:tcPr>
          <w:p w14:paraId="777DCA7F">
            <w:pPr>
              <w:pStyle w:val="1505"/>
              <w:jc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三级</w:t>
            </w:r>
          </w:p>
        </w:tc>
      </w:tr>
    </w:tbl>
    <w:p w14:paraId="1AE488FA">
      <w:pPr>
        <w:pStyle w:val="1506"/>
        <w:keepNext w:val="0"/>
        <w:keepLines w:val="0"/>
        <w:pageBreakBefore w:val="0"/>
        <w:widowControl/>
        <w:kinsoku/>
        <w:wordWrap/>
        <w:overflowPunct/>
        <w:topLinePunct w:val="0"/>
        <w:autoSpaceDE/>
        <w:autoSpaceDN/>
        <w:bidi w:val="0"/>
        <w:adjustRightInd/>
        <w:snapToGrid w:val="0"/>
        <w:spacing w:after="0"/>
        <w:textAlignment w:val="auto"/>
        <w:rPr>
          <w:color w:val="auto"/>
          <w:sz w:val="24"/>
          <w:highlight w:val="none"/>
        </w:rPr>
      </w:pPr>
      <w:r>
        <w:rPr>
          <w:rFonts w:hint="eastAsia" w:eastAsia="宋体"/>
          <w:bCs/>
          <w:color w:val="auto"/>
          <w:sz w:val="24"/>
          <w:highlight w:val="none"/>
          <w:lang w:val="en-US" w:eastAsia="zh-CN"/>
        </w:rPr>
        <w:t>由上表可知</w:t>
      </w:r>
      <w:r>
        <w:rPr>
          <w:bCs/>
          <w:color w:val="auto"/>
          <w:sz w:val="24"/>
          <w:highlight w:val="none"/>
        </w:rPr>
        <w:t>，</w:t>
      </w:r>
      <w:r>
        <w:rPr>
          <w:rFonts w:hint="eastAsia" w:ascii="Times New Roman" w:hAnsi="宋体" w:eastAsia="宋体" w:cs="Times New Roman"/>
          <w:bCs/>
          <w:snapToGrid/>
          <w:color w:val="auto"/>
          <w:szCs w:val="24"/>
          <w:highlight w:val="none"/>
        </w:rPr>
        <w:t>本项目P</w:t>
      </w:r>
      <w:r>
        <w:rPr>
          <w:rFonts w:hint="eastAsia" w:ascii="Times New Roman" w:hAnsi="宋体" w:eastAsia="宋体" w:cs="Times New Roman"/>
          <w:bCs/>
          <w:snapToGrid/>
          <w:color w:val="auto"/>
          <w:szCs w:val="24"/>
          <w:highlight w:val="none"/>
          <w:vertAlign w:val="subscript"/>
        </w:rPr>
        <w:t>max</w:t>
      </w:r>
      <w:r>
        <w:rPr>
          <w:rFonts w:hint="eastAsia" w:ascii="Times New Roman" w:hAnsi="宋体" w:eastAsia="宋体" w:cs="Times New Roman"/>
          <w:bCs/>
          <w:snapToGrid/>
          <w:color w:val="auto"/>
          <w:szCs w:val="24"/>
          <w:highlight w:val="none"/>
        </w:rPr>
        <w:t>最大值出现</w:t>
      </w:r>
      <w:r>
        <w:rPr>
          <w:rFonts w:hint="eastAsia" w:hAnsi="宋体" w:eastAsia="宋体" w:cs="Times New Roman"/>
          <w:bCs/>
          <w:snapToGrid/>
          <w:color w:val="auto"/>
          <w:szCs w:val="24"/>
          <w:highlight w:val="none"/>
          <w:lang w:val="en-US" w:eastAsia="zh-CN"/>
        </w:rPr>
        <w:t>在厂区</w:t>
      </w:r>
      <w:r>
        <w:rPr>
          <w:rFonts w:hint="eastAsia" w:ascii="Times New Roman" w:hAnsi="宋体" w:eastAsia="宋体" w:cs="Times New Roman"/>
          <w:bCs/>
          <w:snapToGrid/>
          <w:color w:val="auto"/>
          <w:szCs w:val="24"/>
          <w:highlight w:val="none"/>
        </w:rPr>
        <w:t>无组织排放的</w:t>
      </w:r>
      <w:r>
        <w:rPr>
          <w:rFonts w:hint="eastAsia" w:ascii="Times New Roman" w:hAnsi="宋体" w:eastAsia="宋体" w:cs="Times New Roman"/>
          <w:bCs/>
          <w:snapToGrid/>
          <w:color w:val="auto"/>
          <w:szCs w:val="24"/>
          <w:highlight w:val="none"/>
          <w:lang w:val="en-US" w:eastAsia="zh-CN"/>
        </w:rPr>
        <w:t>颗粒物</w:t>
      </w:r>
      <w:r>
        <w:rPr>
          <w:rFonts w:hint="eastAsia" w:ascii="Times New Roman" w:hAnsi="宋体" w:eastAsia="宋体" w:cs="Times New Roman"/>
          <w:bCs/>
          <w:snapToGrid/>
          <w:color w:val="auto"/>
          <w:szCs w:val="24"/>
          <w:highlight w:val="none"/>
        </w:rPr>
        <w:t>，Pmax值为</w:t>
      </w:r>
      <w:r>
        <w:rPr>
          <w:rFonts w:hint="eastAsia" w:hAnsi="宋体" w:eastAsia="宋体" w:cs="Times New Roman"/>
          <w:bCs/>
          <w:snapToGrid/>
          <w:color w:val="auto"/>
          <w:szCs w:val="24"/>
          <w:highlight w:val="none"/>
          <w:lang w:val="en-US" w:eastAsia="zh-CN"/>
        </w:rPr>
        <w:t>6.64</w:t>
      </w:r>
      <w:r>
        <w:rPr>
          <w:rFonts w:hint="eastAsia" w:ascii="Times New Roman" w:hAnsi="宋体" w:eastAsia="宋体" w:cs="Times New Roman"/>
          <w:bCs/>
          <w:snapToGrid/>
          <w:color w:val="auto"/>
          <w:szCs w:val="24"/>
          <w:highlight w:val="none"/>
        </w:rPr>
        <w:t>%，C</w:t>
      </w:r>
      <w:r>
        <w:rPr>
          <w:rFonts w:hint="eastAsia" w:ascii="Times New Roman" w:hAnsi="宋体" w:eastAsia="宋体" w:cs="Times New Roman"/>
          <w:bCs/>
          <w:snapToGrid/>
          <w:color w:val="auto"/>
          <w:szCs w:val="24"/>
          <w:highlight w:val="none"/>
          <w:vertAlign w:val="subscript"/>
        </w:rPr>
        <w:t>max</w:t>
      </w:r>
      <w:r>
        <w:rPr>
          <w:rFonts w:hint="eastAsia" w:ascii="Times New Roman" w:hAnsi="宋体" w:eastAsia="宋体" w:cs="Times New Roman"/>
          <w:bCs/>
          <w:snapToGrid/>
          <w:color w:val="auto"/>
          <w:szCs w:val="24"/>
          <w:highlight w:val="none"/>
        </w:rPr>
        <w:t>为</w:t>
      </w:r>
      <w:r>
        <w:rPr>
          <w:rFonts w:hint="eastAsia" w:hAnsi="宋体" w:eastAsia="宋体" w:cs="Times New Roman"/>
          <w:bCs/>
          <w:snapToGrid/>
          <w:color w:val="auto"/>
          <w:szCs w:val="24"/>
          <w:highlight w:val="none"/>
          <w:lang w:val="en-US" w:eastAsia="zh-CN"/>
        </w:rPr>
        <w:t>59.7</w:t>
      </w:r>
      <w:r>
        <w:rPr>
          <w:rFonts w:hint="default" w:ascii="Times New Roman" w:hAnsi="Times New Roman" w:eastAsia="宋体" w:cs="Times New Roman"/>
          <w:color w:val="auto"/>
          <w:highlight w:val="none"/>
        </w:rPr>
        <w:t>μ</w:t>
      </w:r>
      <w:r>
        <w:rPr>
          <w:rFonts w:hint="eastAsia" w:ascii="Times New Roman" w:hAnsi="宋体" w:eastAsia="宋体" w:cs="Times New Roman"/>
          <w:bCs/>
          <w:snapToGrid/>
          <w:color w:val="auto"/>
          <w:szCs w:val="24"/>
          <w:highlight w:val="none"/>
        </w:rPr>
        <w:t>g/m</w:t>
      </w:r>
      <w:r>
        <w:rPr>
          <w:rFonts w:hint="eastAsia" w:ascii="Times New Roman" w:hAnsi="宋体" w:eastAsia="宋体" w:cs="Times New Roman"/>
          <w:bCs/>
          <w:snapToGrid/>
          <w:color w:val="auto"/>
          <w:szCs w:val="24"/>
          <w:highlight w:val="none"/>
          <w:vertAlign w:val="superscript"/>
        </w:rPr>
        <w:t>3</w:t>
      </w:r>
      <w:r>
        <w:rPr>
          <w:rFonts w:hint="eastAsia" w:ascii="Times New Roman" w:hAnsi="宋体" w:eastAsia="宋体" w:cs="Times New Roman"/>
          <w:bCs/>
          <w:snapToGrid/>
          <w:color w:val="auto"/>
          <w:szCs w:val="24"/>
          <w:highlight w:val="none"/>
        </w:rPr>
        <w:t>，根据《环境影响评价技术导则大气环境》(HJ2.2-2018)分级判据，确定本项目大气环境影响评价工作等级为二级。</w:t>
      </w:r>
    </w:p>
    <w:p w14:paraId="14FB4893">
      <w:pPr>
        <w:spacing w:line="360" w:lineRule="auto"/>
        <w:ind w:firstLine="480" w:firstLineChars="200"/>
        <w:rPr>
          <w:rFonts w:hint="eastAsia" w:eastAsia="宋体"/>
          <w:color w:val="auto"/>
          <w:sz w:val="24"/>
          <w:highlight w:val="none"/>
          <w:lang w:eastAsia="zh-CN"/>
        </w:rPr>
      </w:pPr>
      <w:r>
        <w:rPr>
          <w:rFonts w:hint="eastAsia"/>
          <w:color w:val="auto"/>
          <w:sz w:val="24"/>
          <w:highlight w:val="none"/>
          <w:lang w:eastAsia="zh-CN"/>
        </w:rPr>
        <w:t>（</w:t>
      </w:r>
      <w:r>
        <w:rPr>
          <w:rFonts w:hint="eastAsia"/>
          <w:color w:val="auto"/>
          <w:sz w:val="24"/>
          <w:highlight w:val="none"/>
          <w:lang w:val="en-US" w:eastAsia="zh-CN"/>
        </w:rPr>
        <w:t>2</w:t>
      </w:r>
      <w:r>
        <w:rPr>
          <w:rFonts w:hint="eastAsia"/>
          <w:color w:val="auto"/>
          <w:sz w:val="24"/>
          <w:highlight w:val="none"/>
          <w:lang w:eastAsia="zh-CN"/>
        </w:rPr>
        <w:t>）评价范围</w:t>
      </w:r>
    </w:p>
    <w:p w14:paraId="687E1EF8">
      <w:pPr>
        <w:spacing w:line="360" w:lineRule="auto"/>
        <w:ind w:firstLine="480" w:firstLineChars="200"/>
        <w:rPr>
          <w:rFonts w:hint="eastAsia"/>
          <w:color w:val="auto"/>
          <w:sz w:val="24"/>
          <w:highlight w:val="none"/>
        </w:rPr>
      </w:pPr>
      <w:r>
        <w:rPr>
          <w:rFonts w:hint="eastAsia"/>
          <w:color w:val="auto"/>
          <w:sz w:val="24"/>
          <w:highlight w:val="none"/>
        </w:rPr>
        <w:t>由估算模型计算结果可知，估算结果</w:t>
      </w:r>
      <w:r>
        <w:rPr>
          <w:color w:val="auto"/>
          <w:sz w:val="24"/>
          <w:highlight w:val="none"/>
        </w:rPr>
        <w:t>D10%=0</w:t>
      </w:r>
      <w:r>
        <w:rPr>
          <w:rFonts w:hint="eastAsia"/>
          <w:color w:val="auto"/>
          <w:sz w:val="24"/>
          <w:highlight w:val="none"/>
        </w:rPr>
        <w:t>。根据《环境影响评价技术导则大气环境》（</w:t>
      </w:r>
      <w:r>
        <w:rPr>
          <w:color w:val="auto"/>
          <w:sz w:val="24"/>
          <w:highlight w:val="none"/>
        </w:rPr>
        <w:t>HJ2.2-2018</w:t>
      </w:r>
      <w:r>
        <w:rPr>
          <w:rFonts w:hint="eastAsia"/>
          <w:color w:val="auto"/>
          <w:sz w:val="24"/>
          <w:highlight w:val="none"/>
        </w:rPr>
        <w:t>）</w:t>
      </w:r>
      <w:r>
        <w:rPr>
          <w:color w:val="auto"/>
          <w:sz w:val="24"/>
          <w:highlight w:val="none"/>
        </w:rPr>
        <w:t>5.4</w:t>
      </w:r>
      <w:r>
        <w:rPr>
          <w:rFonts w:hint="eastAsia"/>
          <w:color w:val="auto"/>
          <w:sz w:val="24"/>
          <w:highlight w:val="none"/>
        </w:rPr>
        <w:t>条规定，二级评价项目大气环境影响评价范围边长取</w:t>
      </w:r>
      <w:r>
        <w:rPr>
          <w:color w:val="auto"/>
          <w:sz w:val="24"/>
          <w:highlight w:val="none"/>
        </w:rPr>
        <w:t>5km</w:t>
      </w:r>
      <w:r>
        <w:rPr>
          <w:rFonts w:hint="eastAsia"/>
          <w:color w:val="auto"/>
          <w:sz w:val="24"/>
          <w:highlight w:val="none"/>
        </w:rPr>
        <w:t>。因此，本项目以项目厂址为中心区域，大气环境影响评价范围为边长</w:t>
      </w:r>
      <w:r>
        <w:rPr>
          <w:color w:val="auto"/>
          <w:sz w:val="24"/>
          <w:highlight w:val="none"/>
        </w:rPr>
        <w:t>5km</w:t>
      </w:r>
      <w:r>
        <w:rPr>
          <w:rFonts w:hint="eastAsia"/>
          <w:color w:val="auto"/>
          <w:sz w:val="24"/>
          <w:highlight w:val="none"/>
        </w:rPr>
        <w:t>的矩形区域。</w:t>
      </w:r>
    </w:p>
    <w:p w14:paraId="4C078F62">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2.4.1.2地表水环境影响评价工作等级</w:t>
      </w:r>
    </w:p>
    <w:p w14:paraId="741E9FA3">
      <w:pPr>
        <w:spacing w:line="360" w:lineRule="auto"/>
        <w:ind w:firstLine="480" w:firstLineChars="200"/>
        <w:rPr>
          <w:color w:val="auto"/>
          <w:sz w:val="24"/>
        </w:rPr>
      </w:pPr>
      <w:r>
        <w:rPr>
          <w:color w:val="auto"/>
          <w:sz w:val="24"/>
        </w:rPr>
        <w:t>根据工程的特点及污染物排放状况的分析，</w:t>
      </w:r>
      <w:r>
        <w:rPr>
          <w:rFonts w:hint="eastAsia"/>
          <w:color w:val="auto"/>
          <w:sz w:val="24"/>
          <w:lang w:val="en-US" w:eastAsia="zh-CN"/>
        </w:rPr>
        <w:t>生产废水全部回用于生产工序，生活污水</w:t>
      </w:r>
      <w:r>
        <w:rPr>
          <w:color w:val="auto"/>
          <w:sz w:val="24"/>
        </w:rPr>
        <w:t>排入</w:t>
      </w:r>
      <w:r>
        <w:rPr>
          <w:rFonts w:hint="eastAsia"/>
          <w:color w:val="auto"/>
          <w:sz w:val="24"/>
          <w:lang w:val="en-US" w:eastAsia="zh-CN"/>
        </w:rPr>
        <w:t>现有</w:t>
      </w:r>
      <w:r>
        <w:rPr>
          <w:color w:val="auto"/>
          <w:sz w:val="24"/>
        </w:rPr>
        <w:t>旱厕定期清掏</w:t>
      </w:r>
      <w:r>
        <w:rPr>
          <w:rFonts w:hint="eastAsia"/>
          <w:color w:val="auto"/>
          <w:sz w:val="24"/>
        </w:rPr>
        <w:t>，均</w:t>
      </w:r>
      <w:r>
        <w:rPr>
          <w:color w:val="auto"/>
          <w:sz w:val="24"/>
        </w:rPr>
        <w:t>不排入地表水体。根据《环境影响评价技术导则 地表水环境》（HJ2.3-2018）规定，确定地表水环境评价等级为</w:t>
      </w:r>
      <w:r>
        <w:rPr>
          <w:b/>
          <w:bCs/>
          <w:color w:val="auto"/>
          <w:sz w:val="24"/>
        </w:rPr>
        <w:t>三级B</w:t>
      </w:r>
      <w:r>
        <w:rPr>
          <w:color w:val="auto"/>
          <w:sz w:val="24"/>
        </w:rPr>
        <w:t>。</w:t>
      </w:r>
    </w:p>
    <w:p w14:paraId="3659EAB6">
      <w:pPr>
        <w:spacing w:line="360" w:lineRule="auto"/>
        <w:ind w:firstLine="480" w:firstLineChars="200"/>
        <w:rPr>
          <w:color w:val="auto"/>
          <w:sz w:val="24"/>
        </w:rPr>
      </w:pPr>
      <w:r>
        <w:rPr>
          <w:rFonts w:hint="eastAsia"/>
          <w:color w:val="auto"/>
          <w:sz w:val="24"/>
          <w:lang w:val="en-US" w:eastAsia="zh-CN"/>
        </w:rPr>
        <w:t>水污染型三级</w:t>
      </w:r>
      <w:r>
        <w:rPr>
          <w:rFonts w:hint="default"/>
          <w:color w:val="auto"/>
          <w:sz w:val="24"/>
          <w:lang w:val="en-US" w:eastAsia="zh-CN"/>
        </w:rPr>
        <w:t>B</w:t>
      </w:r>
      <w:r>
        <w:rPr>
          <w:rFonts w:hint="eastAsia"/>
          <w:color w:val="auto"/>
          <w:sz w:val="24"/>
          <w:lang w:val="en-US" w:eastAsia="zh-CN"/>
        </w:rPr>
        <w:t>评价可不进行水环境影响预测，仅对水污染控制和水环境影响减缓措施有效性进行评价，并说明生产废水处理设施的环境可行性以及生产废水回用可行性评价。</w:t>
      </w:r>
    </w:p>
    <w:p w14:paraId="4FCD5F5C">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2.4.1.3地下水环境影响评价等级</w:t>
      </w:r>
    </w:p>
    <w:p w14:paraId="66B14308">
      <w:pPr>
        <w:autoSpaceDE w:val="0"/>
        <w:autoSpaceDN w:val="0"/>
        <w:spacing w:line="360" w:lineRule="auto"/>
        <w:textAlignment w:val="bottom"/>
        <w:rPr>
          <w:rFonts w:ascii="Times New Roman" w:hAnsi="Times New Roman"/>
          <w:b/>
          <w:bCs/>
          <w:color w:val="000000" w:themeColor="text1"/>
          <w:sz w:val="24"/>
          <w14:textFill>
            <w14:solidFill>
              <w14:schemeClr w14:val="tx1"/>
            </w14:solidFill>
          </w14:textFill>
        </w:rPr>
      </w:pPr>
      <w:r>
        <w:rPr>
          <w:rFonts w:hint="eastAsia"/>
          <w:b/>
          <w:bCs/>
          <w:color w:val="000000" w:themeColor="text1"/>
          <w:sz w:val="24"/>
          <w:lang w:val="en-US" w:eastAsia="zh-CN"/>
          <w14:textFill>
            <w14:solidFill>
              <w14:schemeClr w14:val="tx1"/>
            </w14:solidFill>
          </w14:textFill>
        </w:rPr>
        <w:t>1、</w:t>
      </w:r>
      <w:r>
        <w:rPr>
          <w:rFonts w:hint="eastAsia" w:ascii="Times New Roman" w:hAnsi="Times New Roman"/>
          <w:b/>
          <w:bCs/>
          <w:color w:val="000000" w:themeColor="text1"/>
          <w:sz w:val="24"/>
          <w14:textFill>
            <w14:solidFill>
              <w14:schemeClr w14:val="tx1"/>
            </w14:solidFill>
          </w14:textFill>
        </w:rPr>
        <w:t>划分依据</w:t>
      </w:r>
    </w:p>
    <w:p w14:paraId="281C43A2">
      <w:pPr>
        <w:autoSpaceDE w:val="0"/>
        <w:autoSpaceDN w:val="0"/>
        <w:spacing w:line="360" w:lineRule="auto"/>
        <w:ind w:firstLine="480" w:firstLineChars="200"/>
        <w:textAlignment w:val="bottom"/>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根据《环境影响评价技术导则—地下水环境》（HJ610-2016），地下水评价工作等级的划分应依据建设项目行业分类和地下水环境敏感程度分级进行判定。</w:t>
      </w:r>
      <w:r>
        <w:rPr>
          <w:rFonts w:hint="eastAsia" w:ascii="Times New Roman" w:hAnsi="Times New Roman"/>
          <w:color w:val="000000" w:themeColor="text1"/>
          <w:sz w:val="24"/>
          <w14:textFill>
            <w14:solidFill>
              <w14:schemeClr w14:val="tx1"/>
            </w14:solidFill>
          </w14:textFill>
        </w:rPr>
        <w:t>本项目地下水环境影响评价项目类别为</w:t>
      </w:r>
      <w:r>
        <w:rPr>
          <w:rFonts w:hint="eastAsia"/>
          <w:color w:val="000000" w:themeColor="text1"/>
          <w:sz w:val="24"/>
          <w:lang w:val="en-US" w:eastAsia="zh-CN"/>
          <w14:textFill>
            <w14:solidFill>
              <w14:schemeClr w14:val="tx1"/>
            </w14:solidFill>
          </w14:textFill>
        </w:rPr>
        <w:t>Ⅱ</w:t>
      </w:r>
      <w:r>
        <w:rPr>
          <w:rFonts w:hint="eastAsia" w:ascii="Times New Roman" w:hAnsi="Times New Roman"/>
          <w:color w:val="000000" w:themeColor="text1"/>
          <w:sz w:val="24"/>
          <w14:textFill>
            <w14:solidFill>
              <w14:schemeClr w14:val="tx1"/>
            </w14:solidFill>
          </w14:textFill>
        </w:rPr>
        <w:t>类项目。</w:t>
      </w:r>
    </w:p>
    <w:p w14:paraId="64F7DC21">
      <w:pPr>
        <w:autoSpaceDE w:val="0"/>
        <w:autoSpaceDN w:val="0"/>
        <w:spacing w:line="360" w:lineRule="auto"/>
        <w:ind w:firstLine="480" w:firstLineChars="200"/>
        <w:textAlignment w:val="bottom"/>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根据导则评价工作等级划分，地下水环境敏感程度可分为敏感、较敏感、不敏感三级。本项目</w:t>
      </w:r>
      <w:r>
        <w:rPr>
          <w:rFonts w:hint="eastAsia"/>
          <w:color w:val="000000" w:themeColor="text1"/>
          <w:sz w:val="24"/>
          <w:lang w:val="en-US" w:eastAsia="zh-CN"/>
          <w14:textFill>
            <w14:solidFill>
              <w14:schemeClr w14:val="tx1"/>
            </w14:solidFill>
          </w14:textFill>
        </w:rPr>
        <w:t>周边无集中式饮用水水源保护区</w:t>
      </w:r>
      <w:r>
        <w:rPr>
          <w:rFonts w:hint="eastAsia" w:ascii="Times New Roman" w:hAnsi="Times New Roman"/>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周边部分</w:t>
      </w:r>
      <w:r>
        <w:rPr>
          <w:rFonts w:hint="eastAsia" w:ascii="Times New Roman" w:hAnsi="Times New Roman"/>
          <w:color w:val="000000" w:themeColor="text1"/>
          <w:sz w:val="24"/>
          <w14:textFill>
            <w14:solidFill>
              <w14:schemeClr w14:val="tx1"/>
            </w14:solidFill>
          </w14:textFill>
        </w:rPr>
        <w:t>村庄使用分散式饮用水水源井，属于分散式饮用水水源地。本项目地下水环境敏感程度为较敏感。</w:t>
      </w:r>
    </w:p>
    <w:p w14:paraId="57022C0E">
      <w:pPr>
        <w:pStyle w:val="177"/>
        <w:spacing w:line="360" w:lineRule="auto"/>
        <w:ind w:firstLine="0" w:firstLineChars="0"/>
        <w:jc w:val="center"/>
        <w:rPr>
          <w:rFonts w:ascii="Times New Roman" w:hAnsi="Times New Roman"/>
          <w:b/>
          <w:bCs/>
          <w:color w:val="000000" w:themeColor="text1"/>
          <w:kern w:val="24"/>
          <w:sz w:val="24"/>
          <w:szCs w:val="24"/>
          <w14:textFill>
            <w14:solidFill>
              <w14:schemeClr w14:val="tx1"/>
            </w14:solidFill>
          </w14:textFill>
        </w:rPr>
      </w:pPr>
      <w:r>
        <w:rPr>
          <w:rFonts w:ascii="Times New Roman" w:hAnsi="Times New Roman"/>
          <w:b/>
          <w:bCs/>
          <w:color w:val="000000" w:themeColor="text1"/>
          <w:kern w:val="24"/>
          <w:sz w:val="24"/>
          <w:szCs w:val="24"/>
          <w14:textFill>
            <w14:solidFill>
              <w14:schemeClr w14:val="tx1"/>
            </w14:solidFill>
          </w14:textFill>
        </w:rPr>
        <w:t>表</w:t>
      </w:r>
      <w:r>
        <w:rPr>
          <w:rFonts w:hint="eastAsia" w:ascii="Times New Roman" w:hAnsi="Times New Roman"/>
          <w:b/>
          <w:bCs/>
          <w:color w:val="000000" w:themeColor="text1"/>
          <w:kern w:val="24"/>
          <w:sz w:val="24"/>
          <w:szCs w:val="24"/>
          <w:lang w:val="en-US" w:eastAsia="zh-CN"/>
          <w14:textFill>
            <w14:solidFill>
              <w14:schemeClr w14:val="tx1"/>
            </w14:solidFill>
          </w14:textFill>
        </w:rPr>
        <w:t>2.4-</w:t>
      </w:r>
      <w:r>
        <w:rPr>
          <w:rFonts w:hint="eastAsia" w:ascii="Times New Roman"/>
          <w:b/>
          <w:bCs/>
          <w:color w:val="000000" w:themeColor="text1"/>
          <w:kern w:val="24"/>
          <w:sz w:val="24"/>
          <w:szCs w:val="24"/>
          <w:lang w:val="en-US" w:eastAsia="zh-CN"/>
          <w14:textFill>
            <w14:solidFill>
              <w14:schemeClr w14:val="tx1"/>
            </w14:solidFill>
          </w14:textFill>
        </w:rPr>
        <w:t>7</w:t>
      </w:r>
      <w:r>
        <w:rPr>
          <w:rFonts w:ascii="Times New Roman" w:hAnsi="Times New Roman"/>
          <w:b/>
          <w:bCs/>
          <w:color w:val="000000" w:themeColor="text1"/>
          <w:kern w:val="24"/>
          <w:sz w:val="24"/>
          <w:szCs w:val="24"/>
          <w14:textFill>
            <w14:solidFill>
              <w14:schemeClr w14:val="tx1"/>
            </w14:solidFill>
          </w14:textFill>
        </w:rPr>
        <w:t xml:space="preserve">  地下水</w:t>
      </w:r>
      <w:r>
        <w:rPr>
          <w:rFonts w:hint="eastAsia" w:ascii="Times New Roman" w:hAnsi="Times New Roman"/>
          <w:b/>
          <w:bCs/>
          <w:color w:val="000000" w:themeColor="text1"/>
          <w:kern w:val="24"/>
          <w:sz w:val="24"/>
          <w:szCs w:val="24"/>
          <w14:textFill>
            <w14:solidFill>
              <w14:schemeClr w14:val="tx1"/>
            </w14:solidFill>
          </w14:textFill>
        </w:rPr>
        <w:t>环境敏感程度分级表</w:t>
      </w: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4"/>
        <w:gridCol w:w="7574"/>
      </w:tblGrid>
      <w:tr w14:paraId="7D10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tcBorders>
              <w:tl2br w:val="nil"/>
              <w:tr2bl w:val="nil"/>
            </w:tcBorders>
            <w:vAlign w:val="center"/>
          </w:tcPr>
          <w:p w14:paraId="1A9BA704">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敏感程度</w:t>
            </w:r>
          </w:p>
        </w:tc>
        <w:tc>
          <w:tcPr>
            <w:tcW w:w="4343" w:type="pct"/>
            <w:tcBorders>
              <w:tl2br w:val="nil"/>
              <w:tr2bl w:val="nil"/>
            </w:tcBorders>
            <w:vAlign w:val="center"/>
          </w:tcPr>
          <w:p w14:paraId="7A0BE8A9">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地下水环境敏感特征</w:t>
            </w:r>
          </w:p>
        </w:tc>
      </w:tr>
      <w:tr w14:paraId="68B3A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tcBorders>
              <w:tl2br w:val="nil"/>
              <w:tr2bl w:val="nil"/>
            </w:tcBorders>
            <w:vAlign w:val="center"/>
          </w:tcPr>
          <w:p w14:paraId="7404498A">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敏感</w:t>
            </w:r>
          </w:p>
        </w:tc>
        <w:tc>
          <w:tcPr>
            <w:tcW w:w="4343" w:type="pct"/>
            <w:tcBorders>
              <w:tl2br w:val="nil"/>
              <w:tr2bl w:val="nil"/>
            </w:tcBorders>
            <w:vAlign w:val="center"/>
          </w:tcPr>
          <w:p w14:paraId="372B0E85">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集中式饮用水</w:t>
            </w:r>
            <w:r>
              <w:rPr>
                <w:rFonts w:ascii="Times New Roman" w:hAnsi="Times New Roman"/>
                <w:color w:val="000000" w:themeColor="text1"/>
                <w:sz w:val="21"/>
                <w:szCs w:val="21"/>
                <w14:textFill>
                  <w14:solidFill>
                    <w14:schemeClr w14:val="tx1"/>
                  </w14:solidFill>
                </w14:textFill>
              </w:rPr>
              <w:t>水源（包括己建成的在用、备用、应急水源地，在建和规划的</w:t>
            </w:r>
            <w:r>
              <w:rPr>
                <w:rFonts w:hint="eastAsia" w:ascii="Times New Roman" w:hAnsi="Times New Roman"/>
                <w:color w:val="000000" w:themeColor="text1"/>
                <w:sz w:val="21"/>
                <w:szCs w:val="21"/>
                <w14:textFill>
                  <w14:solidFill>
                    <w14:schemeClr w14:val="tx1"/>
                  </w14:solidFill>
                </w14:textFill>
              </w:rPr>
              <w:t>饮用水</w:t>
            </w:r>
            <w:r>
              <w:rPr>
                <w:rFonts w:ascii="Times New Roman" w:hAnsi="Times New Roman"/>
                <w:color w:val="000000" w:themeColor="text1"/>
                <w:sz w:val="21"/>
                <w:szCs w:val="21"/>
                <w14:textFill>
                  <w14:solidFill>
                    <w14:schemeClr w14:val="tx1"/>
                  </w14:solidFill>
                </w14:textFill>
              </w:rPr>
              <w:t>水源）准保护区；除</w:t>
            </w:r>
            <w:r>
              <w:rPr>
                <w:rFonts w:hint="eastAsia" w:ascii="Times New Roman" w:hAnsi="Times New Roman"/>
                <w:color w:val="000000" w:themeColor="text1"/>
                <w:sz w:val="21"/>
                <w:szCs w:val="21"/>
                <w14:textFill>
                  <w14:solidFill>
                    <w14:schemeClr w14:val="tx1"/>
                  </w14:solidFill>
                </w14:textFill>
              </w:rPr>
              <w:t>集中式饮用水</w:t>
            </w:r>
            <w:r>
              <w:rPr>
                <w:rFonts w:ascii="Times New Roman" w:hAnsi="Times New Roman"/>
                <w:color w:val="000000" w:themeColor="text1"/>
                <w:sz w:val="21"/>
                <w:szCs w:val="21"/>
                <w14:textFill>
                  <w14:solidFill>
                    <w14:schemeClr w14:val="tx1"/>
                  </w14:solidFill>
                </w14:textFill>
              </w:rPr>
              <w:t>水源以外的国家或地方政府设定的与地下水环境相关的其它保护区，如热水、矿泉水、温泉等特殊地下水资源保护区</w:t>
            </w:r>
            <w:r>
              <w:rPr>
                <w:rFonts w:hint="eastAsia" w:ascii="Times New Roman" w:hAnsi="Times New Roman"/>
                <w:color w:val="000000" w:themeColor="text1"/>
                <w:sz w:val="21"/>
                <w:szCs w:val="21"/>
                <w14:textFill>
                  <w14:solidFill>
                    <w14:schemeClr w14:val="tx1"/>
                  </w14:solidFill>
                </w14:textFill>
              </w:rPr>
              <w:t>。</w:t>
            </w:r>
          </w:p>
        </w:tc>
      </w:tr>
      <w:tr w14:paraId="4A35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tcBorders>
              <w:tl2br w:val="nil"/>
              <w:tr2bl w:val="nil"/>
            </w:tcBorders>
            <w:vAlign w:val="center"/>
          </w:tcPr>
          <w:p w14:paraId="0A491996">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较敏感</w:t>
            </w:r>
          </w:p>
        </w:tc>
        <w:tc>
          <w:tcPr>
            <w:tcW w:w="4343" w:type="pct"/>
            <w:tcBorders>
              <w:tl2br w:val="nil"/>
              <w:tr2bl w:val="nil"/>
            </w:tcBorders>
            <w:vAlign w:val="center"/>
          </w:tcPr>
          <w:p w14:paraId="5A3555BF">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集中式饮用水</w:t>
            </w:r>
            <w:r>
              <w:rPr>
                <w:rFonts w:ascii="Times New Roman" w:hAnsi="Times New Roman"/>
                <w:color w:val="000000" w:themeColor="text1"/>
                <w:sz w:val="21"/>
                <w:szCs w:val="21"/>
                <w14:textFill>
                  <w14:solidFill>
                    <w14:schemeClr w14:val="tx1"/>
                  </w14:solidFill>
                </w14:textFill>
              </w:rPr>
              <w:t>水源（包括己建成的在用、备用、应急水源地，在建和规划的</w:t>
            </w:r>
            <w:r>
              <w:rPr>
                <w:rFonts w:hint="eastAsia" w:ascii="Times New Roman" w:hAnsi="Times New Roman"/>
                <w:color w:val="000000" w:themeColor="text1"/>
                <w:sz w:val="21"/>
                <w:szCs w:val="21"/>
                <w14:textFill>
                  <w14:solidFill>
                    <w14:schemeClr w14:val="tx1"/>
                  </w14:solidFill>
                </w14:textFill>
              </w:rPr>
              <w:t>饮用水</w:t>
            </w:r>
            <w:r>
              <w:rPr>
                <w:rFonts w:ascii="Times New Roman" w:hAnsi="Times New Roman"/>
                <w:color w:val="000000" w:themeColor="text1"/>
                <w:sz w:val="21"/>
                <w:szCs w:val="21"/>
                <w14:textFill>
                  <w14:solidFill>
                    <w14:schemeClr w14:val="tx1"/>
                  </w14:solidFill>
                </w14:textFill>
              </w:rPr>
              <w:t>水源）准保护区</w:t>
            </w:r>
            <w:r>
              <w:rPr>
                <w:rFonts w:hint="eastAsia" w:ascii="Times New Roman" w:hAnsi="Times New Roman"/>
                <w:color w:val="000000" w:themeColor="text1"/>
                <w:sz w:val="21"/>
                <w:szCs w:val="21"/>
                <w14:textFill>
                  <w14:solidFill>
                    <w14:schemeClr w14:val="tx1"/>
                  </w14:solidFill>
                </w14:textFill>
              </w:rPr>
              <w:t>以外的补给径流区</w:t>
            </w:r>
            <w:r>
              <w:rPr>
                <w:rFonts w:ascii="Times New Roman" w:hAnsi="Times New Roman"/>
                <w:color w:val="000000" w:themeColor="text1"/>
                <w:sz w:val="21"/>
                <w:szCs w:val="21"/>
                <w14:textFill>
                  <w14:solidFill>
                    <w14:schemeClr w14:val="tx1"/>
                  </w14:solidFill>
                </w14:textFill>
              </w:rPr>
              <w:t>；</w:t>
            </w:r>
            <w:r>
              <w:rPr>
                <w:rFonts w:hint="eastAsia" w:ascii="Times New Roman" w:hAnsi="Times New Roman"/>
                <w:color w:val="000000" w:themeColor="text1"/>
                <w:sz w:val="21"/>
                <w:szCs w:val="21"/>
                <w14:textFill>
                  <w14:solidFill>
                    <w14:schemeClr w14:val="tx1"/>
                  </w14:solidFill>
                </w14:textFill>
              </w:rPr>
              <w:t>未划定准保护区的集中式饮用水水源，其保护区以外的补给径流区；分散式饮用水水源地；特殊地下水资源（如矿泉水、温泉等）保护区以外的分布区等其他未列入上述敏感分级的环境敏感区。</w:t>
            </w:r>
          </w:p>
        </w:tc>
      </w:tr>
      <w:tr w14:paraId="5929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 w:type="pct"/>
            <w:tcBorders>
              <w:tl2br w:val="nil"/>
              <w:tr2bl w:val="nil"/>
            </w:tcBorders>
            <w:vAlign w:val="center"/>
          </w:tcPr>
          <w:p w14:paraId="0BF9BE1F">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不敏感</w:t>
            </w:r>
          </w:p>
        </w:tc>
        <w:tc>
          <w:tcPr>
            <w:tcW w:w="4343" w:type="pct"/>
            <w:tcBorders>
              <w:tl2br w:val="nil"/>
              <w:tr2bl w:val="nil"/>
            </w:tcBorders>
            <w:vAlign w:val="center"/>
          </w:tcPr>
          <w:p w14:paraId="389C83F9">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上述地区之外的其它地区。</w:t>
            </w:r>
          </w:p>
        </w:tc>
      </w:tr>
      <w:tr w14:paraId="0673D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l2br w:val="nil"/>
              <w:tr2bl w:val="nil"/>
            </w:tcBorders>
            <w:vAlign w:val="center"/>
          </w:tcPr>
          <w:p w14:paraId="717EF876">
            <w:pPr>
              <w:pStyle w:val="177"/>
              <w:spacing w:line="300" w:lineRule="exact"/>
              <w:ind w:firstLine="0" w:firstLineChars="0"/>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注：a“环境敏感区”是指《建设项目环境影响评价分类管理名录》中所界定的涉及地下水的环境敏感区。</w:t>
            </w:r>
          </w:p>
        </w:tc>
      </w:tr>
    </w:tbl>
    <w:p w14:paraId="6713F791">
      <w:pPr>
        <w:pStyle w:val="177"/>
        <w:ind w:left="0" w:leftChars="0" w:firstLine="0" w:firstLineChars="0"/>
        <w:jc w:val="both"/>
        <w:rPr>
          <w:rFonts w:ascii="Times New Roman" w:hAnsi="Times New Roman"/>
          <w:b/>
          <w:bCs/>
          <w:color w:val="000000" w:themeColor="text1"/>
          <w:szCs w:val="24"/>
          <w14:textFill>
            <w14:solidFill>
              <w14:schemeClr w14:val="tx1"/>
            </w14:solidFill>
          </w14:textFill>
        </w:rPr>
      </w:pPr>
      <w:r>
        <w:rPr>
          <w:rFonts w:hint="eastAsia" w:ascii="Times New Roman"/>
          <w:b/>
          <w:bCs/>
          <w:color w:val="000000" w:themeColor="text1"/>
          <w:szCs w:val="24"/>
          <w:lang w:val="en-US" w:eastAsia="zh-CN"/>
          <w14:textFill>
            <w14:solidFill>
              <w14:schemeClr w14:val="tx1"/>
            </w14:solidFill>
          </w14:textFill>
        </w:rPr>
        <w:t>2、</w:t>
      </w:r>
      <w:r>
        <w:rPr>
          <w:rFonts w:hint="eastAsia" w:ascii="Times New Roman" w:hAnsi="Times New Roman"/>
          <w:b/>
          <w:bCs/>
          <w:color w:val="000000" w:themeColor="text1"/>
          <w:szCs w:val="24"/>
          <w14:textFill>
            <w14:solidFill>
              <w14:schemeClr w14:val="tx1"/>
            </w14:solidFill>
          </w14:textFill>
        </w:rPr>
        <w:t>评价工作等级</w:t>
      </w:r>
    </w:p>
    <w:p w14:paraId="2DFFD048">
      <w:pPr>
        <w:pStyle w:val="177"/>
        <w:ind w:firstLine="480"/>
        <w:rPr>
          <w:rFonts w:ascii="Times New Roman" w:hAnsi="Times New Roman"/>
          <w:bCs/>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建设项目地下水环境影响评价工作等级划分见</w:t>
      </w:r>
      <w:r>
        <w:rPr>
          <w:rFonts w:hint="eastAsia" w:ascii="Times New Roman" w:hAnsi="Times New Roman"/>
          <w:color w:val="000000" w:themeColor="text1"/>
          <w:lang w:eastAsia="zh-CN"/>
          <w14:textFill>
            <w14:solidFill>
              <w14:schemeClr w14:val="tx1"/>
            </w14:solidFill>
          </w14:textFill>
        </w:rPr>
        <w:t>下</w:t>
      </w:r>
      <w:r>
        <w:rPr>
          <w:rFonts w:hint="eastAsia" w:ascii="Times New Roman" w:hAnsi="Times New Roman"/>
          <w:color w:val="000000" w:themeColor="text1"/>
          <w14:textFill>
            <w14:solidFill>
              <w14:schemeClr w14:val="tx1"/>
            </w14:solidFill>
          </w14:textFill>
        </w:rPr>
        <w:t>表</w:t>
      </w:r>
      <w:r>
        <w:rPr>
          <w:rFonts w:hint="eastAsia" w:ascii="Times New Roman" w:hAnsi="Times New Roman"/>
          <w:bCs/>
          <w:color w:val="000000" w:themeColor="text1"/>
          <w14:textFill>
            <w14:solidFill>
              <w14:schemeClr w14:val="tx1"/>
            </w14:solidFill>
          </w14:textFill>
        </w:rPr>
        <w:t>。</w:t>
      </w:r>
    </w:p>
    <w:p w14:paraId="28D2EDE6">
      <w:pPr>
        <w:pStyle w:val="177"/>
        <w:spacing w:line="360" w:lineRule="auto"/>
        <w:ind w:firstLine="0" w:firstLineChars="0"/>
        <w:jc w:val="center"/>
        <w:rPr>
          <w:rFonts w:ascii="Times New Roman" w:hAnsi="Times New Roman"/>
          <w:b/>
          <w:bCs/>
          <w:color w:val="000000" w:themeColor="text1"/>
          <w:kern w:val="24"/>
          <w:sz w:val="24"/>
          <w:szCs w:val="24"/>
          <w14:textFill>
            <w14:solidFill>
              <w14:schemeClr w14:val="tx1"/>
            </w14:solidFill>
          </w14:textFill>
        </w:rPr>
      </w:pPr>
      <w:r>
        <w:rPr>
          <w:rFonts w:hint="eastAsia" w:ascii="Times New Roman" w:hAnsi="Times New Roman"/>
          <w:b/>
          <w:bCs/>
          <w:color w:val="000000" w:themeColor="text1"/>
          <w:kern w:val="24"/>
          <w:sz w:val="24"/>
          <w:szCs w:val="24"/>
          <w14:textFill>
            <w14:solidFill>
              <w14:schemeClr w14:val="tx1"/>
            </w14:solidFill>
          </w14:textFill>
        </w:rPr>
        <w:t>表</w:t>
      </w:r>
      <w:r>
        <w:rPr>
          <w:rFonts w:hint="eastAsia" w:ascii="Times New Roman" w:hAnsi="Times New Roman"/>
          <w:b/>
          <w:bCs/>
          <w:color w:val="000000" w:themeColor="text1"/>
          <w:kern w:val="24"/>
          <w:sz w:val="24"/>
          <w:szCs w:val="24"/>
          <w:lang w:val="en-US" w:eastAsia="zh-CN"/>
          <w14:textFill>
            <w14:solidFill>
              <w14:schemeClr w14:val="tx1"/>
            </w14:solidFill>
          </w14:textFill>
        </w:rPr>
        <w:t>2.4-</w:t>
      </w:r>
      <w:r>
        <w:rPr>
          <w:rFonts w:hint="eastAsia" w:ascii="Times New Roman"/>
          <w:b/>
          <w:bCs/>
          <w:color w:val="000000" w:themeColor="text1"/>
          <w:kern w:val="24"/>
          <w:sz w:val="24"/>
          <w:szCs w:val="24"/>
          <w:lang w:val="en-US" w:eastAsia="zh-CN"/>
          <w14:textFill>
            <w14:solidFill>
              <w14:schemeClr w14:val="tx1"/>
            </w14:solidFill>
          </w14:textFill>
        </w:rPr>
        <w:t>8</w:t>
      </w:r>
      <w:r>
        <w:rPr>
          <w:rFonts w:ascii="Times New Roman" w:hAnsi="Times New Roman"/>
          <w:b/>
          <w:bCs/>
          <w:color w:val="000000" w:themeColor="text1"/>
          <w:kern w:val="24"/>
          <w:sz w:val="24"/>
          <w:szCs w:val="24"/>
          <w14:textFill>
            <w14:solidFill>
              <w14:schemeClr w14:val="tx1"/>
            </w14:solidFill>
          </w14:textFill>
        </w:rPr>
        <w:t xml:space="preserve"> </w:t>
      </w:r>
      <w:r>
        <w:rPr>
          <w:rFonts w:hint="eastAsia" w:ascii="Times New Roman" w:hAnsi="Times New Roman"/>
          <w:b/>
          <w:bCs/>
          <w:color w:val="000000" w:themeColor="text1"/>
          <w:kern w:val="24"/>
          <w:sz w:val="24"/>
          <w:szCs w:val="24"/>
          <w14:textFill>
            <w14:solidFill>
              <w14:schemeClr w14:val="tx1"/>
            </w14:solidFill>
          </w14:textFill>
        </w:rPr>
        <w:t xml:space="preserve"> 评价工作等级分级表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0"/>
        <w:gridCol w:w="2180"/>
        <w:gridCol w:w="2178"/>
        <w:gridCol w:w="2179"/>
      </w:tblGrid>
      <w:tr w14:paraId="174C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vAlign w:val="center"/>
          </w:tcPr>
          <w:p w14:paraId="4749C86A">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类别</w:t>
            </w:r>
          </w:p>
          <w:p w14:paraId="25F63BFE">
            <w:pPr>
              <w:spacing w:line="30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环境</w:t>
            </w:r>
            <w:r>
              <w:rPr>
                <w:color w:val="000000" w:themeColor="text1"/>
                <w14:textFill>
                  <w14:solidFill>
                    <w14:schemeClr w14:val="tx1"/>
                  </w14:solidFill>
                </w14:textFill>
              </w:rPr>
              <w:t>敏感程度</w:t>
            </w:r>
          </w:p>
        </w:tc>
        <w:tc>
          <w:tcPr>
            <w:tcW w:w="1250" w:type="pct"/>
            <w:tcBorders>
              <w:tl2br w:val="nil"/>
              <w:tr2bl w:val="nil"/>
            </w:tcBorders>
            <w:vAlign w:val="center"/>
          </w:tcPr>
          <w:p w14:paraId="6FCF8C2E">
            <w:pPr>
              <w:spacing w:line="300" w:lineRule="exact"/>
              <w:jc w:val="center"/>
              <w:rPr>
                <w:color w:val="000000" w:themeColor="text1"/>
                <w14:textFill>
                  <w14:solidFill>
                    <w14:schemeClr w14:val="tx1"/>
                  </w14:solidFill>
                </w14:textFill>
              </w:rPr>
            </w:pPr>
            <w:r>
              <w:rPr>
                <w:rFonts w:hint="eastAsia" w:cs="宋体"/>
                <w:color w:val="000000" w:themeColor="text1"/>
                <w:szCs w:val="21"/>
                <w:lang w:val="en-US" w:eastAsia="zh-CN"/>
                <w14:textFill>
                  <w14:solidFill>
                    <w14:schemeClr w14:val="tx1"/>
                  </w14:solidFill>
                </w14:textFill>
              </w:rPr>
              <w:t>I</w:t>
            </w:r>
            <w:r>
              <w:rPr>
                <w:rFonts w:hint="eastAsia" w:cs="宋体"/>
                <w:color w:val="000000" w:themeColor="text1"/>
                <w:szCs w:val="21"/>
                <w14:textFill>
                  <w14:solidFill>
                    <w14:schemeClr w14:val="tx1"/>
                  </w14:solidFill>
                </w14:textFill>
              </w:rPr>
              <w:t>类项目</w:t>
            </w:r>
          </w:p>
        </w:tc>
        <w:tc>
          <w:tcPr>
            <w:tcW w:w="1249" w:type="pct"/>
            <w:tcBorders>
              <w:tl2br w:val="nil"/>
              <w:tr2bl w:val="nil"/>
            </w:tcBorders>
            <w:vAlign w:val="center"/>
          </w:tcPr>
          <w:p w14:paraId="3BE28FD7">
            <w:pPr>
              <w:spacing w:line="300" w:lineRule="exact"/>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II</w:t>
            </w:r>
            <w:r>
              <w:rPr>
                <w:rFonts w:hint="eastAsia"/>
                <w:color w:val="000000" w:themeColor="text1"/>
                <w14:textFill>
                  <w14:solidFill>
                    <w14:schemeClr w14:val="tx1"/>
                  </w14:solidFill>
                </w14:textFill>
              </w:rPr>
              <w:t>类项目</w:t>
            </w:r>
          </w:p>
        </w:tc>
        <w:tc>
          <w:tcPr>
            <w:tcW w:w="1249" w:type="pct"/>
            <w:tcBorders>
              <w:tl2br w:val="nil"/>
              <w:tr2bl w:val="nil"/>
            </w:tcBorders>
            <w:vAlign w:val="center"/>
          </w:tcPr>
          <w:p w14:paraId="1122FC7C">
            <w:pPr>
              <w:spacing w:line="300" w:lineRule="exact"/>
              <w:jc w:val="center"/>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III</w:t>
            </w:r>
            <w:r>
              <w:rPr>
                <w:rFonts w:hint="eastAsia"/>
                <w:color w:val="000000" w:themeColor="text1"/>
                <w14:textFill>
                  <w14:solidFill>
                    <w14:schemeClr w14:val="tx1"/>
                  </w14:solidFill>
                </w14:textFill>
              </w:rPr>
              <w:t>类</w:t>
            </w:r>
            <w:r>
              <w:rPr>
                <w:color w:val="000000" w:themeColor="text1"/>
                <w14:textFill>
                  <w14:solidFill>
                    <w14:schemeClr w14:val="tx1"/>
                  </w14:solidFill>
                </w14:textFill>
              </w:rPr>
              <w:t>项目</w:t>
            </w:r>
          </w:p>
        </w:tc>
      </w:tr>
      <w:tr w14:paraId="76A9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vAlign w:val="center"/>
          </w:tcPr>
          <w:p w14:paraId="7F31859A">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敏感</w:t>
            </w:r>
          </w:p>
        </w:tc>
        <w:tc>
          <w:tcPr>
            <w:tcW w:w="1250" w:type="pct"/>
            <w:tcBorders>
              <w:tl2br w:val="nil"/>
              <w:tr2bl w:val="nil"/>
            </w:tcBorders>
            <w:vAlign w:val="center"/>
          </w:tcPr>
          <w:p w14:paraId="460C05CC">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1249" w:type="pct"/>
            <w:tcBorders>
              <w:tl2br w:val="nil"/>
              <w:tr2bl w:val="nil"/>
            </w:tcBorders>
            <w:vAlign w:val="center"/>
          </w:tcPr>
          <w:p w14:paraId="20BD3BC6">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1249" w:type="pct"/>
            <w:tcBorders>
              <w:tl2br w:val="nil"/>
              <w:tr2bl w:val="nil"/>
            </w:tcBorders>
            <w:vAlign w:val="center"/>
          </w:tcPr>
          <w:p w14:paraId="35C78682">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r>
      <w:tr w14:paraId="3588F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vAlign w:val="center"/>
          </w:tcPr>
          <w:p w14:paraId="405D34DF">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较敏感</w:t>
            </w:r>
          </w:p>
        </w:tc>
        <w:tc>
          <w:tcPr>
            <w:tcW w:w="1250" w:type="pct"/>
            <w:tcBorders>
              <w:tl2br w:val="nil"/>
              <w:tr2bl w:val="nil"/>
            </w:tcBorders>
            <w:shd w:val="clear" w:color="auto" w:fill="auto"/>
            <w:vAlign w:val="center"/>
          </w:tcPr>
          <w:p w14:paraId="57E60D42">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w:t>
            </w:r>
          </w:p>
        </w:tc>
        <w:tc>
          <w:tcPr>
            <w:tcW w:w="1249" w:type="pct"/>
            <w:tcBorders>
              <w:tl2br w:val="nil"/>
              <w:tr2bl w:val="nil"/>
            </w:tcBorders>
            <w:shd w:val="clear" w:color="auto" w:fill="auto"/>
            <w:vAlign w:val="center"/>
          </w:tcPr>
          <w:p w14:paraId="09B072FC">
            <w:pPr>
              <w:spacing w:line="300" w:lineRule="exact"/>
              <w:jc w:val="center"/>
              <w:rPr>
                <w:color w:val="000000" w:themeColor="text1"/>
                <w14:textFill>
                  <w14:solidFill>
                    <w14:schemeClr w14:val="tx1"/>
                  </w14:solidFill>
                </w14:textFill>
              </w:rPr>
            </w:pPr>
            <w:r>
              <w:rPr>
                <w:rFonts w:hint="eastAsia"/>
                <w:b w:val="0"/>
                <w:bCs w:val="0"/>
                <w:color w:val="000000" w:themeColor="text1"/>
                <w14:textFill>
                  <w14:solidFill>
                    <w14:schemeClr w14:val="tx1"/>
                  </w14:solidFill>
                </w14:textFill>
              </w:rPr>
              <w:t>二</w:t>
            </w:r>
          </w:p>
        </w:tc>
        <w:tc>
          <w:tcPr>
            <w:tcW w:w="1249" w:type="pct"/>
            <w:tcBorders>
              <w:tl2br w:val="nil"/>
              <w:tr2bl w:val="nil"/>
            </w:tcBorders>
            <w:vAlign w:val="center"/>
          </w:tcPr>
          <w:p w14:paraId="79ADA1B2">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r>
      <w:tr w14:paraId="5600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0" w:type="pct"/>
            <w:tcBorders>
              <w:tl2br w:val="nil"/>
              <w:tr2bl w:val="nil"/>
            </w:tcBorders>
            <w:vAlign w:val="center"/>
          </w:tcPr>
          <w:p w14:paraId="010469DD">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不敏感</w:t>
            </w:r>
          </w:p>
        </w:tc>
        <w:tc>
          <w:tcPr>
            <w:tcW w:w="1250" w:type="pct"/>
            <w:tcBorders>
              <w:tl2br w:val="nil"/>
              <w:tr2bl w:val="nil"/>
            </w:tcBorders>
            <w:vAlign w:val="center"/>
          </w:tcPr>
          <w:p w14:paraId="26ED71EA">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二</w:t>
            </w:r>
          </w:p>
        </w:tc>
        <w:tc>
          <w:tcPr>
            <w:tcW w:w="1249" w:type="pct"/>
            <w:tcBorders>
              <w:tl2br w:val="nil"/>
              <w:tr2bl w:val="nil"/>
            </w:tcBorders>
            <w:vAlign w:val="center"/>
          </w:tcPr>
          <w:p w14:paraId="64204F03">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c>
          <w:tcPr>
            <w:tcW w:w="1249" w:type="pct"/>
            <w:tcBorders>
              <w:tl2br w:val="nil"/>
              <w:tr2bl w:val="nil"/>
            </w:tcBorders>
            <w:vAlign w:val="center"/>
          </w:tcPr>
          <w:p w14:paraId="2C903F3A">
            <w:pPr>
              <w:spacing w:line="300" w:lineRule="exac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三</w:t>
            </w:r>
          </w:p>
        </w:tc>
      </w:tr>
    </w:tbl>
    <w:p w14:paraId="61B55F7D">
      <w:pPr>
        <w:pStyle w:val="228"/>
        <w:ind w:firstLine="480"/>
        <w:rPr>
          <w:rStyle w:val="216"/>
          <w:color w:val="FF0000"/>
        </w:rPr>
      </w:pPr>
      <w:r>
        <w:rPr>
          <w:rFonts w:ascii="Times New Roman" w:hAnsi="Times New Roman"/>
          <w:color w:val="000000" w:themeColor="text1"/>
          <w:sz w:val="24"/>
          <w14:textFill>
            <w14:solidFill>
              <w14:schemeClr w14:val="tx1"/>
            </w14:solidFill>
          </w14:textFill>
        </w:rPr>
        <w:t>根据《环境影响评价技术导则地下水环境》（HJ610-2016）中的建设项目评价工作等级分级表，本项目</w:t>
      </w:r>
      <w:r>
        <w:rPr>
          <w:rFonts w:hint="eastAsia" w:ascii="Times New Roman" w:hAnsi="Times New Roman"/>
          <w:color w:val="000000" w:themeColor="text1"/>
          <w:sz w:val="24"/>
          <w14:textFill>
            <w14:solidFill>
              <w14:schemeClr w14:val="tx1"/>
            </w14:solidFill>
          </w14:textFill>
        </w:rPr>
        <w:t>地下水环境影响</w:t>
      </w:r>
      <w:r>
        <w:rPr>
          <w:rFonts w:ascii="Times New Roman" w:hAnsi="Times New Roman"/>
          <w:color w:val="000000" w:themeColor="text1"/>
          <w:sz w:val="24"/>
          <w14:textFill>
            <w14:solidFill>
              <w14:schemeClr w14:val="tx1"/>
            </w14:solidFill>
          </w14:textFill>
        </w:rPr>
        <w:t>评价</w:t>
      </w:r>
      <w:r>
        <w:rPr>
          <w:rFonts w:hint="eastAsia" w:ascii="Times New Roman" w:hAnsi="Times New Roman"/>
          <w:color w:val="000000" w:themeColor="text1"/>
          <w:sz w:val="24"/>
          <w14:textFill>
            <w14:solidFill>
              <w14:schemeClr w14:val="tx1"/>
            </w14:solidFill>
          </w14:textFill>
        </w:rPr>
        <w:t>工作</w:t>
      </w:r>
      <w:r>
        <w:rPr>
          <w:rFonts w:ascii="Times New Roman" w:hAnsi="Times New Roman"/>
          <w:color w:val="000000" w:themeColor="text1"/>
          <w:sz w:val="24"/>
          <w14:textFill>
            <w14:solidFill>
              <w14:schemeClr w14:val="tx1"/>
            </w14:solidFill>
          </w14:textFill>
        </w:rPr>
        <w:t>等级为</w:t>
      </w:r>
      <w:r>
        <w:rPr>
          <w:rFonts w:hint="eastAsia"/>
          <w:b/>
          <w:bCs/>
          <w:color w:val="000000" w:themeColor="text1"/>
          <w:sz w:val="24"/>
          <w:lang w:val="en-US" w:eastAsia="zh-CN"/>
          <w14:textFill>
            <w14:solidFill>
              <w14:schemeClr w14:val="tx1"/>
            </w14:solidFill>
          </w14:textFill>
        </w:rPr>
        <w:t>二</w:t>
      </w:r>
      <w:r>
        <w:rPr>
          <w:rFonts w:ascii="Times New Roman" w:hAnsi="Times New Roman"/>
          <w:b/>
          <w:bCs/>
          <w:color w:val="000000" w:themeColor="text1"/>
          <w:sz w:val="24"/>
          <w14:textFill>
            <w14:solidFill>
              <w14:schemeClr w14:val="tx1"/>
            </w14:solidFill>
          </w14:textFill>
        </w:rPr>
        <w:t>级。</w:t>
      </w:r>
    </w:p>
    <w:p w14:paraId="5246BCE3">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2.4.1.4声环境影响评价等级</w:t>
      </w:r>
    </w:p>
    <w:p w14:paraId="5149DBD7">
      <w:pPr>
        <w:spacing w:line="360" w:lineRule="auto"/>
        <w:ind w:firstLine="480" w:firstLineChars="200"/>
        <w:rPr>
          <w:rFonts w:hint="eastAsia"/>
          <w:color w:val="auto"/>
          <w:sz w:val="24"/>
          <w:lang w:val="en-US" w:eastAsia="zh-CN"/>
        </w:rPr>
      </w:pPr>
      <w:r>
        <w:rPr>
          <w:rFonts w:hint="eastAsia"/>
          <w:color w:val="auto"/>
          <w:sz w:val="24"/>
          <w:lang w:val="en-US" w:eastAsia="zh-CN"/>
        </w:rPr>
        <w:t>根据《环境影响评价技术导则</w:t>
      </w:r>
      <w:r>
        <w:rPr>
          <w:rFonts w:hint="default"/>
          <w:color w:val="auto"/>
          <w:sz w:val="24"/>
          <w:lang w:val="en-US" w:eastAsia="zh-CN"/>
        </w:rPr>
        <w:t>-</w:t>
      </w:r>
      <w:r>
        <w:rPr>
          <w:rFonts w:hint="eastAsia"/>
          <w:color w:val="auto"/>
          <w:sz w:val="24"/>
          <w:lang w:val="en-US" w:eastAsia="zh-CN"/>
        </w:rPr>
        <w:t>声环境》</w:t>
      </w:r>
      <w:r>
        <w:rPr>
          <w:rFonts w:hint="default"/>
          <w:color w:val="auto"/>
          <w:sz w:val="24"/>
          <w:lang w:val="en-US" w:eastAsia="zh-CN"/>
        </w:rPr>
        <w:t>(HJ2.4-2021)</w:t>
      </w:r>
      <w:r>
        <w:rPr>
          <w:rFonts w:hint="eastAsia"/>
          <w:color w:val="auto"/>
          <w:sz w:val="24"/>
          <w:lang w:val="en-US" w:eastAsia="zh-CN"/>
        </w:rPr>
        <w:t>，声环境影响评价工作等级划分依据包括：建设项目所在区域的声环境质量功能区类别、建设项目建设前后所在区域的声环境质量变化程度、建设项目影响人口数量。</w:t>
      </w:r>
    </w:p>
    <w:p w14:paraId="34D079E2">
      <w:pPr>
        <w:spacing w:line="360" w:lineRule="auto"/>
        <w:rPr>
          <w:color w:val="auto"/>
          <w:sz w:val="24"/>
        </w:rPr>
      </w:pPr>
      <w:r>
        <w:rPr>
          <w:rFonts w:hint="eastAsia"/>
          <w:color w:val="auto"/>
          <w:sz w:val="24"/>
          <w:lang w:val="en-US" w:eastAsia="zh-CN"/>
        </w:rPr>
        <w:t>1、声环境功能区：</w:t>
      </w:r>
    </w:p>
    <w:p w14:paraId="12939286">
      <w:pPr>
        <w:spacing w:line="360" w:lineRule="auto"/>
        <w:ind w:firstLine="480" w:firstLineChars="200"/>
        <w:rPr>
          <w:rFonts w:hint="default"/>
          <w:color w:val="auto"/>
          <w:sz w:val="24"/>
          <w:lang w:val="en-US"/>
        </w:rPr>
      </w:pPr>
      <w:r>
        <w:rPr>
          <w:rFonts w:hint="eastAsia"/>
          <w:color w:val="auto"/>
          <w:sz w:val="24"/>
          <w:lang w:val="en-US" w:eastAsia="zh-CN"/>
        </w:rPr>
        <w:t>项目厂址周围200m范围内无居民，主要工业企业仅为本项目选矿厂，根据</w:t>
      </w:r>
      <w:r>
        <w:rPr>
          <w:color w:val="auto"/>
          <w:sz w:val="24"/>
        </w:rPr>
        <w:t>《声环境质量标准》</w:t>
      </w:r>
      <w:r>
        <w:rPr>
          <w:rFonts w:hint="eastAsia"/>
          <w:color w:val="auto"/>
          <w:sz w:val="24"/>
        </w:rPr>
        <w:t>（</w:t>
      </w:r>
      <w:r>
        <w:rPr>
          <w:color w:val="auto"/>
          <w:sz w:val="24"/>
        </w:rPr>
        <w:t>GB3096-2008</w:t>
      </w:r>
      <w:r>
        <w:rPr>
          <w:rFonts w:hint="eastAsia"/>
          <w:color w:val="auto"/>
          <w:sz w:val="24"/>
        </w:rPr>
        <w:t>）</w:t>
      </w:r>
      <w:r>
        <w:rPr>
          <w:rFonts w:hint="eastAsia"/>
          <w:color w:val="auto"/>
          <w:sz w:val="24"/>
          <w:lang w:val="en-US" w:eastAsia="zh-CN"/>
        </w:rPr>
        <w:t>中声环境功能区分类要求，本项目属于声环境质量功能区中的3类地区。</w:t>
      </w:r>
    </w:p>
    <w:p w14:paraId="70F85103">
      <w:pPr>
        <w:spacing w:line="360" w:lineRule="auto"/>
        <w:rPr>
          <w:color w:val="auto"/>
          <w:sz w:val="24"/>
        </w:rPr>
      </w:pPr>
      <w:r>
        <w:rPr>
          <w:rFonts w:hint="eastAsia"/>
          <w:color w:val="auto"/>
          <w:sz w:val="24"/>
          <w:lang w:val="en-US" w:eastAsia="zh-CN"/>
        </w:rPr>
        <w:t>2、项目建设前后声环境质量变化：</w:t>
      </w:r>
    </w:p>
    <w:p w14:paraId="17DD9817">
      <w:pPr>
        <w:spacing w:line="360" w:lineRule="auto"/>
        <w:ind w:firstLine="480" w:firstLineChars="200"/>
        <w:rPr>
          <w:color w:val="auto"/>
          <w:sz w:val="24"/>
        </w:rPr>
      </w:pPr>
      <w:r>
        <w:rPr>
          <w:rFonts w:hint="eastAsia"/>
          <w:color w:val="auto"/>
          <w:sz w:val="24"/>
          <w:lang w:val="en-US" w:eastAsia="zh-CN"/>
        </w:rPr>
        <w:t>本项目主要噪声为设备噪声，根据噪声预测结果，经噪声防治措施治理后，项目建设前后周边环境敏感目标噪声级增量小于</w:t>
      </w:r>
      <w:r>
        <w:rPr>
          <w:rFonts w:hint="default"/>
          <w:color w:val="auto"/>
          <w:sz w:val="24"/>
          <w:lang w:val="en-US" w:eastAsia="zh-CN"/>
        </w:rPr>
        <w:t>3dB(A)</w:t>
      </w:r>
      <w:r>
        <w:rPr>
          <w:rFonts w:hint="eastAsia"/>
          <w:color w:val="auto"/>
          <w:sz w:val="24"/>
          <w:lang w:val="en-US" w:eastAsia="zh-CN"/>
        </w:rPr>
        <w:t>。</w:t>
      </w:r>
    </w:p>
    <w:p w14:paraId="5A79EC47">
      <w:pPr>
        <w:spacing w:line="360" w:lineRule="auto"/>
        <w:rPr>
          <w:color w:val="auto"/>
          <w:sz w:val="24"/>
        </w:rPr>
      </w:pPr>
      <w:r>
        <w:rPr>
          <w:rFonts w:hint="eastAsia"/>
          <w:color w:val="auto"/>
          <w:sz w:val="24"/>
          <w:lang w:val="en-US" w:eastAsia="zh-CN"/>
        </w:rPr>
        <w:t>3、受影响人口数量变化：</w:t>
      </w:r>
    </w:p>
    <w:p w14:paraId="7E838896">
      <w:pPr>
        <w:spacing w:line="360" w:lineRule="auto"/>
        <w:ind w:firstLine="480" w:firstLineChars="200"/>
        <w:rPr>
          <w:color w:val="auto"/>
          <w:sz w:val="24"/>
        </w:rPr>
      </w:pPr>
      <w:r>
        <w:rPr>
          <w:rFonts w:hint="eastAsia"/>
          <w:color w:val="auto"/>
          <w:sz w:val="24"/>
          <w:lang w:val="en-US" w:eastAsia="zh-CN"/>
        </w:rPr>
        <w:t>本项目评价范围内无特殊住宅区、文教区、疗养院、医院、风景名胜等环境敏感目标，项目建设前后受噪声影响人数无明显变化。</w:t>
      </w:r>
    </w:p>
    <w:p w14:paraId="736A7767">
      <w:pPr>
        <w:spacing w:line="360" w:lineRule="auto"/>
        <w:rPr>
          <w:color w:val="auto"/>
          <w:sz w:val="24"/>
        </w:rPr>
      </w:pPr>
      <w:r>
        <w:rPr>
          <w:rFonts w:hint="eastAsia"/>
          <w:color w:val="auto"/>
          <w:sz w:val="24"/>
          <w:lang w:val="en-US" w:eastAsia="zh-CN"/>
        </w:rPr>
        <w:t>4、评价工作级别确定</w:t>
      </w:r>
    </w:p>
    <w:p w14:paraId="0510F7B4">
      <w:pPr>
        <w:spacing w:line="360" w:lineRule="auto"/>
        <w:ind w:firstLine="480" w:firstLineChars="200"/>
        <w:rPr>
          <w:rFonts w:hint="eastAsia"/>
          <w:color w:val="auto"/>
          <w:sz w:val="24"/>
          <w:lang w:val="en-US" w:eastAsia="zh-CN"/>
        </w:rPr>
      </w:pPr>
      <w:r>
        <w:rPr>
          <w:rFonts w:hint="eastAsia"/>
          <w:color w:val="auto"/>
          <w:sz w:val="24"/>
          <w:lang w:val="en-US" w:eastAsia="zh-CN"/>
        </w:rPr>
        <w:t>综合以上分析，按照《环境影响评价技术导则 声环境》（</w:t>
      </w:r>
      <w:r>
        <w:rPr>
          <w:rFonts w:hint="default"/>
          <w:color w:val="auto"/>
          <w:sz w:val="24"/>
          <w:lang w:val="en-US" w:eastAsia="zh-CN"/>
        </w:rPr>
        <w:t>HJ2.4-2021</w:t>
      </w:r>
      <w:r>
        <w:rPr>
          <w:rFonts w:hint="eastAsia"/>
          <w:color w:val="auto"/>
          <w:sz w:val="24"/>
          <w:lang w:val="en-US" w:eastAsia="zh-CN"/>
        </w:rPr>
        <w:t>）中噪声环境影响评价级别划分原则，并结合工程实际情况，确定项目噪声环境影响评价工作等级为</w:t>
      </w:r>
      <w:r>
        <w:rPr>
          <w:rFonts w:hint="eastAsia"/>
          <w:b/>
          <w:bCs/>
          <w:color w:val="auto"/>
          <w:sz w:val="24"/>
          <w:lang w:val="en-US" w:eastAsia="zh-CN"/>
        </w:rPr>
        <w:t>三级</w:t>
      </w:r>
      <w:r>
        <w:rPr>
          <w:rFonts w:hint="eastAsia"/>
          <w:color w:val="auto"/>
          <w:sz w:val="24"/>
          <w:lang w:val="en-US" w:eastAsia="zh-CN"/>
        </w:rPr>
        <w:t>。</w:t>
      </w:r>
    </w:p>
    <w:p w14:paraId="69C8D874">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2.4.1.5土壤环境影响评价等级</w:t>
      </w:r>
    </w:p>
    <w:p w14:paraId="6A7E6A3D">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 土壤环境（试行）》（HJ964-2018），本项目为新增</w:t>
      </w:r>
      <w:r>
        <w:rPr>
          <w:rFonts w:hint="eastAsia" w:cs="Times New Roman"/>
          <w:color w:val="auto"/>
          <w:sz w:val="24"/>
          <w:lang w:val="en-US" w:eastAsia="zh-CN"/>
        </w:rPr>
        <w:t>选金</w:t>
      </w:r>
      <w:r>
        <w:rPr>
          <w:rFonts w:hint="eastAsia" w:ascii="Times New Roman" w:hAnsi="Times New Roman" w:eastAsia="宋体" w:cs="Times New Roman"/>
          <w:color w:val="auto"/>
          <w:sz w:val="24"/>
          <w:lang w:val="en-US" w:eastAsia="zh-CN"/>
        </w:rPr>
        <w:t>生产线，项目运行期不会对周边土壤环境产生盐化、酸化、碱化影响，土壤影响类型为污染影响型。土壤环境影响评价工作分级判据如下：</w:t>
      </w:r>
    </w:p>
    <w:p w14:paraId="478B32EF">
      <w:pPr>
        <w:spacing w:line="360" w:lineRule="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1、</w:t>
      </w:r>
      <w:r>
        <w:rPr>
          <w:rFonts w:hint="eastAsia" w:ascii="Times New Roman" w:hAnsi="Times New Roman" w:eastAsia="宋体" w:cs="Times New Roman"/>
          <w:color w:val="auto"/>
          <w:sz w:val="24"/>
          <w:lang w:val="en-US" w:eastAsia="zh-CN"/>
        </w:rPr>
        <w:t>建设项目分类</w:t>
      </w:r>
    </w:p>
    <w:p w14:paraId="65E61969">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 土壤环境（试行）》（HJ964-2018）中附录A-表A.1土壤环境影响评价项目类别表，本项目属于“采矿业”中</w:t>
      </w:r>
      <w:r>
        <w:rPr>
          <w:rFonts w:hint="eastAsia" w:ascii="Times New Roman" w:hAnsi="Times New Roman" w:eastAsia="宋体" w:cs="Times New Roman"/>
          <w:color w:val="auto"/>
          <w:sz w:val="24"/>
          <w:szCs w:val="24"/>
          <w:lang w:val="en-US" w:eastAsia="zh-CN"/>
        </w:rPr>
        <w:fldChar w:fldCharType="begin"/>
      </w:r>
      <w:r>
        <w:rPr>
          <w:rFonts w:hint="eastAsia" w:ascii="Times New Roman" w:hAnsi="Times New Roman" w:eastAsia="宋体" w:cs="Times New Roman"/>
          <w:color w:val="auto"/>
          <w:sz w:val="24"/>
          <w:szCs w:val="24"/>
          <w:lang w:val="en-US" w:eastAsia="zh-CN"/>
        </w:rPr>
        <w:instrText xml:space="preserve"> = 1 \* ROMAN \* MERGEFORMAT </w:instrText>
      </w:r>
      <w:r>
        <w:rPr>
          <w:rFonts w:hint="eastAsia" w:ascii="Times New Roman" w:hAnsi="Times New Roman" w:eastAsia="宋体" w:cs="Times New Roman"/>
          <w:color w:val="auto"/>
          <w:sz w:val="24"/>
          <w:szCs w:val="24"/>
          <w:lang w:val="en-US" w:eastAsia="zh-CN"/>
        </w:rPr>
        <w:fldChar w:fldCharType="separate"/>
      </w:r>
      <w:r>
        <w:rPr>
          <w:sz w:val="24"/>
          <w:szCs w:val="24"/>
        </w:rPr>
        <w:t>I</w:t>
      </w:r>
      <w:r>
        <w:rPr>
          <w:rFonts w:hint="eastAsia" w:ascii="Times New Roman" w:hAnsi="Times New Roman" w:eastAsia="宋体" w:cs="Times New Roman"/>
          <w:color w:val="auto"/>
          <w:sz w:val="24"/>
          <w:szCs w:val="24"/>
          <w:lang w:val="en-US" w:eastAsia="zh-CN"/>
        </w:rPr>
        <w:fldChar w:fldCharType="end"/>
      </w:r>
      <w:r>
        <w:rPr>
          <w:rFonts w:hint="eastAsia" w:ascii="Times New Roman" w:hAnsi="Times New Roman" w:eastAsia="宋体" w:cs="Times New Roman"/>
          <w:color w:val="auto"/>
          <w:sz w:val="24"/>
          <w:szCs w:val="24"/>
          <w:lang w:val="en-US" w:eastAsia="zh-CN"/>
        </w:rPr>
        <w:t>类建设项目</w:t>
      </w:r>
      <w:r>
        <w:rPr>
          <w:rFonts w:hint="eastAsia" w:ascii="Times New Roman" w:hAnsi="Times New Roman" w:eastAsia="宋体" w:cs="Times New Roman"/>
          <w:color w:val="auto"/>
          <w:sz w:val="24"/>
          <w:lang w:val="en-US" w:eastAsia="zh-CN"/>
        </w:rPr>
        <w:t>。</w:t>
      </w:r>
    </w:p>
    <w:p w14:paraId="4C514C48">
      <w:pPr>
        <w:spacing w:line="360" w:lineRule="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2、</w:t>
      </w:r>
      <w:r>
        <w:rPr>
          <w:rFonts w:hint="eastAsia" w:ascii="Times New Roman" w:hAnsi="Times New Roman" w:eastAsia="宋体" w:cs="Times New Roman"/>
          <w:color w:val="auto"/>
          <w:sz w:val="24"/>
          <w:lang w:val="en-US" w:eastAsia="zh-CN"/>
        </w:rPr>
        <w:t>影响类型</w:t>
      </w:r>
    </w:p>
    <w:p w14:paraId="654DE5B0">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本项目主要通过大气沉降的形式对土壤造成影响，土壤环境的影响类型为“污染影响型”。</w:t>
      </w:r>
    </w:p>
    <w:p w14:paraId="61D8513D">
      <w:pPr>
        <w:spacing w:line="360" w:lineRule="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3、</w:t>
      </w:r>
      <w:r>
        <w:rPr>
          <w:rFonts w:hint="eastAsia" w:ascii="Times New Roman" w:hAnsi="Times New Roman" w:eastAsia="宋体" w:cs="Times New Roman"/>
          <w:color w:val="auto"/>
          <w:sz w:val="24"/>
          <w:lang w:val="en-US" w:eastAsia="zh-CN"/>
        </w:rPr>
        <w:t>占地规模</w:t>
      </w:r>
    </w:p>
    <w:p w14:paraId="012082B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 土壤环境（试行）》（HJ964-2018）中“建设项目占地规模分为大型(≥50hm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)、中型(5～50hm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)和小型(≤5hm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)。”本项目不新增占地，</w:t>
      </w:r>
      <w:r>
        <w:rPr>
          <w:rFonts w:hint="eastAsia" w:cs="Times New Roman"/>
          <w:color w:val="auto"/>
          <w:sz w:val="24"/>
          <w:lang w:val="en-US" w:eastAsia="zh-CN"/>
        </w:rPr>
        <w:t>现有厂区</w:t>
      </w:r>
      <w:r>
        <w:rPr>
          <w:rFonts w:hint="eastAsia" w:ascii="Times New Roman" w:hAnsi="Times New Roman" w:eastAsia="宋体" w:cs="Times New Roman"/>
          <w:color w:val="auto"/>
          <w:sz w:val="24"/>
          <w:lang w:val="en-US" w:eastAsia="zh-CN"/>
        </w:rPr>
        <w:t>占地13340m</w:t>
      </w:r>
      <w:r>
        <w:rPr>
          <w:rFonts w:hint="eastAsia" w:ascii="Times New Roman" w:hAnsi="Times New Roman" w:eastAsia="宋体" w:cs="Times New Roman"/>
          <w:color w:val="auto"/>
          <w:sz w:val="24"/>
          <w:vertAlign w:val="superscript"/>
          <w:lang w:val="en-US" w:eastAsia="zh-CN"/>
        </w:rPr>
        <w:t>2</w:t>
      </w:r>
      <w:r>
        <w:rPr>
          <w:rFonts w:hint="eastAsia" w:ascii="Times New Roman" w:hAnsi="Times New Roman" w:eastAsia="宋体" w:cs="Times New Roman"/>
          <w:color w:val="auto"/>
          <w:sz w:val="24"/>
          <w:lang w:val="en-US" w:eastAsia="zh-CN"/>
        </w:rPr>
        <w:t>，占地规模</w:t>
      </w:r>
      <w:r>
        <w:rPr>
          <w:rFonts w:hint="eastAsia" w:cs="Times New Roman"/>
          <w:color w:val="auto"/>
          <w:sz w:val="24"/>
          <w:lang w:val="en-US" w:eastAsia="zh-CN"/>
        </w:rPr>
        <w:t>属于</w:t>
      </w:r>
      <w:r>
        <w:rPr>
          <w:rFonts w:hint="eastAsia" w:ascii="Times New Roman" w:hAnsi="Times New Roman" w:eastAsia="宋体" w:cs="Times New Roman"/>
          <w:color w:val="auto"/>
          <w:sz w:val="24"/>
          <w:lang w:val="en-US" w:eastAsia="zh-CN"/>
        </w:rPr>
        <w:t>小型。</w:t>
      </w:r>
    </w:p>
    <w:p w14:paraId="238741C4">
      <w:pPr>
        <w:spacing w:line="360" w:lineRule="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4、</w:t>
      </w:r>
      <w:r>
        <w:rPr>
          <w:rFonts w:hint="eastAsia" w:ascii="Times New Roman" w:hAnsi="Times New Roman" w:eastAsia="宋体" w:cs="Times New Roman"/>
          <w:color w:val="auto"/>
          <w:sz w:val="24"/>
          <w:lang w:val="en-US" w:eastAsia="zh-CN"/>
        </w:rPr>
        <w:t>敏感程度</w:t>
      </w:r>
    </w:p>
    <w:p w14:paraId="60DC9ED9">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 土壤环境（试行）》（HJ964-2018）表3污染影响型敏感程度分级表，本项目厂区</w:t>
      </w:r>
      <w:r>
        <w:rPr>
          <w:rFonts w:hint="eastAsia" w:cs="Times New Roman"/>
          <w:color w:val="auto"/>
          <w:sz w:val="24"/>
          <w:lang w:val="en-US" w:eastAsia="zh-CN"/>
        </w:rPr>
        <w:t>周围存在</w:t>
      </w:r>
      <w:r>
        <w:rPr>
          <w:rFonts w:hint="eastAsia" w:ascii="Times New Roman" w:hAnsi="Times New Roman" w:eastAsia="宋体" w:cs="Times New Roman"/>
          <w:color w:val="auto"/>
          <w:sz w:val="24"/>
          <w:lang w:val="en-US" w:eastAsia="zh-CN"/>
        </w:rPr>
        <w:t>耕地，土壤敏感程度为敏感。</w:t>
      </w:r>
    </w:p>
    <w:p w14:paraId="3E561A6A">
      <w:pPr>
        <w:spacing w:line="360" w:lineRule="auto"/>
        <w:ind w:firstLine="482"/>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2.4-9</w:t>
      </w:r>
      <w:r>
        <w:rPr>
          <w:rFonts w:hint="eastAsia" w:ascii="Times New Roman" w:hAnsi="Times New Roman" w:eastAsia="宋体" w:cs="Times New Roman"/>
          <w:b/>
          <w:color w:val="auto"/>
          <w:kern w:val="2"/>
          <w:sz w:val="24"/>
          <w:szCs w:val="24"/>
          <w:lang w:val="en-US" w:eastAsia="zh-CN" w:bidi="ar-SA"/>
        </w:rPr>
        <w:t xml:space="preserve">     污染影响型敏感程度分级表</w:t>
      </w:r>
    </w:p>
    <w:tbl>
      <w:tblPr>
        <w:tblStyle w:val="7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9"/>
        <w:gridCol w:w="7449"/>
      </w:tblGrid>
      <w:tr w14:paraId="0469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tcBorders>
              <w:tl2br w:val="nil"/>
              <w:tr2bl w:val="nil"/>
            </w:tcBorders>
            <w:vAlign w:val="center"/>
          </w:tcPr>
          <w:p w14:paraId="7582AEC8">
            <w:pPr>
              <w:jc w:val="center"/>
              <w:rPr>
                <w:rFonts w:ascii="宋体" w:hAnsi="宋体"/>
                <w:color w:val="auto"/>
              </w:rPr>
            </w:pPr>
            <w:r>
              <w:rPr>
                <w:rFonts w:hint="eastAsia" w:ascii="宋体" w:hAnsi="宋体"/>
                <w:color w:val="auto"/>
              </w:rPr>
              <w:t>敏感程度</w:t>
            </w:r>
          </w:p>
        </w:tc>
        <w:tc>
          <w:tcPr>
            <w:tcW w:w="4271" w:type="pct"/>
            <w:tcBorders>
              <w:tl2br w:val="nil"/>
              <w:tr2bl w:val="nil"/>
            </w:tcBorders>
            <w:vAlign w:val="center"/>
          </w:tcPr>
          <w:p w14:paraId="22260929">
            <w:pPr>
              <w:jc w:val="center"/>
              <w:rPr>
                <w:rFonts w:ascii="宋体" w:hAnsi="宋体"/>
                <w:color w:val="auto"/>
              </w:rPr>
            </w:pPr>
            <w:r>
              <w:rPr>
                <w:rFonts w:hint="eastAsia" w:ascii="宋体" w:hAnsi="宋体"/>
                <w:color w:val="auto"/>
              </w:rPr>
              <w:t>判别依据</w:t>
            </w:r>
          </w:p>
        </w:tc>
      </w:tr>
      <w:tr w14:paraId="2D584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tcBorders>
              <w:tl2br w:val="nil"/>
              <w:tr2bl w:val="nil"/>
            </w:tcBorders>
            <w:vAlign w:val="center"/>
          </w:tcPr>
          <w:p w14:paraId="5AE96A0A">
            <w:pPr>
              <w:jc w:val="center"/>
              <w:rPr>
                <w:rFonts w:ascii="宋体" w:hAnsi="宋体"/>
                <w:color w:val="auto"/>
              </w:rPr>
            </w:pPr>
            <w:r>
              <w:rPr>
                <w:rFonts w:hint="eastAsia" w:ascii="宋体" w:hAnsi="宋体"/>
                <w:color w:val="auto"/>
              </w:rPr>
              <w:t>敏感</w:t>
            </w:r>
          </w:p>
        </w:tc>
        <w:tc>
          <w:tcPr>
            <w:tcW w:w="4271" w:type="pct"/>
            <w:tcBorders>
              <w:tl2br w:val="nil"/>
              <w:tr2bl w:val="nil"/>
            </w:tcBorders>
            <w:vAlign w:val="center"/>
          </w:tcPr>
          <w:p w14:paraId="285D22BE">
            <w:pPr>
              <w:jc w:val="center"/>
              <w:rPr>
                <w:rFonts w:ascii="宋体" w:hAnsi="宋体"/>
                <w:color w:val="auto"/>
              </w:rPr>
            </w:pPr>
            <w:r>
              <w:rPr>
                <w:rFonts w:hint="eastAsia" w:ascii="宋体" w:hAnsi="宋体"/>
                <w:color w:val="auto"/>
              </w:rPr>
              <w:t>建设项目周边存在耕地、园地、牧草地、饮用水水源地或居民区、学校、医院、疗养院、养老院等土壤环境敏感目标的</w:t>
            </w:r>
          </w:p>
        </w:tc>
      </w:tr>
      <w:tr w14:paraId="23EFE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tcBorders>
              <w:tl2br w:val="nil"/>
              <w:tr2bl w:val="nil"/>
            </w:tcBorders>
            <w:vAlign w:val="center"/>
          </w:tcPr>
          <w:p w14:paraId="650CD6E5">
            <w:pPr>
              <w:jc w:val="center"/>
              <w:rPr>
                <w:rFonts w:ascii="宋体" w:hAnsi="宋体"/>
                <w:color w:val="auto"/>
              </w:rPr>
            </w:pPr>
            <w:r>
              <w:rPr>
                <w:rFonts w:hint="eastAsia" w:ascii="宋体" w:hAnsi="宋体"/>
                <w:color w:val="auto"/>
              </w:rPr>
              <w:t>较敏感</w:t>
            </w:r>
          </w:p>
        </w:tc>
        <w:tc>
          <w:tcPr>
            <w:tcW w:w="4271" w:type="pct"/>
            <w:tcBorders>
              <w:tl2br w:val="nil"/>
              <w:tr2bl w:val="nil"/>
            </w:tcBorders>
            <w:vAlign w:val="center"/>
          </w:tcPr>
          <w:p w14:paraId="3B14142B">
            <w:pPr>
              <w:jc w:val="center"/>
              <w:rPr>
                <w:rFonts w:ascii="宋体" w:hAnsi="宋体"/>
                <w:color w:val="auto"/>
              </w:rPr>
            </w:pPr>
            <w:r>
              <w:rPr>
                <w:rFonts w:hint="eastAsia" w:ascii="宋体" w:hAnsi="宋体"/>
                <w:color w:val="auto"/>
              </w:rPr>
              <w:t>建设项目周边存在其他土壤环境敏感目标的</w:t>
            </w:r>
          </w:p>
        </w:tc>
      </w:tr>
      <w:tr w14:paraId="62E89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pct"/>
            <w:tcBorders>
              <w:tl2br w:val="nil"/>
              <w:tr2bl w:val="nil"/>
            </w:tcBorders>
            <w:vAlign w:val="center"/>
          </w:tcPr>
          <w:p w14:paraId="46ACEDCA">
            <w:pPr>
              <w:jc w:val="center"/>
              <w:rPr>
                <w:rFonts w:ascii="宋体" w:hAnsi="宋体"/>
                <w:color w:val="auto"/>
              </w:rPr>
            </w:pPr>
            <w:r>
              <w:rPr>
                <w:rFonts w:hint="eastAsia" w:ascii="宋体" w:hAnsi="宋体"/>
                <w:color w:val="auto"/>
              </w:rPr>
              <w:t>不敏感</w:t>
            </w:r>
          </w:p>
        </w:tc>
        <w:tc>
          <w:tcPr>
            <w:tcW w:w="4271" w:type="pct"/>
            <w:tcBorders>
              <w:tl2br w:val="nil"/>
              <w:tr2bl w:val="nil"/>
            </w:tcBorders>
            <w:vAlign w:val="center"/>
          </w:tcPr>
          <w:p w14:paraId="194FB607">
            <w:pPr>
              <w:jc w:val="center"/>
              <w:rPr>
                <w:rFonts w:ascii="宋体" w:hAnsi="宋体"/>
                <w:color w:val="auto"/>
              </w:rPr>
            </w:pPr>
            <w:r>
              <w:rPr>
                <w:rFonts w:hint="eastAsia" w:ascii="宋体" w:hAnsi="宋体"/>
                <w:color w:val="auto"/>
              </w:rPr>
              <w:t>其他情况</w:t>
            </w:r>
          </w:p>
        </w:tc>
      </w:tr>
    </w:tbl>
    <w:p w14:paraId="4F8A9312">
      <w:pPr>
        <w:spacing w:line="360" w:lineRule="auto"/>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5、</w:t>
      </w:r>
      <w:r>
        <w:rPr>
          <w:rFonts w:hint="eastAsia" w:ascii="Times New Roman" w:hAnsi="Times New Roman" w:eastAsia="宋体" w:cs="Times New Roman"/>
          <w:color w:val="auto"/>
          <w:sz w:val="24"/>
          <w:lang w:val="en-US" w:eastAsia="zh-CN"/>
        </w:rPr>
        <w:t>土壤评价工作等级</w:t>
      </w:r>
    </w:p>
    <w:p w14:paraId="1F98549A">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 土壤环境（试行）》（HJ964-2018），土壤环境影响评价工作等级划分见</w:t>
      </w:r>
      <w:r>
        <w:rPr>
          <w:rFonts w:hint="eastAsia" w:cs="Times New Roman"/>
          <w:color w:val="auto"/>
          <w:sz w:val="24"/>
          <w:lang w:val="en-US" w:eastAsia="zh-CN"/>
        </w:rPr>
        <w:t>下</w:t>
      </w:r>
      <w:r>
        <w:rPr>
          <w:rFonts w:hint="eastAsia" w:ascii="Times New Roman" w:hAnsi="Times New Roman" w:eastAsia="宋体" w:cs="Times New Roman"/>
          <w:color w:val="auto"/>
          <w:sz w:val="24"/>
          <w:lang w:val="en-US" w:eastAsia="zh-CN"/>
        </w:rPr>
        <w:t>表。</w:t>
      </w:r>
    </w:p>
    <w:p w14:paraId="564FF117">
      <w:pPr>
        <w:spacing w:line="360" w:lineRule="auto"/>
        <w:ind w:firstLine="482"/>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2.4-10</w:t>
      </w:r>
      <w:r>
        <w:rPr>
          <w:rFonts w:hint="eastAsia" w:ascii="Times New Roman" w:hAnsi="Times New Roman" w:eastAsia="宋体" w:cs="Times New Roman"/>
          <w:b/>
          <w:color w:val="auto"/>
          <w:kern w:val="2"/>
          <w:sz w:val="24"/>
          <w:szCs w:val="24"/>
          <w:lang w:val="en-US" w:eastAsia="zh-CN" w:bidi="ar-SA"/>
        </w:rPr>
        <w:t xml:space="preserve">   污染影响型评价工作等级划分表</w:t>
      </w:r>
    </w:p>
    <w:tbl>
      <w:tblPr>
        <w:tblStyle w:val="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8"/>
        <w:gridCol w:w="724"/>
        <w:gridCol w:w="724"/>
        <w:gridCol w:w="727"/>
        <w:gridCol w:w="726"/>
        <w:gridCol w:w="724"/>
        <w:gridCol w:w="821"/>
        <w:gridCol w:w="689"/>
        <w:gridCol w:w="713"/>
        <w:gridCol w:w="734"/>
      </w:tblGrid>
      <w:tr w14:paraId="6DE7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1226" w:type="pct"/>
            <w:vMerge w:val="restart"/>
            <w:tcBorders>
              <w:tl2br w:val="nil"/>
              <w:tr2bl w:val="nil"/>
            </w:tcBorders>
            <w:vAlign w:val="center"/>
          </w:tcPr>
          <w:p w14:paraId="640EC702">
            <w:pPr>
              <w:spacing w:after="120" w:afterLines="50"/>
              <w:jc w:val="right"/>
              <w:rPr>
                <w:color w:val="auto"/>
              </w:rPr>
            </w:pPr>
            <w:r>
              <w:rPr>
                <w:color w:val="auto"/>
              </w:rPr>
              <mc:AlternateContent>
                <mc:Choice Requires="wps">
                  <w:drawing>
                    <wp:anchor distT="0" distB="0" distL="0" distR="0" simplePos="0" relativeHeight="251666432" behindDoc="0" locked="0" layoutInCell="1" allowOverlap="1">
                      <wp:simplePos x="0" y="0"/>
                      <wp:positionH relativeFrom="column">
                        <wp:posOffset>531495</wp:posOffset>
                      </wp:positionH>
                      <wp:positionV relativeFrom="paragraph">
                        <wp:posOffset>-4445</wp:posOffset>
                      </wp:positionV>
                      <wp:extent cx="739775" cy="765810"/>
                      <wp:effectExtent l="3175" t="3175" r="19050" b="12065"/>
                      <wp:wrapNone/>
                      <wp:docPr id="479" name="自选图形 96"/>
                      <wp:cNvGraphicFramePr/>
                      <a:graphic xmlns:a="http://schemas.openxmlformats.org/drawingml/2006/main">
                        <a:graphicData uri="http://schemas.microsoft.com/office/word/2010/wordprocessingShape">
                          <wps:wsp>
                            <wps:cNvCnPr/>
                            <wps:spPr>
                              <a:xfrm flipH="1" flipV="1">
                                <a:off x="0" y="0"/>
                                <a:ext cx="739775" cy="765810"/>
                              </a:xfrm>
                              <a:prstGeom prst="straightConnector1">
                                <a:avLst/>
                              </a:prstGeom>
                              <a:ln w="6350">
                                <a:solidFill>
                                  <a:srgbClr val="000000"/>
                                </a:solidFill>
                              </a:ln>
                            </wps:spPr>
                            <wps:bodyPr rot="0" vert="horz" wrap="square" lIns="91440" tIns="45720" rIns="91440" bIns="45720" anchor="t" anchorCtr="0"/>
                          </wps:wsp>
                        </a:graphicData>
                      </a:graphic>
                    </wp:anchor>
                  </w:drawing>
                </mc:Choice>
                <mc:Fallback>
                  <w:pict>
                    <v:shape id="自选图形 96" o:spid="_x0000_s1026" o:spt="32" type="#_x0000_t32" style="position:absolute;left:0pt;flip:x y;margin-left:41.85pt;margin-top:-0.35pt;height:60.3pt;width:58.25pt;z-index:251666432;mso-width-relative:page;mso-height-relative:page;" filled="f" stroked="t" coordsize="21600,21600" o:gfxdata="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Hp7Zz1gAAAAgBAAAPAAAAAAAAAAEAIAAAACIA&#10;AABkcnMvZG93bnJldi54bWxQSwECFAAUAAAACACHTuJA87i0MQsCAADqAwAADgAAAAAAAAABACAA&#10;AAAlAQAAZHJzL2Uyb0RvYy54bWxQSwUGAAAAAAYABgBZAQAAogUAAAAA&#10;">
                      <v:fill on="f" focussize="0,0"/>
                      <v:stroke weight="0.5pt" color="#000000" joinstyle="round"/>
                      <v:imagedata o:title=""/>
                      <o:lock v:ext="edit" aspectratio="f"/>
                    </v:shape>
                  </w:pict>
                </mc:Fallback>
              </mc:AlternateContent>
            </w:r>
            <w:r>
              <w:rPr>
                <w:rFonts w:hAnsi="宋体"/>
                <w:color w:val="auto"/>
              </w:rPr>
              <w:t>占地规模</w:t>
            </w:r>
          </w:p>
          <w:p w14:paraId="2EF0FCF6">
            <w:pPr>
              <w:spacing w:after="240" w:afterLines="100"/>
              <w:jc w:val="left"/>
              <w:rPr>
                <w:color w:val="auto"/>
              </w:rPr>
            </w:pPr>
            <w:r>
              <w:rPr>
                <w:color w:val="auto"/>
              </w:rPr>
              <mc:AlternateContent>
                <mc:Choice Requires="wps">
                  <w:drawing>
                    <wp:anchor distT="0" distB="0" distL="0" distR="0" simplePos="0" relativeHeight="251667456" behindDoc="0" locked="0" layoutInCell="1" allowOverlap="1">
                      <wp:simplePos x="0" y="0"/>
                      <wp:positionH relativeFrom="column">
                        <wp:posOffset>-54610</wp:posOffset>
                      </wp:positionH>
                      <wp:positionV relativeFrom="paragraph">
                        <wp:posOffset>136525</wp:posOffset>
                      </wp:positionV>
                      <wp:extent cx="1353185" cy="394335"/>
                      <wp:effectExtent l="1270" t="4445" r="17145" b="20320"/>
                      <wp:wrapNone/>
                      <wp:docPr id="480" name="自选图形 97"/>
                      <wp:cNvGraphicFramePr/>
                      <a:graphic xmlns:a="http://schemas.openxmlformats.org/drawingml/2006/main">
                        <a:graphicData uri="http://schemas.microsoft.com/office/word/2010/wordprocessingShape">
                          <wps:wsp>
                            <wps:cNvCnPr/>
                            <wps:spPr>
                              <a:xfrm flipH="1" flipV="1">
                                <a:off x="0" y="0"/>
                                <a:ext cx="1353185" cy="394335"/>
                              </a:xfrm>
                              <a:prstGeom prst="straightConnector1">
                                <a:avLst/>
                              </a:prstGeom>
                              <a:ln w="6350">
                                <a:solidFill>
                                  <a:srgbClr val="000000"/>
                                </a:solidFill>
                              </a:ln>
                            </wps:spPr>
                            <wps:bodyPr rot="0" vert="horz" wrap="square" lIns="91440" tIns="45720" rIns="91440" bIns="45720" anchor="t" anchorCtr="0"/>
                          </wps:wsp>
                        </a:graphicData>
                      </a:graphic>
                    </wp:anchor>
                  </w:drawing>
                </mc:Choice>
                <mc:Fallback>
                  <w:pict>
                    <v:shape id="自选图形 97" o:spid="_x0000_s1026" o:spt="32" type="#_x0000_t32" style="position:absolute;left:0pt;flip:x y;margin-left:-4.3pt;margin-top:10.75pt;height:31.05pt;width:106.55pt;z-index:251667456;mso-width-relative:page;mso-height-relative:page;" filled="f" stroked="t" coordsize="21600,21600" o:gfxdata="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ZTOfutgAAAAIAQAADwAAAAAAAAABACAAAAAi&#10;AAAAZHJzL2Rvd25yZXYueG1sUEsBAhQAFAAAAAgAh07iQC78u4gKAgAA6wMAAA4AAAAAAAAAAQAg&#10;AAAAJwEAAGRycy9lMm9Eb2MueG1sUEsFBgAAAAAGAAYAWQEAAKMFAAAAAA==&#10;">
                      <v:fill on="f" focussize="0,0"/>
                      <v:stroke weight="0.5pt" color="#000000" joinstyle="round"/>
                      <v:imagedata o:title=""/>
                      <o:lock v:ext="edit" aspectratio="f"/>
                    </v:shape>
                  </w:pict>
                </mc:Fallback>
              </mc:AlternateContent>
            </w:r>
            <w:r>
              <w:rPr>
                <w:rFonts w:hAnsi="宋体"/>
                <w:color w:val="auto"/>
              </w:rPr>
              <w:t>评价工作等级</w:t>
            </w:r>
          </w:p>
          <w:p w14:paraId="39133B2E">
            <w:pPr>
              <w:spacing w:before="120" w:beforeLines="50"/>
              <w:jc w:val="left"/>
              <w:rPr>
                <w:color w:val="auto"/>
              </w:rPr>
            </w:pPr>
            <w:r>
              <w:rPr>
                <w:rFonts w:hAnsi="宋体"/>
                <w:color w:val="auto"/>
              </w:rPr>
              <w:t>敏感程度</w:t>
            </w:r>
          </w:p>
        </w:tc>
        <w:tc>
          <w:tcPr>
            <w:tcW w:w="1247" w:type="pct"/>
            <w:gridSpan w:val="3"/>
            <w:tcBorders>
              <w:tl2br w:val="nil"/>
              <w:tr2bl w:val="nil"/>
            </w:tcBorders>
            <w:vAlign w:val="center"/>
          </w:tcPr>
          <w:p w14:paraId="299AD987">
            <w:pPr>
              <w:jc w:val="center"/>
              <w:rPr>
                <w:color w:val="auto"/>
              </w:rPr>
            </w:pP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类</w:t>
            </w:r>
          </w:p>
        </w:tc>
        <w:tc>
          <w:tcPr>
            <w:tcW w:w="1302" w:type="pct"/>
            <w:gridSpan w:val="3"/>
            <w:tcBorders>
              <w:tl2br w:val="nil"/>
              <w:tr2bl w:val="nil"/>
            </w:tcBorders>
            <w:vAlign w:val="center"/>
          </w:tcPr>
          <w:p w14:paraId="2678603B">
            <w:pPr>
              <w:jc w:val="center"/>
              <w:rPr>
                <w:color w:val="auto"/>
              </w:rPr>
            </w:pPr>
            <w:r>
              <w:rPr>
                <w:color w:val="auto"/>
              </w:rPr>
              <w:fldChar w:fldCharType="begin"/>
            </w:r>
            <w:r>
              <w:rPr>
                <w:color w:val="auto"/>
              </w:rPr>
              <w:instrText xml:space="preserve"> = 2 \* ROMAN </w:instrText>
            </w:r>
            <w:r>
              <w:rPr>
                <w:color w:val="auto"/>
              </w:rPr>
              <w:fldChar w:fldCharType="separate"/>
            </w:r>
            <w:r>
              <w:rPr>
                <w:color w:val="auto"/>
              </w:rPr>
              <w:t>II</w:t>
            </w:r>
            <w:r>
              <w:rPr>
                <w:color w:val="auto"/>
              </w:rPr>
              <w:fldChar w:fldCharType="end"/>
            </w:r>
            <w:r>
              <w:rPr>
                <w:color w:val="auto"/>
              </w:rPr>
              <w:t>类</w:t>
            </w:r>
          </w:p>
        </w:tc>
        <w:tc>
          <w:tcPr>
            <w:tcW w:w="1224" w:type="pct"/>
            <w:gridSpan w:val="3"/>
            <w:tcBorders>
              <w:tl2br w:val="nil"/>
              <w:tr2bl w:val="nil"/>
            </w:tcBorders>
            <w:vAlign w:val="center"/>
          </w:tcPr>
          <w:p w14:paraId="05F120D6">
            <w:pPr>
              <w:jc w:val="center"/>
              <w:rPr>
                <w:color w:val="auto"/>
              </w:rPr>
            </w:pPr>
            <w:r>
              <w:rPr>
                <w:color w:val="auto"/>
              </w:rPr>
              <w:fldChar w:fldCharType="begin"/>
            </w:r>
            <w:r>
              <w:rPr>
                <w:color w:val="auto"/>
              </w:rPr>
              <w:instrText xml:space="preserve"> = 3 \* ROMAN </w:instrText>
            </w:r>
            <w:r>
              <w:rPr>
                <w:color w:val="auto"/>
              </w:rPr>
              <w:fldChar w:fldCharType="separate"/>
            </w:r>
            <w:r>
              <w:rPr>
                <w:color w:val="auto"/>
              </w:rPr>
              <w:t>III</w:t>
            </w:r>
            <w:r>
              <w:rPr>
                <w:color w:val="auto"/>
              </w:rPr>
              <w:fldChar w:fldCharType="end"/>
            </w:r>
            <w:r>
              <w:rPr>
                <w:color w:val="auto"/>
              </w:rPr>
              <w:t>类</w:t>
            </w:r>
          </w:p>
        </w:tc>
      </w:tr>
      <w:tr w14:paraId="5A22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1226" w:type="pct"/>
            <w:vMerge w:val="continue"/>
            <w:tcBorders>
              <w:tl2br w:val="nil"/>
              <w:tr2bl w:val="nil"/>
            </w:tcBorders>
            <w:vAlign w:val="center"/>
          </w:tcPr>
          <w:p w14:paraId="59B27FE3">
            <w:pPr>
              <w:jc w:val="center"/>
              <w:rPr>
                <w:color w:val="auto"/>
              </w:rPr>
            </w:pPr>
          </w:p>
        </w:tc>
        <w:tc>
          <w:tcPr>
            <w:tcW w:w="415" w:type="pct"/>
            <w:tcBorders>
              <w:tl2br w:val="nil"/>
              <w:tr2bl w:val="nil"/>
            </w:tcBorders>
            <w:vAlign w:val="center"/>
          </w:tcPr>
          <w:p w14:paraId="30F705F9">
            <w:pPr>
              <w:jc w:val="center"/>
              <w:rPr>
                <w:color w:val="auto"/>
              </w:rPr>
            </w:pPr>
            <w:r>
              <w:rPr>
                <w:rFonts w:hAnsi="宋体"/>
                <w:color w:val="auto"/>
              </w:rPr>
              <w:t>大</w:t>
            </w:r>
          </w:p>
        </w:tc>
        <w:tc>
          <w:tcPr>
            <w:tcW w:w="415" w:type="pct"/>
            <w:tcBorders>
              <w:tl2br w:val="nil"/>
              <w:tr2bl w:val="nil"/>
            </w:tcBorders>
            <w:vAlign w:val="center"/>
          </w:tcPr>
          <w:p w14:paraId="0D41D4D9">
            <w:pPr>
              <w:jc w:val="center"/>
              <w:rPr>
                <w:color w:val="auto"/>
              </w:rPr>
            </w:pPr>
            <w:r>
              <w:rPr>
                <w:rFonts w:hAnsi="宋体"/>
                <w:color w:val="auto"/>
              </w:rPr>
              <w:t>中</w:t>
            </w:r>
          </w:p>
        </w:tc>
        <w:tc>
          <w:tcPr>
            <w:tcW w:w="416" w:type="pct"/>
            <w:tcBorders>
              <w:tl2br w:val="nil"/>
              <w:tr2bl w:val="nil"/>
            </w:tcBorders>
            <w:vAlign w:val="center"/>
          </w:tcPr>
          <w:p w14:paraId="01C4FA81">
            <w:pPr>
              <w:jc w:val="center"/>
              <w:rPr>
                <w:color w:val="auto"/>
              </w:rPr>
            </w:pPr>
            <w:r>
              <w:rPr>
                <w:rFonts w:hAnsi="宋体"/>
                <w:color w:val="auto"/>
              </w:rPr>
              <w:t>小</w:t>
            </w:r>
          </w:p>
        </w:tc>
        <w:tc>
          <w:tcPr>
            <w:tcW w:w="416" w:type="pct"/>
            <w:tcBorders>
              <w:tl2br w:val="nil"/>
              <w:tr2bl w:val="nil"/>
            </w:tcBorders>
            <w:vAlign w:val="center"/>
          </w:tcPr>
          <w:p w14:paraId="13524910">
            <w:pPr>
              <w:jc w:val="center"/>
              <w:rPr>
                <w:color w:val="auto"/>
              </w:rPr>
            </w:pPr>
            <w:r>
              <w:rPr>
                <w:rFonts w:hAnsi="宋体"/>
                <w:color w:val="auto"/>
              </w:rPr>
              <w:t>大</w:t>
            </w:r>
          </w:p>
        </w:tc>
        <w:tc>
          <w:tcPr>
            <w:tcW w:w="415" w:type="pct"/>
            <w:tcBorders>
              <w:tl2br w:val="nil"/>
              <w:tr2bl w:val="nil"/>
            </w:tcBorders>
            <w:vAlign w:val="center"/>
          </w:tcPr>
          <w:p w14:paraId="45421111">
            <w:pPr>
              <w:jc w:val="center"/>
              <w:rPr>
                <w:color w:val="auto"/>
              </w:rPr>
            </w:pPr>
            <w:r>
              <w:rPr>
                <w:rFonts w:hAnsi="宋体"/>
                <w:color w:val="auto"/>
              </w:rPr>
              <w:t>中</w:t>
            </w:r>
          </w:p>
        </w:tc>
        <w:tc>
          <w:tcPr>
            <w:tcW w:w="470" w:type="pct"/>
            <w:tcBorders>
              <w:tl2br w:val="nil"/>
              <w:tr2bl w:val="nil"/>
            </w:tcBorders>
            <w:vAlign w:val="center"/>
          </w:tcPr>
          <w:p w14:paraId="64D0686B">
            <w:pPr>
              <w:jc w:val="center"/>
              <w:rPr>
                <w:color w:val="auto"/>
              </w:rPr>
            </w:pPr>
            <w:r>
              <w:rPr>
                <w:rFonts w:hAnsi="宋体"/>
                <w:color w:val="auto"/>
              </w:rPr>
              <w:t>小</w:t>
            </w:r>
          </w:p>
        </w:tc>
        <w:tc>
          <w:tcPr>
            <w:tcW w:w="395" w:type="pct"/>
            <w:tcBorders>
              <w:tl2br w:val="nil"/>
              <w:tr2bl w:val="nil"/>
            </w:tcBorders>
            <w:vAlign w:val="center"/>
          </w:tcPr>
          <w:p w14:paraId="3EFFBFC9">
            <w:pPr>
              <w:jc w:val="center"/>
              <w:rPr>
                <w:color w:val="auto"/>
              </w:rPr>
            </w:pPr>
            <w:r>
              <w:rPr>
                <w:rFonts w:hAnsi="宋体"/>
                <w:color w:val="auto"/>
              </w:rPr>
              <w:t>大</w:t>
            </w:r>
          </w:p>
        </w:tc>
        <w:tc>
          <w:tcPr>
            <w:tcW w:w="409" w:type="pct"/>
            <w:tcBorders>
              <w:tl2br w:val="nil"/>
              <w:tr2bl w:val="nil"/>
            </w:tcBorders>
            <w:vAlign w:val="center"/>
          </w:tcPr>
          <w:p w14:paraId="0C9213BD">
            <w:pPr>
              <w:jc w:val="center"/>
              <w:rPr>
                <w:color w:val="auto"/>
              </w:rPr>
            </w:pPr>
            <w:r>
              <w:rPr>
                <w:rFonts w:hAnsi="宋体"/>
                <w:color w:val="auto"/>
              </w:rPr>
              <w:t>中</w:t>
            </w:r>
          </w:p>
        </w:tc>
        <w:tc>
          <w:tcPr>
            <w:tcW w:w="419" w:type="pct"/>
            <w:tcBorders>
              <w:tl2br w:val="nil"/>
              <w:tr2bl w:val="nil"/>
            </w:tcBorders>
            <w:vAlign w:val="center"/>
          </w:tcPr>
          <w:p w14:paraId="2245EEB5">
            <w:pPr>
              <w:jc w:val="center"/>
              <w:rPr>
                <w:color w:val="auto"/>
              </w:rPr>
            </w:pPr>
            <w:r>
              <w:rPr>
                <w:rFonts w:hAnsi="宋体"/>
                <w:color w:val="auto"/>
              </w:rPr>
              <w:t>小</w:t>
            </w:r>
          </w:p>
        </w:tc>
      </w:tr>
      <w:tr w14:paraId="6D0F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26" w:type="pct"/>
            <w:tcBorders>
              <w:tl2br w:val="nil"/>
              <w:tr2bl w:val="nil"/>
            </w:tcBorders>
            <w:vAlign w:val="center"/>
          </w:tcPr>
          <w:p w14:paraId="135EC35A">
            <w:pPr>
              <w:jc w:val="center"/>
              <w:rPr>
                <w:color w:val="auto"/>
              </w:rPr>
            </w:pPr>
            <w:r>
              <w:rPr>
                <w:rFonts w:hAnsi="宋体"/>
                <w:color w:val="auto"/>
              </w:rPr>
              <w:t>敏感</w:t>
            </w:r>
          </w:p>
        </w:tc>
        <w:tc>
          <w:tcPr>
            <w:tcW w:w="415" w:type="pct"/>
            <w:tcBorders>
              <w:tl2br w:val="nil"/>
              <w:tr2bl w:val="nil"/>
            </w:tcBorders>
            <w:vAlign w:val="center"/>
          </w:tcPr>
          <w:p w14:paraId="78DE2FBA">
            <w:pPr>
              <w:jc w:val="center"/>
              <w:rPr>
                <w:color w:val="auto"/>
              </w:rPr>
            </w:pPr>
            <w:r>
              <w:rPr>
                <w:rFonts w:hAnsi="宋体"/>
                <w:color w:val="auto"/>
              </w:rPr>
              <w:t>一级</w:t>
            </w:r>
          </w:p>
        </w:tc>
        <w:tc>
          <w:tcPr>
            <w:tcW w:w="415" w:type="pct"/>
            <w:tcBorders>
              <w:tl2br w:val="nil"/>
              <w:tr2bl w:val="nil"/>
            </w:tcBorders>
            <w:vAlign w:val="center"/>
          </w:tcPr>
          <w:p w14:paraId="625CA0BC">
            <w:pPr>
              <w:jc w:val="center"/>
              <w:rPr>
                <w:color w:val="auto"/>
              </w:rPr>
            </w:pPr>
            <w:r>
              <w:rPr>
                <w:rFonts w:hAnsi="宋体"/>
                <w:color w:val="auto"/>
              </w:rPr>
              <w:t>一级</w:t>
            </w:r>
          </w:p>
        </w:tc>
        <w:tc>
          <w:tcPr>
            <w:tcW w:w="416" w:type="pct"/>
            <w:tcBorders>
              <w:tl2br w:val="nil"/>
              <w:tr2bl w:val="nil"/>
            </w:tcBorders>
            <w:shd w:val="clear" w:color="auto" w:fill="D7D7D7" w:themeFill="background1" w:themeFillShade="D8"/>
            <w:vAlign w:val="center"/>
          </w:tcPr>
          <w:p w14:paraId="1218D27F">
            <w:pPr>
              <w:jc w:val="center"/>
              <w:rPr>
                <w:color w:val="auto"/>
              </w:rPr>
            </w:pPr>
            <w:r>
              <w:rPr>
                <w:rFonts w:hAnsi="宋体"/>
                <w:color w:val="auto"/>
              </w:rPr>
              <w:t>一级</w:t>
            </w:r>
          </w:p>
        </w:tc>
        <w:tc>
          <w:tcPr>
            <w:tcW w:w="416" w:type="pct"/>
            <w:tcBorders>
              <w:tl2br w:val="nil"/>
              <w:tr2bl w:val="nil"/>
            </w:tcBorders>
            <w:vAlign w:val="center"/>
          </w:tcPr>
          <w:p w14:paraId="7147F07B">
            <w:pPr>
              <w:jc w:val="center"/>
              <w:rPr>
                <w:color w:val="auto"/>
              </w:rPr>
            </w:pPr>
            <w:r>
              <w:rPr>
                <w:rFonts w:hAnsi="宋体"/>
                <w:color w:val="auto"/>
              </w:rPr>
              <w:t>二级</w:t>
            </w:r>
          </w:p>
        </w:tc>
        <w:tc>
          <w:tcPr>
            <w:tcW w:w="415" w:type="pct"/>
            <w:tcBorders>
              <w:tl2br w:val="nil"/>
              <w:tr2bl w:val="nil"/>
            </w:tcBorders>
            <w:vAlign w:val="center"/>
          </w:tcPr>
          <w:p w14:paraId="7F60A1F8">
            <w:pPr>
              <w:jc w:val="center"/>
              <w:rPr>
                <w:color w:val="auto"/>
              </w:rPr>
            </w:pPr>
            <w:r>
              <w:rPr>
                <w:rFonts w:hAnsi="宋体"/>
                <w:color w:val="auto"/>
              </w:rPr>
              <w:t>二级</w:t>
            </w:r>
          </w:p>
        </w:tc>
        <w:tc>
          <w:tcPr>
            <w:tcW w:w="470" w:type="pct"/>
            <w:tcBorders>
              <w:tl2br w:val="nil"/>
              <w:tr2bl w:val="nil"/>
            </w:tcBorders>
            <w:shd w:val="clear" w:color="auto" w:fill="auto"/>
            <w:vAlign w:val="center"/>
          </w:tcPr>
          <w:p w14:paraId="66AA004F">
            <w:pPr>
              <w:jc w:val="center"/>
              <w:rPr>
                <w:color w:val="auto"/>
              </w:rPr>
            </w:pPr>
            <w:r>
              <w:rPr>
                <w:rFonts w:hAnsi="宋体"/>
                <w:color w:val="auto"/>
              </w:rPr>
              <w:t>二级</w:t>
            </w:r>
          </w:p>
        </w:tc>
        <w:tc>
          <w:tcPr>
            <w:tcW w:w="395" w:type="pct"/>
            <w:tcBorders>
              <w:tl2br w:val="nil"/>
              <w:tr2bl w:val="nil"/>
            </w:tcBorders>
            <w:vAlign w:val="center"/>
          </w:tcPr>
          <w:p w14:paraId="1926A845">
            <w:pPr>
              <w:jc w:val="center"/>
              <w:rPr>
                <w:color w:val="auto"/>
              </w:rPr>
            </w:pPr>
            <w:r>
              <w:rPr>
                <w:rFonts w:hAnsi="宋体"/>
                <w:color w:val="auto"/>
              </w:rPr>
              <w:t>三级</w:t>
            </w:r>
          </w:p>
        </w:tc>
        <w:tc>
          <w:tcPr>
            <w:tcW w:w="409" w:type="pct"/>
            <w:tcBorders>
              <w:tl2br w:val="nil"/>
              <w:tr2bl w:val="nil"/>
            </w:tcBorders>
            <w:vAlign w:val="center"/>
          </w:tcPr>
          <w:p w14:paraId="7636E361">
            <w:pPr>
              <w:jc w:val="center"/>
              <w:rPr>
                <w:color w:val="auto"/>
              </w:rPr>
            </w:pPr>
            <w:r>
              <w:rPr>
                <w:rFonts w:hAnsi="宋体"/>
                <w:color w:val="auto"/>
              </w:rPr>
              <w:t>三级</w:t>
            </w:r>
          </w:p>
        </w:tc>
        <w:tc>
          <w:tcPr>
            <w:tcW w:w="419" w:type="pct"/>
            <w:tcBorders>
              <w:tl2br w:val="nil"/>
              <w:tr2bl w:val="nil"/>
            </w:tcBorders>
            <w:vAlign w:val="center"/>
          </w:tcPr>
          <w:p w14:paraId="25354A1C">
            <w:pPr>
              <w:jc w:val="center"/>
              <w:rPr>
                <w:color w:val="auto"/>
              </w:rPr>
            </w:pPr>
            <w:r>
              <w:rPr>
                <w:rFonts w:hAnsi="宋体"/>
                <w:color w:val="auto"/>
              </w:rPr>
              <w:t>三级</w:t>
            </w:r>
          </w:p>
        </w:tc>
      </w:tr>
      <w:tr w14:paraId="08E7F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tcBorders>
              <w:tl2br w:val="nil"/>
              <w:tr2bl w:val="nil"/>
            </w:tcBorders>
            <w:vAlign w:val="center"/>
          </w:tcPr>
          <w:p w14:paraId="5460DC45">
            <w:pPr>
              <w:jc w:val="center"/>
              <w:rPr>
                <w:color w:val="auto"/>
              </w:rPr>
            </w:pPr>
            <w:r>
              <w:rPr>
                <w:rFonts w:hAnsi="宋体"/>
                <w:color w:val="auto"/>
              </w:rPr>
              <w:t>较敏感</w:t>
            </w:r>
          </w:p>
        </w:tc>
        <w:tc>
          <w:tcPr>
            <w:tcW w:w="415" w:type="pct"/>
            <w:tcBorders>
              <w:tl2br w:val="nil"/>
              <w:tr2bl w:val="nil"/>
            </w:tcBorders>
            <w:vAlign w:val="center"/>
          </w:tcPr>
          <w:p w14:paraId="01D43AB5">
            <w:pPr>
              <w:jc w:val="center"/>
              <w:rPr>
                <w:color w:val="auto"/>
              </w:rPr>
            </w:pPr>
            <w:r>
              <w:rPr>
                <w:rFonts w:hAnsi="宋体"/>
                <w:color w:val="auto"/>
              </w:rPr>
              <w:t>一级</w:t>
            </w:r>
          </w:p>
        </w:tc>
        <w:tc>
          <w:tcPr>
            <w:tcW w:w="415" w:type="pct"/>
            <w:tcBorders>
              <w:tl2br w:val="nil"/>
              <w:tr2bl w:val="nil"/>
            </w:tcBorders>
            <w:vAlign w:val="center"/>
          </w:tcPr>
          <w:p w14:paraId="78F174E2">
            <w:pPr>
              <w:jc w:val="center"/>
              <w:rPr>
                <w:color w:val="auto"/>
              </w:rPr>
            </w:pPr>
            <w:r>
              <w:rPr>
                <w:rFonts w:hAnsi="宋体"/>
                <w:color w:val="auto"/>
              </w:rPr>
              <w:t>一级</w:t>
            </w:r>
          </w:p>
        </w:tc>
        <w:tc>
          <w:tcPr>
            <w:tcW w:w="416" w:type="pct"/>
            <w:tcBorders>
              <w:tl2br w:val="nil"/>
              <w:tr2bl w:val="nil"/>
            </w:tcBorders>
            <w:vAlign w:val="center"/>
          </w:tcPr>
          <w:p w14:paraId="79FF856C">
            <w:pPr>
              <w:jc w:val="center"/>
              <w:rPr>
                <w:color w:val="auto"/>
              </w:rPr>
            </w:pPr>
            <w:r>
              <w:rPr>
                <w:rFonts w:hAnsi="宋体"/>
                <w:color w:val="auto"/>
              </w:rPr>
              <w:t>二级</w:t>
            </w:r>
          </w:p>
        </w:tc>
        <w:tc>
          <w:tcPr>
            <w:tcW w:w="416" w:type="pct"/>
            <w:tcBorders>
              <w:tl2br w:val="nil"/>
              <w:tr2bl w:val="nil"/>
            </w:tcBorders>
            <w:vAlign w:val="center"/>
          </w:tcPr>
          <w:p w14:paraId="5CA6FFE2">
            <w:pPr>
              <w:jc w:val="center"/>
              <w:rPr>
                <w:color w:val="auto"/>
              </w:rPr>
            </w:pPr>
            <w:r>
              <w:rPr>
                <w:rFonts w:hAnsi="宋体"/>
                <w:color w:val="auto"/>
              </w:rPr>
              <w:t>二级</w:t>
            </w:r>
          </w:p>
        </w:tc>
        <w:tc>
          <w:tcPr>
            <w:tcW w:w="415" w:type="pct"/>
            <w:tcBorders>
              <w:tl2br w:val="nil"/>
              <w:tr2bl w:val="nil"/>
            </w:tcBorders>
            <w:vAlign w:val="center"/>
          </w:tcPr>
          <w:p w14:paraId="1F873B0A">
            <w:pPr>
              <w:jc w:val="center"/>
              <w:rPr>
                <w:color w:val="auto"/>
              </w:rPr>
            </w:pPr>
            <w:r>
              <w:rPr>
                <w:rFonts w:hAnsi="宋体"/>
                <w:color w:val="auto"/>
              </w:rPr>
              <w:t>二级</w:t>
            </w:r>
          </w:p>
        </w:tc>
        <w:tc>
          <w:tcPr>
            <w:tcW w:w="470" w:type="pct"/>
            <w:tcBorders>
              <w:tl2br w:val="nil"/>
              <w:tr2bl w:val="nil"/>
            </w:tcBorders>
            <w:vAlign w:val="center"/>
          </w:tcPr>
          <w:p w14:paraId="4A24B4F0">
            <w:pPr>
              <w:jc w:val="center"/>
              <w:rPr>
                <w:color w:val="auto"/>
              </w:rPr>
            </w:pPr>
            <w:r>
              <w:rPr>
                <w:rFonts w:hAnsi="宋体"/>
                <w:color w:val="auto"/>
              </w:rPr>
              <w:t>三级</w:t>
            </w:r>
          </w:p>
        </w:tc>
        <w:tc>
          <w:tcPr>
            <w:tcW w:w="395" w:type="pct"/>
            <w:tcBorders>
              <w:tl2br w:val="nil"/>
              <w:tr2bl w:val="nil"/>
            </w:tcBorders>
            <w:vAlign w:val="center"/>
          </w:tcPr>
          <w:p w14:paraId="7FEA3E68">
            <w:pPr>
              <w:jc w:val="center"/>
              <w:rPr>
                <w:color w:val="auto"/>
              </w:rPr>
            </w:pPr>
            <w:r>
              <w:rPr>
                <w:rFonts w:hAnsi="宋体"/>
                <w:color w:val="auto"/>
              </w:rPr>
              <w:t>三级</w:t>
            </w:r>
          </w:p>
        </w:tc>
        <w:tc>
          <w:tcPr>
            <w:tcW w:w="409" w:type="pct"/>
            <w:tcBorders>
              <w:tl2br w:val="nil"/>
              <w:tr2bl w:val="nil"/>
            </w:tcBorders>
            <w:vAlign w:val="center"/>
          </w:tcPr>
          <w:p w14:paraId="24F97451">
            <w:pPr>
              <w:jc w:val="center"/>
              <w:rPr>
                <w:color w:val="auto"/>
              </w:rPr>
            </w:pPr>
            <w:r>
              <w:rPr>
                <w:rFonts w:hAnsi="宋体"/>
                <w:color w:val="auto"/>
              </w:rPr>
              <w:t>三级</w:t>
            </w:r>
          </w:p>
        </w:tc>
        <w:tc>
          <w:tcPr>
            <w:tcW w:w="419" w:type="pct"/>
            <w:tcBorders>
              <w:tl2br w:val="nil"/>
              <w:tr2bl w:val="nil"/>
            </w:tcBorders>
            <w:vAlign w:val="center"/>
          </w:tcPr>
          <w:p w14:paraId="01049FAD">
            <w:pPr>
              <w:jc w:val="center"/>
              <w:rPr>
                <w:color w:val="auto"/>
              </w:rPr>
            </w:pPr>
            <w:r>
              <w:rPr>
                <w:color w:val="auto"/>
              </w:rPr>
              <w:t>-</w:t>
            </w:r>
          </w:p>
        </w:tc>
      </w:tr>
      <w:tr w14:paraId="2143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6" w:type="pct"/>
            <w:tcBorders>
              <w:tl2br w:val="nil"/>
              <w:tr2bl w:val="nil"/>
            </w:tcBorders>
            <w:vAlign w:val="center"/>
          </w:tcPr>
          <w:p w14:paraId="4507E71E">
            <w:pPr>
              <w:jc w:val="center"/>
              <w:rPr>
                <w:color w:val="auto"/>
              </w:rPr>
            </w:pPr>
            <w:r>
              <w:rPr>
                <w:rFonts w:hAnsi="宋体"/>
                <w:color w:val="auto"/>
              </w:rPr>
              <w:t>不敏感</w:t>
            </w:r>
          </w:p>
        </w:tc>
        <w:tc>
          <w:tcPr>
            <w:tcW w:w="415" w:type="pct"/>
            <w:tcBorders>
              <w:tl2br w:val="nil"/>
              <w:tr2bl w:val="nil"/>
            </w:tcBorders>
            <w:vAlign w:val="center"/>
          </w:tcPr>
          <w:p w14:paraId="1997EC13">
            <w:pPr>
              <w:jc w:val="center"/>
              <w:rPr>
                <w:color w:val="auto"/>
              </w:rPr>
            </w:pPr>
            <w:r>
              <w:rPr>
                <w:rFonts w:hAnsi="宋体"/>
                <w:color w:val="auto"/>
              </w:rPr>
              <w:t>一级</w:t>
            </w:r>
          </w:p>
        </w:tc>
        <w:tc>
          <w:tcPr>
            <w:tcW w:w="415" w:type="pct"/>
            <w:tcBorders>
              <w:tl2br w:val="nil"/>
              <w:tr2bl w:val="nil"/>
            </w:tcBorders>
            <w:vAlign w:val="center"/>
          </w:tcPr>
          <w:p w14:paraId="5E43AA93">
            <w:pPr>
              <w:jc w:val="center"/>
              <w:rPr>
                <w:color w:val="auto"/>
              </w:rPr>
            </w:pPr>
            <w:r>
              <w:rPr>
                <w:rFonts w:hAnsi="宋体"/>
                <w:color w:val="auto"/>
              </w:rPr>
              <w:t>二级</w:t>
            </w:r>
          </w:p>
        </w:tc>
        <w:tc>
          <w:tcPr>
            <w:tcW w:w="416" w:type="pct"/>
            <w:tcBorders>
              <w:tl2br w:val="nil"/>
              <w:tr2bl w:val="nil"/>
            </w:tcBorders>
            <w:vAlign w:val="center"/>
          </w:tcPr>
          <w:p w14:paraId="2B140B25">
            <w:pPr>
              <w:jc w:val="center"/>
              <w:rPr>
                <w:b/>
                <w:color w:val="auto"/>
              </w:rPr>
            </w:pPr>
            <w:r>
              <w:rPr>
                <w:rFonts w:hAnsi="宋体"/>
                <w:bCs/>
                <w:color w:val="auto"/>
              </w:rPr>
              <w:t>二级</w:t>
            </w:r>
          </w:p>
        </w:tc>
        <w:tc>
          <w:tcPr>
            <w:tcW w:w="416" w:type="pct"/>
            <w:tcBorders>
              <w:tl2br w:val="nil"/>
              <w:tr2bl w:val="nil"/>
            </w:tcBorders>
            <w:vAlign w:val="center"/>
          </w:tcPr>
          <w:p w14:paraId="5D8AE352">
            <w:pPr>
              <w:jc w:val="center"/>
              <w:rPr>
                <w:color w:val="auto"/>
              </w:rPr>
            </w:pPr>
            <w:r>
              <w:rPr>
                <w:rFonts w:hAnsi="宋体"/>
                <w:color w:val="auto"/>
              </w:rPr>
              <w:t>二级</w:t>
            </w:r>
          </w:p>
        </w:tc>
        <w:tc>
          <w:tcPr>
            <w:tcW w:w="415" w:type="pct"/>
            <w:tcBorders>
              <w:tl2br w:val="nil"/>
              <w:tr2bl w:val="nil"/>
            </w:tcBorders>
            <w:vAlign w:val="center"/>
          </w:tcPr>
          <w:p w14:paraId="6A5B7AF9">
            <w:pPr>
              <w:jc w:val="center"/>
              <w:rPr>
                <w:color w:val="auto"/>
              </w:rPr>
            </w:pPr>
            <w:r>
              <w:rPr>
                <w:rFonts w:hAnsi="宋体"/>
                <w:color w:val="auto"/>
              </w:rPr>
              <w:t>三级</w:t>
            </w:r>
          </w:p>
        </w:tc>
        <w:tc>
          <w:tcPr>
            <w:tcW w:w="470" w:type="pct"/>
            <w:tcBorders>
              <w:tl2br w:val="nil"/>
              <w:tr2bl w:val="nil"/>
            </w:tcBorders>
            <w:vAlign w:val="center"/>
          </w:tcPr>
          <w:p w14:paraId="7372F445">
            <w:pPr>
              <w:jc w:val="center"/>
              <w:rPr>
                <w:color w:val="auto"/>
              </w:rPr>
            </w:pPr>
            <w:r>
              <w:rPr>
                <w:rFonts w:hAnsi="宋体"/>
                <w:color w:val="auto"/>
              </w:rPr>
              <w:t>三级</w:t>
            </w:r>
          </w:p>
        </w:tc>
        <w:tc>
          <w:tcPr>
            <w:tcW w:w="395" w:type="pct"/>
            <w:tcBorders>
              <w:tl2br w:val="nil"/>
              <w:tr2bl w:val="nil"/>
            </w:tcBorders>
            <w:vAlign w:val="center"/>
          </w:tcPr>
          <w:p w14:paraId="736A24EB">
            <w:pPr>
              <w:jc w:val="center"/>
              <w:rPr>
                <w:color w:val="auto"/>
              </w:rPr>
            </w:pPr>
            <w:r>
              <w:rPr>
                <w:rFonts w:hAnsi="宋体"/>
                <w:color w:val="auto"/>
              </w:rPr>
              <w:t>三级</w:t>
            </w:r>
          </w:p>
        </w:tc>
        <w:tc>
          <w:tcPr>
            <w:tcW w:w="409" w:type="pct"/>
            <w:tcBorders>
              <w:tl2br w:val="nil"/>
              <w:tr2bl w:val="nil"/>
            </w:tcBorders>
            <w:vAlign w:val="center"/>
          </w:tcPr>
          <w:p w14:paraId="25C5E1AC">
            <w:pPr>
              <w:jc w:val="center"/>
              <w:rPr>
                <w:color w:val="auto"/>
              </w:rPr>
            </w:pPr>
            <w:r>
              <w:rPr>
                <w:color w:val="auto"/>
              </w:rPr>
              <w:t>-</w:t>
            </w:r>
          </w:p>
        </w:tc>
        <w:tc>
          <w:tcPr>
            <w:tcW w:w="419" w:type="pct"/>
            <w:tcBorders>
              <w:tl2br w:val="nil"/>
              <w:tr2bl w:val="nil"/>
            </w:tcBorders>
            <w:vAlign w:val="center"/>
          </w:tcPr>
          <w:p w14:paraId="4C5F761B">
            <w:pPr>
              <w:jc w:val="center"/>
              <w:rPr>
                <w:color w:val="auto"/>
              </w:rPr>
            </w:pPr>
            <w:r>
              <w:rPr>
                <w:color w:val="auto"/>
              </w:rPr>
              <w:t>-</w:t>
            </w:r>
          </w:p>
        </w:tc>
      </w:tr>
      <w:tr w14:paraId="36BD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0"/>
            <w:tcBorders>
              <w:tl2br w:val="nil"/>
              <w:tr2bl w:val="nil"/>
            </w:tcBorders>
            <w:vAlign w:val="center"/>
          </w:tcPr>
          <w:p w14:paraId="455A1147">
            <w:pPr>
              <w:jc w:val="center"/>
              <w:rPr>
                <w:color w:val="auto"/>
              </w:rPr>
            </w:pPr>
            <w:r>
              <w:rPr>
                <w:rFonts w:hAnsi="宋体"/>
                <w:color w:val="auto"/>
              </w:rPr>
              <w:t>注：</w:t>
            </w:r>
            <w:r>
              <w:rPr>
                <w:color w:val="auto"/>
              </w:rPr>
              <w:t>“-”</w:t>
            </w:r>
            <w:r>
              <w:rPr>
                <w:rFonts w:hAnsi="宋体"/>
                <w:color w:val="auto"/>
              </w:rPr>
              <w:t>表示可不开展土壤环境影响评价工作</w:t>
            </w:r>
          </w:p>
        </w:tc>
      </w:tr>
    </w:tbl>
    <w:p w14:paraId="11211690">
      <w:pPr>
        <w:spacing w:line="360" w:lineRule="auto"/>
        <w:ind w:firstLine="480" w:firstLineChars="200"/>
        <w:rPr>
          <w:color w:val="auto"/>
          <w:sz w:val="24"/>
        </w:rPr>
      </w:pPr>
      <w:r>
        <w:rPr>
          <w:rFonts w:hint="eastAsia"/>
          <w:color w:val="auto"/>
          <w:sz w:val="24"/>
        </w:rPr>
        <w:t>根据</w:t>
      </w:r>
      <w:r>
        <w:rPr>
          <w:rFonts w:hint="eastAsia"/>
          <w:color w:val="auto"/>
          <w:sz w:val="24"/>
          <w:lang w:eastAsia="zh-CN"/>
        </w:rPr>
        <w:t>上</w:t>
      </w:r>
      <w:r>
        <w:rPr>
          <w:rFonts w:hint="eastAsia"/>
          <w:color w:val="auto"/>
          <w:sz w:val="24"/>
        </w:rPr>
        <w:t>表“污染影响型评价工作等级划分表”，</w:t>
      </w:r>
      <w:r>
        <w:rPr>
          <w:rFonts w:hint="eastAsia"/>
          <w:color w:val="auto"/>
          <w:sz w:val="24"/>
          <w:lang w:val="en-US" w:eastAsia="zh-CN"/>
        </w:rPr>
        <w:t>确定</w:t>
      </w:r>
      <w:r>
        <w:rPr>
          <w:rFonts w:hint="eastAsia"/>
          <w:color w:val="auto"/>
          <w:sz w:val="24"/>
        </w:rPr>
        <w:t>本项目</w:t>
      </w:r>
      <w:r>
        <w:rPr>
          <w:rFonts w:hint="eastAsia"/>
          <w:color w:val="auto"/>
          <w:sz w:val="24"/>
          <w:lang w:val="en-US" w:eastAsia="zh-CN"/>
        </w:rPr>
        <w:t>土壤评价等级</w:t>
      </w:r>
      <w:r>
        <w:rPr>
          <w:rFonts w:hint="eastAsia"/>
          <w:color w:val="auto"/>
          <w:sz w:val="24"/>
        </w:rPr>
        <w:t>为</w:t>
      </w:r>
      <w:r>
        <w:rPr>
          <w:rFonts w:hint="eastAsia"/>
          <w:b/>
          <w:bCs/>
          <w:color w:val="auto"/>
          <w:sz w:val="24"/>
          <w:lang w:val="en-US" w:eastAsia="zh-CN"/>
        </w:rPr>
        <w:t>一</w:t>
      </w:r>
      <w:r>
        <w:rPr>
          <w:rFonts w:hint="eastAsia"/>
          <w:b/>
          <w:bCs/>
          <w:color w:val="auto"/>
          <w:sz w:val="24"/>
        </w:rPr>
        <w:t>级</w:t>
      </w:r>
      <w:r>
        <w:rPr>
          <w:rFonts w:hint="eastAsia"/>
          <w:color w:val="auto"/>
          <w:sz w:val="24"/>
        </w:rPr>
        <w:t>。</w:t>
      </w:r>
    </w:p>
    <w:p w14:paraId="1CE0A4CD">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2.4.1.6生态环境评价等级</w:t>
      </w:r>
    </w:p>
    <w:p w14:paraId="2E962982">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w:t>
      </w:r>
      <w:r>
        <w:rPr>
          <w:rFonts w:hint="eastAsia" w:cs="Times New Roman"/>
          <w:color w:val="auto"/>
          <w:sz w:val="24"/>
          <w:lang w:val="en-US" w:eastAsia="zh-CN"/>
        </w:rPr>
        <w:t>次改扩建项目在现有厂区内建设，</w:t>
      </w:r>
      <w:r>
        <w:rPr>
          <w:rFonts w:hint="eastAsia" w:ascii="Times New Roman" w:hAnsi="Times New Roman" w:eastAsia="宋体" w:cs="Times New Roman"/>
          <w:color w:val="auto"/>
          <w:sz w:val="24"/>
          <w:lang w:val="en-US" w:eastAsia="zh-CN"/>
        </w:rPr>
        <w:t>不新增占地，项目现有厂区及评价范围内不涉及自然保护区、风景名胜区、森林公园、饮用水水源保护区、国家重点保护文物及野生动物的重要栖息地、重要或特殊的植物群落的分布。本项目生态环境评价等级划分依据见</w:t>
      </w:r>
      <w:r>
        <w:rPr>
          <w:rFonts w:hint="eastAsia" w:cs="Times New Roman"/>
          <w:color w:val="auto"/>
          <w:sz w:val="24"/>
          <w:lang w:val="en-US" w:eastAsia="zh-CN"/>
        </w:rPr>
        <w:t>下</w:t>
      </w:r>
      <w:r>
        <w:rPr>
          <w:rFonts w:hint="eastAsia" w:ascii="Times New Roman" w:hAnsi="Times New Roman" w:eastAsia="宋体" w:cs="Times New Roman"/>
          <w:color w:val="auto"/>
          <w:sz w:val="24"/>
          <w:lang w:val="en-US" w:eastAsia="zh-CN"/>
        </w:rPr>
        <w:t>表。</w:t>
      </w:r>
    </w:p>
    <w:p w14:paraId="776F3302">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2.4-11</w:t>
      </w:r>
      <w:r>
        <w:rPr>
          <w:rFonts w:hint="default" w:ascii="Times New Roman" w:hAnsi="Times New Roman" w:eastAsia="宋体" w:cs="Times New Roman"/>
          <w:b/>
          <w:color w:val="auto"/>
          <w:kern w:val="2"/>
          <w:sz w:val="24"/>
          <w:szCs w:val="24"/>
          <w:lang w:val="en-US" w:eastAsia="zh-CN" w:bidi="ar-SA"/>
        </w:rPr>
        <w:t xml:space="preserve">    生态影响评价工作等级划分依据</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4184"/>
        <w:gridCol w:w="1338"/>
        <w:gridCol w:w="1345"/>
        <w:gridCol w:w="1127"/>
      </w:tblGrid>
      <w:tr w14:paraId="7AA3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3172A706">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序号</w:t>
            </w:r>
          </w:p>
        </w:tc>
        <w:tc>
          <w:tcPr>
            <w:tcW w:w="2398" w:type="pct"/>
            <w:tcBorders>
              <w:tl2br w:val="nil"/>
              <w:tr2bl w:val="nil"/>
            </w:tcBorders>
            <w:vAlign w:val="center"/>
          </w:tcPr>
          <w:p w14:paraId="7D941B4B">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判定依据</w:t>
            </w:r>
          </w:p>
        </w:tc>
        <w:tc>
          <w:tcPr>
            <w:tcW w:w="767" w:type="pct"/>
            <w:tcBorders>
              <w:tl2br w:val="nil"/>
              <w:tr2bl w:val="nil"/>
            </w:tcBorders>
            <w:vAlign w:val="center"/>
          </w:tcPr>
          <w:p w14:paraId="25AA55A0">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评价等级</w:t>
            </w:r>
          </w:p>
        </w:tc>
        <w:tc>
          <w:tcPr>
            <w:tcW w:w="771" w:type="pct"/>
            <w:tcBorders>
              <w:tl2br w:val="nil"/>
              <w:tr2bl w:val="nil"/>
            </w:tcBorders>
            <w:vAlign w:val="center"/>
          </w:tcPr>
          <w:p w14:paraId="00298F29">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本项目</w:t>
            </w:r>
          </w:p>
        </w:tc>
        <w:tc>
          <w:tcPr>
            <w:tcW w:w="646" w:type="pct"/>
            <w:tcBorders>
              <w:tl2br w:val="nil"/>
              <w:tr2bl w:val="nil"/>
            </w:tcBorders>
            <w:vAlign w:val="center"/>
          </w:tcPr>
          <w:p w14:paraId="70BEBEE3">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本项目评价等级</w:t>
            </w:r>
          </w:p>
        </w:tc>
      </w:tr>
      <w:tr w14:paraId="7FE2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140E80AC">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a</w:t>
            </w:r>
          </w:p>
        </w:tc>
        <w:tc>
          <w:tcPr>
            <w:tcW w:w="2398" w:type="pct"/>
            <w:tcBorders>
              <w:tl2br w:val="nil"/>
              <w:tr2bl w:val="nil"/>
            </w:tcBorders>
            <w:vAlign w:val="center"/>
          </w:tcPr>
          <w:p w14:paraId="007F39F3">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涉及国家公园、自然保护区、世界自然遗产、重要生境</w:t>
            </w:r>
          </w:p>
        </w:tc>
        <w:tc>
          <w:tcPr>
            <w:tcW w:w="767" w:type="pct"/>
            <w:tcBorders>
              <w:tl2br w:val="nil"/>
              <w:tr2bl w:val="nil"/>
            </w:tcBorders>
            <w:vAlign w:val="center"/>
          </w:tcPr>
          <w:p w14:paraId="4D924D3D">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一级</w:t>
            </w:r>
          </w:p>
        </w:tc>
        <w:tc>
          <w:tcPr>
            <w:tcW w:w="771" w:type="pct"/>
            <w:tcBorders>
              <w:tl2br w:val="nil"/>
              <w:tr2bl w:val="nil"/>
            </w:tcBorders>
            <w:vAlign w:val="center"/>
          </w:tcPr>
          <w:p w14:paraId="56BA5888">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不涉及</w:t>
            </w:r>
          </w:p>
        </w:tc>
        <w:tc>
          <w:tcPr>
            <w:tcW w:w="646" w:type="pct"/>
            <w:tcBorders>
              <w:tl2br w:val="nil"/>
              <w:tr2bl w:val="nil"/>
            </w:tcBorders>
            <w:vAlign w:val="center"/>
          </w:tcPr>
          <w:p w14:paraId="04AF74A8">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14:paraId="73FF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274238BF">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b</w:t>
            </w:r>
          </w:p>
        </w:tc>
        <w:tc>
          <w:tcPr>
            <w:tcW w:w="2398" w:type="pct"/>
            <w:tcBorders>
              <w:tl2br w:val="nil"/>
              <w:tr2bl w:val="nil"/>
            </w:tcBorders>
            <w:vAlign w:val="center"/>
          </w:tcPr>
          <w:p w14:paraId="04A7DCF8">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涉及自然公园</w:t>
            </w:r>
          </w:p>
        </w:tc>
        <w:tc>
          <w:tcPr>
            <w:tcW w:w="767" w:type="pct"/>
            <w:tcBorders>
              <w:tl2br w:val="nil"/>
              <w:tr2bl w:val="nil"/>
            </w:tcBorders>
            <w:vAlign w:val="center"/>
          </w:tcPr>
          <w:p w14:paraId="1BB86C30">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不低于二级</w:t>
            </w:r>
          </w:p>
        </w:tc>
        <w:tc>
          <w:tcPr>
            <w:tcW w:w="771" w:type="pct"/>
            <w:tcBorders>
              <w:tl2br w:val="nil"/>
              <w:tr2bl w:val="nil"/>
            </w:tcBorders>
            <w:vAlign w:val="center"/>
          </w:tcPr>
          <w:p w14:paraId="59D11BE2">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不涉及</w:t>
            </w:r>
          </w:p>
        </w:tc>
        <w:tc>
          <w:tcPr>
            <w:tcW w:w="646" w:type="pct"/>
            <w:tcBorders>
              <w:tl2br w:val="nil"/>
              <w:tr2bl w:val="nil"/>
            </w:tcBorders>
            <w:vAlign w:val="center"/>
          </w:tcPr>
          <w:p w14:paraId="454B8E86">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14:paraId="28E1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02A51B5B">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c</w:t>
            </w:r>
          </w:p>
        </w:tc>
        <w:tc>
          <w:tcPr>
            <w:tcW w:w="2398" w:type="pct"/>
            <w:tcBorders>
              <w:tl2br w:val="nil"/>
              <w:tr2bl w:val="nil"/>
            </w:tcBorders>
            <w:vAlign w:val="center"/>
          </w:tcPr>
          <w:p w14:paraId="49E18C44">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涉及生态保护红线</w:t>
            </w:r>
          </w:p>
        </w:tc>
        <w:tc>
          <w:tcPr>
            <w:tcW w:w="767" w:type="pct"/>
            <w:tcBorders>
              <w:tl2br w:val="nil"/>
              <w:tr2bl w:val="nil"/>
            </w:tcBorders>
            <w:vAlign w:val="center"/>
          </w:tcPr>
          <w:p w14:paraId="6D51459D">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不低于二级</w:t>
            </w:r>
          </w:p>
        </w:tc>
        <w:tc>
          <w:tcPr>
            <w:tcW w:w="771" w:type="pct"/>
            <w:tcBorders>
              <w:tl2br w:val="nil"/>
              <w:tr2bl w:val="nil"/>
            </w:tcBorders>
            <w:vAlign w:val="center"/>
          </w:tcPr>
          <w:p w14:paraId="46BB85FB">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不涉及</w:t>
            </w:r>
          </w:p>
        </w:tc>
        <w:tc>
          <w:tcPr>
            <w:tcW w:w="646" w:type="pct"/>
            <w:tcBorders>
              <w:tl2br w:val="nil"/>
              <w:tr2bl w:val="nil"/>
            </w:tcBorders>
            <w:vAlign w:val="center"/>
          </w:tcPr>
          <w:p w14:paraId="1BD3EDF7">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14:paraId="39E88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20F85D9C">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d</w:t>
            </w:r>
          </w:p>
        </w:tc>
        <w:tc>
          <w:tcPr>
            <w:tcW w:w="2398" w:type="pct"/>
            <w:tcBorders>
              <w:tl2br w:val="nil"/>
              <w:tr2bl w:val="nil"/>
            </w:tcBorders>
            <w:vAlign w:val="center"/>
          </w:tcPr>
          <w:p w14:paraId="4885223C">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水文要素影响型且地表水评价等级不低于二级</w:t>
            </w:r>
          </w:p>
        </w:tc>
        <w:tc>
          <w:tcPr>
            <w:tcW w:w="767" w:type="pct"/>
            <w:tcBorders>
              <w:tl2br w:val="nil"/>
              <w:tr2bl w:val="nil"/>
            </w:tcBorders>
            <w:vAlign w:val="center"/>
          </w:tcPr>
          <w:p w14:paraId="3C4142E6">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不低于二级</w:t>
            </w:r>
          </w:p>
        </w:tc>
        <w:tc>
          <w:tcPr>
            <w:tcW w:w="771" w:type="pct"/>
            <w:tcBorders>
              <w:tl2br w:val="nil"/>
              <w:tr2bl w:val="nil"/>
            </w:tcBorders>
            <w:vAlign w:val="center"/>
          </w:tcPr>
          <w:p w14:paraId="4A69C9CF">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不涉及</w:t>
            </w:r>
          </w:p>
        </w:tc>
        <w:tc>
          <w:tcPr>
            <w:tcW w:w="646" w:type="pct"/>
            <w:tcBorders>
              <w:tl2br w:val="nil"/>
              <w:tr2bl w:val="nil"/>
            </w:tcBorders>
            <w:vAlign w:val="center"/>
          </w:tcPr>
          <w:p w14:paraId="39FD3A88">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14:paraId="0603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63D6ED67">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e</w:t>
            </w:r>
          </w:p>
        </w:tc>
        <w:tc>
          <w:tcPr>
            <w:tcW w:w="2398" w:type="pct"/>
            <w:tcBorders>
              <w:tl2br w:val="nil"/>
              <w:tr2bl w:val="nil"/>
            </w:tcBorders>
            <w:vAlign w:val="center"/>
          </w:tcPr>
          <w:p w14:paraId="4933961A">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地下水水位或土壤影响范围内分布有天然林、公益林、湿地等生态保护目标</w:t>
            </w:r>
          </w:p>
        </w:tc>
        <w:tc>
          <w:tcPr>
            <w:tcW w:w="767" w:type="pct"/>
            <w:tcBorders>
              <w:tl2br w:val="nil"/>
              <w:tr2bl w:val="nil"/>
            </w:tcBorders>
            <w:vAlign w:val="center"/>
          </w:tcPr>
          <w:p w14:paraId="3022C922">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不低于二级</w:t>
            </w:r>
          </w:p>
        </w:tc>
        <w:tc>
          <w:tcPr>
            <w:tcW w:w="771" w:type="pct"/>
            <w:tcBorders>
              <w:tl2br w:val="nil"/>
              <w:tr2bl w:val="nil"/>
            </w:tcBorders>
            <w:vAlign w:val="center"/>
          </w:tcPr>
          <w:p w14:paraId="4B79C166">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不涉及</w:t>
            </w:r>
          </w:p>
        </w:tc>
        <w:tc>
          <w:tcPr>
            <w:tcW w:w="646" w:type="pct"/>
            <w:tcBorders>
              <w:tl2br w:val="nil"/>
              <w:tr2bl w:val="nil"/>
            </w:tcBorders>
            <w:vAlign w:val="center"/>
          </w:tcPr>
          <w:p w14:paraId="662B1B54">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14:paraId="25E4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00FC7574">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f</w:t>
            </w:r>
          </w:p>
        </w:tc>
        <w:tc>
          <w:tcPr>
            <w:tcW w:w="2398" w:type="pct"/>
            <w:tcBorders>
              <w:tl2br w:val="nil"/>
              <w:tr2bl w:val="nil"/>
            </w:tcBorders>
            <w:vAlign w:val="center"/>
          </w:tcPr>
          <w:p w14:paraId="2838F6D8">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当工程占地规模大于20km</w:t>
            </w:r>
            <w:r>
              <w:rPr>
                <w:rFonts w:hint="default" w:ascii="Times New Roman" w:hAnsi="Times New Roman" w:eastAsia="宋体" w:cs="Times New Roman"/>
                <w:b w:val="0"/>
                <w:bCs/>
                <w:color w:val="auto"/>
                <w:vertAlign w:val="superscript"/>
              </w:rPr>
              <w:t>2</w:t>
            </w:r>
            <w:r>
              <w:rPr>
                <w:rFonts w:hint="default" w:ascii="Times New Roman" w:hAnsi="Times New Roman" w:eastAsia="宋体" w:cs="Times New Roman"/>
                <w:b w:val="0"/>
                <w:bCs/>
                <w:color w:val="auto"/>
              </w:rPr>
              <w:t>时</w:t>
            </w:r>
          </w:p>
          <w:p w14:paraId="29BC7C5C">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（包括永久和临时占用陆域和水域）</w:t>
            </w:r>
          </w:p>
        </w:tc>
        <w:tc>
          <w:tcPr>
            <w:tcW w:w="767" w:type="pct"/>
            <w:tcBorders>
              <w:tl2br w:val="nil"/>
              <w:tr2bl w:val="nil"/>
            </w:tcBorders>
            <w:vAlign w:val="center"/>
          </w:tcPr>
          <w:p w14:paraId="25E71E7B">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不低于二级</w:t>
            </w:r>
          </w:p>
        </w:tc>
        <w:tc>
          <w:tcPr>
            <w:tcW w:w="771" w:type="pct"/>
            <w:tcBorders>
              <w:tl2br w:val="nil"/>
              <w:tr2bl w:val="nil"/>
            </w:tcBorders>
            <w:vAlign w:val="center"/>
          </w:tcPr>
          <w:p w14:paraId="4064C134">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无新增占地</w:t>
            </w:r>
          </w:p>
        </w:tc>
        <w:tc>
          <w:tcPr>
            <w:tcW w:w="646" w:type="pct"/>
            <w:tcBorders>
              <w:tl2br w:val="nil"/>
              <w:tr2bl w:val="nil"/>
            </w:tcBorders>
            <w:vAlign w:val="center"/>
          </w:tcPr>
          <w:p w14:paraId="21FCCC55">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r w14:paraId="7ECB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6" w:type="pct"/>
            <w:tcBorders>
              <w:tl2br w:val="nil"/>
              <w:tr2bl w:val="nil"/>
            </w:tcBorders>
            <w:vAlign w:val="center"/>
          </w:tcPr>
          <w:p w14:paraId="20654C87">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g</w:t>
            </w:r>
          </w:p>
        </w:tc>
        <w:tc>
          <w:tcPr>
            <w:tcW w:w="2398" w:type="pct"/>
            <w:tcBorders>
              <w:tl2br w:val="nil"/>
              <w:tr2bl w:val="nil"/>
            </w:tcBorders>
            <w:vAlign w:val="center"/>
          </w:tcPr>
          <w:p w14:paraId="30889E41">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除本条 a、b、c、d、e、f以外的情况</w:t>
            </w:r>
          </w:p>
        </w:tc>
        <w:tc>
          <w:tcPr>
            <w:tcW w:w="767" w:type="pct"/>
            <w:tcBorders>
              <w:tl2br w:val="nil"/>
              <w:tr2bl w:val="nil"/>
            </w:tcBorders>
            <w:vAlign w:val="center"/>
          </w:tcPr>
          <w:p w14:paraId="27387693">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三级</w:t>
            </w:r>
          </w:p>
        </w:tc>
        <w:tc>
          <w:tcPr>
            <w:tcW w:w="771" w:type="pct"/>
            <w:tcBorders>
              <w:tl2br w:val="nil"/>
              <w:tr2bl w:val="nil"/>
            </w:tcBorders>
            <w:vAlign w:val="center"/>
          </w:tcPr>
          <w:p w14:paraId="48F8E25D">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不涉及以上</w:t>
            </w:r>
          </w:p>
        </w:tc>
        <w:tc>
          <w:tcPr>
            <w:tcW w:w="646" w:type="pct"/>
            <w:tcBorders>
              <w:tl2br w:val="nil"/>
              <w:tr2bl w:val="nil"/>
            </w:tcBorders>
            <w:vAlign w:val="center"/>
          </w:tcPr>
          <w:p w14:paraId="715226B7">
            <w:pPr>
              <w:pStyle w:val="1489"/>
              <w:keepNext w:val="0"/>
              <w:keepLines w:val="0"/>
              <w:pageBreakBefore w:val="0"/>
              <w:widowControl w:val="0"/>
              <w:kinsoku/>
              <w:wordWrap/>
              <w:overflowPunct/>
              <w:topLinePunct w:val="0"/>
              <w:autoSpaceDE/>
              <w:autoSpaceDN/>
              <w:bidi w:val="0"/>
              <w:adjustRightInd/>
              <w:snapToGrid/>
              <w:spacing w:line="360" w:lineRule="exact"/>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t>
            </w:r>
          </w:p>
        </w:tc>
      </w:tr>
    </w:tbl>
    <w:p w14:paraId="734FC845">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根据《环境影响评价技术导则-生态影响》（HJ19-2022），经环评现场调查和</w:t>
      </w:r>
      <w:r>
        <w:rPr>
          <w:rFonts w:hint="eastAsia" w:cs="Times New Roman"/>
          <w:color w:val="auto"/>
          <w:sz w:val="24"/>
          <w:lang w:val="en-US" w:eastAsia="zh-CN"/>
        </w:rPr>
        <w:t>企业原有环评手续</w:t>
      </w:r>
      <w:r>
        <w:rPr>
          <w:rFonts w:hint="eastAsia" w:ascii="Times New Roman" w:hAnsi="Times New Roman" w:eastAsia="宋体" w:cs="Times New Roman"/>
          <w:color w:val="auto"/>
          <w:sz w:val="24"/>
          <w:lang w:val="en-US" w:eastAsia="zh-CN"/>
        </w:rPr>
        <w:t>，本项目影响区域不涉及特殊和重要生态敏感区，项目位于现有占地范围之内，对地表生态影响主要表现为选矿活动对生态环境的污染影响，</w:t>
      </w:r>
      <w:r>
        <w:rPr>
          <w:rFonts w:hint="eastAsia" w:cs="Times New Roman"/>
          <w:color w:val="auto"/>
          <w:sz w:val="24"/>
          <w:lang w:val="en-US" w:eastAsia="zh-CN"/>
        </w:rPr>
        <w:t>最终</w:t>
      </w:r>
      <w:r>
        <w:rPr>
          <w:rFonts w:hint="eastAsia" w:ascii="Times New Roman" w:hAnsi="Times New Roman" w:eastAsia="宋体" w:cs="Times New Roman"/>
          <w:color w:val="auto"/>
          <w:sz w:val="24"/>
          <w:lang w:val="en-US" w:eastAsia="zh-CN"/>
        </w:rPr>
        <w:t>判定本项目生态影响评价为</w:t>
      </w:r>
      <w:r>
        <w:rPr>
          <w:rFonts w:hint="eastAsia" w:ascii="Times New Roman" w:hAnsi="Times New Roman" w:eastAsia="宋体" w:cs="Times New Roman"/>
          <w:b/>
          <w:bCs/>
          <w:color w:val="auto"/>
          <w:sz w:val="24"/>
          <w:lang w:val="en-US" w:eastAsia="zh-CN"/>
        </w:rPr>
        <w:t>简单分析</w:t>
      </w:r>
      <w:r>
        <w:rPr>
          <w:rFonts w:hint="eastAsia" w:ascii="Times New Roman" w:hAnsi="Times New Roman" w:eastAsia="宋体" w:cs="Times New Roman"/>
          <w:color w:val="auto"/>
          <w:sz w:val="24"/>
          <w:lang w:val="en-US" w:eastAsia="zh-CN"/>
        </w:rPr>
        <w:t>。</w:t>
      </w:r>
    </w:p>
    <w:p w14:paraId="06EC866F">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2.4.1.7环境风险评价等级</w:t>
      </w:r>
    </w:p>
    <w:p w14:paraId="1CCB008B">
      <w:pPr>
        <w:snapToGrid w:val="0"/>
        <w:spacing w:line="360" w:lineRule="auto"/>
        <w:ind w:firstLine="480" w:firstLineChars="200"/>
        <w:rPr>
          <w:rFonts w:eastAsia="宋体"/>
          <w:color w:val="auto"/>
          <w:kern w:val="0"/>
          <w:sz w:val="24"/>
        </w:rPr>
      </w:pPr>
      <w:bookmarkStart w:id="28" w:name="_Toc339121990"/>
      <w:r>
        <w:rPr>
          <w:rFonts w:eastAsia="宋体"/>
          <w:color w:val="auto"/>
          <w:kern w:val="0"/>
          <w:sz w:val="24"/>
        </w:rPr>
        <w:t>根据《建设项目环境风险评价技术导则》（HJ169-2018），环境风险评价等级根据表</w:t>
      </w:r>
      <w:r>
        <w:rPr>
          <w:rFonts w:hint="eastAsia" w:eastAsia="宋体"/>
          <w:color w:val="auto"/>
          <w:kern w:val="0"/>
          <w:sz w:val="24"/>
          <w:lang w:val="en-US" w:eastAsia="zh-CN"/>
        </w:rPr>
        <w:t>2.</w:t>
      </w:r>
      <w:r>
        <w:rPr>
          <w:rFonts w:hint="eastAsia"/>
          <w:color w:val="auto"/>
          <w:kern w:val="0"/>
          <w:sz w:val="24"/>
          <w:lang w:val="en-US" w:eastAsia="zh-CN"/>
        </w:rPr>
        <w:t>4</w:t>
      </w:r>
      <w:r>
        <w:rPr>
          <w:rFonts w:hint="eastAsia" w:eastAsia="宋体"/>
          <w:color w:val="auto"/>
          <w:kern w:val="0"/>
          <w:sz w:val="24"/>
          <w:lang w:val="en-US" w:eastAsia="zh-CN"/>
        </w:rPr>
        <w:t>-</w:t>
      </w:r>
      <w:r>
        <w:rPr>
          <w:rFonts w:hint="eastAsia"/>
          <w:color w:val="auto"/>
          <w:kern w:val="0"/>
          <w:sz w:val="24"/>
          <w:lang w:val="en-US" w:eastAsia="zh-CN"/>
        </w:rPr>
        <w:t>12</w:t>
      </w:r>
      <w:r>
        <w:rPr>
          <w:rFonts w:eastAsia="宋体"/>
          <w:color w:val="auto"/>
          <w:kern w:val="0"/>
          <w:sz w:val="24"/>
        </w:rPr>
        <w:t>进行划分。</w:t>
      </w:r>
    </w:p>
    <w:p w14:paraId="076638D2">
      <w:pPr>
        <w:spacing w:line="360" w:lineRule="auto"/>
        <w:jc w:val="center"/>
        <w:rPr>
          <w:rFonts w:eastAsia="宋体"/>
          <w:b/>
          <w:color w:val="auto"/>
          <w:sz w:val="24"/>
          <w:szCs w:val="28"/>
        </w:rPr>
      </w:pPr>
      <w:r>
        <w:rPr>
          <w:rFonts w:eastAsia="宋体"/>
          <w:b/>
          <w:color w:val="auto"/>
          <w:sz w:val="24"/>
          <w:szCs w:val="28"/>
        </w:rPr>
        <w:t>表</w:t>
      </w:r>
      <w:r>
        <w:rPr>
          <w:rFonts w:hint="eastAsia" w:eastAsia="宋体"/>
          <w:b/>
          <w:color w:val="auto"/>
          <w:sz w:val="24"/>
          <w:szCs w:val="28"/>
          <w:lang w:val="en-US" w:eastAsia="zh-CN"/>
        </w:rPr>
        <w:t>2.</w:t>
      </w:r>
      <w:r>
        <w:rPr>
          <w:rFonts w:hint="eastAsia"/>
          <w:b/>
          <w:color w:val="auto"/>
          <w:sz w:val="24"/>
          <w:szCs w:val="28"/>
          <w:lang w:val="en-US" w:eastAsia="zh-CN"/>
        </w:rPr>
        <w:t>4</w:t>
      </w:r>
      <w:r>
        <w:rPr>
          <w:rFonts w:hint="eastAsia" w:eastAsia="宋体"/>
          <w:b/>
          <w:color w:val="auto"/>
          <w:sz w:val="24"/>
          <w:szCs w:val="28"/>
          <w:lang w:val="en-US" w:eastAsia="zh-CN"/>
        </w:rPr>
        <w:t>-</w:t>
      </w:r>
      <w:r>
        <w:rPr>
          <w:rFonts w:hint="eastAsia"/>
          <w:b/>
          <w:color w:val="auto"/>
          <w:sz w:val="24"/>
          <w:szCs w:val="28"/>
          <w:lang w:val="en-US" w:eastAsia="zh-CN"/>
        </w:rPr>
        <w:t>12</w:t>
      </w:r>
      <w:r>
        <w:rPr>
          <w:rFonts w:hint="eastAsia" w:eastAsia="宋体"/>
          <w:b/>
          <w:color w:val="auto"/>
          <w:sz w:val="24"/>
          <w:szCs w:val="28"/>
          <w:lang w:val="en-US" w:eastAsia="zh-CN"/>
        </w:rPr>
        <w:t xml:space="preserve">  </w:t>
      </w:r>
      <w:r>
        <w:rPr>
          <w:rFonts w:hint="eastAsia" w:eastAsia="宋体"/>
          <w:b/>
          <w:color w:val="auto"/>
          <w:sz w:val="24"/>
          <w:szCs w:val="28"/>
        </w:rPr>
        <w:t xml:space="preserve"> </w:t>
      </w:r>
      <w:r>
        <w:rPr>
          <w:rFonts w:eastAsia="宋体"/>
          <w:b/>
          <w:color w:val="auto"/>
          <w:sz w:val="24"/>
          <w:szCs w:val="28"/>
        </w:rPr>
        <w:t xml:space="preserve"> 环境评价等级划分表</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3"/>
        <w:gridCol w:w="1703"/>
        <w:gridCol w:w="1703"/>
        <w:gridCol w:w="1713"/>
      </w:tblGrid>
      <w:tr w14:paraId="2D0D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703" w:type="dxa"/>
            <w:vAlign w:val="center"/>
          </w:tcPr>
          <w:p w14:paraId="279CC7EC">
            <w:pPr>
              <w:jc w:val="center"/>
              <w:rPr>
                <w:rFonts w:eastAsia="宋体"/>
                <w:color w:val="auto"/>
                <w:szCs w:val="21"/>
              </w:rPr>
            </w:pPr>
            <w:r>
              <w:rPr>
                <w:rFonts w:eastAsia="宋体"/>
                <w:color w:val="auto"/>
                <w:szCs w:val="21"/>
              </w:rPr>
              <w:t>环境风险潜势</w:t>
            </w:r>
          </w:p>
        </w:tc>
        <w:tc>
          <w:tcPr>
            <w:tcW w:w="1703" w:type="dxa"/>
            <w:vAlign w:val="center"/>
          </w:tcPr>
          <w:p w14:paraId="1ED81A5A">
            <w:pPr>
              <w:jc w:val="center"/>
              <w:rPr>
                <w:rFonts w:eastAsia="宋体"/>
                <w:color w:val="auto"/>
                <w:szCs w:val="21"/>
              </w:rPr>
            </w:pPr>
            <w:r>
              <w:rPr>
                <w:rFonts w:eastAsia="宋体"/>
                <w:color w:val="auto"/>
                <w:szCs w:val="21"/>
              </w:rPr>
              <w:t>Ⅳ、Ⅳ</w:t>
            </w:r>
            <w:r>
              <w:rPr>
                <w:rFonts w:eastAsia="宋体"/>
                <w:color w:val="auto"/>
                <w:szCs w:val="21"/>
                <w:vertAlign w:val="superscript"/>
              </w:rPr>
              <w:t>+</w:t>
            </w:r>
          </w:p>
        </w:tc>
        <w:tc>
          <w:tcPr>
            <w:tcW w:w="1703" w:type="dxa"/>
            <w:vAlign w:val="center"/>
          </w:tcPr>
          <w:p w14:paraId="7241733E">
            <w:pPr>
              <w:jc w:val="center"/>
              <w:rPr>
                <w:rFonts w:eastAsia="宋体"/>
                <w:color w:val="auto"/>
                <w:szCs w:val="21"/>
              </w:rPr>
            </w:pPr>
            <w:r>
              <w:rPr>
                <w:rFonts w:eastAsia="宋体"/>
                <w:color w:val="auto"/>
                <w:szCs w:val="21"/>
              </w:rPr>
              <w:t>Ⅲ</w:t>
            </w:r>
          </w:p>
        </w:tc>
        <w:tc>
          <w:tcPr>
            <w:tcW w:w="1703" w:type="dxa"/>
            <w:vAlign w:val="center"/>
          </w:tcPr>
          <w:p w14:paraId="2BCC0C97">
            <w:pPr>
              <w:jc w:val="center"/>
              <w:rPr>
                <w:rFonts w:eastAsia="宋体"/>
                <w:color w:val="auto"/>
                <w:szCs w:val="21"/>
              </w:rPr>
            </w:pPr>
            <w:r>
              <w:rPr>
                <w:rFonts w:eastAsia="宋体"/>
                <w:color w:val="auto"/>
                <w:szCs w:val="21"/>
              </w:rPr>
              <w:t>Ⅱ</w:t>
            </w:r>
          </w:p>
        </w:tc>
        <w:tc>
          <w:tcPr>
            <w:tcW w:w="1713" w:type="dxa"/>
            <w:vAlign w:val="center"/>
          </w:tcPr>
          <w:p w14:paraId="2B35273B">
            <w:pPr>
              <w:jc w:val="center"/>
              <w:rPr>
                <w:rFonts w:eastAsia="宋体"/>
                <w:color w:val="auto"/>
                <w:szCs w:val="21"/>
              </w:rPr>
            </w:pPr>
            <w:r>
              <w:rPr>
                <w:rFonts w:eastAsia="宋体"/>
                <w:color w:val="auto"/>
                <w:szCs w:val="21"/>
              </w:rPr>
              <w:t>Ⅰ</w:t>
            </w:r>
          </w:p>
        </w:tc>
      </w:tr>
      <w:tr w14:paraId="78BF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3BC3BF37">
            <w:pPr>
              <w:jc w:val="center"/>
              <w:rPr>
                <w:rFonts w:eastAsia="宋体"/>
                <w:color w:val="auto"/>
                <w:szCs w:val="21"/>
              </w:rPr>
            </w:pPr>
            <w:r>
              <w:rPr>
                <w:rFonts w:eastAsia="宋体"/>
                <w:color w:val="auto"/>
                <w:szCs w:val="21"/>
              </w:rPr>
              <w:t>评价工作等级</w:t>
            </w:r>
          </w:p>
        </w:tc>
        <w:tc>
          <w:tcPr>
            <w:tcW w:w="1703" w:type="dxa"/>
            <w:vAlign w:val="center"/>
          </w:tcPr>
          <w:p w14:paraId="5BAACC05">
            <w:pPr>
              <w:jc w:val="center"/>
              <w:rPr>
                <w:rFonts w:eastAsia="宋体"/>
                <w:color w:val="auto"/>
                <w:szCs w:val="21"/>
              </w:rPr>
            </w:pPr>
            <w:r>
              <w:rPr>
                <w:rFonts w:eastAsia="宋体"/>
                <w:color w:val="auto"/>
                <w:szCs w:val="21"/>
              </w:rPr>
              <w:t>一</w:t>
            </w:r>
          </w:p>
        </w:tc>
        <w:tc>
          <w:tcPr>
            <w:tcW w:w="1703" w:type="dxa"/>
            <w:vAlign w:val="center"/>
          </w:tcPr>
          <w:p w14:paraId="206BB09D">
            <w:pPr>
              <w:jc w:val="center"/>
              <w:rPr>
                <w:rFonts w:eastAsia="宋体"/>
                <w:color w:val="auto"/>
                <w:szCs w:val="21"/>
              </w:rPr>
            </w:pPr>
            <w:r>
              <w:rPr>
                <w:rFonts w:eastAsia="宋体"/>
                <w:color w:val="auto"/>
                <w:szCs w:val="21"/>
              </w:rPr>
              <w:t>二</w:t>
            </w:r>
          </w:p>
        </w:tc>
        <w:tc>
          <w:tcPr>
            <w:tcW w:w="1703" w:type="dxa"/>
            <w:vAlign w:val="center"/>
          </w:tcPr>
          <w:p w14:paraId="1569D9BD">
            <w:pPr>
              <w:jc w:val="center"/>
              <w:rPr>
                <w:rFonts w:eastAsia="宋体"/>
                <w:color w:val="auto"/>
                <w:szCs w:val="21"/>
              </w:rPr>
            </w:pPr>
            <w:r>
              <w:rPr>
                <w:rFonts w:eastAsia="宋体"/>
                <w:color w:val="auto"/>
                <w:szCs w:val="21"/>
              </w:rPr>
              <w:t>三</w:t>
            </w:r>
          </w:p>
        </w:tc>
        <w:tc>
          <w:tcPr>
            <w:tcW w:w="1713" w:type="dxa"/>
            <w:vAlign w:val="center"/>
          </w:tcPr>
          <w:p w14:paraId="5B60B545">
            <w:pPr>
              <w:jc w:val="center"/>
              <w:rPr>
                <w:rFonts w:eastAsia="宋体"/>
                <w:color w:val="auto"/>
                <w:szCs w:val="21"/>
              </w:rPr>
            </w:pPr>
            <w:r>
              <w:rPr>
                <w:rFonts w:eastAsia="宋体"/>
                <w:color w:val="auto"/>
                <w:szCs w:val="21"/>
              </w:rPr>
              <w:t>简单分析</w:t>
            </w:r>
            <w:r>
              <w:rPr>
                <w:rFonts w:eastAsia="宋体"/>
                <w:color w:val="auto"/>
                <w:szCs w:val="21"/>
                <w:vertAlign w:val="superscript"/>
              </w:rPr>
              <w:t>a</w:t>
            </w:r>
          </w:p>
        </w:tc>
      </w:tr>
      <w:tr w14:paraId="3B58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5" w:type="dxa"/>
            <w:gridSpan w:val="5"/>
            <w:vAlign w:val="center"/>
          </w:tcPr>
          <w:p w14:paraId="279EE11A">
            <w:pPr>
              <w:rPr>
                <w:rFonts w:eastAsia="宋体"/>
                <w:color w:val="auto"/>
                <w:szCs w:val="21"/>
              </w:rPr>
            </w:pPr>
            <w:r>
              <w:rPr>
                <w:rFonts w:eastAsia="宋体"/>
                <w:color w:val="auto"/>
                <w:szCs w:val="21"/>
              </w:rPr>
              <w:t>a是相对于详细评价工作内容而言，在描述危险物质、环境影响途径、环境危害后果、风险防范措施等方面给出定性的说明。</w:t>
            </w:r>
          </w:p>
        </w:tc>
      </w:tr>
    </w:tbl>
    <w:p w14:paraId="4C7F911B">
      <w:pPr>
        <w:spacing w:line="360" w:lineRule="auto"/>
        <w:ind w:left="105" w:leftChars="50" w:firstLine="360" w:firstLineChars="150"/>
        <w:rPr>
          <w:rFonts w:eastAsia="宋体"/>
          <w:color w:val="auto"/>
          <w:sz w:val="24"/>
        </w:rPr>
      </w:pPr>
      <w:r>
        <w:rPr>
          <w:rFonts w:eastAsia="宋体"/>
          <w:color w:val="auto"/>
          <w:sz w:val="24"/>
        </w:rPr>
        <w:t>建设项目环境风险潜势划分为Ⅰ、Ⅱ、Ⅲ、Ⅳ/Ⅳ</w:t>
      </w:r>
      <w:r>
        <w:rPr>
          <w:rFonts w:eastAsia="宋体"/>
          <w:color w:val="auto"/>
          <w:sz w:val="24"/>
          <w:vertAlign w:val="superscript"/>
        </w:rPr>
        <w:t>+</w:t>
      </w:r>
      <w:r>
        <w:rPr>
          <w:rFonts w:eastAsia="宋体"/>
          <w:color w:val="auto"/>
          <w:sz w:val="24"/>
        </w:rPr>
        <w:t>级。环境风险潜势根据</w:t>
      </w:r>
      <w:r>
        <w:rPr>
          <w:rFonts w:hint="eastAsia"/>
          <w:color w:val="auto"/>
          <w:sz w:val="24"/>
          <w:lang w:eastAsia="zh-CN"/>
        </w:rPr>
        <w:t>下</w:t>
      </w:r>
      <w:r>
        <w:rPr>
          <w:rFonts w:eastAsia="宋体"/>
          <w:color w:val="auto"/>
          <w:sz w:val="24"/>
        </w:rPr>
        <w:t>表确定。</w:t>
      </w:r>
    </w:p>
    <w:p w14:paraId="6BB82A45">
      <w:pPr>
        <w:spacing w:line="360" w:lineRule="auto"/>
        <w:jc w:val="center"/>
        <w:rPr>
          <w:rFonts w:eastAsia="宋体"/>
          <w:color w:val="auto"/>
          <w:sz w:val="24"/>
          <w:szCs w:val="22"/>
        </w:rPr>
      </w:pPr>
      <w:r>
        <w:rPr>
          <w:rFonts w:eastAsia="宋体"/>
          <w:b/>
          <w:color w:val="auto"/>
          <w:sz w:val="24"/>
          <w:szCs w:val="28"/>
        </w:rPr>
        <w:t>表</w:t>
      </w:r>
      <w:r>
        <w:rPr>
          <w:rFonts w:hint="eastAsia" w:eastAsia="宋体"/>
          <w:b/>
          <w:color w:val="auto"/>
          <w:sz w:val="24"/>
          <w:szCs w:val="28"/>
          <w:lang w:val="en-US" w:eastAsia="zh-CN"/>
        </w:rPr>
        <w:t>2.</w:t>
      </w:r>
      <w:r>
        <w:rPr>
          <w:rFonts w:hint="eastAsia"/>
          <w:b/>
          <w:color w:val="auto"/>
          <w:sz w:val="24"/>
          <w:szCs w:val="28"/>
          <w:lang w:val="en-US" w:eastAsia="zh-CN"/>
        </w:rPr>
        <w:t>4-13</w:t>
      </w:r>
      <w:r>
        <w:rPr>
          <w:rFonts w:hint="eastAsia" w:eastAsia="宋体"/>
          <w:b/>
          <w:color w:val="auto"/>
          <w:sz w:val="24"/>
          <w:szCs w:val="28"/>
          <w:lang w:val="en-US" w:eastAsia="zh-CN"/>
        </w:rPr>
        <w:t xml:space="preserve"> </w:t>
      </w:r>
      <w:r>
        <w:rPr>
          <w:rFonts w:hint="eastAsia" w:eastAsia="宋体"/>
          <w:b/>
          <w:color w:val="auto"/>
          <w:sz w:val="24"/>
          <w:szCs w:val="28"/>
        </w:rPr>
        <w:t xml:space="preserve"> </w:t>
      </w:r>
      <w:r>
        <w:rPr>
          <w:rFonts w:eastAsia="宋体"/>
          <w:b/>
          <w:color w:val="auto"/>
          <w:sz w:val="24"/>
          <w:szCs w:val="28"/>
        </w:rPr>
        <w:t xml:space="preserve">  建设项目环境风险潜势划分表</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95"/>
        <w:gridCol w:w="1602"/>
        <w:gridCol w:w="1602"/>
        <w:gridCol w:w="1602"/>
        <w:gridCol w:w="1609"/>
      </w:tblGrid>
      <w:tr w14:paraId="6AB3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5" w:type="dxa"/>
            <w:vMerge w:val="restart"/>
            <w:vAlign w:val="center"/>
          </w:tcPr>
          <w:p w14:paraId="36772F24">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环境敏感程度（E）</w:t>
            </w:r>
          </w:p>
        </w:tc>
        <w:tc>
          <w:tcPr>
            <w:tcW w:w="6415" w:type="dxa"/>
            <w:gridSpan w:val="4"/>
            <w:vAlign w:val="center"/>
          </w:tcPr>
          <w:p w14:paraId="56F1DAAB">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危险物质及工艺系统危险（P）</w:t>
            </w:r>
          </w:p>
        </w:tc>
      </w:tr>
      <w:tr w14:paraId="0620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5" w:type="dxa"/>
            <w:vMerge w:val="continue"/>
            <w:vAlign w:val="center"/>
          </w:tcPr>
          <w:p w14:paraId="3307BF37">
            <w:pPr>
              <w:widowControl/>
              <w:jc w:val="left"/>
              <w:rPr>
                <w:rFonts w:eastAsia="宋体"/>
                <w:color w:val="auto"/>
                <w:kern w:val="0"/>
                <w:szCs w:val="21"/>
              </w:rPr>
            </w:pPr>
          </w:p>
        </w:tc>
        <w:tc>
          <w:tcPr>
            <w:tcW w:w="1602" w:type="dxa"/>
            <w:vAlign w:val="center"/>
          </w:tcPr>
          <w:p w14:paraId="0B26AAAB">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极高危害（P1）</w:t>
            </w:r>
          </w:p>
        </w:tc>
        <w:tc>
          <w:tcPr>
            <w:tcW w:w="1602" w:type="dxa"/>
            <w:vAlign w:val="center"/>
          </w:tcPr>
          <w:p w14:paraId="0C7EC0A8">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高度危害（P2）</w:t>
            </w:r>
          </w:p>
        </w:tc>
        <w:tc>
          <w:tcPr>
            <w:tcW w:w="1602" w:type="dxa"/>
            <w:vAlign w:val="center"/>
          </w:tcPr>
          <w:p w14:paraId="6C70656A">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中度危害（P3）</w:t>
            </w:r>
          </w:p>
        </w:tc>
        <w:tc>
          <w:tcPr>
            <w:tcW w:w="1609" w:type="dxa"/>
            <w:vAlign w:val="center"/>
          </w:tcPr>
          <w:p w14:paraId="2B1AF1E2">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轻度危害（P4）</w:t>
            </w:r>
          </w:p>
        </w:tc>
      </w:tr>
      <w:tr w14:paraId="65266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5" w:type="dxa"/>
            <w:vAlign w:val="center"/>
          </w:tcPr>
          <w:p w14:paraId="0A5607A9">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环境高度敏感区</w:t>
            </w:r>
            <w:r>
              <w:rPr>
                <w:rFonts w:ascii="Times New Roman" w:hAnsi="Times New Roman" w:eastAsia="宋体" w:cs="Times New Roman"/>
                <w:color w:val="auto"/>
                <w:kern w:val="0"/>
                <w:sz w:val="18"/>
                <w:szCs w:val="18"/>
                <w:lang w:val="en-US" w:eastAsia="zh-CN" w:bidi="ar-SA"/>
              </w:rPr>
              <w:t>（E1）</w:t>
            </w:r>
          </w:p>
        </w:tc>
        <w:tc>
          <w:tcPr>
            <w:tcW w:w="1602" w:type="dxa"/>
            <w:vAlign w:val="center"/>
          </w:tcPr>
          <w:p w14:paraId="6DB13288">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Ⅳ</w:t>
            </w:r>
            <w:r>
              <w:rPr>
                <w:rFonts w:ascii="Times New Roman" w:hAnsi="Times New Roman" w:eastAsia="宋体" w:cs="Times New Roman"/>
                <w:color w:val="auto"/>
                <w:kern w:val="0"/>
                <w:sz w:val="21"/>
                <w:szCs w:val="21"/>
                <w:vertAlign w:val="superscript"/>
                <w:lang w:val="en-US" w:eastAsia="zh-CN" w:bidi="ar-SA"/>
              </w:rPr>
              <w:t>+</w:t>
            </w:r>
          </w:p>
        </w:tc>
        <w:tc>
          <w:tcPr>
            <w:tcW w:w="1602" w:type="dxa"/>
            <w:vAlign w:val="center"/>
          </w:tcPr>
          <w:p w14:paraId="1A5118C0">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Ⅳ</w:t>
            </w:r>
          </w:p>
        </w:tc>
        <w:tc>
          <w:tcPr>
            <w:tcW w:w="1602" w:type="dxa"/>
            <w:vAlign w:val="center"/>
          </w:tcPr>
          <w:p w14:paraId="5EFD1795">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Ⅲ</w:t>
            </w:r>
          </w:p>
        </w:tc>
        <w:tc>
          <w:tcPr>
            <w:tcW w:w="1609" w:type="dxa"/>
            <w:vAlign w:val="center"/>
          </w:tcPr>
          <w:p w14:paraId="68636CFF">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Ⅲ</w:t>
            </w:r>
          </w:p>
        </w:tc>
      </w:tr>
      <w:tr w14:paraId="3E9E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5" w:type="dxa"/>
            <w:vAlign w:val="center"/>
          </w:tcPr>
          <w:p w14:paraId="4BE73A08">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环境中度敏感区</w:t>
            </w:r>
            <w:r>
              <w:rPr>
                <w:rFonts w:ascii="Times New Roman" w:hAnsi="Times New Roman" w:eastAsia="宋体" w:cs="Times New Roman"/>
                <w:color w:val="auto"/>
                <w:kern w:val="0"/>
                <w:sz w:val="18"/>
                <w:szCs w:val="18"/>
                <w:lang w:val="en-US" w:eastAsia="zh-CN" w:bidi="ar-SA"/>
              </w:rPr>
              <w:t>（E2）</w:t>
            </w:r>
          </w:p>
        </w:tc>
        <w:tc>
          <w:tcPr>
            <w:tcW w:w="1602" w:type="dxa"/>
            <w:vAlign w:val="center"/>
          </w:tcPr>
          <w:p w14:paraId="600F7F29">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Ⅳ</w:t>
            </w:r>
          </w:p>
        </w:tc>
        <w:tc>
          <w:tcPr>
            <w:tcW w:w="1602" w:type="dxa"/>
            <w:vAlign w:val="center"/>
          </w:tcPr>
          <w:p w14:paraId="5DE50519">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Ⅲ</w:t>
            </w:r>
          </w:p>
        </w:tc>
        <w:tc>
          <w:tcPr>
            <w:tcW w:w="1602" w:type="dxa"/>
            <w:vAlign w:val="center"/>
          </w:tcPr>
          <w:p w14:paraId="559445B7">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Ⅲ</w:t>
            </w:r>
          </w:p>
        </w:tc>
        <w:tc>
          <w:tcPr>
            <w:tcW w:w="1609" w:type="dxa"/>
            <w:vAlign w:val="center"/>
          </w:tcPr>
          <w:p w14:paraId="48092875">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Ⅱ</w:t>
            </w:r>
          </w:p>
        </w:tc>
      </w:tr>
      <w:tr w14:paraId="4D198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895" w:type="dxa"/>
            <w:vAlign w:val="center"/>
          </w:tcPr>
          <w:p w14:paraId="317C6844">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环境低度敏感区</w:t>
            </w:r>
            <w:r>
              <w:rPr>
                <w:rFonts w:ascii="Times New Roman" w:hAnsi="Times New Roman" w:eastAsia="宋体" w:cs="Times New Roman"/>
                <w:color w:val="auto"/>
                <w:kern w:val="0"/>
                <w:sz w:val="18"/>
                <w:szCs w:val="18"/>
                <w:lang w:val="en-US" w:eastAsia="zh-CN" w:bidi="ar-SA"/>
              </w:rPr>
              <w:t>（E3）</w:t>
            </w:r>
          </w:p>
        </w:tc>
        <w:tc>
          <w:tcPr>
            <w:tcW w:w="1602" w:type="dxa"/>
            <w:vAlign w:val="center"/>
          </w:tcPr>
          <w:p w14:paraId="7BDA7D07">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Ⅲ</w:t>
            </w:r>
          </w:p>
        </w:tc>
        <w:tc>
          <w:tcPr>
            <w:tcW w:w="1602" w:type="dxa"/>
            <w:vAlign w:val="center"/>
          </w:tcPr>
          <w:p w14:paraId="1AA391B0">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Ⅲ</w:t>
            </w:r>
          </w:p>
        </w:tc>
        <w:tc>
          <w:tcPr>
            <w:tcW w:w="1602" w:type="dxa"/>
            <w:vAlign w:val="center"/>
          </w:tcPr>
          <w:p w14:paraId="1419786F">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Ⅱ</w:t>
            </w:r>
          </w:p>
        </w:tc>
        <w:tc>
          <w:tcPr>
            <w:tcW w:w="1609" w:type="dxa"/>
            <w:vAlign w:val="center"/>
          </w:tcPr>
          <w:p w14:paraId="1FEC033C">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Ⅰ</w:t>
            </w:r>
          </w:p>
        </w:tc>
      </w:tr>
      <w:tr w14:paraId="17F1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0" w:type="dxa"/>
            <w:gridSpan w:val="5"/>
            <w:vAlign w:val="center"/>
          </w:tcPr>
          <w:p w14:paraId="57110684">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注：Ⅳ</w:t>
            </w:r>
            <w:r>
              <w:rPr>
                <w:rFonts w:ascii="Times New Roman" w:hAnsi="Times New Roman" w:eastAsia="宋体" w:cs="Times New Roman"/>
                <w:color w:val="auto"/>
                <w:kern w:val="0"/>
                <w:sz w:val="21"/>
                <w:szCs w:val="21"/>
                <w:vertAlign w:val="superscript"/>
                <w:lang w:val="en-US" w:eastAsia="zh-CN" w:bidi="ar-SA"/>
              </w:rPr>
              <w:t>+</w:t>
            </w:r>
            <w:r>
              <w:rPr>
                <w:rFonts w:ascii="Times New Roman" w:hAnsi="Times New Roman" w:eastAsia="宋体" w:cs="Times New Roman"/>
                <w:color w:val="auto"/>
                <w:kern w:val="0"/>
                <w:sz w:val="21"/>
                <w:szCs w:val="21"/>
                <w:lang w:val="en-US" w:eastAsia="zh-CN" w:bidi="ar-SA"/>
              </w:rPr>
              <w:t>为极高环境风险。</w:t>
            </w:r>
          </w:p>
        </w:tc>
      </w:tr>
    </w:tbl>
    <w:p w14:paraId="7FA0EE47">
      <w:pPr>
        <w:widowControl w:val="0"/>
        <w:spacing w:after="0"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·P</w:t>
      </w:r>
      <w:r>
        <w:rPr>
          <w:rFonts w:ascii="Times New Roman" w:hAnsi="Times New Roman" w:eastAsia="宋体" w:cs="Times New Roman"/>
          <w:color w:val="auto"/>
          <w:kern w:val="2"/>
          <w:sz w:val="24"/>
          <w:szCs w:val="24"/>
          <w:lang w:val="en-US" w:eastAsia="zh-CN" w:bidi="ar-SA"/>
        </w:rPr>
        <w:t>值判定</w:t>
      </w:r>
    </w:p>
    <w:p w14:paraId="43B5624A">
      <w:pPr>
        <w:widowControl w:val="0"/>
        <w:spacing w:after="0"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根据危险物质数量与临界量比值（Q）和行业及生产工艺（M），按照表2-2</w:t>
      </w:r>
      <w:r>
        <w:rPr>
          <w:rFonts w:hint="eastAsia" w:ascii="Times New Roman" w:hAnsi="Times New Roman" w:eastAsia="宋体" w:cs="Times New Roman"/>
          <w:color w:val="auto"/>
          <w:kern w:val="2"/>
          <w:sz w:val="24"/>
          <w:szCs w:val="24"/>
          <w:lang w:val="en-US" w:eastAsia="zh-CN" w:bidi="ar-SA"/>
        </w:rPr>
        <w:t>8</w:t>
      </w:r>
      <w:r>
        <w:rPr>
          <w:rFonts w:ascii="Times New Roman" w:hAnsi="Times New Roman" w:eastAsia="宋体" w:cs="Times New Roman"/>
          <w:color w:val="auto"/>
          <w:kern w:val="2"/>
          <w:sz w:val="24"/>
          <w:szCs w:val="24"/>
          <w:lang w:val="en-US" w:eastAsia="zh-CN" w:bidi="ar-SA"/>
        </w:rPr>
        <w:t>确定危险物质及工艺系统危险性等级（P），分别以 P1、P2、P3、P4表示。</w:t>
      </w:r>
    </w:p>
    <w:p w14:paraId="20667840">
      <w:pPr>
        <w:spacing w:line="360" w:lineRule="auto"/>
        <w:jc w:val="center"/>
        <w:rPr>
          <w:rFonts w:eastAsia="宋体"/>
          <w:b/>
          <w:color w:val="auto"/>
          <w:sz w:val="24"/>
          <w:szCs w:val="24"/>
        </w:rPr>
      </w:pPr>
      <w:r>
        <w:rPr>
          <w:rFonts w:eastAsia="宋体"/>
          <w:b/>
          <w:color w:val="auto"/>
          <w:sz w:val="24"/>
          <w:szCs w:val="24"/>
        </w:rPr>
        <w:t>表</w:t>
      </w:r>
      <w:r>
        <w:rPr>
          <w:rFonts w:hint="eastAsia" w:eastAsia="宋体"/>
          <w:b/>
          <w:color w:val="auto"/>
          <w:sz w:val="24"/>
          <w:szCs w:val="24"/>
          <w:lang w:val="en-US" w:eastAsia="zh-CN"/>
        </w:rPr>
        <w:t>2.</w:t>
      </w:r>
      <w:r>
        <w:rPr>
          <w:rFonts w:hint="eastAsia"/>
          <w:b/>
          <w:color w:val="auto"/>
          <w:sz w:val="24"/>
          <w:szCs w:val="24"/>
          <w:lang w:val="en-US" w:eastAsia="zh-CN"/>
        </w:rPr>
        <w:t>4-14</w:t>
      </w:r>
      <w:r>
        <w:rPr>
          <w:rFonts w:hint="eastAsia" w:eastAsia="宋体"/>
          <w:b/>
          <w:color w:val="auto"/>
          <w:sz w:val="24"/>
          <w:szCs w:val="24"/>
          <w:lang w:val="en-US" w:eastAsia="zh-CN"/>
        </w:rPr>
        <w:t xml:space="preserve"> </w:t>
      </w:r>
      <w:r>
        <w:rPr>
          <w:rFonts w:hint="eastAsia" w:eastAsia="宋体"/>
          <w:b/>
          <w:color w:val="auto"/>
          <w:sz w:val="24"/>
          <w:szCs w:val="24"/>
        </w:rPr>
        <w:t xml:space="preserve"> </w:t>
      </w:r>
      <w:r>
        <w:rPr>
          <w:rFonts w:eastAsia="宋体"/>
          <w:b/>
          <w:color w:val="auto"/>
          <w:sz w:val="24"/>
          <w:szCs w:val="24"/>
        </w:rPr>
        <w:t xml:space="preserve">  危险物质及工艺系统危险性等级判断（P）</w:t>
      </w:r>
    </w:p>
    <w:tbl>
      <w:tblPr>
        <w:tblStyle w:val="75"/>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70"/>
        <w:gridCol w:w="1611"/>
        <w:gridCol w:w="1611"/>
        <w:gridCol w:w="1611"/>
        <w:gridCol w:w="1609"/>
      </w:tblGrid>
      <w:tr w14:paraId="5368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16" w:type="pct"/>
            <w:vMerge w:val="restart"/>
            <w:vAlign w:val="center"/>
          </w:tcPr>
          <w:p w14:paraId="6D0F457C">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spacing w:val="7"/>
                <w:kern w:val="0"/>
                <w:sz w:val="21"/>
                <w:szCs w:val="21"/>
                <w:lang w:val="en-US" w:eastAsia="zh-CN" w:bidi="ar-SA"/>
              </w:rPr>
              <w:t>危险物质数量与临界量比值</w:t>
            </w:r>
            <w:r>
              <w:rPr>
                <w:rFonts w:ascii="Times New Roman" w:hAnsi="Times New Roman" w:eastAsia="宋体" w:cs="Times New Roman"/>
                <w:color w:val="auto"/>
                <w:kern w:val="0"/>
                <w:sz w:val="21"/>
                <w:szCs w:val="21"/>
                <w:lang w:val="en-US" w:eastAsia="zh-CN" w:bidi="ar-SA"/>
              </w:rPr>
              <w:t>（</w:t>
            </w:r>
            <w:r>
              <w:rPr>
                <w:rFonts w:ascii="Times New Roman" w:hAnsi="Times New Roman" w:eastAsia="宋体" w:cs="Times New Roman"/>
                <w:i/>
                <w:color w:val="auto"/>
                <w:kern w:val="0"/>
                <w:sz w:val="21"/>
                <w:szCs w:val="21"/>
                <w:lang w:val="en-US" w:eastAsia="zh-CN" w:bidi="ar-SA"/>
              </w:rPr>
              <w:t>Q</w:t>
            </w:r>
            <w:r>
              <w:rPr>
                <w:rFonts w:ascii="Times New Roman" w:hAnsi="Times New Roman" w:eastAsia="宋体" w:cs="Times New Roman"/>
                <w:color w:val="auto"/>
                <w:kern w:val="0"/>
                <w:sz w:val="21"/>
                <w:szCs w:val="21"/>
                <w:lang w:val="en-US" w:eastAsia="zh-CN" w:bidi="ar-SA"/>
              </w:rPr>
              <w:t>）</w:t>
            </w:r>
          </w:p>
        </w:tc>
        <w:tc>
          <w:tcPr>
            <w:tcW w:w="3783" w:type="pct"/>
            <w:gridSpan w:val="4"/>
            <w:vAlign w:val="center"/>
          </w:tcPr>
          <w:p w14:paraId="5A691B71">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行业及生产工艺（M）</w:t>
            </w:r>
          </w:p>
        </w:tc>
      </w:tr>
      <w:tr w14:paraId="4EA2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16" w:type="pct"/>
            <w:vMerge w:val="continue"/>
            <w:vAlign w:val="center"/>
          </w:tcPr>
          <w:p w14:paraId="3D132E9E">
            <w:pPr>
              <w:widowControl/>
              <w:jc w:val="left"/>
              <w:rPr>
                <w:rFonts w:eastAsia="宋体"/>
                <w:color w:val="auto"/>
                <w:kern w:val="0"/>
                <w:szCs w:val="21"/>
              </w:rPr>
            </w:pPr>
          </w:p>
        </w:tc>
        <w:tc>
          <w:tcPr>
            <w:tcW w:w="946" w:type="pct"/>
            <w:vAlign w:val="center"/>
          </w:tcPr>
          <w:p w14:paraId="4E6C43F0">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M1</w:t>
            </w:r>
          </w:p>
        </w:tc>
        <w:tc>
          <w:tcPr>
            <w:tcW w:w="946" w:type="pct"/>
            <w:vAlign w:val="center"/>
          </w:tcPr>
          <w:p w14:paraId="1B73F7F7">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M2</w:t>
            </w:r>
          </w:p>
        </w:tc>
        <w:tc>
          <w:tcPr>
            <w:tcW w:w="946" w:type="pct"/>
            <w:vAlign w:val="center"/>
          </w:tcPr>
          <w:p w14:paraId="5CD96CB9">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M3</w:t>
            </w:r>
          </w:p>
        </w:tc>
        <w:tc>
          <w:tcPr>
            <w:tcW w:w="944" w:type="pct"/>
            <w:vAlign w:val="center"/>
          </w:tcPr>
          <w:p w14:paraId="0E865CC9">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M4</w:t>
            </w:r>
          </w:p>
        </w:tc>
      </w:tr>
      <w:tr w14:paraId="5504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16" w:type="pct"/>
            <w:vAlign w:val="center"/>
          </w:tcPr>
          <w:p w14:paraId="07EF6ECC">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i/>
                <w:color w:val="auto"/>
                <w:kern w:val="0"/>
                <w:sz w:val="21"/>
                <w:szCs w:val="21"/>
                <w:lang w:val="en-US" w:eastAsia="zh-CN" w:bidi="ar-SA"/>
              </w:rPr>
              <w:t>Q</w:t>
            </w:r>
            <w:r>
              <w:rPr>
                <w:rFonts w:ascii="Times New Roman" w:hAnsi="Times New Roman" w:eastAsia="宋体" w:cs="Times New Roman"/>
                <w:color w:val="auto"/>
                <w:kern w:val="0"/>
                <w:sz w:val="21"/>
                <w:szCs w:val="21"/>
                <w:lang w:val="en-US" w:eastAsia="zh-CN" w:bidi="ar-SA"/>
              </w:rPr>
              <w:t>≥100</w:t>
            </w:r>
          </w:p>
        </w:tc>
        <w:tc>
          <w:tcPr>
            <w:tcW w:w="946" w:type="pct"/>
            <w:vAlign w:val="center"/>
          </w:tcPr>
          <w:p w14:paraId="0FD06A14">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P1</w:t>
            </w:r>
          </w:p>
        </w:tc>
        <w:tc>
          <w:tcPr>
            <w:tcW w:w="946" w:type="pct"/>
            <w:vAlign w:val="center"/>
          </w:tcPr>
          <w:p w14:paraId="0E438953">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P1</w:t>
            </w:r>
          </w:p>
        </w:tc>
        <w:tc>
          <w:tcPr>
            <w:tcW w:w="946" w:type="pct"/>
            <w:vAlign w:val="center"/>
          </w:tcPr>
          <w:p w14:paraId="60AA35AB">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P2</w:t>
            </w:r>
          </w:p>
        </w:tc>
        <w:tc>
          <w:tcPr>
            <w:tcW w:w="944" w:type="pct"/>
            <w:vAlign w:val="center"/>
          </w:tcPr>
          <w:p w14:paraId="338642DF">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P3</w:t>
            </w:r>
          </w:p>
        </w:tc>
      </w:tr>
      <w:tr w14:paraId="057B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16" w:type="pct"/>
            <w:vAlign w:val="center"/>
          </w:tcPr>
          <w:p w14:paraId="75E2F36F">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10≤</w:t>
            </w:r>
            <w:r>
              <w:rPr>
                <w:rFonts w:ascii="Times New Roman" w:hAnsi="Times New Roman" w:eastAsia="宋体" w:cs="Times New Roman"/>
                <w:i/>
                <w:color w:val="auto"/>
                <w:kern w:val="0"/>
                <w:sz w:val="21"/>
                <w:szCs w:val="21"/>
                <w:lang w:val="en-US" w:eastAsia="zh-CN" w:bidi="ar-SA"/>
              </w:rPr>
              <w:t>Q</w:t>
            </w:r>
            <w:r>
              <w:rPr>
                <w:rFonts w:ascii="Times New Roman" w:hAnsi="Times New Roman" w:eastAsia="宋体" w:cs="Times New Roman"/>
                <w:color w:val="auto"/>
                <w:kern w:val="0"/>
                <w:sz w:val="21"/>
                <w:szCs w:val="21"/>
                <w:lang w:val="en-US" w:eastAsia="zh-CN" w:bidi="ar-SA"/>
              </w:rPr>
              <w:t>＜100</w:t>
            </w:r>
          </w:p>
        </w:tc>
        <w:tc>
          <w:tcPr>
            <w:tcW w:w="946" w:type="pct"/>
            <w:vAlign w:val="center"/>
          </w:tcPr>
          <w:p w14:paraId="603CF9CA">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P1</w:t>
            </w:r>
          </w:p>
        </w:tc>
        <w:tc>
          <w:tcPr>
            <w:tcW w:w="946" w:type="pct"/>
            <w:vAlign w:val="center"/>
          </w:tcPr>
          <w:p w14:paraId="5DCAF1EC">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P2</w:t>
            </w:r>
          </w:p>
        </w:tc>
        <w:tc>
          <w:tcPr>
            <w:tcW w:w="946" w:type="pct"/>
            <w:vAlign w:val="center"/>
          </w:tcPr>
          <w:p w14:paraId="38F4FF03">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P3</w:t>
            </w:r>
          </w:p>
        </w:tc>
        <w:tc>
          <w:tcPr>
            <w:tcW w:w="944" w:type="pct"/>
            <w:vAlign w:val="center"/>
          </w:tcPr>
          <w:p w14:paraId="4A62FE10">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P4</w:t>
            </w:r>
          </w:p>
        </w:tc>
      </w:tr>
      <w:tr w14:paraId="56339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216" w:type="pct"/>
            <w:vAlign w:val="center"/>
          </w:tcPr>
          <w:p w14:paraId="5193D9A5">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1≤</w:t>
            </w:r>
            <w:r>
              <w:rPr>
                <w:rFonts w:ascii="Times New Roman" w:hAnsi="Times New Roman" w:eastAsia="宋体" w:cs="Times New Roman"/>
                <w:i/>
                <w:color w:val="auto"/>
                <w:kern w:val="0"/>
                <w:sz w:val="21"/>
                <w:szCs w:val="21"/>
                <w:lang w:val="en-US" w:eastAsia="zh-CN" w:bidi="ar-SA"/>
              </w:rPr>
              <w:t>Q</w:t>
            </w:r>
            <w:r>
              <w:rPr>
                <w:rFonts w:ascii="Times New Roman" w:hAnsi="Times New Roman" w:eastAsia="宋体" w:cs="Times New Roman"/>
                <w:color w:val="auto"/>
                <w:kern w:val="0"/>
                <w:sz w:val="21"/>
                <w:szCs w:val="21"/>
                <w:lang w:val="en-US" w:eastAsia="zh-CN" w:bidi="ar-SA"/>
              </w:rPr>
              <w:t>＜10</w:t>
            </w:r>
          </w:p>
        </w:tc>
        <w:tc>
          <w:tcPr>
            <w:tcW w:w="946" w:type="pct"/>
            <w:vAlign w:val="center"/>
          </w:tcPr>
          <w:p w14:paraId="18DE554A">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P2</w:t>
            </w:r>
          </w:p>
        </w:tc>
        <w:tc>
          <w:tcPr>
            <w:tcW w:w="946" w:type="pct"/>
            <w:vAlign w:val="center"/>
          </w:tcPr>
          <w:p w14:paraId="48A852D3">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P3</w:t>
            </w:r>
          </w:p>
        </w:tc>
        <w:tc>
          <w:tcPr>
            <w:tcW w:w="946" w:type="pct"/>
            <w:vAlign w:val="center"/>
          </w:tcPr>
          <w:p w14:paraId="7F560EAB">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P4</w:t>
            </w:r>
          </w:p>
        </w:tc>
        <w:tc>
          <w:tcPr>
            <w:tcW w:w="944" w:type="pct"/>
            <w:vAlign w:val="center"/>
          </w:tcPr>
          <w:p w14:paraId="44CEBB12">
            <w:pPr>
              <w:widowControl w:val="0"/>
              <w:autoSpaceDE w:val="0"/>
              <w:autoSpaceDN w:val="0"/>
              <w:adjustRightInd w:val="0"/>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P4</w:t>
            </w:r>
          </w:p>
        </w:tc>
      </w:tr>
    </w:tbl>
    <w:p w14:paraId="75D8866E">
      <w:pPr>
        <w:widowControl/>
        <w:numPr>
          <w:ilvl w:val="0"/>
          <w:numId w:val="0"/>
        </w:numPr>
        <w:spacing w:after="0" w:line="360" w:lineRule="auto"/>
        <w:ind w:left="480" w:leftChars="0"/>
        <w:jc w:val="both"/>
        <w:rPr>
          <w:rFonts w:ascii="Times New Roman" w:hAnsi="Times New Roman" w:eastAsia="宋体" w:cs="Times New Roman"/>
          <w:color w:val="auto"/>
          <w:kern w:val="2"/>
          <w:sz w:val="24"/>
          <w:szCs w:val="24"/>
          <w:lang w:val="en-US" w:eastAsia="zh-CN" w:bidi="ar-SA"/>
        </w:rPr>
      </w:pPr>
      <w:r>
        <w:rPr>
          <w:rFonts w:hint="eastAsia" w:cs="Times New Roman"/>
          <w:i/>
          <w:color w:val="auto"/>
          <w:kern w:val="2"/>
          <w:sz w:val="24"/>
          <w:szCs w:val="24"/>
          <w:lang w:val="en-US" w:eastAsia="zh-CN" w:bidi="ar-SA"/>
        </w:rPr>
        <w:t>·</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lang w:val="en-US" w:eastAsia="zh-CN" w:bidi="ar-SA"/>
        </w:rPr>
        <w:t>值确定</w:t>
      </w:r>
    </w:p>
    <w:p w14:paraId="64645676">
      <w:pPr>
        <w:widowControl w:val="0"/>
        <w:spacing w:after="0"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 xml:space="preserve">当只涉及一种危险物质时，计算该物质的总量与其临界量比值，即为 </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lang w:val="en-US" w:eastAsia="zh-CN" w:bidi="ar-SA"/>
        </w:rPr>
        <w:t>；</w:t>
      </w:r>
    </w:p>
    <w:p w14:paraId="4D6BC963">
      <w:pPr>
        <w:widowControl w:val="0"/>
        <w:spacing w:after="0" w:line="360" w:lineRule="auto"/>
        <w:ind w:firstLine="508" w:firstLineChars="200"/>
        <w:jc w:val="both"/>
        <w:rPr>
          <w:rFonts w:ascii="Times New Roman" w:hAnsi="Times New Roman" w:eastAsia="宋体" w:cs="Times New Roman"/>
          <w:color w:val="auto"/>
          <w:spacing w:val="7"/>
          <w:kern w:val="2"/>
          <w:sz w:val="24"/>
          <w:szCs w:val="24"/>
          <w:lang w:val="en-US" w:eastAsia="zh-CN" w:bidi="ar-SA"/>
        </w:rPr>
      </w:pPr>
      <w:r>
        <w:rPr>
          <w:rFonts w:ascii="Times New Roman" w:hAnsi="Times New Roman" w:eastAsia="宋体" w:cs="Times New Roman"/>
          <w:color w:val="auto"/>
          <w:spacing w:val="7"/>
          <w:kern w:val="2"/>
          <w:sz w:val="24"/>
          <w:szCs w:val="24"/>
          <w:lang w:val="en-US" w:eastAsia="zh-CN" w:bidi="ar-SA"/>
        </w:rPr>
        <w:t>当存在多种危险物质时，则按下式计算物质总量与其临界量比值（</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spacing w:val="7"/>
          <w:kern w:val="2"/>
          <w:sz w:val="24"/>
          <w:szCs w:val="24"/>
          <w:lang w:val="en-US" w:eastAsia="zh-CN" w:bidi="ar-SA"/>
        </w:rPr>
        <w:t>）：</w:t>
      </w:r>
    </w:p>
    <w:p w14:paraId="0490B9B4">
      <w:pPr>
        <w:widowControl w:val="0"/>
        <w:spacing w:after="0" w:line="360" w:lineRule="auto"/>
        <w:ind w:firstLine="508" w:firstLineChars="200"/>
        <w:jc w:val="center"/>
        <w:rPr>
          <w:rFonts w:ascii="Times New Roman" w:hAnsi="Times New Roman" w:eastAsia="宋体" w:cs="Times New Roman"/>
          <w:color w:val="auto"/>
          <w:spacing w:val="7"/>
          <w:kern w:val="2"/>
          <w:sz w:val="24"/>
          <w:szCs w:val="24"/>
          <w:lang w:val="en-US" w:eastAsia="zh-CN" w:bidi="ar-SA"/>
        </w:rPr>
      </w:pPr>
      <w:r>
        <w:rPr>
          <w:rFonts w:ascii="Times New Roman" w:hAnsi="Times New Roman" w:eastAsia="宋体" w:cs="Times New Roman"/>
          <w:color w:val="auto"/>
          <w:spacing w:val="7"/>
          <w:kern w:val="2"/>
          <w:sz w:val="24"/>
          <w:szCs w:val="24"/>
          <w:lang w:val="en-US" w:eastAsia="zh-CN" w:bidi="ar-SA"/>
        </w:rPr>
        <w:drawing>
          <wp:inline distT="0" distB="0" distL="114300" distR="114300">
            <wp:extent cx="1563370" cy="380365"/>
            <wp:effectExtent l="0" t="0" r="0" b="635"/>
            <wp:docPr id="482"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87"/>
                    <pic:cNvPicPr>
                      <a:picLocks noChangeAspect="1"/>
                    </pic:cNvPicPr>
                  </pic:nvPicPr>
                  <pic:blipFill>
                    <a:blip r:embed="rId33">
                      <a:clrChange>
                        <a:clrFrom>
                          <a:srgbClr val="FFFFFF"/>
                        </a:clrFrom>
                        <a:clrTo>
                          <a:srgbClr val="FFFFFF">
                            <a:alpha val="0"/>
                          </a:srgbClr>
                        </a:clrTo>
                      </a:clrChange>
                    </a:blip>
                    <a:stretch>
                      <a:fillRect/>
                    </a:stretch>
                  </pic:blipFill>
                  <pic:spPr>
                    <a:xfrm>
                      <a:off x="0" y="0"/>
                      <a:ext cx="1563370" cy="380365"/>
                    </a:xfrm>
                    <a:prstGeom prst="rect">
                      <a:avLst/>
                    </a:prstGeom>
                    <a:noFill/>
                    <a:ln>
                      <a:noFill/>
                    </a:ln>
                  </pic:spPr>
                </pic:pic>
              </a:graphicData>
            </a:graphic>
          </wp:inline>
        </w:drawing>
      </w:r>
    </w:p>
    <w:p w14:paraId="454C0875">
      <w:pPr>
        <w:widowControl w:val="0"/>
        <w:spacing w:after="0"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式中：</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vertAlign w:val="subscript"/>
          <w:lang w:val="en-US" w:eastAsia="zh-CN" w:bidi="ar-SA"/>
        </w:rPr>
        <w:t>1</w:t>
      </w:r>
      <w:r>
        <w:rPr>
          <w:rFonts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vertAlign w:val="subscript"/>
          <w:lang w:val="en-US" w:eastAsia="zh-CN" w:bidi="ar-SA"/>
        </w:rPr>
        <w:t>2</w:t>
      </w:r>
      <w:r>
        <w:rPr>
          <w:rFonts w:ascii="Times New Roman" w:hAnsi="Times New Roman" w:eastAsia="宋体" w:cs="Times New Roman"/>
          <w:color w:val="auto"/>
          <w:kern w:val="2"/>
          <w:sz w:val="24"/>
          <w:szCs w:val="24"/>
          <w:lang w:val="en-US" w:eastAsia="zh-CN" w:bidi="ar-SA"/>
        </w:rPr>
        <w:t>，...，</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i/>
          <w:color w:val="auto"/>
          <w:kern w:val="2"/>
          <w:sz w:val="24"/>
          <w:szCs w:val="24"/>
          <w:vertAlign w:val="subscript"/>
          <w:lang w:val="en-US" w:eastAsia="zh-CN" w:bidi="ar-SA"/>
        </w:rPr>
        <w:t>n</w:t>
      </w:r>
      <w:r>
        <w:rPr>
          <w:rFonts w:ascii="Times New Roman" w:hAnsi="Times New Roman" w:eastAsia="宋体" w:cs="Times New Roman"/>
          <w:color w:val="auto"/>
          <w:kern w:val="2"/>
          <w:sz w:val="24"/>
          <w:szCs w:val="24"/>
          <w:lang w:val="en-US" w:eastAsia="zh-CN" w:bidi="ar-SA"/>
        </w:rPr>
        <w:t>——每种危险物质的最大存在总量，t；</w:t>
      </w:r>
    </w:p>
    <w:p w14:paraId="4557C702">
      <w:pPr>
        <w:widowControl w:val="0"/>
        <w:spacing w:after="0"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vertAlign w:val="subscript"/>
          <w:lang w:val="en-US" w:eastAsia="zh-CN" w:bidi="ar-SA"/>
        </w:rPr>
        <w:t>1</w:t>
      </w:r>
      <w:r>
        <w:rPr>
          <w:rFonts w:ascii="Times New Roman" w:hAnsi="Times New Roman" w:eastAsia="宋体" w:cs="Times New Roman"/>
          <w:color w:val="auto"/>
          <w:kern w:val="2"/>
          <w:sz w:val="24"/>
          <w:szCs w:val="24"/>
          <w:lang w:val="en-US" w:eastAsia="zh-CN" w:bidi="ar-SA"/>
        </w:rPr>
        <w:t xml:space="preserve">, </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vertAlign w:val="subscript"/>
          <w:lang w:val="en-US" w:eastAsia="zh-CN" w:bidi="ar-SA"/>
        </w:rPr>
        <w:t>2</w:t>
      </w:r>
      <w:r>
        <w:rPr>
          <w:rFonts w:ascii="Times New Roman" w:hAnsi="Times New Roman" w:eastAsia="宋体" w:cs="Times New Roman"/>
          <w:color w:val="auto"/>
          <w:kern w:val="2"/>
          <w:sz w:val="24"/>
          <w:szCs w:val="24"/>
          <w:lang w:val="en-US" w:eastAsia="zh-CN" w:bidi="ar-SA"/>
        </w:rPr>
        <w:t xml:space="preserve">, ..., </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i/>
          <w:color w:val="auto"/>
          <w:kern w:val="2"/>
          <w:sz w:val="24"/>
          <w:szCs w:val="24"/>
          <w:vertAlign w:val="subscript"/>
          <w:lang w:val="en-US" w:eastAsia="zh-CN" w:bidi="ar-SA"/>
        </w:rPr>
        <w:t>n</w:t>
      </w:r>
      <w:r>
        <w:rPr>
          <w:rFonts w:ascii="Times New Roman" w:hAnsi="Times New Roman" w:eastAsia="宋体" w:cs="Times New Roman"/>
          <w:color w:val="auto"/>
          <w:kern w:val="2"/>
          <w:sz w:val="24"/>
          <w:szCs w:val="24"/>
          <w:lang w:val="en-US" w:eastAsia="zh-CN" w:bidi="ar-SA"/>
        </w:rPr>
        <w:t>——每种危险物的临界量，t。</w:t>
      </w:r>
    </w:p>
    <w:p w14:paraId="50C07CF8">
      <w:pPr>
        <w:widowControl w:val="0"/>
        <w:spacing w:after="0"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当</w:t>
      </w:r>
      <w:r>
        <w:rPr>
          <w:rFonts w:ascii="Times New Roman" w:hAnsi="Times New Roman" w:eastAsia="宋体" w:cs="Times New Roman"/>
          <w:i/>
          <w:color w:val="auto"/>
          <w:kern w:val="2"/>
          <w:sz w:val="24"/>
          <w:szCs w:val="24"/>
          <w:lang w:val="en-US" w:eastAsia="zh-CN" w:bidi="ar-SA"/>
        </w:rPr>
        <w:t>Q</w:t>
      </w:r>
      <w:r>
        <w:rPr>
          <w:rFonts w:ascii="Times New Roman" w:hAnsi="Times New Roman" w:eastAsia="宋体" w:cs="Times New Roman"/>
          <w:color w:val="auto"/>
          <w:kern w:val="2"/>
          <w:sz w:val="24"/>
          <w:szCs w:val="24"/>
          <w:lang w:val="en-US" w:eastAsia="zh-CN" w:bidi="ar-SA"/>
        </w:rPr>
        <w:t>＜1 时，该项目环境风险潜势为Ⅰ。</w:t>
      </w:r>
    </w:p>
    <w:p w14:paraId="211977E4">
      <w:pPr>
        <w:snapToGrid w:val="0"/>
        <w:spacing w:line="360" w:lineRule="auto"/>
        <w:ind w:firstLine="372" w:firstLineChars="200"/>
        <w:rPr>
          <w:rFonts w:eastAsia="宋体"/>
          <w:b/>
          <w:color w:val="auto"/>
          <w:kern w:val="0"/>
          <w:sz w:val="24"/>
        </w:rPr>
      </w:pPr>
      <w:r>
        <w:rPr>
          <w:rFonts w:eastAsia="宋体"/>
          <w:color w:val="auto"/>
          <w:spacing w:val="-27"/>
          <w:sz w:val="24"/>
        </w:rPr>
        <w:t xml:space="preserve">  当 </w:t>
      </w:r>
      <w:r>
        <w:rPr>
          <w:rFonts w:eastAsia="宋体"/>
          <w:i/>
          <w:color w:val="auto"/>
          <w:spacing w:val="-1"/>
          <w:sz w:val="24"/>
        </w:rPr>
        <w:t>Q</w:t>
      </w:r>
      <w:r>
        <w:rPr>
          <w:rFonts w:eastAsia="宋体"/>
          <w:color w:val="auto"/>
          <w:sz w:val="24"/>
        </w:rPr>
        <w:t xml:space="preserve">≥1 </w:t>
      </w:r>
      <w:r>
        <w:rPr>
          <w:rFonts w:eastAsia="宋体"/>
          <w:color w:val="auto"/>
          <w:spacing w:val="-14"/>
          <w:sz w:val="24"/>
        </w:rPr>
        <w:t xml:space="preserve">时，将 </w:t>
      </w:r>
      <w:r>
        <w:rPr>
          <w:rFonts w:eastAsia="宋体"/>
          <w:i/>
          <w:color w:val="auto"/>
          <w:sz w:val="24"/>
        </w:rPr>
        <w:t>Q</w:t>
      </w:r>
      <w:r>
        <w:rPr>
          <w:rFonts w:eastAsia="宋体"/>
          <w:color w:val="auto"/>
          <w:spacing w:val="-21"/>
          <w:sz w:val="24"/>
        </w:rPr>
        <w:t>值划分为：</w:t>
      </w:r>
      <w:r>
        <w:rPr>
          <w:rFonts w:eastAsia="宋体"/>
          <w:color w:val="auto"/>
          <w:sz w:val="24"/>
        </w:rPr>
        <w:t>（1</w:t>
      </w:r>
      <w:r>
        <w:rPr>
          <w:rFonts w:eastAsia="宋体"/>
          <w:color w:val="auto"/>
          <w:spacing w:val="-2"/>
          <w:sz w:val="24"/>
        </w:rPr>
        <w:t>）</w:t>
      </w:r>
      <w:r>
        <w:rPr>
          <w:rFonts w:eastAsia="宋体"/>
          <w:color w:val="auto"/>
          <w:sz w:val="24"/>
        </w:rPr>
        <w:t>1</w:t>
      </w:r>
      <w:r>
        <w:rPr>
          <w:rFonts w:eastAsia="宋体"/>
          <w:color w:val="auto"/>
          <w:spacing w:val="-2"/>
          <w:sz w:val="24"/>
        </w:rPr>
        <w:t>≤</w:t>
      </w:r>
      <w:r>
        <w:rPr>
          <w:rFonts w:eastAsia="宋体"/>
          <w:i/>
          <w:color w:val="auto"/>
          <w:spacing w:val="-1"/>
          <w:sz w:val="24"/>
        </w:rPr>
        <w:t>Q</w:t>
      </w:r>
      <w:r>
        <w:rPr>
          <w:rFonts w:eastAsia="宋体"/>
          <w:color w:val="auto"/>
          <w:sz w:val="24"/>
        </w:rPr>
        <w:t>＜10</w:t>
      </w:r>
      <w:r>
        <w:rPr>
          <w:rFonts w:eastAsia="宋体"/>
          <w:color w:val="auto"/>
          <w:spacing w:val="-105"/>
          <w:sz w:val="24"/>
        </w:rPr>
        <w:t>；</w:t>
      </w:r>
      <w:r>
        <w:rPr>
          <w:rFonts w:eastAsia="宋体"/>
          <w:color w:val="auto"/>
          <w:spacing w:val="-2"/>
          <w:sz w:val="24"/>
        </w:rPr>
        <w:t>（</w:t>
      </w:r>
      <w:r>
        <w:rPr>
          <w:rFonts w:eastAsia="宋体"/>
          <w:color w:val="auto"/>
          <w:sz w:val="24"/>
        </w:rPr>
        <w:t>2</w:t>
      </w:r>
      <w:r>
        <w:rPr>
          <w:rFonts w:eastAsia="宋体"/>
          <w:color w:val="auto"/>
          <w:spacing w:val="-2"/>
          <w:sz w:val="24"/>
        </w:rPr>
        <w:t>）</w:t>
      </w:r>
      <w:r>
        <w:rPr>
          <w:rFonts w:eastAsia="宋体"/>
          <w:color w:val="auto"/>
          <w:sz w:val="24"/>
        </w:rPr>
        <w:t>10≤</w:t>
      </w:r>
      <w:r>
        <w:rPr>
          <w:rFonts w:eastAsia="宋体"/>
          <w:i/>
          <w:color w:val="auto"/>
          <w:spacing w:val="-1"/>
          <w:sz w:val="24"/>
        </w:rPr>
        <w:t>Q</w:t>
      </w:r>
      <w:r>
        <w:rPr>
          <w:rFonts w:eastAsia="宋体"/>
          <w:color w:val="auto"/>
          <w:sz w:val="24"/>
        </w:rPr>
        <w:t>＜</w:t>
      </w:r>
      <w:r>
        <w:rPr>
          <w:rFonts w:eastAsia="宋体"/>
          <w:color w:val="auto"/>
          <w:spacing w:val="-1"/>
          <w:sz w:val="24"/>
        </w:rPr>
        <w:t>1</w:t>
      </w:r>
      <w:r>
        <w:rPr>
          <w:rFonts w:eastAsia="宋体"/>
          <w:color w:val="auto"/>
          <w:sz w:val="24"/>
        </w:rPr>
        <w:t>0</w:t>
      </w:r>
      <w:r>
        <w:rPr>
          <w:rFonts w:eastAsia="宋体"/>
          <w:color w:val="auto"/>
          <w:spacing w:val="-1"/>
          <w:sz w:val="24"/>
        </w:rPr>
        <w:t>0</w:t>
      </w:r>
      <w:r>
        <w:rPr>
          <w:rFonts w:eastAsia="宋体"/>
          <w:color w:val="auto"/>
          <w:spacing w:val="-106"/>
          <w:sz w:val="24"/>
        </w:rPr>
        <w:t>；</w:t>
      </w:r>
      <w:r>
        <w:rPr>
          <w:rFonts w:eastAsia="宋体"/>
          <w:color w:val="auto"/>
          <w:sz w:val="24"/>
        </w:rPr>
        <w:t>（3）</w:t>
      </w:r>
      <w:r>
        <w:rPr>
          <w:rFonts w:eastAsia="宋体"/>
          <w:i/>
          <w:color w:val="auto"/>
          <w:spacing w:val="-1"/>
          <w:sz w:val="24"/>
        </w:rPr>
        <w:t>Q</w:t>
      </w:r>
      <w:r>
        <w:rPr>
          <w:rFonts w:eastAsia="宋体"/>
          <w:color w:val="auto"/>
          <w:sz w:val="24"/>
        </w:rPr>
        <w:t>≥1</w:t>
      </w:r>
      <w:r>
        <w:rPr>
          <w:rFonts w:eastAsia="宋体"/>
          <w:color w:val="auto"/>
          <w:spacing w:val="-1"/>
          <w:sz w:val="24"/>
        </w:rPr>
        <w:t>00</w:t>
      </w:r>
      <w:r>
        <w:rPr>
          <w:rFonts w:eastAsia="宋体"/>
          <w:color w:val="auto"/>
          <w:sz w:val="24"/>
        </w:rPr>
        <w:t>。</w:t>
      </w:r>
    </w:p>
    <w:p w14:paraId="1AE60C88">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eastAsia" w:cs="Times New Roman"/>
          <w:b/>
          <w:bCs/>
          <w:color w:val="000000" w:themeColor="text1"/>
          <w:sz w:val="24"/>
          <w:lang w:eastAsia="zh-CN"/>
          <w14:textFill>
            <w14:solidFill>
              <w14:schemeClr w14:val="tx1"/>
            </w14:solidFill>
          </w14:textFill>
        </w:rPr>
      </w:pPr>
      <w:r>
        <w:rPr>
          <w:rFonts w:hint="eastAsia" w:cs="Times New Roman"/>
          <w:b/>
          <w:bCs/>
          <w:color w:val="000000" w:themeColor="text1"/>
          <w:sz w:val="24"/>
          <w:lang w:eastAsia="zh-CN"/>
          <w14:textFill>
            <w14:solidFill>
              <w14:schemeClr w14:val="tx1"/>
            </w14:solidFill>
          </w14:textFill>
        </w:rPr>
        <w:t>表</w:t>
      </w:r>
      <w:r>
        <w:rPr>
          <w:rFonts w:hint="eastAsia" w:cs="Times New Roman"/>
          <w:b/>
          <w:bCs/>
          <w:color w:val="000000" w:themeColor="text1"/>
          <w:sz w:val="24"/>
          <w:lang w:val="en-US" w:eastAsia="zh-CN"/>
          <w14:textFill>
            <w14:solidFill>
              <w14:schemeClr w14:val="tx1"/>
            </w14:solidFill>
          </w14:textFill>
        </w:rPr>
        <w:t>2.4-15</w:t>
      </w:r>
      <w:r>
        <w:rPr>
          <w:rFonts w:hint="eastAsia" w:cs="Times New Roman"/>
          <w:b/>
          <w:bCs/>
          <w:color w:val="000000" w:themeColor="text1"/>
          <w:sz w:val="24"/>
          <w:lang w:eastAsia="zh-CN"/>
          <w14:textFill>
            <w14:solidFill>
              <w14:schemeClr w14:val="tx1"/>
            </w14:solidFill>
          </w14:textFill>
        </w:rPr>
        <w:tab/>
      </w:r>
      <w:r>
        <w:rPr>
          <w:rFonts w:hint="eastAsia" w:cs="Times New Roman"/>
          <w:b/>
          <w:bCs/>
          <w:color w:val="000000" w:themeColor="text1"/>
          <w:sz w:val="24"/>
          <w:lang w:val="en-US" w:eastAsia="zh-CN"/>
          <w14:textFill>
            <w14:solidFill>
              <w14:schemeClr w14:val="tx1"/>
            </w14:solidFill>
          </w14:textFill>
        </w:rPr>
        <w:t xml:space="preserve">  </w:t>
      </w:r>
      <w:r>
        <w:rPr>
          <w:rFonts w:hint="eastAsia" w:cs="Times New Roman"/>
          <w:b/>
          <w:bCs/>
          <w:color w:val="000000" w:themeColor="text1"/>
          <w:sz w:val="24"/>
          <w:lang w:eastAsia="zh-CN"/>
          <w14:textFill>
            <w14:solidFill>
              <w14:schemeClr w14:val="tx1"/>
            </w14:solidFill>
          </w14:textFill>
        </w:rPr>
        <w:t>本项目风险物质临界量与临界量比值Q计算表</w:t>
      </w:r>
    </w:p>
    <w:tbl>
      <w:tblPr>
        <w:tblStyle w:val="75"/>
        <w:tblW w:w="85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781"/>
        <w:gridCol w:w="1799"/>
        <w:gridCol w:w="1971"/>
        <w:gridCol w:w="1511"/>
        <w:gridCol w:w="1104"/>
        <w:gridCol w:w="1368"/>
      </w:tblGrid>
      <w:tr w14:paraId="45484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332682B6">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序号</w:t>
            </w:r>
          </w:p>
        </w:tc>
        <w:tc>
          <w:tcPr>
            <w:tcW w:w="1799" w:type="dxa"/>
            <w:tcBorders>
              <w:tl2br w:val="nil"/>
              <w:tr2bl w:val="nil"/>
            </w:tcBorders>
            <w:shd w:val="clear" w:color="auto" w:fill="auto"/>
            <w:noWrap/>
            <w:vAlign w:val="center"/>
          </w:tcPr>
          <w:p w14:paraId="06324552">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危险物质名称</w:t>
            </w:r>
          </w:p>
        </w:tc>
        <w:tc>
          <w:tcPr>
            <w:tcW w:w="1971" w:type="dxa"/>
            <w:tcBorders>
              <w:tl2br w:val="nil"/>
              <w:tr2bl w:val="nil"/>
            </w:tcBorders>
            <w:shd w:val="clear" w:color="auto" w:fill="auto"/>
            <w:noWrap/>
            <w:vAlign w:val="center"/>
          </w:tcPr>
          <w:p w14:paraId="2241214B">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CAS号</w:t>
            </w:r>
          </w:p>
        </w:tc>
        <w:tc>
          <w:tcPr>
            <w:tcW w:w="1511" w:type="dxa"/>
            <w:tcBorders>
              <w:tl2br w:val="nil"/>
              <w:tr2bl w:val="nil"/>
            </w:tcBorders>
            <w:shd w:val="clear" w:color="auto" w:fill="auto"/>
            <w:noWrap/>
            <w:vAlign w:val="center"/>
          </w:tcPr>
          <w:p w14:paraId="2E6A6711">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最大存在总量qn/t临界</w:t>
            </w:r>
          </w:p>
        </w:tc>
        <w:tc>
          <w:tcPr>
            <w:tcW w:w="1104" w:type="dxa"/>
            <w:tcBorders>
              <w:tl2br w:val="nil"/>
              <w:tr2bl w:val="nil"/>
            </w:tcBorders>
            <w:shd w:val="clear" w:color="auto" w:fill="auto"/>
            <w:noWrap/>
            <w:vAlign w:val="center"/>
          </w:tcPr>
          <w:p w14:paraId="1CFE1CCD">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量Qn/t</w:t>
            </w:r>
          </w:p>
        </w:tc>
        <w:tc>
          <w:tcPr>
            <w:tcW w:w="1368" w:type="dxa"/>
            <w:tcBorders>
              <w:tl2br w:val="nil"/>
              <w:tr2bl w:val="nil"/>
            </w:tcBorders>
            <w:shd w:val="clear" w:color="auto" w:fill="auto"/>
            <w:noWrap/>
            <w:vAlign w:val="center"/>
          </w:tcPr>
          <w:p w14:paraId="6C87A1FD">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该种危险物质Q值</w:t>
            </w:r>
          </w:p>
        </w:tc>
      </w:tr>
      <w:tr w14:paraId="0EDF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1DEAA738">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w:t>
            </w:r>
          </w:p>
        </w:tc>
        <w:tc>
          <w:tcPr>
            <w:tcW w:w="1799" w:type="dxa"/>
            <w:tcBorders>
              <w:tl2br w:val="nil"/>
              <w:tr2bl w:val="nil"/>
            </w:tcBorders>
            <w:shd w:val="clear" w:color="auto" w:fill="auto"/>
            <w:noWrap/>
            <w:vAlign w:val="center"/>
          </w:tcPr>
          <w:p w14:paraId="55F2E866">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丁基黄药</w:t>
            </w:r>
          </w:p>
        </w:tc>
        <w:tc>
          <w:tcPr>
            <w:tcW w:w="1971" w:type="dxa"/>
            <w:tcBorders>
              <w:tl2br w:val="nil"/>
              <w:tr2bl w:val="nil"/>
            </w:tcBorders>
            <w:shd w:val="clear" w:color="auto" w:fill="auto"/>
            <w:noWrap/>
            <w:vAlign w:val="center"/>
          </w:tcPr>
          <w:p w14:paraId="15559E29">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110-50-9</w:t>
            </w:r>
          </w:p>
        </w:tc>
        <w:tc>
          <w:tcPr>
            <w:tcW w:w="1511" w:type="dxa"/>
            <w:tcBorders>
              <w:tl2br w:val="nil"/>
              <w:tr2bl w:val="nil"/>
            </w:tcBorders>
            <w:shd w:val="clear" w:color="auto" w:fill="auto"/>
            <w:noWrap/>
            <w:vAlign w:val="center"/>
          </w:tcPr>
          <w:p w14:paraId="69DE8561">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0.8</w:t>
            </w:r>
          </w:p>
        </w:tc>
        <w:tc>
          <w:tcPr>
            <w:tcW w:w="1104" w:type="dxa"/>
            <w:tcBorders>
              <w:tl2br w:val="nil"/>
              <w:tr2bl w:val="nil"/>
            </w:tcBorders>
            <w:shd w:val="clear" w:color="auto" w:fill="auto"/>
            <w:noWrap/>
            <w:vAlign w:val="center"/>
          </w:tcPr>
          <w:p w14:paraId="788CB48B">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100</w:t>
            </w:r>
          </w:p>
        </w:tc>
        <w:tc>
          <w:tcPr>
            <w:tcW w:w="1368" w:type="dxa"/>
            <w:tcBorders>
              <w:tl2br w:val="nil"/>
              <w:tr2bl w:val="nil"/>
            </w:tcBorders>
            <w:shd w:val="clear" w:color="auto" w:fill="auto"/>
            <w:noWrap/>
            <w:vAlign w:val="center"/>
          </w:tcPr>
          <w:p w14:paraId="018ACDBE">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0.008</w:t>
            </w:r>
          </w:p>
        </w:tc>
      </w:tr>
      <w:tr w14:paraId="50CD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7D23CAD3">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2</w:t>
            </w:r>
          </w:p>
        </w:tc>
        <w:tc>
          <w:tcPr>
            <w:tcW w:w="1799" w:type="dxa"/>
            <w:tcBorders>
              <w:tl2br w:val="nil"/>
              <w:tr2bl w:val="nil"/>
            </w:tcBorders>
            <w:shd w:val="clear" w:color="auto" w:fill="auto"/>
            <w:noWrap/>
            <w:vAlign w:val="center"/>
          </w:tcPr>
          <w:p w14:paraId="6850C1D9">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丁铵黑药</w:t>
            </w:r>
          </w:p>
        </w:tc>
        <w:tc>
          <w:tcPr>
            <w:tcW w:w="1971" w:type="dxa"/>
            <w:tcBorders>
              <w:tl2br w:val="nil"/>
              <w:tr2bl w:val="nil"/>
            </w:tcBorders>
            <w:shd w:val="clear" w:color="auto" w:fill="auto"/>
            <w:noWrap/>
            <w:vAlign w:val="center"/>
          </w:tcPr>
          <w:p w14:paraId="3DD66A76">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1309-37-1</w:t>
            </w:r>
          </w:p>
        </w:tc>
        <w:tc>
          <w:tcPr>
            <w:tcW w:w="1511" w:type="dxa"/>
            <w:tcBorders>
              <w:tl2br w:val="nil"/>
              <w:tr2bl w:val="nil"/>
            </w:tcBorders>
            <w:shd w:val="clear" w:color="auto" w:fill="auto"/>
            <w:noWrap/>
            <w:vAlign w:val="center"/>
          </w:tcPr>
          <w:p w14:paraId="0803D7A5">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1.75</w:t>
            </w:r>
          </w:p>
        </w:tc>
        <w:tc>
          <w:tcPr>
            <w:tcW w:w="1104" w:type="dxa"/>
            <w:tcBorders>
              <w:tl2br w:val="nil"/>
              <w:tr2bl w:val="nil"/>
            </w:tcBorders>
            <w:shd w:val="clear" w:color="auto" w:fill="auto"/>
            <w:noWrap/>
            <w:vAlign w:val="center"/>
          </w:tcPr>
          <w:p w14:paraId="5B7FB450">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100</w:t>
            </w:r>
          </w:p>
        </w:tc>
        <w:tc>
          <w:tcPr>
            <w:tcW w:w="1368" w:type="dxa"/>
            <w:tcBorders>
              <w:tl2br w:val="nil"/>
              <w:tr2bl w:val="nil"/>
            </w:tcBorders>
            <w:shd w:val="clear" w:color="auto" w:fill="auto"/>
            <w:noWrap/>
            <w:vAlign w:val="center"/>
          </w:tcPr>
          <w:p w14:paraId="6E1A5614">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0.0175</w:t>
            </w:r>
          </w:p>
        </w:tc>
      </w:tr>
      <w:tr w14:paraId="6276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32B28C53">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3</w:t>
            </w:r>
          </w:p>
        </w:tc>
        <w:tc>
          <w:tcPr>
            <w:tcW w:w="1799" w:type="dxa"/>
            <w:tcBorders>
              <w:tl2br w:val="nil"/>
              <w:tr2bl w:val="nil"/>
            </w:tcBorders>
            <w:shd w:val="clear" w:color="auto" w:fill="auto"/>
            <w:noWrap/>
            <w:vAlign w:val="center"/>
          </w:tcPr>
          <w:p w14:paraId="3B081ABC">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二号油</w:t>
            </w:r>
          </w:p>
        </w:tc>
        <w:tc>
          <w:tcPr>
            <w:tcW w:w="1971" w:type="dxa"/>
            <w:tcBorders>
              <w:tl2br w:val="nil"/>
              <w:tr2bl w:val="nil"/>
            </w:tcBorders>
            <w:shd w:val="clear" w:color="auto" w:fill="auto"/>
            <w:noWrap/>
            <w:vAlign w:val="center"/>
          </w:tcPr>
          <w:p w14:paraId="2B523F25">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8008-20-6</w:t>
            </w:r>
          </w:p>
        </w:tc>
        <w:tc>
          <w:tcPr>
            <w:tcW w:w="1511" w:type="dxa"/>
            <w:tcBorders>
              <w:tl2br w:val="nil"/>
              <w:tr2bl w:val="nil"/>
            </w:tcBorders>
            <w:shd w:val="clear" w:color="auto" w:fill="auto"/>
            <w:noWrap/>
            <w:vAlign w:val="center"/>
          </w:tcPr>
          <w:p w14:paraId="7263BA73">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w:t>
            </w:r>
          </w:p>
        </w:tc>
        <w:tc>
          <w:tcPr>
            <w:tcW w:w="1104" w:type="dxa"/>
            <w:tcBorders>
              <w:tl2br w:val="nil"/>
              <w:tr2bl w:val="nil"/>
            </w:tcBorders>
            <w:shd w:val="clear" w:color="auto" w:fill="auto"/>
            <w:noWrap/>
            <w:vAlign w:val="center"/>
          </w:tcPr>
          <w:p w14:paraId="425F61E6">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100</w:t>
            </w:r>
          </w:p>
        </w:tc>
        <w:tc>
          <w:tcPr>
            <w:tcW w:w="1368" w:type="dxa"/>
            <w:tcBorders>
              <w:tl2br w:val="nil"/>
              <w:tr2bl w:val="nil"/>
            </w:tcBorders>
            <w:shd w:val="clear" w:color="auto" w:fill="auto"/>
            <w:noWrap/>
            <w:vAlign w:val="center"/>
          </w:tcPr>
          <w:p w14:paraId="7DC5EBEA">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0.015</w:t>
            </w:r>
          </w:p>
        </w:tc>
      </w:tr>
      <w:tr w14:paraId="7CCC3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1A14FB48">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4</w:t>
            </w:r>
          </w:p>
        </w:tc>
        <w:tc>
          <w:tcPr>
            <w:tcW w:w="1799" w:type="dxa"/>
            <w:tcBorders>
              <w:tl2br w:val="nil"/>
              <w:tr2bl w:val="nil"/>
            </w:tcBorders>
            <w:shd w:val="clear" w:color="auto" w:fill="auto"/>
            <w:noWrap/>
            <w:vAlign w:val="center"/>
          </w:tcPr>
          <w:p w14:paraId="7FF26FD1">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浮选药剂</w:t>
            </w: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废包装</w:t>
            </w:r>
          </w:p>
        </w:tc>
        <w:tc>
          <w:tcPr>
            <w:tcW w:w="1971" w:type="dxa"/>
            <w:tcBorders>
              <w:tl2br w:val="nil"/>
              <w:tr2bl w:val="nil"/>
            </w:tcBorders>
            <w:shd w:val="clear" w:color="auto" w:fill="auto"/>
            <w:noWrap/>
            <w:vAlign w:val="center"/>
          </w:tcPr>
          <w:p w14:paraId="1342675E">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w:t>
            </w:r>
          </w:p>
        </w:tc>
        <w:tc>
          <w:tcPr>
            <w:tcW w:w="1511" w:type="dxa"/>
            <w:tcBorders>
              <w:tl2br w:val="nil"/>
              <w:tr2bl w:val="nil"/>
            </w:tcBorders>
            <w:shd w:val="clear" w:color="auto" w:fill="auto"/>
            <w:noWrap/>
            <w:vAlign w:val="center"/>
          </w:tcPr>
          <w:p w14:paraId="005F7187">
            <w:pPr>
              <w:keepNext w:val="0"/>
              <w:keepLines w:val="0"/>
              <w:widowControl/>
              <w:suppressLineNumbers w:val="0"/>
              <w:wordWrap/>
              <w:spacing w:line="240" w:lineRule="auto"/>
              <w:jc w:val="center"/>
              <w:textAlignment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w:t>
            </w:r>
          </w:p>
        </w:tc>
        <w:tc>
          <w:tcPr>
            <w:tcW w:w="1104" w:type="dxa"/>
            <w:tcBorders>
              <w:tl2br w:val="nil"/>
              <w:tr2bl w:val="nil"/>
            </w:tcBorders>
            <w:shd w:val="clear" w:color="auto" w:fill="auto"/>
            <w:noWrap/>
            <w:vAlign w:val="center"/>
          </w:tcPr>
          <w:p w14:paraId="70BB3F21">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100</w:t>
            </w:r>
          </w:p>
        </w:tc>
        <w:tc>
          <w:tcPr>
            <w:tcW w:w="1368" w:type="dxa"/>
            <w:tcBorders>
              <w:tl2br w:val="nil"/>
              <w:tr2bl w:val="nil"/>
            </w:tcBorders>
            <w:shd w:val="clear" w:color="auto" w:fill="auto"/>
            <w:noWrap/>
            <w:vAlign w:val="center"/>
          </w:tcPr>
          <w:p w14:paraId="2626673F">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241A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0C40599F">
            <w:pPr>
              <w:jc w:val="cente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5</w:t>
            </w:r>
          </w:p>
        </w:tc>
        <w:tc>
          <w:tcPr>
            <w:tcW w:w="1799" w:type="dxa"/>
            <w:tcBorders>
              <w:tl2br w:val="nil"/>
              <w:tr2bl w:val="nil"/>
            </w:tcBorders>
            <w:shd w:val="clear" w:color="auto" w:fill="auto"/>
            <w:noWrap/>
            <w:vAlign w:val="center"/>
          </w:tcPr>
          <w:p w14:paraId="7E7EB096">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废机油</w:t>
            </w:r>
          </w:p>
        </w:tc>
        <w:tc>
          <w:tcPr>
            <w:tcW w:w="1971" w:type="dxa"/>
            <w:tcBorders>
              <w:tl2br w:val="nil"/>
              <w:tr2bl w:val="nil"/>
            </w:tcBorders>
            <w:shd w:val="clear" w:color="auto" w:fill="auto"/>
            <w:noWrap/>
            <w:vAlign w:val="center"/>
          </w:tcPr>
          <w:p w14:paraId="23E80430">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w:t>
            </w:r>
          </w:p>
        </w:tc>
        <w:tc>
          <w:tcPr>
            <w:tcW w:w="1511" w:type="dxa"/>
            <w:tcBorders>
              <w:tl2br w:val="nil"/>
              <w:tr2bl w:val="nil"/>
            </w:tcBorders>
            <w:shd w:val="clear" w:color="auto" w:fill="auto"/>
            <w:noWrap/>
            <w:vAlign w:val="center"/>
          </w:tcPr>
          <w:p w14:paraId="432BE823">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0.5</w:t>
            </w:r>
          </w:p>
        </w:tc>
        <w:tc>
          <w:tcPr>
            <w:tcW w:w="1104" w:type="dxa"/>
            <w:tcBorders>
              <w:tl2br w:val="nil"/>
              <w:tr2bl w:val="nil"/>
            </w:tcBorders>
            <w:shd w:val="clear" w:color="auto" w:fill="auto"/>
            <w:noWrap/>
            <w:vAlign w:val="center"/>
          </w:tcPr>
          <w:p w14:paraId="05D1DDBC">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2500</w:t>
            </w:r>
          </w:p>
        </w:tc>
        <w:tc>
          <w:tcPr>
            <w:tcW w:w="1368" w:type="dxa"/>
            <w:tcBorders>
              <w:tl2br w:val="nil"/>
              <w:tr2bl w:val="nil"/>
            </w:tcBorders>
            <w:shd w:val="clear" w:color="auto" w:fill="auto"/>
            <w:noWrap/>
            <w:vAlign w:val="center"/>
          </w:tcPr>
          <w:p w14:paraId="009854BD">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0.0002</w:t>
            </w:r>
          </w:p>
        </w:tc>
      </w:tr>
      <w:tr w14:paraId="5642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trPr>
        <w:tc>
          <w:tcPr>
            <w:tcW w:w="781" w:type="dxa"/>
            <w:tcBorders>
              <w:tl2br w:val="nil"/>
              <w:tr2bl w:val="nil"/>
            </w:tcBorders>
            <w:shd w:val="clear" w:color="auto" w:fill="auto"/>
            <w:noWrap/>
            <w:vAlign w:val="center"/>
          </w:tcPr>
          <w:p w14:paraId="3E23510B">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eastAsia"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6</w:t>
            </w:r>
          </w:p>
        </w:tc>
        <w:tc>
          <w:tcPr>
            <w:tcW w:w="1799" w:type="dxa"/>
            <w:tcBorders>
              <w:tl2br w:val="nil"/>
              <w:tr2bl w:val="nil"/>
            </w:tcBorders>
            <w:shd w:val="clear" w:color="auto" w:fill="auto"/>
            <w:noWrap/>
            <w:vAlign w:val="center"/>
          </w:tcPr>
          <w:p w14:paraId="349046BD">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废油桶</w:t>
            </w:r>
          </w:p>
        </w:tc>
        <w:tc>
          <w:tcPr>
            <w:tcW w:w="1971" w:type="dxa"/>
            <w:tcBorders>
              <w:tl2br w:val="nil"/>
              <w:tr2bl w:val="nil"/>
            </w:tcBorders>
            <w:shd w:val="clear" w:color="auto" w:fill="auto"/>
            <w:noWrap/>
            <w:vAlign w:val="center"/>
          </w:tcPr>
          <w:p w14:paraId="547C12E9">
            <w:pPr>
              <w:jc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w:t>
            </w:r>
          </w:p>
        </w:tc>
        <w:tc>
          <w:tcPr>
            <w:tcW w:w="1511" w:type="dxa"/>
            <w:tcBorders>
              <w:tl2br w:val="nil"/>
              <w:tr2bl w:val="nil"/>
            </w:tcBorders>
            <w:shd w:val="clear" w:color="auto" w:fill="auto"/>
            <w:noWrap/>
            <w:vAlign w:val="center"/>
          </w:tcPr>
          <w:p w14:paraId="4D65CB4F">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0.1</w:t>
            </w:r>
          </w:p>
        </w:tc>
        <w:tc>
          <w:tcPr>
            <w:tcW w:w="1104" w:type="dxa"/>
            <w:tcBorders>
              <w:tl2br w:val="nil"/>
              <w:tr2bl w:val="nil"/>
            </w:tcBorders>
            <w:shd w:val="clear" w:color="auto" w:fill="auto"/>
            <w:noWrap/>
            <w:vAlign w:val="center"/>
          </w:tcPr>
          <w:p w14:paraId="5D85D7F7">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2500</w:t>
            </w:r>
          </w:p>
        </w:tc>
        <w:tc>
          <w:tcPr>
            <w:tcW w:w="1368" w:type="dxa"/>
            <w:tcBorders>
              <w:tl2br w:val="nil"/>
              <w:tr2bl w:val="nil"/>
            </w:tcBorders>
            <w:shd w:val="clear" w:color="auto" w:fill="auto"/>
            <w:noWrap/>
            <w:vAlign w:val="center"/>
          </w:tcPr>
          <w:p w14:paraId="0438630D">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0.00004</w:t>
            </w:r>
          </w:p>
        </w:tc>
      </w:tr>
      <w:tr w14:paraId="5781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trPr>
        <w:tc>
          <w:tcPr>
            <w:tcW w:w="7166" w:type="dxa"/>
            <w:gridSpan w:val="5"/>
            <w:tcBorders>
              <w:tl2br w:val="nil"/>
              <w:tr2bl w:val="nil"/>
            </w:tcBorders>
            <w:shd w:val="clear" w:color="auto" w:fill="auto"/>
            <w:noWrap/>
            <w:vAlign w:val="center"/>
          </w:tcPr>
          <w:p w14:paraId="1F61A04E">
            <w:pPr>
              <w:keepNext w:val="0"/>
              <w:keepLines w:val="0"/>
              <w:widowControl/>
              <w:suppressLineNumbers w:val="0"/>
              <w:wordWrap/>
              <w:spacing w:line="240" w:lineRule="auto"/>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0"/>
                <w:sz w:val="21"/>
                <w:szCs w:val="21"/>
                <w:lang w:val="en-US" w:eastAsia="zh-CN" w:bidi="ar"/>
                <w14:textFill>
                  <w14:solidFill>
                    <w14:schemeClr w14:val="tx1"/>
                  </w14:solidFill>
                </w14:textFill>
              </w:rPr>
              <w:t>项目Q值∑</w:t>
            </w:r>
          </w:p>
        </w:tc>
        <w:tc>
          <w:tcPr>
            <w:tcW w:w="1368" w:type="dxa"/>
            <w:tcBorders>
              <w:tl2br w:val="nil"/>
              <w:tr2bl w:val="nil"/>
            </w:tcBorders>
            <w:shd w:val="clear" w:color="auto" w:fill="auto"/>
            <w:noWrap/>
            <w:vAlign w:val="center"/>
          </w:tcPr>
          <w:p w14:paraId="25FE81C0">
            <w:pPr>
              <w:keepNext w:val="0"/>
              <w:keepLines w:val="0"/>
              <w:widowControl/>
              <w:suppressLineNumbers w:val="0"/>
              <w:jc w:val="center"/>
              <w:textAlignment w:val="center"/>
              <w:rPr>
                <w:rFonts w:hint="default" w:ascii="Times New Roman" w:hAnsi="Times New Roman" w:cs="Times New Roman" w:eastAsiaTheme="minorEastAsia"/>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0.07074</w:t>
            </w:r>
          </w:p>
        </w:tc>
      </w:tr>
    </w:tbl>
    <w:p w14:paraId="14D8E7B0">
      <w:pPr>
        <w:spacing w:line="360" w:lineRule="auto"/>
        <w:ind w:firstLine="480" w:firstLineChars="200"/>
        <w:rPr>
          <w:rFonts w:eastAsia="宋体"/>
          <w:color w:val="auto"/>
          <w:sz w:val="24"/>
        </w:rPr>
      </w:pPr>
      <w:r>
        <w:rPr>
          <w:rFonts w:hint="eastAsia"/>
          <w:color w:val="auto"/>
          <w:sz w:val="24"/>
          <w:highlight w:val="none"/>
          <w:lang w:val="en-US" w:eastAsia="zh-CN"/>
        </w:rPr>
        <w:t>由上表可知，</w:t>
      </w:r>
      <w:r>
        <w:rPr>
          <w:rFonts w:eastAsia="宋体"/>
          <w:color w:val="auto"/>
          <w:sz w:val="24"/>
          <w:highlight w:val="none"/>
        </w:rPr>
        <w:t>Q</w:t>
      </w:r>
      <w:r>
        <w:rPr>
          <w:rFonts w:hint="eastAsia" w:eastAsia="宋体"/>
          <w:color w:val="auto"/>
          <w:sz w:val="24"/>
          <w:highlight w:val="none"/>
        </w:rPr>
        <w:t>=</w:t>
      </w:r>
      <w:r>
        <w:rPr>
          <w:rFonts w:hint="eastAsia"/>
          <w:color w:val="auto"/>
          <w:sz w:val="24"/>
          <w:highlight w:val="none"/>
          <w:lang w:val="en-US" w:eastAsia="zh-CN"/>
        </w:rPr>
        <w:t>0.07074</w:t>
      </w:r>
      <w:r>
        <w:rPr>
          <w:rFonts w:hint="eastAsia" w:eastAsia="宋体"/>
          <w:color w:val="auto"/>
          <w:sz w:val="24"/>
          <w:highlight w:val="none"/>
        </w:rPr>
        <w:t>＜1</w:t>
      </w:r>
      <w:r>
        <w:rPr>
          <w:rFonts w:hint="eastAsia"/>
          <w:color w:val="auto"/>
          <w:sz w:val="24"/>
          <w:highlight w:val="none"/>
          <w:lang w:eastAsia="zh-CN"/>
        </w:rPr>
        <w:t>，</w:t>
      </w:r>
      <w:r>
        <w:rPr>
          <w:rFonts w:hint="eastAsia" w:eastAsia="宋体"/>
          <w:color w:val="auto"/>
          <w:sz w:val="24"/>
        </w:rPr>
        <w:t>因此，本项目环境风险</w:t>
      </w:r>
      <w:r>
        <w:rPr>
          <w:rFonts w:eastAsia="宋体"/>
          <w:color w:val="auto"/>
          <w:sz w:val="24"/>
        </w:rPr>
        <w:t>潜势为Ⅰ，</w:t>
      </w:r>
      <w:r>
        <w:rPr>
          <w:rFonts w:hint="eastAsia"/>
          <w:color w:val="auto"/>
          <w:sz w:val="24"/>
          <w:lang w:val="en-US" w:eastAsia="zh-CN"/>
        </w:rPr>
        <w:t>风险</w:t>
      </w:r>
      <w:r>
        <w:rPr>
          <w:rFonts w:eastAsia="宋体"/>
          <w:color w:val="auto"/>
          <w:sz w:val="24"/>
        </w:rPr>
        <w:t>评价工作等级为</w:t>
      </w:r>
      <w:r>
        <w:rPr>
          <w:rFonts w:eastAsia="宋体"/>
          <w:b/>
          <w:bCs/>
          <w:color w:val="auto"/>
          <w:sz w:val="24"/>
        </w:rPr>
        <w:t>简单分析</w:t>
      </w:r>
      <w:r>
        <w:rPr>
          <w:rFonts w:eastAsia="宋体"/>
          <w:color w:val="auto"/>
          <w:sz w:val="24"/>
        </w:rPr>
        <w:t>。</w:t>
      </w:r>
    </w:p>
    <w:p w14:paraId="65427FEE">
      <w:pPr>
        <w:pStyle w:val="5"/>
        <w:bidi w:val="0"/>
        <w:rPr>
          <w:rFonts w:hint="eastAsia"/>
          <w:lang w:val="en-US" w:eastAsia="zh-CN"/>
        </w:rPr>
      </w:pPr>
      <w:r>
        <w:rPr>
          <w:rFonts w:hint="eastAsia"/>
          <w:lang w:val="en-US" w:eastAsia="zh-CN"/>
        </w:rPr>
        <w:t>2.4.2评价范围</w:t>
      </w:r>
    </w:p>
    <w:p w14:paraId="52FE1089">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2.4.2.1环境空气评价范围</w:t>
      </w:r>
    </w:p>
    <w:p w14:paraId="54CCD46A">
      <w:pPr>
        <w:spacing w:line="360" w:lineRule="auto"/>
        <w:ind w:firstLine="480" w:firstLineChars="200"/>
        <w:rPr>
          <w:rFonts w:hint="eastAsia"/>
          <w:color w:val="auto"/>
          <w:sz w:val="24"/>
        </w:rPr>
      </w:pPr>
      <w:r>
        <w:rPr>
          <w:rFonts w:hint="eastAsia"/>
          <w:color w:val="auto"/>
          <w:sz w:val="24"/>
        </w:rPr>
        <w:t>由估算模型计算结果可知，</w:t>
      </w:r>
      <w:r>
        <w:rPr>
          <w:rFonts w:hint="eastAsia"/>
          <w:color w:val="auto"/>
          <w:sz w:val="24"/>
          <w:highlight w:val="none"/>
        </w:rPr>
        <w:t>估算结果</w:t>
      </w:r>
      <w:r>
        <w:rPr>
          <w:color w:val="auto"/>
          <w:sz w:val="24"/>
          <w:highlight w:val="none"/>
        </w:rPr>
        <w:t>D10%=0</w:t>
      </w:r>
      <w:r>
        <w:rPr>
          <w:rFonts w:hint="eastAsia"/>
          <w:color w:val="auto"/>
          <w:sz w:val="24"/>
          <w:highlight w:val="none"/>
        </w:rPr>
        <w:t>。根据《环境影响评价技术导则大气环境》（</w:t>
      </w:r>
      <w:r>
        <w:rPr>
          <w:color w:val="auto"/>
          <w:sz w:val="24"/>
          <w:highlight w:val="none"/>
        </w:rPr>
        <w:t>HJ2.2-2018</w:t>
      </w:r>
      <w:r>
        <w:rPr>
          <w:rFonts w:hint="eastAsia"/>
          <w:color w:val="auto"/>
          <w:sz w:val="24"/>
          <w:highlight w:val="none"/>
        </w:rPr>
        <w:t>）</w:t>
      </w:r>
      <w:r>
        <w:rPr>
          <w:color w:val="auto"/>
          <w:sz w:val="24"/>
          <w:highlight w:val="none"/>
        </w:rPr>
        <w:t>5.4</w:t>
      </w:r>
      <w:r>
        <w:rPr>
          <w:rFonts w:hint="eastAsia"/>
          <w:color w:val="auto"/>
          <w:sz w:val="24"/>
          <w:highlight w:val="none"/>
        </w:rPr>
        <w:t>条规定，二级评价项目</w:t>
      </w:r>
      <w:r>
        <w:rPr>
          <w:rFonts w:hint="eastAsia"/>
          <w:color w:val="auto"/>
          <w:sz w:val="24"/>
        </w:rPr>
        <w:t>大气环境影响评价范围边长取</w:t>
      </w:r>
      <w:r>
        <w:rPr>
          <w:color w:val="auto"/>
          <w:sz w:val="24"/>
        </w:rPr>
        <w:t>5km</w:t>
      </w:r>
      <w:r>
        <w:rPr>
          <w:rFonts w:hint="eastAsia"/>
          <w:color w:val="auto"/>
          <w:sz w:val="24"/>
        </w:rPr>
        <w:t>。因此，本项目以项目厂址为中心区域，大气环境影响评价范围为边长</w:t>
      </w:r>
      <w:r>
        <w:rPr>
          <w:color w:val="auto"/>
          <w:sz w:val="24"/>
        </w:rPr>
        <w:t>5km</w:t>
      </w:r>
      <w:r>
        <w:rPr>
          <w:rFonts w:hint="eastAsia"/>
          <w:color w:val="auto"/>
          <w:sz w:val="24"/>
        </w:rPr>
        <w:t>的矩形区域。</w:t>
      </w:r>
    </w:p>
    <w:p w14:paraId="078EDAD0">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2.4.2.2地表水评价范围</w:t>
      </w:r>
    </w:p>
    <w:p w14:paraId="638105B8">
      <w:pPr>
        <w:spacing w:line="360" w:lineRule="auto"/>
        <w:ind w:firstLine="480" w:firstLineChars="200"/>
        <w:rPr>
          <w:rFonts w:hint="eastAsia"/>
          <w:color w:val="auto"/>
          <w:sz w:val="24"/>
          <w:lang w:eastAsia="zh-CN"/>
        </w:rPr>
      </w:pPr>
      <w:r>
        <w:rPr>
          <w:rFonts w:hint="eastAsia"/>
          <w:color w:val="auto"/>
          <w:sz w:val="24"/>
          <w:lang w:val="en-US" w:eastAsia="zh-CN"/>
        </w:rPr>
        <w:t>本项目产生的废水为生产废水和生活污水，生产废水全部回用于生产，生活污水排入现有旱厕，均不外排，本项目地表水评价主要分析生产废水、生活污水不外排可行性。</w:t>
      </w:r>
    </w:p>
    <w:p w14:paraId="43F9C5D9">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2.4.2.4声环境评价范围</w:t>
      </w:r>
    </w:p>
    <w:p w14:paraId="4EB6EA2B">
      <w:pPr>
        <w:spacing w:line="360" w:lineRule="auto"/>
        <w:ind w:firstLine="480" w:firstLineChars="200"/>
        <w:rPr>
          <w:color w:val="auto"/>
          <w:sz w:val="24"/>
        </w:rPr>
      </w:pPr>
      <w:r>
        <w:rPr>
          <w:rFonts w:hint="eastAsia"/>
          <w:color w:val="auto"/>
          <w:sz w:val="24"/>
          <w:lang w:val="en-US" w:eastAsia="zh-CN"/>
        </w:rPr>
        <w:t>本项目噪声源集中在厂区内，考虑噪声距离衰减等因素，评价范围为厂界向外</w:t>
      </w:r>
      <w:r>
        <w:rPr>
          <w:rFonts w:hint="default"/>
          <w:color w:val="auto"/>
          <w:sz w:val="24"/>
          <w:lang w:val="en-US" w:eastAsia="zh-CN"/>
        </w:rPr>
        <w:t>200m</w:t>
      </w:r>
      <w:r>
        <w:rPr>
          <w:rFonts w:hint="eastAsia"/>
          <w:color w:val="auto"/>
          <w:sz w:val="24"/>
          <w:lang w:val="en-US" w:eastAsia="zh-CN"/>
        </w:rPr>
        <w:t>范围。</w:t>
      </w:r>
    </w:p>
    <w:p w14:paraId="7EA4C657">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2.4.2.5生态环境评价范围</w:t>
      </w:r>
    </w:p>
    <w:p w14:paraId="36E38B57">
      <w:pPr>
        <w:spacing w:line="360" w:lineRule="auto"/>
        <w:ind w:firstLine="480" w:firstLineChars="200"/>
        <w:rPr>
          <w:rFonts w:eastAsiaTheme="minorEastAsia"/>
          <w:color w:val="auto"/>
          <w:sz w:val="24"/>
        </w:rPr>
      </w:pPr>
      <w:r>
        <w:rPr>
          <w:rFonts w:hint="eastAsia" w:eastAsiaTheme="minorEastAsia"/>
          <w:color w:val="auto"/>
          <w:sz w:val="24"/>
          <w:lang w:val="en-US" w:eastAsia="zh-CN"/>
        </w:rPr>
        <w:t>本次改扩建</w:t>
      </w:r>
      <w:r>
        <w:rPr>
          <w:rFonts w:hint="eastAsia" w:eastAsiaTheme="minorEastAsia"/>
          <w:color w:val="auto"/>
          <w:sz w:val="24"/>
          <w:lang w:eastAsia="zh-CN"/>
        </w:rPr>
        <w:t>在</w:t>
      </w:r>
      <w:r>
        <w:rPr>
          <w:rFonts w:hint="eastAsia" w:eastAsiaTheme="minorEastAsia"/>
          <w:color w:val="auto"/>
          <w:sz w:val="24"/>
          <w:lang w:val="en-US" w:eastAsia="zh-CN"/>
        </w:rPr>
        <w:t>现</w:t>
      </w:r>
      <w:r>
        <w:rPr>
          <w:rFonts w:hint="eastAsia" w:eastAsiaTheme="minorEastAsia"/>
          <w:color w:val="auto"/>
          <w:sz w:val="24"/>
          <w:lang w:eastAsia="zh-CN"/>
        </w:rPr>
        <w:t>有</w:t>
      </w:r>
      <w:r>
        <w:rPr>
          <w:rFonts w:hint="eastAsia" w:eastAsiaTheme="minorEastAsia"/>
          <w:color w:val="auto"/>
          <w:sz w:val="24"/>
          <w:lang w:val="en-US" w:eastAsia="zh-CN"/>
        </w:rPr>
        <w:t>厂区</w:t>
      </w:r>
      <w:r>
        <w:rPr>
          <w:rFonts w:hint="eastAsia" w:eastAsiaTheme="minorEastAsia"/>
          <w:color w:val="auto"/>
          <w:sz w:val="24"/>
          <w:lang w:eastAsia="zh-CN"/>
        </w:rPr>
        <w:t>占地范围内建设，不新增占地，</w:t>
      </w:r>
      <w:r>
        <w:rPr>
          <w:rFonts w:hint="eastAsia" w:eastAsiaTheme="minorEastAsia"/>
          <w:color w:val="auto"/>
          <w:sz w:val="24"/>
          <w:lang w:val="en-US" w:eastAsia="zh-CN"/>
        </w:rPr>
        <w:t>因此，</w:t>
      </w:r>
      <w:r>
        <w:rPr>
          <w:rFonts w:hint="eastAsia" w:eastAsiaTheme="minorEastAsia"/>
          <w:color w:val="auto"/>
          <w:sz w:val="24"/>
          <w:lang w:eastAsia="zh-CN"/>
        </w:rPr>
        <w:t>不设置生态环境评价范围</w:t>
      </w:r>
      <w:r>
        <w:rPr>
          <w:rFonts w:eastAsiaTheme="minorEastAsia"/>
          <w:color w:val="auto"/>
          <w:sz w:val="24"/>
        </w:rPr>
        <w:t>。</w:t>
      </w:r>
    </w:p>
    <w:p w14:paraId="287CA32A">
      <w:pPr>
        <w:bidi w:val="0"/>
        <w:spacing w:line="360" w:lineRule="auto"/>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2.4.2.6土壤环境评价范围</w:t>
      </w:r>
    </w:p>
    <w:p w14:paraId="0CAF4653">
      <w:pPr>
        <w:spacing w:line="360" w:lineRule="auto"/>
        <w:ind w:firstLine="480" w:firstLineChars="200"/>
        <w:rPr>
          <w:color w:val="auto"/>
          <w:sz w:val="24"/>
        </w:rPr>
      </w:pPr>
      <w:bookmarkStart w:id="29" w:name="_Toc431195232"/>
      <w:r>
        <w:rPr>
          <w:rFonts w:hint="eastAsia"/>
          <w:color w:val="auto"/>
          <w:sz w:val="24"/>
        </w:rPr>
        <w:t>根据《环境影响评价技术导则 土壤环境（试行）》HJ964-2018中7.2表5“现状调查范围”，本项目为污染影响型一级评价项目，确定本项目</w:t>
      </w:r>
      <w:r>
        <w:rPr>
          <w:color w:val="auto"/>
          <w:sz w:val="24"/>
        </w:rPr>
        <w:t>土壤污染型</w:t>
      </w:r>
      <w:r>
        <w:rPr>
          <w:rFonts w:hint="eastAsia"/>
          <w:color w:val="auto"/>
          <w:sz w:val="24"/>
        </w:rPr>
        <w:t>评价范围为厂区及厂区边界外1km范围内。</w:t>
      </w:r>
    </w:p>
    <w:p w14:paraId="532068C3">
      <w:pPr>
        <w:spacing w:line="36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 xml:space="preserve">2.4-16  </w:t>
      </w:r>
      <w:r>
        <w:rPr>
          <w:rFonts w:hint="default"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现状调查范围</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559"/>
        <w:gridCol w:w="2410"/>
        <w:gridCol w:w="2885"/>
      </w:tblGrid>
      <w:tr w14:paraId="27DE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Borders>
              <w:tl2br w:val="nil"/>
              <w:tr2bl w:val="nil"/>
            </w:tcBorders>
            <w:vAlign w:val="center"/>
          </w:tcPr>
          <w:p w14:paraId="12B91B4E">
            <w:pPr>
              <w:jc w:val="center"/>
              <w:rPr>
                <w:color w:val="auto"/>
                <w:szCs w:val="21"/>
              </w:rPr>
            </w:pPr>
            <w:r>
              <w:rPr>
                <w:rFonts w:hint="eastAsia"/>
                <w:color w:val="auto"/>
                <w:szCs w:val="21"/>
              </w:rPr>
              <w:t>评价工作等级</w:t>
            </w:r>
          </w:p>
        </w:tc>
        <w:tc>
          <w:tcPr>
            <w:tcW w:w="1559" w:type="dxa"/>
            <w:vMerge w:val="restart"/>
            <w:tcBorders>
              <w:tl2br w:val="nil"/>
              <w:tr2bl w:val="nil"/>
            </w:tcBorders>
            <w:vAlign w:val="center"/>
          </w:tcPr>
          <w:p w14:paraId="22B01ACD">
            <w:pPr>
              <w:jc w:val="center"/>
              <w:rPr>
                <w:color w:val="auto"/>
                <w:szCs w:val="21"/>
              </w:rPr>
            </w:pPr>
            <w:r>
              <w:rPr>
                <w:rFonts w:hint="eastAsia"/>
                <w:color w:val="auto"/>
                <w:szCs w:val="21"/>
              </w:rPr>
              <w:t>影响类型</w:t>
            </w:r>
          </w:p>
        </w:tc>
        <w:tc>
          <w:tcPr>
            <w:tcW w:w="5295" w:type="dxa"/>
            <w:gridSpan w:val="2"/>
            <w:tcBorders>
              <w:tl2br w:val="nil"/>
              <w:tr2bl w:val="nil"/>
            </w:tcBorders>
            <w:vAlign w:val="center"/>
          </w:tcPr>
          <w:p w14:paraId="0B7076E9">
            <w:pPr>
              <w:jc w:val="center"/>
              <w:rPr>
                <w:color w:val="auto"/>
                <w:szCs w:val="21"/>
              </w:rPr>
            </w:pPr>
            <w:r>
              <w:rPr>
                <w:rFonts w:hint="eastAsia"/>
                <w:color w:val="auto"/>
                <w:szCs w:val="21"/>
              </w:rPr>
              <w:t>调查范围</w:t>
            </w:r>
          </w:p>
        </w:tc>
      </w:tr>
      <w:tr w14:paraId="65B9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Borders>
              <w:tl2br w:val="nil"/>
              <w:tr2bl w:val="nil"/>
            </w:tcBorders>
            <w:vAlign w:val="center"/>
          </w:tcPr>
          <w:p w14:paraId="34B618EB">
            <w:pPr>
              <w:jc w:val="center"/>
              <w:rPr>
                <w:color w:val="auto"/>
                <w:szCs w:val="21"/>
              </w:rPr>
            </w:pPr>
          </w:p>
        </w:tc>
        <w:tc>
          <w:tcPr>
            <w:tcW w:w="1559" w:type="dxa"/>
            <w:vMerge w:val="continue"/>
            <w:tcBorders>
              <w:tl2br w:val="nil"/>
              <w:tr2bl w:val="nil"/>
            </w:tcBorders>
            <w:vAlign w:val="center"/>
          </w:tcPr>
          <w:p w14:paraId="08ABC2A3">
            <w:pPr>
              <w:jc w:val="center"/>
              <w:rPr>
                <w:color w:val="auto"/>
                <w:szCs w:val="21"/>
              </w:rPr>
            </w:pPr>
          </w:p>
        </w:tc>
        <w:tc>
          <w:tcPr>
            <w:tcW w:w="2410" w:type="dxa"/>
            <w:tcBorders>
              <w:tl2br w:val="nil"/>
              <w:tr2bl w:val="nil"/>
            </w:tcBorders>
            <w:vAlign w:val="center"/>
          </w:tcPr>
          <w:p w14:paraId="478DCBB2">
            <w:pPr>
              <w:jc w:val="center"/>
              <w:rPr>
                <w:color w:val="auto"/>
                <w:szCs w:val="21"/>
              </w:rPr>
            </w:pPr>
            <w:r>
              <w:rPr>
                <w:rFonts w:hint="eastAsia"/>
                <w:color w:val="auto"/>
                <w:szCs w:val="21"/>
              </w:rPr>
              <w:t>占地范围内</w:t>
            </w:r>
          </w:p>
        </w:tc>
        <w:tc>
          <w:tcPr>
            <w:tcW w:w="2885" w:type="dxa"/>
            <w:tcBorders>
              <w:tl2br w:val="nil"/>
              <w:tr2bl w:val="nil"/>
            </w:tcBorders>
            <w:vAlign w:val="center"/>
          </w:tcPr>
          <w:p w14:paraId="695CF7F8">
            <w:pPr>
              <w:jc w:val="center"/>
              <w:rPr>
                <w:color w:val="auto"/>
                <w:szCs w:val="21"/>
              </w:rPr>
            </w:pPr>
            <w:r>
              <w:rPr>
                <w:rFonts w:hint="eastAsia"/>
                <w:color w:val="auto"/>
                <w:szCs w:val="21"/>
              </w:rPr>
              <w:t>占地范围外</w:t>
            </w:r>
          </w:p>
        </w:tc>
      </w:tr>
      <w:tr w14:paraId="66C0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Borders>
              <w:tl2br w:val="nil"/>
              <w:tr2bl w:val="nil"/>
            </w:tcBorders>
            <w:vAlign w:val="center"/>
          </w:tcPr>
          <w:p w14:paraId="7913C4A5">
            <w:pPr>
              <w:jc w:val="center"/>
              <w:rPr>
                <w:color w:val="auto"/>
                <w:szCs w:val="21"/>
              </w:rPr>
            </w:pPr>
            <w:r>
              <w:rPr>
                <w:rFonts w:hint="eastAsia"/>
                <w:color w:val="auto"/>
                <w:szCs w:val="21"/>
              </w:rPr>
              <w:t>一级</w:t>
            </w:r>
          </w:p>
        </w:tc>
        <w:tc>
          <w:tcPr>
            <w:tcW w:w="1559" w:type="dxa"/>
            <w:tcBorders>
              <w:tl2br w:val="nil"/>
              <w:tr2bl w:val="nil"/>
            </w:tcBorders>
            <w:vAlign w:val="center"/>
          </w:tcPr>
          <w:p w14:paraId="0003F715">
            <w:pPr>
              <w:jc w:val="center"/>
              <w:rPr>
                <w:color w:val="auto"/>
                <w:szCs w:val="21"/>
              </w:rPr>
            </w:pPr>
            <w:r>
              <w:rPr>
                <w:rFonts w:hint="eastAsia"/>
                <w:color w:val="auto"/>
                <w:szCs w:val="21"/>
              </w:rPr>
              <w:t>生态影响型</w:t>
            </w:r>
          </w:p>
        </w:tc>
        <w:tc>
          <w:tcPr>
            <w:tcW w:w="2410" w:type="dxa"/>
            <w:vMerge w:val="restart"/>
            <w:tcBorders>
              <w:tl2br w:val="nil"/>
              <w:tr2bl w:val="nil"/>
            </w:tcBorders>
            <w:vAlign w:val="center"/>
          </w:tcPr>
          <w:p w14:paraId="52A4CDA5">
            <w:pPr>
              <w:jc w:val="center"/>
              <w:rPr>
                <w:color w:val="auto"/>
                <w:szCs w:val="21"/>
              </w:rPr>
            </w:pPr>
            <w:r>
              <w:rPr>
                <w:rFonts w:hint="eastAsia"/>
                <w:color w:val="auto"/>
                <w:szCs w:val="21"/>
              </w:rPr>
              <w:t>全部</w:t>
            </w:r>
          </w:p>
        </w:tc>
        <w:tc>
          <w:tcPr>
            <w:tcW w:w="2885" w:type="dxa"/>
            <w:tcBorders>
              <w:tl2br w:val="nil"/>
              <w:tr2bl w:val="nil"/>
            </w:tcBorders>
            <w:vAlign w:val="center"/>
          </w:tcPr>
          <w:p w14:paraId="70CAF955">
            <w:pPr>
              <w:jc w:val="center"/>
              <w:rPr>
                <w:color w:val="auto"/>
                <w:szCs w:val="21"/>
              </w:rPr>
            </w:pPr>
            <w:r>
              <w:rPr>
                <w:rFonts w:hint="eastAsia"/>
                <w:color w:val="auto"/>
                <w:szCs w:val="21"/>
              </w:rPr>
              <w:t>5km范围内</w:t>
            </w:r>
          </w:p>
        </w:tc>
      </w:tr>
      <w:tr w14:paraId="7F57E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Borders>
              <w:tl2br w:val="nil"/>
              <w:tr2bl w:val="nil"/>
            </w:tcBorders>
            <w:vAlign w:val="center"/>
          </w:tcPr>
          <w:p w14:paraId="7448C37E">
            <w:pPr>
              <w:jc w:val="center"/>
              <w:rPr>
                <w:color w:val="auto"/>
                <w:szCs w:val="21"/>
              </w:rPr>
            </w:pPr>
          </w:p>
        </w:tc>
        <w:tc>
          <w:tcPr>
            <w:tcW w:w="1559" w:type="dxa"/>
            <w:tcBorders>
              <w:tl2br w:val="nil"/>
              <w:tr2bl w:val="nil"/>
            </w:tcBorders>
            <w:vAlign w:val="center"/>
          </w:tcPr>
          <w:p w14:paraId="7BE76200">
            <w:pPr>
              <w:jc w:val="center"/>
              <w:rPr>
                <w:color w:val="auto"/>
                <w:szCs w:val="21"/>
              </w:rPr>
            </w:pPr>
            <w:r>
              <w:rPr>
                <w:rFonts w:hint="eastAsia"/>
                <w:color w:val="auto"/>
                <w:szCs w:val="21"/>
              </w:rPr>
              <w:t>污染影响型</w:t>
            </w:r>
          </w:p>
        </w:tc>
        <w:tc>
          <w:tcPr>
            <w:tcW w:w="2410" w:type="dxa"/>
            <w:vMerge w:val="continue"/>
            <w:tcBorders>
              <w:tl2br w:val="nil"/>
              <w:tr2bl w:val="nil"/>
            </w:tcBorders>
            <w:vAlign w:val="center"/>
          </w:tcPr>
          <w:p w14:paraId="7FBB4948">
            <w:pPr>
              <w:jc w:val="center"/>
              <w:rPr>
                <w:color w:val="auto"/>
                <w:szCs w:val="21"/>
              </w:rPr>
            </w:pPr>
          </w:p>
        </w:tc>
        <w:tc>
          <w:tcPr>
            <w:tcW w:w="2885" w:type="dxa"/>
            <w:tcBorders>
              <w:tl2br w:val="nil"/>
              <w:tr2bl w:val="nil"/>
            </w:tcBorders>
            <w:shd w:val="clear" w:color="auto" w:fill="auto"/>
            <w:vAlign w:val="center"/>
          </w:tcPr>
          <w:p w14:paraId="23837584">
            <w:pPr>
              <w:jc w:val="center"/>
              <w:rPr>
                <w:color w:val="auto"/>
                <w:szCs w:val="21"/>
              </w:rPr>
            </w:pPr>
            <w:r>
              <w:rPr>
                <w:rFonts w:hint="eastAsia"/>
                <w:b/>
                <w:bCs/>
                <w:color w:val="auto"/>
                <w:szCs w:val="21"/>
              </w:rPr>
              <w:t>1km范围内</w:t>
            </w:r>
          </w:p>
        </w:tc>
      </w:tr>
      <w:tr w14:paraId="6218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Borders>
              <w:tl2br w:val="nil"/>
              <w:tr2bl w:val="nil"/>
            </w:tcBorders>
            <w:vAlign w:val="center"/>
          </w:tcPr>
          <w:p w14:paraId="60407BBD">
            <w:pPr>
              <w:jc w:val="center"/>
              <w:rPr>
                <w:color w:val="auto"/>
                <w:szCs w:val="21"/>
              </w:rPr>
            </w:pPr>
            <w:r>
              <w:rPr>
                <w:rFonts w:hint="eastAsia"/>
                <w:color w:val="auto"/>
                <w:szCs w:val="21"/>
              </w:rPr>
              <w:t>二级</w:t>
            </w:r>
          </w:p>
        </w:tc>
        <w:tc>
          <w:tcPr>
            <w:tcW w:w="1559" w:type="dxa"/>
            <w:tcBorders>
              <w:tl2br w:val="nil"/>
              <w:tr2bl w:val="nil"/>
            </w:tcBorders>
            <w:vAlign w:val="center"/>
          </w:tcPr>
          <w:p w14:paraId="36AC5C77">
            <w:pPr>
              <w:jc w:val="center"/>
              <w:rPr>
                <w:color w:val="auto"/>
                <w:szCs w:val="21"/>
              </w:rPr>
            </w:pPr>
            <w:r>
              <w:rPr>
                <w:rFonts w:hint="eastAsia"/>
                <w:color w:val="auto"/>
                <w:szCs w:val="21"/>
              </w:rPr>
              <w:t>生态影响型</w:t>
            </w:r>
          </w:p>
        </w:tc>
        <w:tc>
          <w:tcPr>
            <w:tcW w:w="2410" w:type="dxa"/>
            <w:vMerge w:val="continue"/>
            <w:tcBorders>
              <w:tl2br w:val="nil"/>
              <w:tr2bl w:val="nil"/>
            </w:tcBorders>
            <w:vAlign w:val="center"/>
          </w:tcPr>
          <w:p w14:paraId="4A352F95">
            <w:pPr>
              <w:jc w:val="center"/>
              <w:rPr>
                <w:color w:val="auto"/>
                <w:szCs w:val="21"/>
              </w:rPr>
            </w:pPr>
          </w:p>
        </w:tc>
        <w:tc>
          <w:tcPr>
            <w:tcW w:w="2885" w:type="dxa"/>
            <w:tcBorders>
              <w:tl2br w:val="nil"/>
              <w:tr2bl w:val="nil"/>
            </w:tcBorders>
            <w:vAlign w:val="center"/>
          </w:tcPr>
          <w:p w14:paraId="4788D219">
            <w:pPr>
              <w:jc w:val="center"/>
              <w:rPr>
                <w:color w:val="auto"/>
                <w:szCs w:val="21"/>
              </w:rPr>
            </w:pPr>
            <w:r>
              <w:rPr>
                <w:rFonts w:hint="eastAsia"/>
                <w:color w:val="auto"/>
                <w:szCs w:val="21"/>
              </w:rPr>
              <w:t>2km范围内</w:t>
            </w:r>
          </w:p>
        </w:tc>
      </w:tr>
      <w:tr w14:paraId="5CE07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Borders>
              <w:tl2br w:val="nil"/>
              <w:tr2bl w:val="nil"/>
            </w:tcBorders>
            <w:vAlign w:val="center"/>
          </w:tcPr>
          <w:p w14:paraId="0EA2AA02">
            <w:pPr>
              <w:jc w:val="center"/>
              <w:rPr>
                <w:color w:val="auto"/>
                <w:szCs w:val="21"/>
              </w:rPr>
            </w:pPr>
          </w:p>
        </w:tc>
        <w:tc>
          <w:tcPr>
            <w:tcW w:w="1559" w:type="dxa"/>
            <w:tcBorders>
              <w:tl2br w:val="nil"/>
              <w:tr2bl w:val="nil"/>
            </w:tcBorders>
            <w:vAlign w:val="center"/>
          </w:tcPr>
          <w:p w14:paraId="531E54EC">
            <w:pPr>
              <w:jc w:val="center"/>
              <w:rPr>
                <w:color w:val="auto"/>
                <w:szCs w:val="21"/>
              </w:rPr>
            </w:pPr>
            <w:r>
              <w:rPr>
                <w:rFonts w:hint="eastAsia"/>
                <w:color w:val="auto"/>
                <w:szCs w:val="21"/>
              </w:rPr>
              <w:t>污染影响型</w:t>
            </w:r>
          </w:p>
        </w:tc>
        <w:tc>
          <w:tcPr>
            <w:tcW w:w="2410" w:type="dxa"/>
            <w:vMerge w:val="continue"/>
            <w:tcBorders>
              <w:tl2br w:val="nil"/>
              <w:tr2bl w:val="nil"/>
            </w:tcBorders>
            <w:vAlign w:val="center"/>
          </w:tcPr>
          <w:p w14:paraId="6BDCCD14">
            <w:pPr>
              <w:jc w:val="center"/>
              <w:rPr>
                <w:color w:val="auto"/>
                <w:szCs w:val="21"/>
              </w:rPr>
            </w:pPr>
          </w:p>
        </w:tc>
        <w:tc>
          <w:tcPr>
            <w:tcW w:w="2885" w:type="dxa"/>
            <w:tcBorders>
              <w:tl2br w:val="nil"/>
              <w:tr2bl w:val="nil"/>
            </w:tcBorders>
            <w:vAlign w:val="center"/>
          </w:tcPr>
          <w:p w14:paraId="666259B6">
            <w:pPr>
              <w:jc w:val="center"/>
              <w:rPr>
                <w:color w:val="auto"/>
                <w:szCs w:val="21"/>
              </w:rPr>
            </w:pPr>
            <w:r>
              <w:rPr>
                <w:rFonts w:hint="eastAsia"/>
                <w:color w:val="auto"/>
                <w:szCs w:val="21"/>
              </w:rPr>
              <w:t>0.2km范围内</w:t>
            </w:r>
          </w:p>
        </w:tc>
      </w:tr>
      <w:tr w14:paraId="05E02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tcBorders>
              <w:tl2br w:val="nil"/>
              <w:tr2bl w:val="nil"/>
            </w:tcBorders>
            <w:vAlign w:val="center"/>
          </w:tcPr>
          <w:p w14:paraId="4E3B0CA4">
            <w:pPr>
              <w:jc w:val="center"/>
              <w:rPr>
                <w:color w:val="auto"/>
                <w:szCs w:val="21"/>
              </w:rPr>
            </w:pPr>
            <w:r>
              <w:rPr>
                <w:rFonts w:hint="eastAsia"/>
                <w:color w:val="auto"/>
                <w:szCs w:val="21"/>
              </w:rPr>
              <w:t>三级</w:t>
            </w:r>
          </w:p>
        </w:tc>
        <w:tc>
          <w:tcPr>
            <w:tcW w:w="1559" w:type="dxa"/>
            <w:tcBorders>
              <w:tl2br w:val="nil"/>
              <w:tr2bl w:val="nil"/>
            </w:tcBorders>
            <w:vAlign w:val="center"/>
          </w:tcPr>
          <w:p w14:paraId="697C69EC">
            <w:pPr>
              <w:jc w:val="center"/>
              <w:rPr>
                <w:color w:val="auto"/>
                <w:szCs w:val="21"/>
              </w:rPr>
            </w:pPr>
            <w:r>
              <w:rPr>
                <w:rFonts w:hint="eastAsia"/>
                <w:color w:val="auto"/>
                <w:szCs w:val="21"/>
              </w:rPr>
              <w:t>生态影响型</w:t>
            </w:r>
          </w:p>
        </w:tc>
        <w:tc>
          <w:tcPr>
            <w:tcW w:w="2410" w:type="dxa"/>
            <w:vMerge w:val="continue"/>
            <w:tcBorders>
              <w:tl2br w:val="nil"/>
              <w:tr2bl w:val="nil"/>
            </w:tcBorders>
            <w:vAlign w:val="center"/>
          </w:tcPr>
          <w:p w14:paraId="567D82FA">
            <w:pPr>
              <w:jc w:val="center"/>
              <w:rPr>
                <w:color w:val="auto"/>
                <w:szCs w:val="21"/>
              </w:rPr>
            </w:pPr>
          </w:p>
        </w:tc>
        <w:tc>
          <w:tcPr>
            <w:tcW w:w="2885" w:type="dxa"/>
            <w:tcBorders>
              <w:tl2br w:val="nil"/>
              <w:tr2bl w:val="nil"/>
            </w:tcBorders>
            <w:vAlign w:val="center"/>
          </w:tcPr>
          <w:p w14:paraId="248B888E">
            <w:pPr>
              <w:jc w:val="center"/>
              <w:rPr>
                <w:color w:val="auto"/>
                <w:szCs w:val="21"/>
              </w:rPr>
            </w:pPr>
            <w:r>
              <w:rPr>
                <w:rFonts w:hint="eastAsia"/>
                <w:color w:val="auto"/>
                <w:szCs w:val="21"/>
              </w:rPr>
              <w:t>1km范围内</w:t>
            </w:r>
          </w:p>
        </w:tc>
      </w:tr>
      <w:tr w14:paraId="705E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tcBorders>
              <w:tl2br w:val="nil"/>
              <w:tr2bl w:val="nil"/>
            </w:tcBorders>
            <w:vAlign w:val="center"/>
          </w:tcPr>
          <w:p w14:paraId="03A2EE73">
            <w:pPr>
              <w:jc w:val="center"/>
              <w:rPr>
                <w:color w:val="auto"/>
                <w:szCs w:val="21"/>
              </w:rPr>
            </w:pPr>
          </w:p>
        </w:tc>
        <w:tc>
          <w:tcPr>
            <w:tcW w:w="1559" w:type="dxa"/>
            <w:tcBorders>
              <w:tl2br w:val="nil"/>
              <w:tr2bl w:val="nil"/>
            </w:tcBorders>
            <w:vAlign w:val="center"/>
          </w:tcPr>
          <w:p w14:paraId="27592229">
            <w:pPr>
              <w:jc w:val="center"/>
              <w:rPr>
                <w:color w:val="auto"/>
                <w:szCs w:val="21"/>
              </w:rPr>
            </w:pPr>
            <w:r>
              <w:rPr>
                <w:rFonts w:hint="eastAsia"/>
                <w:color w:val="auto"/>
                <w:szCs w:val="21"/>
              </w:rPr>
              <w:t>污染影响型</w:t>
            </w:r>
          </w:p>
        </w:tc>
        <w:tc>
          <w:tcPr>
            <w:tcW w:w="2410" w:type="dxa"/>
            <w:vMerge w:val="continue"/>
            <w:tcBorders>
              <w:tl2br w:val="nil"/>
              <w:tr2bl w:val="nil"/>
            </w:tcBorders>
            <w:vAlign w:val="center"/>
          </w:tcPr>
          <w:p w14:paraId="18218E6C">
            <w:pPr>
              <w:jc w:val="center"/>
              <w:rPr>
                <w:color w:val="auto"/>
                <w:szCs w:val="21"/>
              </w:rPr>
            </w:pPr>
          </w:p>
        </w:tc>
        <w:tc>
          <w:tcPr>
            <w:tcW w:w="2885" w:type="dxa"/>
            <w:tcBorders>
              <w:tl2br w:val="nil"/>
              <w:tr2bl w:val="nil"/>
            </w:tcBorders>
            <w:vAlign w:val="center"/>
          </w:tcPr>
          <w:p w14:paraId="3D7DB67F">
            <w:pPr>
              <w:jc w:val="center"/>
              <w:rPr>
                <w:color w:val="auto"/>
                <w:szCs w:val="21"/>
              </w:rPr>
            </w:pPr>
            <w:r>
              <w:rPr>
                <w:rFonts w:hint="eastAsia"/>
                <w:color w:val="auto"/>
                <w:szCs w:val="21"/>
              </w:rPr>
              <w:t>0.05km范围内</w:t>
            </w:r>
          </w:p>
        </w:tc>
      </w:tr>
      <w:bookmarkEnd w:id="28"/>
      <w:bookmarkEnd w:id="29"/>
    </w:tbl>
    <w:p w14:paraId="25CFDD59">
      <w:pPr>
        <w:bidi w:val="0"/>
        <w:spacing w:line="360" w:lineRule="auto"/>
        <w:rPr>
          <w:rFonts w:hint="eastAsia" w:ascii="Times New Roman" w:hAnsi="Times New Roman" w:eastAsia="宋体" w:cs="Times New Roman"/>
          <w:b/>
          <w:bCs/>
          <w:sz w:val="24"/>
          <w:szCs w:val="24"/>
          <w:lang w:val="en-US" w:eastAsia="zh-CN"/>
        </w:rPr>
      </w:pPr>
      <w:bookmarkStart w:id="30" w:name="_Toc431195233"/>
      <w:bookmarkEnd w:id="30"/>
      <w:r>
        <w:rPr>
          <w:rFonts w:hint="eastAsia" w:ascii="Times New Roman" w:hAnsi="Times New Roman" w:eastAsia="宋体" w:cs="Times New Roman"/>
          <w:b/>
          <w:bCs/>
          <w:sz w:val="24"/>
          <w:szCs w:val="24"/>
          <w:lang w:val="en-US" w:eastAsia="zh-CN"/>
        </w:rPr>
        <w:t>2.4.2.7环境风险评价范围</w:t>
      </w:r>
    </w:p>
    <w:p w14:paraId="3B7FDE4A">
      <w:pPr>
        <w:keepNext w:val="0"/>
        <w:keepLines w:val="0"/>
        <w:pageBreakBefore w:val="0"/>
        <w:widowControl w:val="0"/>
        <w:kinsoku/>
        <w:wordWrap/>
        <w:overflowPunct/>
        <w:topLinePunct w:val="0"/>
        <w:autoSpaceDE/>
        <w:autoSpaceDN/>
        <w:bidi w:val="0"/>
        <w:adjustRightInd/>
        <w:spacing w:line="360" w:lineRule="auto"/>
        <w:ind w:firstLine="480" w:firstLineChars="200"/>
        <w:rPr>
          <w:rFonts w:eastAsia="宋体"/>
          <w:color w:val="auto"/>
          <w:sz w:val="24"/>
        </w:rPr>
      </w:pPr>
      <w:r>
        <w:rPr>
          <w:rFonts w:hint="eastAsia"/>
          <w:color w:val="auto"/>
          <w:sz w:val="24"/>
          <w:lang w:val="en-US" w:eastAsia="zh-CN"/>
        </w:rPr>
        <w:t>经前文确定</w:t>
      </w:r>
      <w:r>
        <w:rPr>
          <w:rFonts w:hint="eastAsia" w:eastAsia="宋体"/>
          <w:color w:val="auto"/>
          <w:sz w:val="24"/>
          <w:lang w:val="en-US" w:eastAsia="zh-CN"/>
        </w:rPr>
        <w:t>本项目环境风险评价工作等级为简单分析，根据《建设项目环境风险评价技术导则》（</w:t>
      </w:r>
      <w:r>
        <w:rPr>
          <w:rFonts w:hint="default" w:eastAsia="宋体"/>
          <w:color w:val="auto"/>
          <w:sz w:val="24"/>
          <w:lang w:val="en-US" w:eastAsia="zh-CN"/>
        </w:rPr>
        <w:t>HJ169-2018</w:t>
      </w:r>
      <w:r>
        <w:rPr>
          <w:rFonts w:hint="eastAsia" w:eastAsia="宋体"/>
          <w:color w:val="auto"/>
          <w:sz w:val="24"/>
          <w:lang w:val="en-US" w:eastAsia="zh-CN"/>
        </w:rPr>
        <w:t>）</w:t>
      </w:r>
      <w:r>
        <w:rPr>
          <w:rFonts w:hint="eastAsia"/>
          <w:color w:val="auto"/>
          <w:sz w:val="24"/>
          <w:lang w:val="en-US" w:eastAsia="zh-CN"/>
        </w:rPr>
        <w:t>，</w:t>
      </w:r>
      <w:r>
        <w:rPr>
          <w:rFonts w:hint="eastAsia" w:eastAsia="宋体"/>
          <w:color w:val="auto"/>
          <w:sz w:val="24"/>
          <w:lang w:val="en-US" w:eastAsia="zh-CN"/>
        </w:rPr>
        <w:t>无需设置环境风险评价范围。</w:t>
      </w:r>
    </w:p>
    <w:p w14:paraId="069BC0D0">
      <w:pPr>
        <w:pStyle w:val="4"/>
        <w:bidi w:val="0"/>
        <w:spacing w:line="240" w:lineRule="auto"/>
        <w:rPr>
          <w:rFonts w:hint="eastAsia" w:ascii="Times New Roman" w:hAnsi="Times New Roman" w:eastAsia="宋体" w:cs="Times New Roman"/>
          <w:sz w:val="28"/>
          <w:szCs w:val="28"/>
          <w:lang w:val="en-US" w:eastAsia="zh-CN"/>
        </w:rPr>
      </w:pPr>
      <w:bookmarkStart w:id="31" w:name="_Toc6994"/>
      <w:r>
        <w:rPr>
          <w:rFonts w:hint="eastAsia" w:ascii="Times New Roman" w:hAnsi="Times New Roman" w:eastAsia="宋体" w:cs="Times New Roman"/>
          <w:sz w:val="28"/>
          <w:szCs w:val="28"/>
          <w:lang w:val="en-US" w:eastAsia="zh-CN"/>
        </w:rPr>
        <w:t>2.5环境保护目标调查</w:t>
      </w:r>
      <w:bookmarkEnd w:id="31"/>
    </w:p>
    <w:p w14:paraId="0FF995A8">
      <w:pPr>
        <w:pStyle w:val="5"/>
        <w:bidi w:val="0"/>
        <w:spacing w:line="24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2.5.1保护目标原则</w:t>
      </w:r>
    </w:p>
    <w:p w14:paraId="5E93B95D">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lang w:val="en-US" w:eastAsia="zh-CN"/>
        </w:rPr>
        <w:t>1、</w:t>
      </w:r>
      <w:r>
        <w:rPr>
          <w:color w:val="auto"/>
          <w:sz w:val="24"/>
        </w:rPr>
        <w:t>空气环境保护原则</w:t>
      </w:r>
    </w:p>
    <w:p w14:paraId="22E93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保护该区域环境空气质量满足《环境空气质量标准》（GB3095-2012）二级标准要求。</w:t>
      </w:r>
    </w:p>
    <w:p w14:paraId="59A4B35A">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lang w:val="en-US" w:eastAsia="zh-CN"/>
        </w:rPr>
        <w:t>2、</w:t>
      </w:r>
      <w:r>
        <w:rPr>
          <w:color w:val="auto"/>
          <w:sz w:val="24"/>
        </w:rPr>
        <w:t>地表水环境保护原则</w:t>
      </w:r>
    </w:p>
    <w:p w14:paraId="0BC824DE">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lang w:val="en-US" w:eastAsia="zh-CN" w:bidi="ar-SA"/>
        </w:rPr>
      </w:pPr>
      <w:bookmarkStart w:id="32" w:name="_Toc94949865"/>
      <w:r>
        <w:rPr>
          <w:rFonts w:hint="eastAsia" w:ascii="Times New Roman" w:hAnsi="Times New Roman" w:eastAsia="宋体" w:cs="Times New Roman"/>
          <w:color w:val="auto"/>
          <w:kern w:val="2"/>
          <w:sz w:val="24"/>
          <w:szCs w:val="24"/>
          <w:lang w:val="en-US" w:eastAsia="zh-CN" w:bidi="ar-SA"/>
        </w:rPr>
        <w:t>通过对工程分析和水平衡分析，确定本项目的生产废水</w:t>
      </w:r>
      <w:r>
        <w:rPr>
          <w:rFonts w:hint="eastAsia" w:eastAsia="宋体" w:cs="Times New Roman"/>
          <w:color w:val="auto"/>
          <w:kern w:val="2"/>
          <w:sz w:val="24"/>
          <w:szCs w:val="24"/>
          <w:lang w:val="en-US" w:eastAsia="zh-CN" w:bidi="ar-SA"/>
        </w:rPr>
        <w:t>和生活污水</w:t>
      </w:r>
      <w:r>
        <w:rPr>
          <w:rFonts w:hint="eastAsia" w:ascii="Times New Roman" w:hAnsi="Times New Roman" w:eastAsia="宋体" w:cs="Times New Roman"/>
          <w:color w:val="auto"/>
          <w:kern w:val="2"/>
          <w:sz w:val="24"/>
          <w:szCs w:val="24"/>
          <w:lang w:val="en-US" w:eastAsia="zh-CN" w:bidi="ar-SA"/>
        </w:rPr>
        <w:t>的水量及水质特征，分析</w:t>
      </w:r>
      <w:r>
        <w:rPr>
          <w:rFonts w:hint="eastAsia" w:eastAsia="宋体" w:cs="Times New Roman"/>
          <w:color w:val="auto"/>
          <w:kern w:val="2"/>
          <w:sz w:val="24"/>
          <w:szCs w:val="24"/>
          <w:lang w:val="en-US" w:eastAsia="zh-CN" w:bidi="ar-SA"/>
        </w:rPr>
        <w:t>生产废水回用及生活污水不外排</w:t>
      </w:r>
      <w:r>
        <w:rPr>
          <w:rFonts w:hint="eastAsia" w:ascii="Times New Roman" w:hAnsi="Times New Roman" w:eastAsia="宋体" w:cs="Times New Roman"/>
          <w:color w:val="auto"/>
          <w:kern w:val="2"/>
          <w:sz w:val="24"/>
          <w:szCs w:val="24"/>
          <w:lang w:val="en-US" w:eastAsia="zh-CN" w:bidi="ar-SA"/>
        </w:rPr>
        <w:t>可行性。</w:t>
      </w:r>
    </w:p>
    <w:bookmarkEnd w:id="32"/>
    <w:p w14:paraId="2B1F4367">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lang w:val="en-US" w:eastAsia="zh-CN"/>
        </w:rPr>
        <w:t>3、</w:t>
      </w:r>
      <w:r>
        <w:rPr>
          <w:color w:val="auto"/>
          <w:sz w:val="24"/>
        </w:rPr>
        <w:t>地下水环境保护原则</w:t>
      </w:r>
    </w:p>
    <w:p w14:paraId="3505F9C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确保不影响居民</w:t>
      </w:r>
      <w:r>
        <w:rPr>
          <w:rFonts w:hint="eastAsia"/>
          <w:color w:val="auto"/>
          <w:sz w:val="24"/>
        </w:rPr>
        <w:t>饮用水</w:t>
      </w:r>
      <w:r>
        <w:rPr>
          <w:color w:val="auto"/>
          <w:sz w:val="24"/>
        </w:rPr>
        <w:t>水质。</w:t>
      </w:r>
    </w:p>
    <w:p w14:paraId="5A7F09EA">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lang w:val="en-US" w:eastAsia="zh-CN"/>
        </w:rPr>
        <w:t>4、</w:t>
      </w:r>
      <w:r>
        <w:rPr>
          <w:color w:val="auto"/>
          <w:sz w:val="24"/>
        </w:rPr>
        <w:t>噪声环境保护原则</w:t>
      </w:r>
    </w:p>
    <w:p w14:paraId="027CB02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保证</w:t>
      </w:r>
      <w:r>
        <w:rPr>
          <w:rFonts w:hint="eastAsia"/>
          <w:color w:val="auto"/>
          <w:sz w:val="24"/>
        </w:rPr>
        <w:t>厂区</w:t>
      </w:r>
      <w:r>
        <w:rPr>
          <w:color w:val="auto"/>
          <w:sz w:val="24"/>
        </w:rPr>
        <w:t>边界噪声达标</w:t>
      </w:r>
      <w:r>
        <w:rPr>
          <w:rFonts w:hint="eastAsia"/>
          <w:color w:val="auto"/>
          <w:sz w:val="24"/>
          <w:lang w:val="en-US" w:eastAsia="zh-CN"/>
        </w:rPr>
        <w:t>排放</w:t>
      </w:r>
      <w:r>
        <w:rPr>
          <w:color w:val="auto"/>
          <w:sz w:val="24"/>
        </w:rPr>
        <w:t>。</w:t>
      </w:r>
    </w:p>
    <w:p w14:paraId="6C88C10B">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lang w:val="en-US" w:eastAsia="zh-CN"/>
        </w:rPr>
        <w:t>5、</w:t>
      </w:r>
      <w:r>
        <w:rPr>
          <w:color w:val="auto"/>
          <w:sz w:val="24"/>
        </w:rPr>
        <w:t>土壤环境保护原则</w:t>
      </w:r>
    </w:p>
    <w:p w14:paraId="7273899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确保不影响周边土壤环境质量</w:t>
      </w:r>
      <w:r>
        <w:rPr>
          <w:rFonts w:hint="eastAsia"/>
          <w:color w:val="auto"/>
          <w:sz w:val="24"/>
          <w:lang w:eastAsia="zh-CN"/>
        </w:rPr>
        <w:t>，</w:t>
      </w:r>
      <w:r>
        <w:rPr>
          <w:rFonts w:hint="eastAsia"/>
          <w:color w:val="auto"/>
          <w:sz w:val="24"/>
          <w:lang w:val="en-US" w:eastAsia="zh-CN"/>
        </w:rPr>
        <w:t>满足相应</w:t>
      </w:r>
      <w:r>
        <w:rPr>
          <w:color w:val="auto"/>
          <w:sz w:val="24"/>
        </w:rPr>
        <w:t>土壤环境质量标准。</w:t>
      </w:r>
    </w:p>
    <w:p w14:paraId="660F859B">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sz w:val="24"/>
        </w:rPr>
      </w:pPr>
      <w:r>
        <w:rPr>
          <w:rFonts w:hint="eastAsia"/>
          <w:color w:val="auto"/>
          <w:sz w:val="24"/>
          <w:lang w:val="en-US" w:eastAsia="zh-CN"/>
        </w:rPr>
        <w:t>6、</w:t>
      </w:r>
      <w:r>
        <w:rPr>
          <w:color w:val="auto"/>
          <w:sz w:val="24"/>
        </w:rPr>
        <w:t>生态环境影响评价</w:t>
      </w:r>
    </w:p>
    <w:p w14:paraId="3A9EB7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通过调查收集评价区土地利用、农业环境、动植物资源现状，结合工程特性，预测本项目建设对评价区域生态环境的影响。</w:t>
      </w:r>
    </w:p>
    <w:p w14:paraId="50F6743D">
      <w:pPr>
        <w:pStyle w:val="5"/>
        <w:bidi w:val="0"/>
        <w:spacing w:line="24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w:t>
      </w:r>
      <w:r>
        <w:rPr>
          <w:rFonts w:hint="eastAsia" w:cs="Times New Roman"/>
          <w:sz w:val="24"/>
          <w:szCs w:val="24"/>
          <w:lang w:val="en-US" w:eastAsia="zh-CN"/>
        </w:rPr>
        <w:t>2</w:t>
      </w:r>
      <w:r>
        <w:rPr>
          <w:rFonts w:hint="eastAsia" w:ascii="Times New Roman" w:hAnsi="Times New Roman" w:eastAsia="宋体" w:cs="Times New Roman"/>
          <w:sz w:val="24"/>
          <w:szCs w:val="24"/>
          <w:lang w:val="en-US" w:eastAsia="zh-CN"/>
        </w:rPr>
        <w:t>环境</w:t>
      </w:r>
      <w:r>
        <w:rPr>
          <w:rFonts w:hint="eastAsia" w:cs="Times New Roman"/>
          <w:sz w:val="24"/>
          <w:szCs w:val="24"/>
          <w:lang w:val="en-US" w:eastAsia="zh-CN"/>
        </w:rPr>
        <w:t>保护目标</w:t>
      </w:r>
    </w:p>
    <w:p w14:paraId="543A0E70">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eastAsia="宋体"/>
          <w:color w:val="auto"/>
          <w:sz w:val="24"/>
          <w:lang w:eastAsia="zh-CN"/>
        </w:rPr>
      </w:pPr>
      <w:r>
        <w:rPr>
          <w:color w:val="auto"/>
          <w:sz w:val="24"/>
        </w:rPr>
        <w:t>本项目</w:t>
      </w:r>
      <w:r>
        <w:rPr>
          <w:rFonts w:hint="eastAsia"/>
          <w:color w:val="auto"/>
          <w:sz w:val="24"/>
        </w:rPr>
        <w:t>选厂</w:t>
      </w:r>
      <w:r>
        <w:rPr>
          <w:color w:val="auto"/>
          <w:sz w:val="24"/>
        </w:rPr>
        <w:t>位于</w:t>
      </w:r>
      <w:r>
        <w:rPr>
          <w:rFonts w:hint="eastAsia"/>
          <w:color w:val="auto"/>
          <w:sz w:val="24"/>
        </w:rPr>
        <w:t>辽宁省朝阳市</w:t>
      </w:r>
      <w:r>
        <w:rPr>
          <w:rFonts w:hint="eastAsia"/>
          <w:color w:val="auto"/>
          <w:sz w:val="24"/>
          <w:lang w:eastAsia="zh-CN"/>
        </w:rPr>
        <w:t>辽宁省朝阳市北票市娄家店乡冯家营村，</w:t>
      </w:r>
      <w:r>
        <w:rPr>
          <w:color w:val="auto"/>
          <w:sz w:val="24"/>
        </w:rPr>
        <w:t>评价</w:t>
      </w:r>
      <w:r>
        <w:rPr>
          <w:rFonts w:hint="eastAsia"/>
          <w:color w:val="auto"/>
          <w:sz w:val="24"/>
          <w:lang w:val="en-US" w:eastAsia="zh-CN"/>
        </w:rPr>
        <w:t>范围内</w:t>
      </w:r>
      <w:r>
        <w:rPr>
          <w:color w:val="auto"/>
          <w:sz w:val="24"/>
        </w:rPr>
        <w:t>无自然保护区</w:t>
      </w:r>
      <w:r>
        <w:rPr>
          <w:rFonts w:hint="eastAsia"/>
          <w:color w:val="auto"/>
          <w:sz w:val="24"/>
          <w:lang w:eastAsia="zh-CN"/>
        </w:rPr>
        <w:t>、</w:t>
      </w:r>
      <w:r>
        <w:rPr>
          <w:color w:val="auto"/>
          <w:sz w:val="24"/>
        </w:rPr>
        <w:t>森林</w:t>
      </w:r>
      <w:r>
        <w:rPr>
          <w:rFonts w:hint="eastAsia"/>
          <w:color w:val="auto"/>
          <w:sz w:val="24"/>
          <w:lang w:eastAsia="zh-CN"/>
        </w:rPr>
        <w:t>、</w:t>
      </w:r>
      <w:r>
        <w:rPr>
          <w:color w:val="auto"/>
          <w:sz w:val="24"/>
        </w:rPr>
        <w:t>重点文物保护单位</w:t>
      </w:r>
      <w:r>
        <w:rPr>
          <w:rFonts w:hint="eastAsia"/>
          <w:color w:val="auto"/>
          <w:sz w:val="24"/>
          <w:lang w:eastAsia="zh-CN"/>
        </w:rPr>
        <w:t>、</w:t>
      </w:r>
      <w:r>
        <w:rPr>
          <w:color w:val="auto"/>
          <w:sz w:val="24"/>
        </w:rPr>
        <w:t>国家重点保护的野生动植物</w:t>
      </w:r>
      <w:r>
        <w:rPr>
          <w:rFonts w:hint="eastAsia"/>
          <w:color w:val="auto"/>
          <w:sz w:val="24"/>
          <w:lang w:val="en-US" w:eastAsia="zh-CN"/>
        </w:rPr>
        <w:t>等</w:t>
      </w:r>
      <w:r>
        <w:rPr>
          <w:rFonts w:hint="eastAsia"/>
          <w:color w:val="auto"/>
          <w:sz w:val="24"/>
          <w:lang w:eastAsia="zh-CN"/>
        </w:rPr>
        <w:t>，</w:t>
      </w:r>
    </w:p>
    <w:p w14:paraId="3E386A47">
      <w:pPr>
        <w:keepNext w:val="0"/>
        <w:keepLines w:val="0"/>
        <w:pageBreakBefore w:val="0"/>
        <w:widowControl w:val="0"/>
        <w:kinsoku/>
        <w:wordWrap/>
        <w:overflowPunct/>
        <w:topLinePunct w:val="0"/>
        <w:autoSpaceDE/>
        <w:autoSpaceDN/>
        <w:bidi w:val="0"/>
        <w:adjustRightInd/>
        <w:spacing w:line="360" w:lineRule="auto"/>
        <w:rPr>
          <w:color w:val="auto"/>
          <w:sz w:val="24"/>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color w:val="auto"/>
          <w:sz w:val="24"/>
          <w:lang w:val="en-US" w:eastAsia="zh-CN"/>
        </w:rPr>
        <w:t>主要环境保护目标为周边生态环境、水环境、声环境、环境空气及土壤环境等，</w:t>
      </w:r>
      <w:r>
        <w:rPr>
          <w:rFonts w:hint="eastAsia"/>
          <w:color w:val="auto"/>
          <w:sz w:val="24"/>
        </w:rPr>
        <w:t>环境</w:t>
      </w:r>
      <w:r>
        <w:rPr>
          <w:color w:val="auto"/>
          <w:sz w:val="24"/>
        </w:rPr>
        <w:t>保护目标具体见表</w:t>
      </w:r>
      <w:r>
        <w:rPr>
          <w:rFonts w:hint="eastAsia"/>
          <w:color w:val="auto"/>
          <w:sz w:val="24"/>
          <w:lang w:val="en-US" w:eastAsia="zh-CN"/>
        </w:rPr>
        <w:t>2.5</w:t>
      </w:r>
      <w:r>
        <w:rPr>
          <w:color w:val="auto"/>
          <w:sz w:val="24"/>
        </w:rPr>
        <w:t>-1</w:t>
      </w:r>
      <w:r>
        <w:rPr>
          <w:rFonts w:hint="eastAsia"/>
          <w:color w:val="auto"/>
          <w:sz w:val="24"/>
        </w:rPr>
        <w:t>。</w:t>
      </w:r>
    </w:p>
    <w:p w14:paraId="6C409770">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2.5-1</w:t>
      </w:r>
      <w:r>
        <w:rPr>
          <w:rFonts w:hint="default"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 xml:space="preserve"> 环境保护目标</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2272"/>
        <w:gridCol w:w="2945"/>
        <w:gridCol w:w="264"/>
        <w:gridCol w:w="2561"/>
        <w:gridCol w:w="1171"/>
        <w:gridCol w:w="1563"/>
        <w:gridCol w:w="1526"/>
        <w:gridCol w:w="1666"/>
        <w:gridCol w:w="1509"/>
        <w:gridCol w:w="111"/>
        <w:gridCol w:w="1642"/>
        <w:gridCol w:w="1275"/>
        <w:gridCol w:w="1469"/>
      </w:tblGrid>
      <w:tr w14:paraId="18D9B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56" w:type="pct"/>
            <w:vMerge w:val="restart"/>
            <w:tcBorders>
              <w:tl2br w:val="nil"/>
              <w:tr2bl w:val="nil"/>
            </w:tcBorders>
            <w:vAlign w:val="center"/>
          </w:tcPr>
          <w:p w14:paraId="00E914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p w14:paraId="1940FF7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要素</w:t>
            </w:r>
          </w:p>
        </w:tc>
        <w:tc>
          <w:tcPr>
            <w:tcW w:w="551" w:type="pct"/>
            <w:vMerge w:val="restart"/>
            <w:tcBorders>
              <w:tl2br w:val="nil"/>
              <w:tr2bl w:val="nil"/>
            </w:tcBorders>
            <w:vAlign w:val="center"/>
          </w:tcPr>
          <w:p w14:paraId="68D41FB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名称</w:t>
            </w:r>
          </w:p>
        </w:tc>
        <w:tc>
          <w:tcPr>
            <w:tcW w:w="1683" w:type="pct"/>
            <w:gridSpan w:val="4"/>
            <w:tcBorders>
              <w:tl2br w:val="nil"/>
              <w:tr2bl w:val="nil"/>
            </w:tcBorders>
            <w:vAlign w:val="center"/>
          </w:tcPr>
          <w:p w14:paraId="6CF8788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378" w:type="pct"/>
            <w:vMerge w:val="restart"/>
            <w:tcBorders>
              <w:tl2br w:val="nil"/>
              <w:tr2bl w:val="nil"/>
            </w:tcBorders>
            <w:vAlign w:val="center"/>
          </w:tcPr>
          <w:p w14:paraId="1D68480C">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保护对象</w:t>
            </w:r>
          </w:p>
        </w:tc>
        <w:tc>
          <w:tcPr>
            <w:tcW w:w="370" w:type="pct"/>
            <w:vMerge w:val="restart"/>
            <w:tcBorders>
              <w:tl2br w:val="nil"/>
              <w:tr2bl w:val="nil"/>
            </w:tcBorders>
            <w:vAlign w:val="center"/>
          </w:tcPr>
          <w:p w14:paraId="73CC9DE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保护</w:t>
            </w:r>
          </w:p>
          <w:p w14:paraId="0815506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404" w:type="pct"/>
            <w:vMerge w:val="restart"/>
            <w:tcBorders>
              <w:tl2br w:val="nil"/>
              <w:tr2bl w:val="nil"/>
            </w:tcBorders>
            <w:vAlign w:val="center"/>
          </w:tcPr>
          <w:p w14:paraId="4A596B0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环境功能区</w:t>
            </w:r>
          </w:p>
        </w:tc>
        <w:tc>
          <w:tcPr>
            <w:tcW w:w="366" w:type="pct"/>
            <w:vMerge w:val="restart"/>
            <w:tcBorders>
              <w:tl2br w:val="nil"/>
              <w:tr2bl w:val="nil"/>
            </w:tcBorders>
            <w:vAlign w:val="center"/>
          </w:tcPr>
          <w:p w14:paraId="3D8FDD6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相对厂区方位</w:t>
            </w:r>
          </w:p>
        </w:tc>
        <w:tc>
          <w:tcPr>
            <w:tcW w:w="425" w:type="pct"/>
            <w:gridSpan w:val="2"/>
            <w:vMerge w:val="restart"/>
            <w:tcBorders>
              <w:tl2br w:val="nil"/>
              <w:tr2bl w:val="nil"/>
            </w:tcBorders>
            <w:vAlign w:val="center"/>
          </w:tcPr>
          <w:p w14:paraId="18C4B86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相对厂界距离/m</w:t>
            </w:r>
          </w:p>
        </w:tc>
        <w:tc>
          <w:tcPr>
            <w:tcW w:w="309" w:type="pct"/>
            <w:vMerge w:val="restart"/>
            <w:tcBorders>
              <w:tl2br w:val="nil"/>
              <w:tr2bl w:val="nil"/>
            </w:tcBorders>
            <w:vAlign w:val="center"/>
          </w:tcPr>
          <w:p w14:paraId="21F46571">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户数</w:t>
            </w:r>
          </w:p>
          <w:p w14:paraId="18A40D29">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（户）</w:t>
            </w:r>
          </w:p>
        </w:tc>
        <w:tc>
          <w:tcPr>
            <w:tcW w:w="355" w:type="pct"/>
            <w:vMerge w:val="restart"/>
            <w:tcBorders>
              <w:tl2br w:val="nil"/>
              <w:tr2bl w:val="nil"/>
            </w:tcBorders>
            <w:vAlign w:val="center"/>
          </w:tcPr>
          <w:p w14:paraId="2FB705A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规模</w:t>
            </w:r>
          </w:p>
          <w:p w14:paraId="42FCBFB5">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w:t>
            </w:r>
          </w:p>
        </w:tc>
      </w:tr>
      <w:tr w14:paraId="52A68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56" w:type="pct"/>
            <w:vMerge w:val="continue"/>
            <w:tcBorders>
              <w:tl2br w:val="nil"/>
              <w:tr2bl w:val="nil"/>
            </w:tcBorders>
            <w:vAlign w:val="center"/>
          </w:tcPr>
          <w:p w14:paraId="0B29D056">
            <w:pPr>
              <w:widowControl/>
              <w:jc w:val="center"/>
              <w:rPr>
                <w:rFonts w:hint="default" w:ascii="Times New Roman" w:hAnsi="Times New Roman" w:cs="Times New Roman"/>
                <w:color w:val="auto"/>
                <w:sz w:val="21"/>
                <w:szCs w:val="21"/>
              </w:rPr>
            </w:pPr>
          </w:p>
        </w:tc>
        <w:tc>
          <w:tcPr>
            <w:tcW w:w="551" w:type="pct"/>
            <w:vMerge w:val="continue"/>
            <w:tcBorders>
              <w:tl2br w:val="nil"/>
              <w:tr2bl w:val="nil"/>
            </w:tcBorders>
            <w:vAlign w:val="center"/>
          </w:tcPr>
          <w:p w14:paraId="42169038">
            <w:pPr>
              <w:widowControl/>
              <w:jc w:val="center"/>
              <w:rPr>
                <w:rFonts w:hint="default" w:ascii="Times New Roman" w:hAnsi="Times New Roman" w:cs="Times New Roman"/>
                <w:color w:val="auto"/>
                <w:sz w:val="21"/>
                <w:szCs w:val="21"/>
              </w:rPr>
            </w:pPr>
          </w:p>
        </w:tc>
        <w:tc>
          <w:tcPr>
            <w:tcW w:w="714" w:type="pct"/>
            <w:tcBorders>
              <w:tl2br w:val="nil"/>
              <w:tr2bl w:val="nil"/>
            </w:tcBorders>
            <w:vAlign w:val="center"/>
          </w:tcPr>
          <w:p w14:paraId="44B2C5A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X</w:t>
            </w:r>
          </w:p>
        </w:tc>
        <w:tc>
          <w:tcPr>
            <w:tcW w:w="968" w:type="pct"/>
            <w:gridSpan w:val="3"/>
            <w:tcBorders>
              <w:tl2br w:val="nil"/>
              <w:tr2bl w:val="nil"/>
            </w:tcBorders>
            <w:vAlign w:val="center"/>
          </w:tcPr>
          <w:p w14:paraId="3C1D315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Y</w:t>
            </w:r>
          </w:p>
        </w:tc>
        <w:tc>
          <w:tcPr>
            <w:tcW w:w="378" w:type="pct"/>
            <w:vMerge w:val="continue"/>
            <w:tcBorders>
              <w:tl2br w:val="nil"/>
              <w:tr2bl w:val="nil"/>
            </w:tcBorders>
            <w:vAlign w:val="center"/>
          </w:tcPr>
          <w:p w14:paraId="0470C0E9">
            <w:pPr>
              <w:widowControl/>
              <w:jc w:val="center"/>
              <w:rPr>
                <w:rFonts w:hint="default" w:ascii="Times New Roman" w:hAnsi="Times New Roman" w:cs="Times New Roman"/>
                <w:color w:val="auto"/>
                <w:sz w:val="21"/>
                <w:szCs w:val="21"/>
              </w:rPr>
            </w:pPr>
          </w:p>
        </w:tc>
        <w:tc>
          <w:tcPr>
            <w:tcW w:w="370" w:type="pct"/>
            <w:vMerge w:val="continue"/>
            <w:tcBorders>
              <w:tl2br w:val="nil"/>
              <w:tr2bl w:val="nil"/>
            </w:tcBorders>
            <w:vAlign w:val="center"/>
          </w:tcPr>
          <w:p w14:paraId="50500CC2">
            <w:pPr>
              <w:widowControl/>
              <w:jc w:val="center"/>
              <w:rPr>
                <w:rFonts w:hint="default" w:ascii="Times New Roman" w:hAnsi="Times New Roman" w:cs="Times New Roman"/>
                <w:color w:val="auto"/>
                <w:sz w:val="21"/>
                <w:szCs w:val="21"/>
              </w:rPr>
            </w:pPr>
          </w:p>
        </w:tc>
        <w:tc>
          <w:tcPr>
            <w:tcW w:w="404" w:type="pct"/>
            <w:vMerge w:val="continue"/>
            <w:tcBorders>
              <w:tl2br w:val="nil"/>
              <w:tr2bl w:val="nil"/>
            </w:tcBorders>
            <w:vAlign w:val="center"/>
          </w:tcPr>
          <w:p w14:paraId="22F887C7">
            <w:pPr>
              <w:widowControl/>
              <w:jc w:val="center"/>
              <w:rPr>
                <w:rFonts w:hint="default" w:ascii="Times New Roman" w:hAnsi="Times New Roman" w:cs="Times New Roman"/>
                <w:color w:val="auto"/>
                <w:sz w:val="21"/>
                <w:szCs w:val="21"/>
              </w:rPr>
            </w:pPr>
          </w:p>
        </w:tc>
        <w:tc>
          <w:tcPr>
            <w:tcW w:w="366" w:type="pct"/>
            <w:vMerge w:val="continue"/>
            <w:tcBorders>
              <w:tl2br w:val="nil"/>
              <w:tr2bl w:val="nil"/>
            </w:tcBorders>
            <w:vAlign w:val="center"/>
          </w:tcPr>
          <w:p w14:paraId="2EAD1910">
            <w:pPr>
              <w:widowControl/>
              <w:jc w:val="center"/>
              <w:rPr>
                <w:rFonts w:hint="default" w:ascii="Times New Roman" w:hAnsi="Times New Roman" w:cs="Times New Roman"/>
                <w:color w:val="auto"/>
                <w:sz w:val="21"/>
                <w:szCs w:val="21"/>
              </w:rPr>
            </w:pPr>
          </w:p>
        </w:tc>
        <w:tc>
          <w:tcPr>
            <w:tcW w:w="425" w:type="pct"/>
            <w:gridSpan w:val="2"/>
            <w:vMerge w:val="continue"/>
            <w:tcBorders>
              <w:tl2br w:val="nil"/>
              <w:tr2bl w:val="nil"/>
            </w:tcBorders>
            <w:vAlign w:val="center"/>
          </w:tcPr>
          <w:p w14:paraId="73C2410B">
            <w:pPr>
              <w:widowControl/>
              <w:jc w:val="center"/>
              <w:rPr>
                <w:rFonts w:hint="default" w:ascii="Times New Roman" w:hAnsi="Times New Roman" w:cs="Times New Roman"/>
                <w:color w:val="auto"/>
                <w:sz w:val="21"/>
                <w:szCs w:val="21"/>
              </w:rPr>
            </w:pPr>
          </w:p>
        </w:tc>
        <w:tc>
          <w:tcPr>
            <w:tcW w:w="309" w:type="pct"/>
            <w:vMerge w:val="continue"/>
            <w:tcBorders>
              <w:tl2br w:val="nil"/>
              <w:tr2bl w:val="nil"/>
            </w:tcBorders>
            <w:vAlign w:val="center"/>
          </w:tcPr>
          <w:p w14:paraId="62769F8C">
            <w:pPr>
              <w:widowControl/>
              <w:jc w:val="center"/>
              <w:rPr>
                <w:rFonts w:hint="default" w:ascii="Times New Roman" w:hAnsi="Times New Roman" w:cs="Times New Roman"/>
                <w:color w:val="auto"/>
                <w:sz w:val="21"/>
                <w:szCs w:val="21"/>
              </w:rPr>
            </w:pPr>
          </w:p>
        </w:tc>
        <w:tc>
          <w:tcPr>
            <w:tcW w:w="355" w:type="pct"/>
            <w:vMerge w:val="continue"/>
            <w:tcBorders>
              <w:tl2br w:val="nil"/>
              <w:tr2bl w:val="nil"/>
            </w:tcBorders>
            <w:vAlign w:val="center"/>
          </w:tcPr>
          <w:p w14:paraId="0B2BA358">
            <w:pPr>
              <w:widowControl/>
              <w:jc w:val="center"/>
              <w:rPr>
                <w:rFonts w:hint="default" w:ascii="Times New Roman" w:hAnsi="Times New Roman" w:cs="Times New Roman"/>
                <w:color w:val="auto"/>
                <w:sz w:val="21"/>
                <w:szCs w:val="21"/>
              </w:rPr>
            </w:pPr>
          </w:p>
        </w:tc>
      </w:tr>
      <w:tr w14:paraId="5D371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restart"/>
            <w:tcBorders>
              <w:tl2br w:val="nil"/>
              <w:tr2bl w:val="nil"/>
            </w:tcBorders>
            <w:vAlign w:val="center"/>
          </w:tcPr>
          <w:p w14:paraId="7A60E979">
            <w:pPr>
              <w:widowControl/>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环境空气</w:t>
            </w:r>
          </w:p>
        </w:tc>
        <w:tc>
          <w:tcPr>
            <w:tcW w:w="551" w:type="pct"/>
            <w:tcBorders>
              <w:tl2br w:val="nil"/>
              <w:tr2bl w:val="nil"/>
            </w:tcBorders>
            <w:vAlign w:val="center"/>
          </w:tcPr>
          <w:p w14:paraId="2AB7CE5A">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西南沟</w:t>
            </w:r>
          </w:p>
        </w:tc>
        <w:tc>
          <w:tcPr>
            <w:tcW w:w="714" w:type="pct"/>
            <w:tcBorders>
              <w:tl2br w:val="nil"/>
              <w:tr2bl w:val="nil"/>
            </w:tcBorders>
            <w:vAlign w:val="center"/>
          </w:tcPr>
          <w:p w14:paraId="1315A82F">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302184.4423</w:t>
            </w:r>
          </w:p>
        </w:tc>
        <w:tc>
          <w:tcPr>
            <w:tcW w:w="968" w:type="pct"/>
            <w:gridSpan w:val="3"/>
            <w:tcBorders>
              <w:tl2br w:val="nil"/>
              <w:tr2bl w:val="nil"/>
            </w:tcBorders>
            <w:vAlign w:val="center"/>
          </w:tcPr>
          <w:p w14:paraId="0FEEFCC8">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4656814.7021</w:t>
            </w:r>
          </w:p>
        </w:tc>
        <w:tc>
          <w:tcPr>
            <w:tcW w:w="378" w:type="pct"/>
            <w:tcBorders>
              <w:tl2br w:val="nil"/>
              <w:tr2bl w:val="nil"/>
            </w:tcBorders>
            <w:vAlign w:val="center"/>
          </w:tcPr>
          <w:p w14:paraId="367F93DF">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000000"/>
                <w:kern w:val="0"/>
                <w:sz w:val="21"/>
                <w:szCs w:val="21"/>
                <w:u w:val="none"/>
                <w:lang w:val="en-US" w:eastAsia="zh-CN" w:bidi="ar"/>
              </w:rPr>
              <w:t>居住区</w:t>
            </w:r>
          </w:p>
        </w:tc>
        <w:tc>
          <w:tcPr>
            <w:tcW w:w="370" w:type="pct"/>
            <w:tcBorders>
              <w:tl2br w:val="nil"/>
              <w:tr2bl w:val="nil"/>
            </w:tcBorders>
            <w:vAlign w:val="center"/>
          </w:tcPr>
          <w:p w14:paraId="0595BF4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6C61358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2C6231E0">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西北</w:t>
            </w:r>
          </w:p>
        </w:tc>
        <w:tc>
          <w:tcPr>
            <w:tcW w:w="425" w:type="pct"/>
            <w:gridSpan w:val="2"/>
            <w:tcBorders>
              <w:tl2br w:val="nil"/>
              <w:tr2bl w:val="nil"/>
            </w:tcBorders>
            <w:vAlign w:val="center"/>
          </w:tcPr>
          <w:p w14:paraId="2670AD56">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695</w:t>
            </w:r>
          </w:p>
        </w:tc>
        <w:tc>
          <w:tcPr>
            <w:tcW w:w="309" w:type="pct"/>
            <w:tcBorders>
              <w:tl2br w:val="nil"/>
              <w:tr2bl w:val="nil"/>
            </w:tcBorders>
            <w:vAlign w:val="center"/>
          </w:tcPr>
          <w:p w14:paraId="52C29685">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355" w:type="pct"/>
            <w:tcBorders>
              <w:tl2br w:val="nil"/>
              <w:tr2bl w:val="nil"/>
            </w:tcBorders>
            <w:vAlign w:val="center"/>
          </w:tcPr>
          <w:p w14:paraId="522586A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28FF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22FFB847">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5B7CBB83">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赵家营子</w:t>
            </w:r>
          </w:p>
        </w:tc>
        <w:tc>
          <w:tcPr>
            <w:tcW w:w="714" w:type="pct"/>
            <w:tcBorders>
              <w:tl2br w:val="nil"/>
              <w:tr2bl w:val="nil"/>
            </w:tcBorders>
            <w:vAlign w:val="center"/>
          </w:tcPr>
          <w:p w14:paraId="59CABF6F">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301384.8998</w:t>
            </w:r>
          </w:p>
        </w:tc>
        <w:tc>
          <w:tcPr>
            <w:tcW w:w="968" w:type="pct"/>
            <w:gridSpan w:val="3"/>
            <w:tcBorders>
              <w:tl2br w:val="nil"/>
              <w:tr2bl w:val="nil"/>
            </w:tcBorders>
            <w:vAlign w:val="center"/>
          </w:tcPr>
          <w:p w14:paraId="28BD2F54">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4655356.9912</w:t>
            </w:r>
          </w:p>
        </w:tc>
        <w:tc>
          <w:tcPr>
            <w:tcW w:w="378" w:type="pct"/>
            <w:tcBorders>
              <w:tl2br w:val="nil"/>
              <w:tr2bl w:val="nil"/>
            </w:tcBorders>
            <w:vAlign w:val="center"/>
          </w:tcPr>
          <w:p w14:paraId="4F2ED2C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4F825A56">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0E79B3F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1D5F1725">
            <w:pPr>
              <w:keepNext w:val="0"/>
              <w:keepLines w:val="0"/>
              <w:widowControl/>
              <w:suppressLineNumbers w:val="0"/>
              <w:jc w:val="center"/>
              <w:rPr>
                <w:rFonts w:hint="default" w:ascii="Times New Roman" w:hAnsi="Times New Roman" w:cs="Times New Roman"/>
                <w:color w:val="auto"/>
                <w:sz w:val="21"/>
                <w:szCs w:val="21"/>
                <w:vertAlign w:val="superscript"/>
              </w:rPr>
            </w:pPr>
            <w:r>
              <w:rPr>
                <w:rFonts w:hint="default" w:ascii="Times New Roman" w:hAnsi="Times New Roman" w:eastAsia="宋体" w:cs="Times New Roman"/>
                <w:kern w:val="0"/>
                <w:sz w:val="21"/>
                <w:szCs w:val="21"/>
                <w:lang w:val="en-US" w:eastAsia="zh-CN" w:bidi="ar"/>
              </w:rPr>
              <w:t>西南</w:t>
            </w:r>
          </w:p>
        </w:tc>
        <w:tc>
          <w:tcPr>
            <w:tcW w:w="425" w:type="pct"/>
            <w:gridSpan w:val="2"/>
            <w:tcBorders>
              <w:tl2br w:val="nil"/>
              <w:tr2bl w:val="nil"/>
            </w:tcBorders>
            <w:vAlign w:val="center"/>
          </w:tcPr>
          <w:p w14:paraId="5D485A77">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1472</w:t>
            </w:r>
          </w:p>
        </w:tc>
        <w:tc>
          <w:tcPr>
            <w:tcW w:w="309" w:type="pct"/>
            <w:tcBorders>
              <w:tl2br w:val="nil"/>
              <w:tr2bl w:val="nil"/>
            </w:tcBorders>
            <w:vAlign w:val="center"/>
          </w:tcPr>
          <w:p w14:paraId="0DF15E5A">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40</w:t>
            </w:r>
          </w:p>
        </w:tc>
        <w:tc>
          <w:tcPr>
            <w:tcW w:w="355" w:type="pct"/>
            <w:tcBorders>
              <w:tl2br w:val="nil"/>
              <w:tr2bl w:val="nil"/>
            </w:tcBorders>
            <w:vAlign w:val="center"/>
          </w:tcPr>
          <w:p w14:paraId="69BC076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r>
      <w:tr w14:paraId="5202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110E263D">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0A132D80">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kern w:val="0"/>
                <w:sz w:val="21"/>
                <w:szCs w:val="21"/>
                <w:lang w:val="en-US" w:eastAsia="zh-CN" w:bidi="ar"/>
              </w:rPr>
              <w:t>下杖子</w:t>
            </w:r>
          </w:p>
        </w:tc>
        <w:tc>
          <w:tcPr>
            <w:tcW w:w="714" w:type="pct"/>
            <w:tcBorders>
              <w:tl2br w:val="nil"/>
              <w:tr2bl w:val="nil"/>
            </w:tcBorders>
            <w:vAlign w:val="center"/>
          </w:tcPr>
          <w:p w14:paraId="3B509C55">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301787.4573</w:t>
            </w:r>
          </w:p>
        </w:tc>
        <w:tc>
          <w:tcPr>
            <w:tcW w:w="968" w:type="pct"/>
            <w:gridSpan w:val="3"/>
            <w:tcBorders>
              <w:tl2br w:val="nil"/>
              <w:tr2bl w:val="nil"/>
            </w:tcBorders>
            <w:vAlign w:val="center"/>
          </w:tcPr>
          <w:p w14:paraId="286D1102">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4657201.6393</w:t>
            </w:r>
          </w:p>
        </w:tc>
        <w:tc>
          <w:tcPr>
            <w:tcW w:w="378" w:type="pct"/>
            <w:tcBorders>
              <w:tl2br w:val="nil"/>
              <w:tr2bl w:val="nil"/>
            </w:tcBorders>
            <w:vAlign w:val="center"/>
          </w:tcPr>
          <w:p w14:paraId="2B835A80">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30136098">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2A6C352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5E44BD52">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西北</w:t>
            </w:r>
          </w:p>
        </w:tc>
        <w:tc>
          <w:tcPr>
            <w:tcW w:w="425" w:type="pct"/>
            <w:gridSpan w:val="2"/>
            <w:tcBorders>
              <w:tl2br w:val="nil"/>
              <w:tr2bl w:val="nil"/>
            </w:tcBorders>
            <w:vAlign w:val="center"/>
          </w:tcPr>
          <w:p w14:paraId="1568CDB3">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1242</w:t>
            </w:r>
          </w:p>
        </w:tc>
        <w:tc>
          <w:tcPr>
            <w:tcW w:w="309" w:type="pct"/>
            <w:tcBorders>
              <w:tl2br w:val="nil"/>
              <w:tr2bl w:val="nil"/>
            </w:tcBorders>
            <w:vAlign w:val="center"/>
          </w:tcPr>
          <w:p w14:paraId="30D4F857">
            <w:pPr>
              <w:widowControl/>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355" w:type="pct"/>
            <w:tcBorders>
              <w:tl2br w:val="nil"/>
              <w:tr2bl w:val="nil"/>
            </w:tcBorders>
            <w:vAlign w:val="center"/>
          </w:tcPr>
          <w:p w14:paraId="2EFACAFE">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120</w:t>
            </w:r>
          </w:p>
        </w:tc>
      </w:tr>
      <w:tr w14:paraId="0C19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2DFF35E6">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2896929C">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冯家营子村</w:t>
            </w:r>
          </w:p>
        </w:tc>
        <w:tc>
          <w:tcPr>
            <w:tcW w:w="714" w:type="pct"/>
            <w:tcBorders>
              <w:tl2br w:val="nil"/>
              <w:tr2bl w:val="nil"/>
            </w:tcBorders>
            <w:vAlign w:val="center"/>
          </w:tcPr>
          <w:p w14:paraId="1DC8D88E">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300537.3797</w:t>
            </w:r>
          </w:p>
        </w:tc>
        <w:tc>
          <w:tcPr>
            <w:tcW w:w="968" w:type="pct"/>
            <w:gridSpan w:val="3"/>
            <w:tcBorders>
              <w:tl2br w:val="nil"/>
              <w:tr2bl w:val="nil"/>
            </w:tcBorders>
            <w:vAlign w:val="center"/>
          </w:tcPr>
          <w:p w14:paraId="4534429C">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4657774.9554</w:t>
            </w:r>
          </w:p>
        </w:tc>
        <w:tc>
          <w:tcPr>
            <w:tcW w:w="378" w:type="pct"/>
            <w:tcBorders>
              <w:tl2br w:val="nil"/>
              <w:tr2bl w:val="nil"/>
            </w:tcBorders>
            <w:vAlign w:val="center"/>
          </w:tcPr>
          <w:p w14:paraId="5E55AD8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1FED205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7139F7E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72C9DB06">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西北</w:t>
            </w:r>
          </w:p>
        </w:tc>
        <w:tc>
          <w:tcPr>
            <w:tcW w:w="425" w:type="pct"/>
            <w:gridSpan w:val="2"/>
            <w:tcBorders>
              <w:tl2br w:val="nil"/>
              <w:tr2bl w:val="nil"/>
            </w:tcBorders>
            <w:vAlign w:val="center"/>
          </w:tcPr>
          <w:p w14:paraId="1CB6357B">
            <w:pPr>
              <w:keepNext w:val="0"/>
              <w:keepLines w:val="0"/>
              <w:widowControl/>
              <w:suppressLineNumbers w:val="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2545</w:t>
            </w:r>
          </w:p>
        </w:tc>
        <w:tc>
          <w:tcPr>
            <w:tcW w:w="309" w:type="pct"/>
            <w:tcBorders>
              <w:tl2br w:val="nil"/>
              <w:tr2bl w:val="nil"/>
            </w:tcBorders>
            <w:vAlign w:val="center"/>
          </w:tcPr>
          <w:p w14:paraId="6DCA4D3C">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355" w:type="pct"/>
            <w:tcBorders>
              <w:tl2br w:val="nil"/>
              <w:tr2bl w:val="nil"/>
            </w:tcBorders>
            <w:vAlign w:val="center"/>
          </w:tcPr>
          <w:p w14:paraId="6D4380B0">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r>
      <w:tr w14:paraId="6E72D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05E9354B">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03FF1C15">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kern w:val="0"/>
                <w:sz w:val="21"/>
                <w:szCs w:val="21"/>
                <w:lang w:val="en-US" w:eastAsia="zh-CN" w:bidi="ar"/>
              </w:rPr>
              <w:t>马场</w:t>
            </w:r>
          </w:p>
        </w:tc>
        <w:tc>
          <w:tcPr>
            <w:tcW w:w="714" w:type="pct"/>
            <w:tcBorders>
              <w:tl2br w:val="nil"/>
              <w:tr2bl w:val="nil"/>
            </w:tcBorders>
            <w:vAlign w:val="center"/>
          </w:tcPr>
          <w:p w14:paraId="641F21FE">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303297.3254</w:t>
            </w:r>
          </w:p>
        </w:tc>
        <w:tc>
          <w:tcPr>
            <w:tcW w:w="968" w:type="pct"/>
            <w:gridSpan w:val="3"/>
            <w:tcBorders>
              <w:tl2br w:val="nil"/>
              <w:tr2bl w:val="nil"/>
            </w:tcBorders>
            <w:vAlign w:val="center"/>
          </w:tcPr>
          <w:p w14:paraId="763D70AE">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4656344.4083</w:t>
            </w:r>
          </w:p>
        </w:tc>
        <w:tc>
          <w:tcPr>
            <w:tcW w:w="378" w:type="pct"/>
            <w:tcBorders>
              <w:tl2br w:val="nil"/>
              <w:tr2bl w:val="nil"/>
            </w:tcBorders>
            <w:vAlign w:val="center"/>
          </w:tcPr>
          <w:p w14:paraId="7E9DC1B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12DF2180">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428FBDE4">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58CF6550">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东</w:t>
            </w:r>
          </w:p>
        </w:tc>
        <w:tc>
          <w:tcPr>
            <w:tcW w:w="425" w:type="pct"/>
            <w:gridSpan w:val="2"/>
            <w:tcBorders>
              <w:tl2br w:val="nil"/>
              <w:tr2bl w:val="nil"/>
            </w:tcBorders>
            <w:vAlign w:val="center"/>
          </w:tcPr>
          <w:p w14:paraId="4121FF06">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734</w:t>
            </w:r>
          </w:p>
        </w:tc>
        <w:tc>
          <w:tcPr>
            <w:tcW w:w="309" w:type="pct"/>
            <w:tcBorders>
              <w:tl2br w:val="nil"/>
              <w:tr2bl w:val="nil"/>
            </w:tcBorders>
            <w:vAlign w:val="center"/>
          </w:tcPr>
          <w:p w14:paraId="64C256A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35</w:t>
            </w:r>
          </w:p>
        </w:tc>
        <w:tc>
          <w:tcPr>
            <w:tcW w:w="355" w:type="pct"/>
            <w:tcBorders>
              <w:tl2br w:val="nil"/>
              <w:tr2bl w:val="nil"/>
            </w:tcBorders>
            <w:vAlign w:val="center"/>
          </w:tcPr>
          <w:p w14:paraId="2115920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105</w:t>
            </w:r>
          </w:p>
        </w:tc>
      </w:tr>
      <w:tr w14:paraId="18C57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3A93C243">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3B171F79">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下朝阳沟</w:t>
            </w:r>
          </w:p>
        </w:tc>
        <w:tc>
          <w:tcPr>
            <w:tcW w:w="714" w:type="pct"/>
            <w:tcBorders>
              <w:tl2br w:val="nil"/>
              <w:tr2bl w:val="nil"/>
            </w:tcBorders>
            <w:vAlign w:val="center"/>
          </w:tcPr>
          <w:p w14:paraId="48603B4C">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304321.7620</w:t>
            </w:r>
          </w:p>
        </w:tc>
        <w:tc>
          <w:tcPr>
            <w:tcW w:w="968" w:type="pct"/>
            <w:gridSpan w:val="3"/>
            <w:tcBorders>
              <w:tl2br w:val="nil"/>
              <w:tr2bl w:val="nil"/>
            </w:tcBorders>
            <w:vAlign w:val="center"/>
          </w:tcPr>
          <w:p w14:paraId="76DEDD72">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4655495.8089</w:t>
            </w:r>
          </w:p>
        </w:tc>
        <w:tc>
          <w:tcPr>
            <w:tcW w:w="378" w:type="pct"/>
            <w:tcBorders>
              <w:tl2br w:val="nil"/>
              <w:tr2bl w:val="nil"/>
            </w:tcBorders>
            <w:vAlign w:val="center"/>
          </w:tcPr>
          <w:p w14:paraId="1CCAFFB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53356BA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678558B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3C57DB40">
            <w:pPr>
              <w:keepNext w:val="0"/>
              <w:keepLines w:val="0"/>
              <w:widowControl/>
              <w:suppressLineNumbers w:val="0"/>
              <w:jc w:val="center"/>
              <w:rPr>
                <w:rFonts w:hint="default" w:ascii="Times New Roman" w:hAnsi="Times New Roman" w:eastAsia="宋体" w:cs="Times New Roman"/>
                <w:color w:val="auto"/>
                <w:sz w:val="21"/>
                <w:szCs w:val="21"/>
                <w:vertAlign w:val="superscript"/>
                <w:lang w:eastAsia="zh-CN"/>
              </w:rPr>
            </w:pPr>
            <w:r>
              <w:rPr>
                <w:rFonts w:hint="default" w:ascii="Times New Roman" w:hAnsi="Times New Roman" w:eastAsia="宋体" w:cs="Times New Roman"/>
                <w:kern w:val="0"/>
                <w:sz w:val="21"/>
                <w:szCs w:val="21"/>
                <w:lang w:val="en-US" w:eastAsia="zh-CN" w:bidi="ar"/>
              </w:rPr>
              <w:t>东</w:t>
            </w:r>
          </w:p>
        </w:tc>
        <w:tc>
          <w:tcPr>
            <w:tcW w:w="425" w:type="pct"/>
            <w:gridSpan w:val="2"/>
            <w:tcBorders>
              <w:tl2br w:val="nil"/>
              <w:tr2bl w:val="nil"/>
            </w:tcBorders>
            <w:vAlign w:val="center"/>
          </w:tcPr>
          <w:p w14:paraId="05C43E7A">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1897</w:t>
            </w:r>
          </w:p>
        </w:tc>
        <w:tc>
          <w:tcPr>
            <w:tcW w:w="309" w:type="pct"/>
            <w:tcBorders>
              <w:tl2br w:val="nil"/>
              <w:tr2bl w:val="nil"/>
            </w:tcBorders>
            <w:vAlign w:val="center"/>
          </w:tcPr>
          <w:p w14:paraId="41DC8BF3">
            <w:pPr>
              <w:widowControl/>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80</w:t>
            </w:r>
          </w:p>
        </w:tc>
        <w:tc>
          <w:tcPr>
            <w:tcW w:w="355" w:type="pct"/>
            <w:tcBorders>
              <w:tl2br w:val="nil"/>
              <w:tr2bl w:val="nil"/>
            </w:tcBorders>
            <w:vAlign w:val="center"/>
          </w:tcPr>
          <w:p w14:paraId="1F6122E5">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240</w:t>
            </w:r>
          </w:p>
        </w:tc>
      </w:tr>
      <w:tr w14:paraId="45B6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69AA4D5F">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19C23D23">
            <w:pPr>
              <w:keepNext w:val="0"/>
              <w:keepLines w:val="0"/>
              <w:widowControl/>
              <w:suppressLineNumbers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kern w:val="0"/>
                <w:sz w:val="21"/>
                <w:szCs w:val="21"/>
                <w:lang w:val="en-US" w:eastAsia="zh-CN" w:bidi="ar"/>
              </w:rPr>
              <w:t>上朝阳沟</w:t>
            </w:r>
          </w:p>
        </w:tc>
        <w:tc>
          <w:tcPr>
            <w:tcW w:w="714" w:type="pct"/>
            <w:tcBorders>
              <w:tl2br w:val="nil"/>
              <w:tr2bl w:val="nil"/>
            </w:tcBorders>
            <w:vAlign w:val="center"/>
          </w:tcPr>
          <w:p w14:paraId="496D6B5B">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304666.7593</w:t>
            </w:r>
          </w:p>
        </w:tc>
        <w:tc>
          <w:tcPr>
            <w:tcW w:w="968" w:type="pct"/>
            <w:gridSpan w:val="3"/>
            <w:tcBorders>
              <w:tl2br w:val="nil"/>
              <w:tr2bl w:val="nil"/>
            </w:tcBorders>
            <w:vAlign w:val="center"/>
          </w:tcPr>
          <w:p w14:paraId="57EC157E">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4656447.6161</w:t>
            </w:r>
          </w:p>
        </w:tc>
        <w:tc>
          <w:tcPr>
            <w:tcW w:w="378" w:type="pct"/>
            <w:tcBorders>
              <w:tl2br w:val="nil"/>
              <w:tr2bl w:val="nil"/>
            </w:tcBorders>
            <w:vAlign w:val="center"/>
          </w:tcPr>
          <w:p w14:paraId="590A2A38">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507FEEF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7D13BB03">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16A5AEAC">
            <w:pPr>
              <w:keepNext w:val="0"/>
              <w:keepLines w:val="0"/>
              <w:widowControl/>
              <w:suppressLineNumbers w:val="0"/>
              <w:jc w:val="center"/>
              <w:rPr>
                <w:rFonts w:hint="default" w:ascii="Times New Roman" w:hAnsi="Times New Roman" w:cs="Times New Roman"/>
                <w:color w:val="auto"/>
                <w:sz w:val="21"/>
                <w:szCs w:val="21"/>
                <w:vertAlign w:val="superscript"/>
              </w:rPr>
            </w:pPr>
            <w:r>
              <w:rPr>
                <w:rFonts w:hint="default" w:ascii="Times New Roman" w:hAnsi="Times New Roman" w:eastAsia="宋体" w:cs="Times New Roman"/>
                <w:kern w:val="0"/>
                <w:sz w:val="21"/>
                <w:szCs w:val="21"/>
                <w:lang w:val="en-US" w:eastAsia="zh-CN" w:bidi="ar"/>
              </w:rPr>
              <w:t>东</w:t>
            </w:r>
          </w:p>
        </w:tc>
        <w:tc>
          <w:tcPr>
            <w:tcW w:w="425" w:type="pct"/>
            <w:gridSpan w:val="2"/>
            <w:tcBorders>
              <w:tl2br w:val="nil"/>
              <w:tr2bl w:val="nil"/>
            </w:tcBorders>
            <w:vAlign w:val="center"/>
          </w:tcPr>
          <w:p w14:paraId="77ECD70D">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2102</w:t>
            </w:r>
          </w:p>
        </w:tc>
        <w:tc>
          <w:tcPr>
            <w:tcW w:w="309" w:type="pct"/>
            <w:tcBorders>
              <w:tl2br w:val="nil"/>
              <w:tr2bl w:val="nil"/>
            </w:tcBorders>
            <w:vAlign w:val="center"/>
          </w:tcPr>
          <w:p w14:paraId="027134B9">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20</w:t>
            </w:r>
          </w:p>
        </w:tc>
        <w:tc>
          <w:tcPr>
            <w:tcW w:w="355" w:type="pct"/>
            <w:tcBorders>
              <w:tl2br w:val="nil"/>
              <w:tr2bl w:val="nil"/>
            </w:tcBorders>
            <w:vAlign w:val="center"/>
          </w:tcPr>
          <w:p w14:paraId="0CF8AA4B">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000000"/>
                <w:kern w:val="0"/>
                <w:sz w:val="21"/>
                <w:szCs w:val="21"/>
                <w:u w:val="none"/>
                <w:lang w:val="en-US" w:eastAsia="zh-CN" w:bidi="ar"/>
              </w:rPr>
              <w:t>60</w:t>
            </w:r>
          </w:p>
        </w:tc>
      </w:tr>
      <w:tr w14:paraId="6851D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40ED65EE">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5F47B318">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小二齿沟</w:t>
            </w:r>
          </w:p>
        </w:tc>
        <w:tc>
          <w:tcPr>
            <w:tcW w:w="714" w:type="pct"/>
            <w:tcBorders>
              <w:tl2br w:val="nil"/>
              <w:tr2bl w:val="nil"/>
            </w:tcBorders>
            <w:vAlign w:val="center"/>
          </w:tcPr>
          <w:p w14:paraId="17F025D4">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302871.5480</w:t>
            </w:r>
          </w:p>
        </w:tc>
        <w:tc>
          <w:tcPr>
            <w:tcW w:w="968" w:type="pct"/>
            <w:gridSpan w:val="3"/>
            <w:tcBorders>
              <w:tl2br w:val="nil"/>
              <w:tr2bl w:val="nil"/>
            </w:tcBorders>
            <w:vAlign w:val="center"/>
          </w:tcPr>
          <w:p w14:paraId="040EF496">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4654164.1909</w:t>
            </w:r>
          </w:p>
        </w:tc>
        <w:tc>
          <w:tcPr>
            <w:tcW w:w="378" w:type="pct"/>
            <w:tcBorders>
              <w:tl2br w:val="nil"/>
              <w:tr2bl w:val="nil"/>
            </w:tcBorders>
            <w:vAlign w:val="center"/>
          </w:tcPr>
          <w:p w14:paraId="733B41F3">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71A74AA0">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0CA5467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39AB2C89">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南</w:t>
            </w:r>
          </w:p>
        </w:tc>
        <w:tc>
          <w:tcPr>
            <w:tcW w:w="425" w:type="pct"/>
            <w:gridSpan w:val="2"/>
            <w:tcBorders>
              <w:tl2br w:val="nil"/>
              <w:tr2bl w:val="nil"/>
            </w:tcBorders>
            <w:vAlign w:val="center"/>
          </w:tcPr>
          <w:p w14:paraId="39714ED6">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2095</w:t>
            </w:r>
          </w:p>
        </w:tc>
        <w:tc>
          <w:tcPr>
            <w:tcW w:w="309" w:type="pct"/>
            <w:tcBorders>
              <w:tl2br w:val="nil"/>
              <w:tr2bl w:val="nil"/>
            </w:tcBorders>
            <w:vAlign w:val="center"/>
          </w:tcPr>
          <w:p w14:paraId="12F831F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355" w:type="pct"/>
            <w:tcBorders>
              <w:tl2br w:val="nil"/>
              <w:tr2bl w:val="nil"/>
            </w:tcBorders>
            <w:vAlign w:val="center"/>
          </w:tcPr>
          <w:p w14:paraId="0DF6FBC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90</w:t>
            </w:r>
          </w:p>
        </w:tc>
      </w:tr>
      <w:tr w14:paraId="4C52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2181FD46">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30DC0EC1">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大二齿沟</w:t>
            </w:r>
          </w:p>
        </w:tc>
        <w:tc>
          <w:tcPr>
            <w:tcW w:w="714" w:type="pct"/>
            <w:tcBorders>
              <w:tl2br w:val="nil"/>
              <w:tr2bl w:val="nil"/>
            </w:tcBorders>
            <w:vAlign w:val="center"/>
          </w:tcPr>
          <w:p w14:paraId="79DAB6C6">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304009.23</w:t>
            </w:r>
            <w:r>
              <w:rPr>
                <w:rFonts w:hint="eastAsia" w:cs="Times New Roman"/>
                <w:kern w:val="0"/>
                <w:sz w:val="21"/>
                <w:szCs w:val="21"/>
                <w:lang w:val="en-US" w:eastAsia="zh-CN" w:bidi="ar"/>
              </w:rPr>
              <w:t>00</w:t>
            </w:r>
          </w:p>
        </w:tc>
        <w:tc>
          <w:tcPr>
            <w:tcW w:w="968" w:type="pct"/>
            <w:gridSpan w:val="3"/>
            <w:tcBorders>
              <w:tl2br w:val="nil"/>
              <w:tr2bl w:val="nil"/>
            </w:tcBorders>
            <w:vAlign w:val="center"/>
          </w:tcPr>
          <w:p w14:paraId="5895B3F5">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4653790.08</w:t>
            </w:r>
            <w:r>
              <w:rPr>
                <w:rFonts w:hint="eastAsia" w:cs="Times New Roman"/>
                <w:kern w:val="0"/>
                <w:sz w:val="21"/>
                <w:szCs w:val="21"/>
                <w:lang w:val="en-US" w:eastAsia="zh-CN" w:bidi="ar"/>
              </w:rPr>
              <w:t>00</w:t>
            </w:r>
          </w:p>
        </w:tc>
        <w:tc>
          <w:tcPr>
            <w:tcW w:w="1563" w:type="dxa"/>
            <w:tcBorders>
              <w:tl2br w:val="nil"/>
              <w:tr2bl w:val="nil"/>
            </w:tcBorders>
            <w:vAlign w:val="center"/>
          </w:tcPr>
          <w:p w14:paraId="49CE530D">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1526" w:type="dxa"/>
            <w:tcBorders>
              <w:tl2br w:val="nil"/>
              <w:tr2bl w:val="nil"/>
            </w:tcBorders>
            <w:vAlign w:val="center"/>
          </w:tcPr>
          <w:p w14:paraId="4E019575">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c>
          <w:tcPr>
            <w:tcW w:w="1666" w:type="dxa"/>
            <w:tcBorders>
              <w:tl2br w:val="nil"/>
              <w:tr2bl w:val="nil"/>
            </w:tcBorders>
            <w:vAlign w:val="center"/>
          </w:tcPr>
          <w:p w14:paraId="3A70CCFD">
            <w:pPr>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一类区</w:t>
            </w:r>
          </w:p>
        </w:tc>
        <w:tc>
          <w:tcPr>
            <w:tcW w:w="1509" w:type="dxa"/>
            <w:tcBorders>
              <w:tl2br w:val="nil"/>
              <w:tr2bl w:val="nil"/>
            </w:tcBorders>
            <w:vAlign w:val="center"/>
          </w:tcPr>
          <w:p w14:paraId="0CD3FA26">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南</w:t>
            </w:r>
          </w:p>
        </w:tc>
        <w:tc>
          <w:tcPr>
            <w:tcW w:w="425" w:type="pct"/>
            <w:gridSpan w:val="2"/>
            <w:tcBorders>
              <w:tl2br w:val="nil"/>
              <w:tr2bl w:val="nil"/>
            </w:tcBorders>
            <w:vAlign w:val="center"/>
          </w:tcPr>
          <w:p w14:paraId="038AC90A">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2400</w:t>
            </w:r>
          </w:p>
        </w:tc>
        <w:tc>
          <w:tcPr>
            <w:tcW w:w="309" w:type="pct"/>
            <w:tcBorders>
              <w:tl2br w:val="nil"/>
              <w:tr2bl w:val="nil"/>
            </w:tcBorders>
            <w:vAlign w:val="center"/>
          </w:tcPr>
          <w:p w14:paraId="18FEBE17">
            <w:pPr>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355" w:type="pct"/>
            <w:tcBorders>
              <w:tl2br w:val="nil"/>
              <w:tr2bl w:val="nil"/>
            </w:tcBorders>
            <w:vAlign w:val="center"/>
          </w:tcPr>
          <w:p w14:paraId="4524FF9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60</w:t>
            </w:r>
          </w:p>
        </w:tc>
      </w:tr>
      <w:tr w14:paraId="664B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vMerge w:val="continue"/>
            <w:tcBorders>
              <w:tl2br w:val="nil"/>
              <w:tr2bl w:val="nil"/>
            </w:tcBorders>
            <w:vAlign w:val="center"/>
          </w:tcPr>
          <w:p w14:paraId="5C61993F">
            <w:pPr>
              <w:widowControl/>
              <w:jc w:val="center"/>
              <w:rPr>
                <w:rFonts w:hint="default" w:ascii="Times New Roman" w:hAnsi="Times New Roman" w:cs="Times New Roman"/>
                <w:color w:val="auto"/>
                <w:sz w:val="21"/>
                <w:szCs w:val="21"/>
              </w:rPr>
            </w:pPr>
          </w:p>
        </w:tc>
        <w:tc>
          <w:tcPr>
            <w:tcW w:w="551" w:type="pct"/>
            <w:tcBorders>
              <w:tl2br w:val="nil"/>
              <w:tr2bl w:val="nil"/>
            </w:tcBorders>
            <w:vAlign w:val="center"/>
          </w:tcPr>
          <w:p w14:paraId="68BCE3CF">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七家子村</w:t>
            </w:r>
          </w:p>
        </w:tc>
        <w:tc>
          <w:tcPr>
            <w:tcW w:w="714" w:type="pct"/>
            <w:tcBorders>
              <w:tl2br w:val="nil"/>
              <w:tr2bl w:val="nil"/>
            </w:tcBorders>
            <w:vAlign w:val="center"/>
          </w:tcPr>
          <w:p w14:paraId="00611BBE">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302261.1234</w:t>
            </w:r>
          </w:p>
        </w:tc>
        <w:tc>
          <w:tcPr>
            <w:tcW w:w="968" w:type="pct"/>
            <w:gridSpan w:val="3"/>
            <w:tcBorders>
              <w:tl2br w:val="nil"/>
              <w:tr2bl w:val="nil"/>
            </w:tcBorders>
            <w:vAlign w:val="center"/>
          </w:tcPr>
          <w:p w14:paraId="10DBA2CA">
            <w:pPr>
              <w:keepNext w:val="0"/>
              <w:keepLines w:val="0"/>
              <w:widowControl/>
              <w:suppressLineNumbers w:val="0"/>
              <w:jc w:val="center"/>
              <w:rPr>
                <w:rFonts w:hint="default" w:ascii="Times New Roman" w:hAnsi="Times New Roman" w:cs="Times New Roman"/>
                <w:color w:val="auto"/>
                <w:sz w:val="21"/>
                <w:szCs w:val="21"/>
              </w:rPr>
            </w:pPr>
            <w:r>
              <w:rPr>
                <w:rFonts w:hint="default" w:ascii="Times New Roman" w:hAnsi="Times New Roman" w:eastAsia="宋体" w:cs="Times New Roman"/>
                <w:kern w:val="0"/>
                <w:sz w:val="21"/>
                <w:szCs w:val="21"/>
                <w:lang w:val="en-US" w:eastAsia="zh-CN" w:bidi="ar"/>
              </w:rPr>
              <w:t>4655280.1287</w:t>
            </w:r>
          </w:p>
        </w:tc>
        <w:tc>
          <w:tcPr>
            <w:tcW w:w="378" w:type="pct"/>
            <w:tcBorders>
              <w:tl2br w:val="nil"/>
              <w:tr2bl w:val="nil"/>
            </w:tcBorders>
            <w:vAlign w:val="center"/>
          </w:tcPr>
          <w:p w14:paraId="4B262B1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居住区</w:t>
            </w:r>
          </w:p>
        </w:tc>
        <w:tc>
          <w:tcPr>
            <w:tcW w:w="370" w:type="pct"/>
            <w:tcBorders>
              <w:tl2br w:val="nil"/>
              <w:tr2bl w:val="nil"/>
            </w:tcBorders>
            <w:vAlign w:val="center"/>
          </w:tcPr>
          <w:p w14:paraId="47894807">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居民</w:t>
            </w:r>
          </w:p>
        </w:tc>
        <w:tc>
          <w:tcPr>
            <w:tcW w:w="404" w:type="pct"/>
            <w:tcBorders>
              <w:tl2br w:val="nil"/>
              <w:tr2bl w:val="nil"/>
            </w:tcBorders>
            <w:vAlign w:val="center"/>
          </w:tcPr>
          <w:p w14:paraId="122955D8">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一类区</w:t>
            </w:r>
          </w:p>
        </w:tc>
        <w:tc>
          <w:tcPr>
            <w:tcW w:w="366" w:type="pct"/>
            <w:tcBorders>
              <w:tl2br w:val="nil"/>
              <w:tr2bl w:val="nil"/>
            </w:tcBorders>
            <w:vAlign w:val="center"/>
          </w:tcPr>
          <w:p w14:paraId="203D64F0">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南</w:t>
            </w:r>
          </w:p>
        </w:tc>
        <w:tc>
          <w:tcPr>
            <w:tcW w:w="425" w:type="pct"/>
            <w:gridSpan w:val="2"/>
            <w:tcBorders>
              <w:tl2br w:val="nil"/>
              <w:tr2bl w:val="nil"/>
            </w:tcBorders>
            <w:vAlign w:val="center"/>
          </w:tcPr>
          <w:p w14:paraId="52BD9C5D">
            <w:pPr>
              <w:keepNext w:val="0"/>
              <w:keepLines w:val="0"/>
              <w:widowControl/>
              <w:suppressLineNumbers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kern w:val="0"/>
                <w:sz w:val="21"/>
                <w:szCs w:val="21"/>
                <w:lang w:val="en-US" w:eastAsia="zh-CN" w:bidi="ar"/>
              </w:rPr>
              <w:t>1004</w:t>
            </w:r>
          </w:p>
        </w:tc>
        <w:tc>
          <w:tcPr>
            <w:tcW w:w="309" w:type="pct"/>
            <w:tcBorders>
              <w:tl2br w:val="nil"/>
              <w:tr2bl w:val="nil"/>
            </w:tcBorders>
            <w:vAlign w:val="center"/>
          </w:tcPr>
          <w:p w14:paraId="39440F83">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355" w:type="pct"/>
            <w:tcBorders>
              <w:tl2br w:val="nil"/>
              <w:tr2bl w:val="nil"/>
            </w:tcBorders>
            <w:vAlign w:val="center"/>
          </w:tcPr>
          <w:p w14:paraId="197B4C8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300</w:t>
            </w:r>
          </w:p>
        </w:tc>
      </w:tr>
      <w:tr w14:paraId="0B0E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tcBorders>
              <w:tl2br w:val="nil"/>
              <w:tr2bl w:val="nil"/>
            </w:tcBorders>
            <w:vAlign w:val="center"/>
          </w:tcPr>
          <w:p w14:paraId="4523BCB7">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4843" w:type="pct"/>
            <w:gridSpan w:val="13"/>
            <w:tcBorders>
              <w:tl2br w:val="nil"/>
              <w:tr2bl w:val="nil"/>
            </w:tcBorders>
            <w:vAlign w:val="center"/>
          </w:tcPr>
          <w:p w14:paraId="66A15F97">
            <w:pPr>
              <w:pStyle w:val="222"/>
              <w:kinsoku w:val="0"/>
              <w:overflowPunct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厂区200m范围内无声环境敏感点</w:t>
            </w:r>
          </w:p>
        </w:tc>
      </w:tr>
      <w:tr w14:paraId="2A9A6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56" w:type="pct"/>
            <w:tcBorders>
              <w:tl2br w:val="nil"/>
              <w:tr2bl w:val="nil"/>
            </w:tcBorders>
            <w:vAlign w:val="center"/>
          </w:tcPr>
          <w:p w14:paraId="04371E5F">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地表水</w:t>
            </w:r>
          </w:p>
        </w:tc>
        <w:tc>
          <w:tcPr>
            <w:tcW w:w="2613" w:type="pct"/>
            <w:gridSpan w:val="6"/>
            <w:tcBorders>
              <w:tl2br w:val="nil"/>
              <w:tr2bl w:val="nil"/>
            </w:tcBorders>
            <w:vAlign w:val="center"/>
          </w:tcPr>
          <w:p w14:paraId="1B37EF5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蒙古营子河</w:t>
            </w:r>
          </w:p>
        </w:tc>
        <w:tc>
          <w:tcPr>
            <w:tcW w:w="774" w:type="pct"/>
            <w:gridSpan w:val="2"/>
            <w:tcBorders>
              <w:tl2br w:val="nil"/>
              <w:tr2bl w:val="nil"/>
            </w:tcBorders>
            <w:vAlign w:val="center"/>
          </w:tcPr>
          <w:p w14:paraId="3AB3813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III类</w:t>
            </w:r>
          </w:p>
        </w:tc>
        <w:tc>
          <w:tcPr>
            <w:tcW w:w="393" w:type="pct"/>
            <w:gridSpan w:val="2"/>
            <w:tcBorders>
              <w:tl2br w:val="nil"/>
              <w:tr2bl w:val="nil"/>
            </w:tcBorders>
            <w:vAlign w:val="center"/>
          </w:tcPr>
          <w:p w14:paraId="57407627">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西南</w:t>
            </w:r>
          </w:p>
        </w:tc>
        <w:tc>
          <w:tcPr>
            <w:tcW w:w="398" w:type="pct"/>
            <w:tcBorders>
              <w:tl2br w:val="nil"/>
              <w:tr2bl w:val="nil"/>
            </w:tcBorders>
            <w:vAlign w:val="center"/>
          </w:tcPr>
          <w:p w14:paraId="24870A92">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距离厂界最近</w:t>
            </w:r>
            <w:r>
              <w:rPr>
                <w:rFonts w:hint="default" w:ascii="Times New Roman" w:hAnsi="Times New Roman" w:cs="Times New Roman"/>
                <w:color w:val="auto"/>
                <w:sz w:val="21"/>
                <w:szCs w:val="21"/>
                <w:lang w:val="en-US" w:eastAsia="zh-CN"/>
              </w:rPr>
              <w:t>50</w:t>
            </w:r>
            <w:r>
              <w:rPr>
                <w:rFonts w:hint="default" w:ascii="Times New Roman" w:hAnsi="Times New Roman" w:cs="Times New Roman"/>
                <w:color w:val="auto"/>
                <w:sz w:val="21"/>
                <w:szCs w:val="21"/>
              </w:rPr>
              <w:t>m</w:t>
            </w:r>
          </w:p>
        </w:tc>
        <w:tc>
          <w:tcPr>
            <w:tcW w:w="664" w:type="pct"/>
            <w:gridSpan w:val="2"/>
            <w:tcBorders>
              <w:tl2br w:val="nil"/>
              <w:tr2bl w:val="nil"/>
            </w:tcBorders>
            <w:vAlign w:val="center"/>
          </w:tcPr>
          <w:p w14:paraId="1CBD7E0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季节性河流</w:t>
            </w:r>
          </w:p>
        </w:tc>
      </w:tr>
      <w:tr w14:paraId="2FCE1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6" w:type="pct"/>
            <w:vMerge w:val="restart"/>
            <w:tcBorders>
              <w:tl2br w:val="nil"/>
              <w:tr2bl w:val="nil"/>
            </w:tcBorders>
            <w:vAlign w:val="center"/>
          </w:tcPr>
          <w:p w14:paraId="6EEDEE06">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地下水环境</w:t>
            </w:r>
          </w:p>
        </w:tc>
        <w:tc>
          <w:tcPr>
            <w:tcW w:w="2613" w:type="pct"/>
            <w:gridSpan w:val="6"/>
            <w:tcBorders>
              <w:tl2br w:val="nil"/>
              <w:tr2bl w:val="nil"/>
            </w:tcBorders>
            <w:vAlign w:val="center"/>
          </w:tcPr>
          <w:p w14:paraId="32310529">
            <w:pPr>
              <w:pStyle w:val="184"/>
              <w:spacing w:line="300" w:lineRule="exact"/>
              <w:ind w:firstLine="420" w:firstLineChars="20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评价区域内浅层地下水、居民分散</w:t>
            </w:r>
            <w:r>
              <w:rPr>
                <w:rFonts w:hint="eastAsia" w:ascii="Times New Roman" w:hAnsi="Times New Roman" w:cs="Times New Roman" w:eastAsiaTheme="minorEastAsia"/>
                <w:color w:val="auto"/>
                <w:sz w:val="21"/>
                <w:szCs w:val="21"/>
                <w:lang w:val="en-US" w:eastAsia="zh-CN"/>
              </w:rPr>
              <w:t>式饮用水水源井</w:t>
            </w:r>
            <w:r>
              <w:rPr>
                <w:rFonts w:hint="default" w:ascii="Times New Roman" w:hAnsi="Times New Roman" w:cs="Times New Roman" w:eastAsiaTheme="minorEastAsia"/>
                <w:color w:val="auto"/>
                <w:sz w:val="21"/>
                <w:szCs w:val="21"/>
              </w:rPr>
              <w:t>坐标</w:t>
            </w:r>
            <w:r>
              <w:rPr>
                <w:rFonts w:hint="eastAsia" w:cs="Times New Roman" w:eastAsiaTheme="minorEastAsia"/>
                <w:color w:val="auto"/>
                <w:sz w:val="21"/>
                <w:szCs w:val="21"/>
                <w:lang w:val="en-US" w:eastAsia="zh-CN"/>
              </w:rPr>
              <w:t xml:space="preserve"> </w:t>
            </w:r>
          </w:p>
        </w:tc>
        <w:tc>
          <w:tcPr>
            <w:tcW w:w="1167" w:type="pct"/>
            <w:gridSpan w:val="4"/>
            <w:tcBorders>
              <w:tl2br w:val="nil"/>
              <w:tr2bl w:val="nil"/>
            </w:tcBorders>
            <w:vAlign w:val="center"/>
          </w:tcPr>
          <w:p w14:paraId="6BD2A55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相对厂址地下水流向</w:t>
            </w:r>
          </w:p>
        </w:tc>
        <w:tc>
          <w:tcPr>
            <w:tcW w:w="1063" w:type="pct"/>
            <w:gridSpan w:val="3"/>
            <w:tcBorders>
              <w:tl2br w:val="nil"/>
              <w:tr2bl w:val="nil"/>
            </w:tcBorders>
            <w:vAlign w:val="center"/>
          </w:tcPr>
          <w:p w14:paraId="5D24B606">
            <w:pPr>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相对厂址距离</w:t>
            </w:r>
            <w:r>
              <w:rPr>
                <w:rFonts w:hint="default" w:ascii="Times New Roman" w:hAnsi="Times New Roman" w:cs="Times New Roman"/>
                <w:color w:val="auto"/>
                <w:sz w:val="21"/>
                <w:szCs w:val="21"/>
              </w:rPr>
              <w:t>/m</w:t>
            </w:r>
          </w:p>
        </w:tc>
      </w:tr>
      <w:tr w14:paraId="76B49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56" w:type="pct"/>
            <w:vMerge w:val="continue"/>
            <w:tcBorders>
              <w:tl2br w:val="nil"/>
              <w:tr2bl w:val="nil"/>
            </w:tcBorders>
            <w:vAlign w:val="center"/>
          </w:tcPr>
          <w:p w14:paraId="1DE13286">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6DFCE62E">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西南沟村水井</w:t>
            </w:r>
          </w:p>
        </w:tc>
        <w:tc>
          <w:tcPr>
            <w:tcW w:w="621" w:type="pct"/>
            <w:tcBorders>
              <w:tl2br w:val="nil"/>
              <w:tr2bl w:val="nil"/>
            </w:tcBorders>
            <w:vAlign w:val="center"/>
          </w:tcPr>
          <w:p w14:paraId="5A4B0295">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302184.4423</w:t>
            </w:r>
          </w:p>
        </w:tc>
        <w:tc>
          <w:tcPr>
            <w:tcW w:w="663" w:type="pct"/>
            <w:gridSpan w:val="2"/>
            <w:tcBorders>
              <w:tl2br w:val="nil"/>
              <w:tr2bl w:val="nil"/>
            </w:tcBorders>
            <w:vAlign w:val="center"/>
          </w:tcPr>
          <w:p w14:paraId="70D98424">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4656814.7021</w:t>
            </w:r>
          </w:p>
        </w:tc>
        <w:tc>
          <w:tcPr>
            <w:tcW w:w="1167" w:type="pct"/>
            <w:gridSpan w:val="4"/>
            <w:tcBorders>
              <w:tl2br w:val="nil"/>
              <w:tr2bl w:val="nil"/>
            </w:tcBorders>
            <w:vAlign w:val="center"/>
          </w:tcPr>
          <w:p w14:paraId="38DEDB5E">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上游</w:t>
            </w:r>
          </w:p>
        </w:tc>
        <w:tc>
          <w:tcPr>
            <w:tcW w:w="1063" w:type="pct"/>
            <w:gridSpan w:val="3"/>
            <w:tcBorders>
              <w:tl2br w:val="nil"/>
              <w:tr2bl w:val="nil"/>
            </w:tcBorders>
            <w:vAlign w:val="center"/>
          </w:tcPr>
          <w:p w14:paraId="26AE7AB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780</w:t>
            </w:r>
          </w:p>
        </w:tc>
      </w:tr>
      <w:tr w14:paraId="2B60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6" w:type="pct"/>
            <w:vMerge w:val="continue"/>
            <w:tcBorders>
              <w:tl2br w:val="nil"/>
              <w:tr2bl w:val="nil"/>
            </w:tcBorders>
            <w:vAlign w:val="center"/>
          </w:tcPr>
          <w:p w14:paraId="1B4711A0">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3F4BA769">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七家子村水井</w:t>
            </w:r>
          </w:p>
        </w:tc>
        <w:tc>
          <w:tcPr>
            <w:tcW w:w="621" w:type="pct"/>
            <w:tcBorders>
              <w:tl2br w:val="nil"/>
              <w:tr2bl w:val="nil"/>
            </w:tcBorders>
            <w:shd w:val="clear" w:color="auto" w:fill="auto"/>
            <w:vAlign w:val="center"/>
          </w:tcPr>
          <w:p w14:paraId="11090E0C">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302261.1234</w:t>
            </w:r>
          </w:p>
        </w:tc>
        <w:tc>
          <w:tcPr>
            <w:tcW w:w="663" w:type="pct"/>
            <w:gridSpan w:val="2"/>
            <w:tcBorders>
              <w:tl2br w:val="nil"/>
              <w:tr2bl w:val="nil"/>
            </w:tcBorders>
            <w:shd w:val="clear" w:color="auto" w:fill="auto"/>
            <w:vAlign w:val="center"/>
          </w:tcPr>
          <w:p w14:paraId="21549EEC">
            <w:pPr>
              <w:keepNext w:val="0"/>
              <w:keepLines w:val="0"/>
              <w:widowControl/>
              <w:suppressLineNumbers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kern w:val="0"/>
                <w:sz w:val="21"/>
                <w:szCs w:val="21"/>
                <w:lang w:val="en-US" w:eastAsia="zh-CN" w:bidi="ar"/>
              </w:rPr>
              <w:t>4655280.1287</w:t>
            </w:r>
          </w:p>
        </w:tc>
        <w:tc>
          <w:tcPr>
            <w:tcW w:w="1167" w:type="pct"/>
            <w:gridSpan w:val="4"/>
            <w:tcBorders>
              <w:tl2br w:val="nil"/>
              <w:tr2bl w:val="nil"/>
            </w:tcBorders>
            <w:shd w:val="clear" w:color="auto" w:fill="auto"/>
            <w:vAlign w:val="center"/>
          </w:tcPr>
          <w:p w14:paraId="1ABA4F56">
            <w:pPr>
              <w:jc w:val="center"/>
              <w:rPr>
                <w:rFonts w:hint="default" w:ascii="Times New Roman" w:hAnsi="Times New Roman" w:cs="Times New Roman"/>
                <w:color w:val="auto"/>
                <w:sz w:val="21"/>
                <w:szCs w:val="21"/>
              </w:rPr>
            </w:pPr>
            <w:r>
              <w:rPr>
                <w:rFonts w:hint="eastAsia" w:cs="Times New Roman"/>
                <w:color w:val="auto"/>
                <w:sz w:val="21"/>
                <w:szCs w:val="21"/>
                <w:lang w:val="en-US" w:eastAsia="zh-CN"/>
              </w:rPr>
              <w:t>下</w:t>
            </w:r>
            <w:r>
              <w:rPr>
                <w:rFonts w:hint="eastAsia" w:ascii="Times New Roman" w:hAnsi="Times New Roman" w:cs="Times New Roman"/>
                <w:color w:val="auto"/>
                <w:sz w:val="21"/>
                <w:szCs w:val="21"/>
                <w:lang w:val="en-US" w:eastAsia="zh-CN"/>
              </w:rPr>
              <w:t>游</w:t>
            </w:r>
          </w:p>
        </w:tc>
        <w:tc>
          <w:tcPr>
            <w:tcW w:w="1063" w:type="pct"/>
            <w:gridSpan w:val="3"/>
            <w:tcBorders>
              <w:tl2br w:val="nil"/>
              <w:tr2bl w:val="nil"/>
            </w:tcBorders>
            <w:shd w:val="clear" w:color="auto" w:fill="auto"/>
            <w:vAlign w:val="center"/>
          </w:tcPr>
          <w:p w14:paraId="0E8BEEA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900</w:t>
            </w:r>
          </w:p>
        </w:tc>
      </w:tr>
      <w:tr w14:paraId="694FB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6" w:type="pct"/>
            <w:vMerge w:val="continue"/>
            <w:tcBorders>
              <w:tl2br w:val="nil"/>
              <w:tr2bl w:val="nil"/>
            </w:tcBorders>
            <w:vAlign w:val="center"/>
          </w:tcPr>
          <w:p w14:paraId="5CE106ED">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0F75D071">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cs="Times New Roman"/>
                <w:b w:val="0"/>
                <w:bCs w:val="0"/>
                <w:color w:val="auto"/>
                <w:sz w:val="21"/>
                <w:szCs w:val="21"/>
                <w:vertAlign w:val="baseline"/>
                <w:lang w:val="en-US" w:eastAsia="zh-CN"/>
              </w:rPr>
              <w:t>马场村水井</w:t>
            </w:r>
          </w:p>
        </w:tc>
        <w:tc>
          <w:tcPr>
            <w:tcW w:w="621" w:type="pct"/>
            <w:tcBorders>
              <w:tl2br w:val="nil"/>
              <w:tr2bl w:val="nil"/>
            </w:tcBorders>
            <w:vAlign w:val="center"/>
          </w:tcPr>
          <w:p w14:paraId="70633701">
            <w:pPr>
              <w:keepNext w:val="0"/>
              <w:keepLines w:val="0"/>
              <w:widowControl/>
              <w:suppressLineNumbers w:val="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303297.3254</w:t>
            </w:r>
          </w:p>
        </w:tc>
        <w:tc>
          <w:tcPr>
            <w:tcW w:w="663" w:type="pct"/>
            <w:gridSpan w:val="2"/>
            <w:tcBorders>
              <w:tl2br w:val="nil"/>
              <w:tr2bl w:val="nil"/>
            </w:tcBorders>
            <w:vAlign w:val="center"/>
          </w:tcPr>
          <w:p w14:paraId="47FD6F1A">
            <w:pPr>
              <w:keepNext w:val="0"/>
              <w:keepLines w:val="0"/>
              <w:widowControl/>
              <w:suppressLineNumbers w:val="0"/>
              <w:jc w:val="center"/>
              <w:rPr>
                <w:rFonts w:hint="default" w:ascii="Times New Roman" w:hAnsi="Times New Roman"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4656344.4083</w:t>
            </w:r>
          </w:p>
        </w:tc>
        <w:tc>
          <w:tcPr>
            <w:tcW w:w="1167" w:type="pct"/>
            <w:gridSpan w:val="4"/>
            <w:tcBorders>
              <w:tl2br w:val="nil"/>
              <w:tr2bl w:val="nil"/>
            </w:tcBorders>
            <w:vAlign w:val="center"/>
          </w:tcPr>
          <w:p w14:paraId="061D54D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下游</w:t>
            </w:r>
          </w:p>
        </w:tc>
        <w:tc>
          <w:tcPr>
            <w:tcW w:w="1063" w:type="pct"/>
            <w:gridSpan w:val="3"/>
            <w:tcBorders>
              <w:tl2br w:val="nil"/>
              <w:tr2bl w:val="nil"/>
            </w:tcBorders>
            <w:vAlign w:val="center"/>
          </w:tcPr>
          <w:p w14:paraId="0A0D0D8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660</w:t>
            </w:r>
          </w:p>
        </w:tc>
      </w:tr>
      <w:tr w14:paraId="68E4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6" w:type="pct"/>
            <w:vMerge w:val="continue"/>
            <w:tcBorders>
              <w:tl2br w:val="nil"/>
              <w:tr2bl w:val="nil"/>
            </w:tcBorders>
            <w:vAlign w:val="center"/>
          </w:tcPr>
          <w:p w14:paraId="48221344">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391FB86E">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下朝阳沟村水井</w:t>
            </w:r>
          </w:p>
        </w:tc>
        <w:tc>
          <w:tcPr>
            <w:tcW w:w="621" w:type="pct"/>
            <w:tcBorders>
              <w:tl2br w:val="nil"/>
              <w:tr2bl w:val="nil"/>
            </w:tcBorders>
            <w:vAlign w:val="center"/>
          </w:tcPr>
          <w:p w14:paraId="74353F5B">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304321.7620</w:t>
            </w:r>
          </w:p>
        </w:tc>
        <w:tc>
          <w:tcPr>
            <w:tcW w:w="663" w:type="pct"/>
            <w:gridSpan w:val="2"/>
            <w:tcBorders>
              <w:tl2br w:val="nil"/>
              <w:tr2bl w:val="nil"/>
            </w:tcBorders>
            <w:vAlign w:val="center"/>
          </w:tcPr>
          <w:p w14:paraId="0DEC199D">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4655495.8089</w:t>
            </w:r>
          </w:p>
        </w:tc>
        <w:tc>
          <w:tcPr>
            <w:tcW w:w="1167" w:type="pct"/>
            <w:gridSpan w:val="4"/>
            <w:tcBorders>
              <w:tl2br w:val="nil"/>
              <w:tr2bl w:val="nil"/>
            </w:tcBorders>
            <w:vAlign w:val="center"/>
          </w:tcPr>
          <w:p w14:paraId="16649F43">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下游</w:t>
            </w:r>
          </w:p>
        </w:tc>
        <w:tc>
          <w:tcPr>
            <w:tcW w:w="1063" w:type="pct"/>
            <w:gridSpan w:val="3"/>
            <w:tcBorders>
              <w:tl2br w:val="nil"/>
              <w:tr2bl w:val="nil"/>
            </w:tcBorders>
            <w:vAlign w:val="center"/>
          </w:tcPr>
          <w:p w14:paraId="3009CB4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1870</w:t>
            </w:r>
          </w:p>
        </w:tc>
      </w:tr>
      <w:tr w14:paraId="75194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6" w:type="pct"/>
            <w:vMerge w:val="continue"/>
            <w:tcBorders>
              <w:tl2br w:val="nil"/>
              <w:tr2bl w:val="nil"/>
            </w:tcBorders>
            <w:vAlign w:val="center"/>
          </w:tcPr>
          <w:p w14:paraId="0B40E031">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5A18AEBB">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下杖子村水井</w:t>
            </w:r>
          </w:p>
        </w:tc>
        <w:tc>
          <w:tcPr>
            <w:tcW w:w="621" w:type="pct"/>
            <w:tcBorders>
              <w:tl2br w:val="nil"/>
              <w:tr2bl w:val="nil"/>
            </w:tcBorders>
            <w:vAlign w:val="center"/>
          </w:tcPr>
          <w:p w14:paraId="52A9117A">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301787.4573</w:t>
            </w:r>
          </w:p>
        </w:tc>
        <w:tc>
          <w:tcPr>
            <w:tcW w:w="663" w:type="pct"/>
            <w:gridSpan w:val="2"/>
            <w:tcBorders>
              <w:tl2br w:val="nil"/>
              <w:tr2bl w:val="nil"/>
            </w:tcBorders>
            <w:vAlign w:val="center"/>
          </w:tcPr>
          <w:p w14:paraId="384CA7DE">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4657201.6393</w:t>
            </w:r>
          </w:p>
        </w:tc>
        <w:tc>
          <w:tcPr>
            <w:tcW w:w="1167" w:type="pct"/>
            <w:gridSpan w:val="4"/>
            <w:tcBorders>
              <w:tl2br w:val="nil"/>
              <w:tr2bl w:val="nil"/>
            </w:tcBorders>
            <w:vAlign w:val="center"/>
          </w:tcPr>
          <w:p w14:paraId="1B5559ED">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上游</w:t>
            </w:r>
          </w:p>
        </w:tc>
        <w:tc>
          <w:tcPr>
            <w:tcW w:w="1063" w:type="pct"/>
            <w:gridSpan w:val="3"/>
            <w:tcBorders>
              <w:tl2br w:val="nil"/>
              <w:tr2bl w:val="nil"/>
            </w:tcBorders>
            <w:vAlign w:val="center"/>
          </w:tcPr>
          <w:p w14:paraId="7A4725B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1260</w:t>
            </w:r>
          </w:p>
        </w:tc>
      </w:tr>
      <w:tr w14:paraId="605B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6" w:type="pct"/>
            <w:vMerge w:val="continue"/>
            <w:tcBorders>
              <w:tl2br w:val="nil"/>
              <w:tr2bl w:val="nil"/>
            </w:tcBorders>
            <w:vAlign w:val="center"/>
          </w:tcPr>
          <w:p w14:paraId="55466231">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03252291">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东营子村水井</w:t>
            </w:r>
          </w:p>
        </w:tc>
        <w:tc>
          <w:tcPr>
            <w:tcW w:w="621" w:type="pct"/>
            <w:tcBorders>
              <w:tl2br w:val="nil"/>
              <w:tr2bl w:val="nil"/>
            </w:tcBorders>
            <w:vAlign w:val="center"/>
          </w:tcPr>
          <w:p w14:paraId="6C49A16A">
            <w:pPr>
              <w:numPr>
                <w:ilvl w:val="0"/>
                <w:numId w:val="0"/>
              </w:numPr>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301221.9209</w:t>
            </w:r>
          </w:p>
        </w:tc>
        <w:tc>
          <w:tcPr>
            <w:tcW w:w="663" w:type="pct"/>
            <w:gridSpan w:val="2"/>
            <w:tcBorders>
              <w:tl2br w:val="nil"/>
              <w:tr2bl w:val="nil"/>
            </w:tcBorders>
            <w:vAlign w:val="center"/>
          </w:tcPr>
          <w:p w14:paraId="25B06848">
            <w:pPr>
              <w:numPr>
                <w:ilvl w:val="0"/>
                <w:numId w:val="0"/>
              </w:numPr>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4655348.7405</w:t>
            </w:r>
          </w:p>
        </w:tc>
        <w:tc>
          <w:tcPr>
            <w:tcW w:w="1167" w:type="pct"/>
            <w:gridSpan w:val="4"/>
            <w:tcBorders>
              <w:tl2br w:val="nil"/>
              <w:tr2bl w:val="nil"/>
            </w:tcBorders>
            <w:vAlign w:val="center"/>
          </w:tcPr>
          <w:p w14:paraId="20694A7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下游</w:t>
            </w:r>
          </w:p>
        </w:tc>
        <w:tc>
          <w:tcPr>
            <w:tcW w:w="1063" w:type="pct"/>
            <w:gridSpan w:val="3"/>
            <w:tcBorders>
              <w:tl2br w:val="nil"/>
              <w:tr2bl w:val="nil"/>
            </w:tcBorders>
            <w:vAlign w:val="center"/>
          </w:tcPr>
          <w:p w14:paraId="2B198AB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1560</w:t>
            </w:r>
          </w:p>
        </w:tc>
      </w:tr>
      <w:tr w14:paraId="0904F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56" w:type="pct"/>
            <w:vMerge w:val="continue"/>
            <w:tcBorders>
              <w:tl2br w:val="nil"/>
              <w:tr2bl w:val="nil"/>
            </w:tcBorders>
            <w:vAlign w:val="center"/>
          </w:tcPr>
          <w:p w14:paraId="7D1F42CF">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22EC8A4E">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冯家营村水井</w:t>
            </w:r>
          </w:p>
        </w:tc>
        <w:tc>
          <w:tcPr>
            <w:tcW w:w="621" w:type="pct"/>
            <w:tcBorders>
              <w:tl2br w:val="nil"/>
              <w:tr2bl w:val="nil"/>
            </w:tcBorders>
            <w:vAlign w:val="center"/>
          </w:tcPr>
          <w:p w14:paraId="3546DC49">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300537.3797</w:t>
            </w:r>
          </w:p>
        </w:tc>
        <w:tc>
          <w:tcPr>
            <w:tcW w:w="663" w:type="pct"/>
            <w:gridSpan w:val="2"/>
            <w:tcBorders>
              <w:tl2br w:val="nil"/>
              <w:tr2bl w:val="nil"/>
            </w:tcBorders>
            <w:vAlign w:val="center"/>
          </w:tcPr>
          <w:p w14:paraId="03E346C7">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4657774.9554</w:t>
            </w:r>
          </w:p>
        </w:tc>
        <w:tc>
          <w:tcPr>
            <w:tcW w:w="1167" w:type="pct"/>
            <w:gridSpan w:val="4"/>
            <w:tcBorders>
              <w:tl2br w:val="nil"/>
              <w:tr2bl w:val="nil"/>
            </w:tcBorders>
            <w:vAlign w:val="center"/>
          </w:tcPr>
          <w:p w14:paraId="3C23D67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上游</w:t>
            </w:r>
          </w:p>
        </w:tc>
        <w:tc>
          <w:tcPr>
            <w:tcW w:w="1063" w:type="pct"/>
            <w:gridSpan w:val="3"/>
            <w:tcBorders>
              <w:tl2br w:val="nil"/>
              <w:tr2bl w:val="nil"/>
            </w:tcBorders>
            <w:vAlign w:val="center"/>
          </w:tcPr>
          <w:p w14:paraId="4DA99A2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870</w:t>
            </w:r>
          </w:p>
        </w:tc>
      </w:tr>
      <w:tr w14:paraId="63B31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6" w:type="pct"/>
            <w:vMerge w:val="continue"/>
            <w:tcBorders>
              <w:tl2br w:val="nil"/>
              <w:tr2bl w:val="nil"/>
            </w:tcBorders>
            <w:vAlign w:val="center"/>
          </w:tcPr>
          <w:p w14:paraId="1E50D4CB">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6787493B">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小二齿沟村水井</w:t>
            </w:r>
          </w:p>
        </w:tc>
        <w:tc>
          <w:tcPr>
            <w:tcW w:w="621" w:type="pct"/>
            <w:tcBorders>
              <w:tl2br w:val="nil"/>
              <w:tr2bl w:val="nil"/>
            </w:tcBorders>
            <w:vAlign w:val="center"/>
          </w:tcPr>
          <w:p w14:paraId="2F1D4DFB">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302871.5480</w:t>
            </w:r>
          </w:p>
        </w:tc>
        <w:tc>
          <w:tcPr>
            <w:tcW w:w="663" w:type="pct"/>
            <w:gridSpan w:val="2"/>
            <w:tcBorders>
              <w:tl2br w:val="nil"/>
              <w:tr2bl w:val="nil"/>
            </w:tcBorders>
            <w:vAlign w:val="center"/>
          </w:tcPr>
          <w:p w14:paraId="7A4F5BB3">
            <w:pPr>
              <w:keepNext w:val="0"/>
              <w:keepLines w:val="0"/>
              <w:widowControl/>
              <w:suppressLineNumbers w:val="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kern w:val="0"/>
                <w:sz w:val="21"/>
                <w:szCs w:val="21"/>
                <w:lang w:val="en-US" w:eastAsia="zh-CN" w:bidi="ar"/>
              </w:rPr>
              <w:t>4654164.1909</w:t>
            </w:r>
          </w:p>
        </w:tc>
        <w:tc>
          <w:tcPr>
            <w:tcW w:w="1167" w:type="pct"/>
            <w:gridSpan w:val="4"/>
            <w:tcBorders>
              <w:tl2br w:val="nil"/>
              <w:tr2bl w:val="nil"/>
            </w:tcBorders>
            <w:vAlign w:val="center"/>
          </w:tcPr>
          <w:p w14:paraId="5FB0BC7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下游</w:t>
            </w:r>
          </w:p>
        </w:tc>
        <w:tc>
          <w:tcPr>
            <w:tcW w:w="1063" w:type="pct"/>
            <w:gridSpan w:val="3"/>
            <w:tcBorders>
              <w:tl2br w:val="nil"/>
              <w:tr2bl w:val="nil"/>
            </w:tcBorders>
            <w:vAlign w:val="center"/>
          </w:tcPr>
          <w:p w14:paraId="5529AB3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2100</w:t>
            </w:r>
          </w:p>
        </w:tc>
      </w:tr>
      <w:tr w14:paraId="2153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6" w:type="pct"/>
            <w:vMerge w:val="continue"/>
            <w:tcBorders>
              <w:tl2br w:val="nil"/>
              <w:tr2bl w:val="nil"/>
            </w:tcBorders>
            <w:vAlign w:val="center"/>
          </w:tcPr>
          <w:p w14:paraId="5175CA6F">
            <w:pPr>
              <w:jc w:val="center"/>
              <w:rPr>
                <w:rFonts w:hint="default" w:ascii="Times New Roman" w:hAnsi="Times New Roman" w:cs="Times New Roman"/>
                <w:color w:val="auto"/>
                <w:sz w:val="21"/>
                <w:szCs w:val="21"/>
              </w:rPr>
            </w:pPr>
          </w:p>
        </w:tc>
        <w:tc>
          <w:tcPr>
            <w:tcW w:w="1329" w:type="pct"/>
            <w:gridSpan w:val="3"/>
            <w:tcBorders>
              <w:tl2br w:val="nil"/>
              <w:tr2bl w:val="nil"/>
            </w:tcBorders>
            <w:vAlign w:val="center"/>
          </w:tcPr>
          <w:p w14:paraId="24E1F690">
            <w:pPr>
              <w:numPr>
                <w:ilvl w:val="0"/>
                <w:numId w:val="0"/>
              </w:numPr>
              <w:ind w:left="0" w:leftChars="0" w:firstLine="0" w:firstLineChars="0"/>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b w:val="0"/>
                <w:bCs w:val="0"/>
                <w:color w:val="auto"/>
                <w:sz w:val="21"/>
                <w:szCs w:val="21"/>
                <w:vertAlign w:val="baseline"/>
                <w:lang w:val="en-US" w:eastAsia="zh-CN"/>
              </w:rPr>
              <w:t>生金皋村水井</w:t>
            </w:r>
          </w:p>
        </w:tc>
        <w:tc>
          <w:tcPr>
            <w:tcW w:w="621" w:type="pct"/>
            <w:tcBorders>
              <w:tl2br w:val="nil"/>
              <w:tr2bl w:val="nil"/>
            </w:tcBorders>
            <w:vAlign w:val="center"/>
          </w:tcPr>
          <w:p w14:paraId="22110B26">
            <w:pPr>
              <w:numPr>
                <w:ilvl w:val="0"/>
                <w:numId w:val="0"/>
              </w:numPr>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305144.8500</w:t>
            </w:r>
          </w:p>
        </w:tc>
        <w:tc>
          <w:tcPr>
            <w:tcW w:w="663" w:type="pct"/>
            <w:gridSpan w:val="2"/>
            <w:tcBorders>
              <w:tl2br w:val="nil"/>
              <w:tr2bl w:val="nil"/>
            </w:tcBorders>
            <w:vAlign w:val="center"/>
          </w:tcPr>
          <w:p w14:paraId="0C46E7F6">
            <w:pPr>
              <w:numPr>
                <w:ilvl w:val="0"/>
                <w:numId w:val="0"/>
              </w:numPr>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4654864.1804</w:t>
            </w:r>
          </w:p>
        </w:tc>
        <w:tc>
          <w:tcPr>
            <w:tcW w:w="1167" w:type="pct"/>
            <w:gridSpan w:val="4"/>
            <w:tcBorders>
              <w:tl2br w:val="nil"/>
              <w:tr2bl w:val="nil"/>
            </w:tcBorders>
            <w:vAlign w:val="center"/>
          </w:tcPr>
          <w:p w14:paraId="5EB6F59B">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下游</w:t>
            </w:r>
          </w:p>
        </w:tc>
        <w:tc>
          <w:tcPr>
            <w:tcW w:w="1063" w:type="pct"/>
            <w:gridSpan w:val="3"/>
            <w:tcBorders>
              <w:tl2br w:val="nil"/>
              <w:tr2bl w:val="nil"/>
            </w:tcBorders>
            <w:vAlign w:val="center"/>
          </w:tcPr>
          <w:p w14:paraId="54ECAE4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3398</w:t>
            </w:r>
          </w:p>
        </w:tc>
      </w:tr>
      <w:tr w14:paraId="6B9B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6" w:type="pct"/>
            <w:vMerge w:val="restart"/>
            <w:tcBorders>
              <w:tl2br w:val="nil"/>
              <w:tr2bl w:val="nil"/>
            </w:tcBorders>
            <w:vAlign w:val="center"/>
          </w:tcPr>
          <w:p w14:paraId="7CA668AA">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w:t>
            </w:r>
          </w:p>
          <w:p w14:paraId="4D525B70">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w:t>
            </w:r>
          </w:p>
        </w:tc>
        <w:tc>
          <w:tcPr>
            <w:tcW w:w="2613" w:type="pct"/>
            <w:gridSpan w:val="6"/>
            <w:tcBorders>
              <w:tl2br w:val="nil"/>
              <w:tr2bl w:val="nil"/>
            </w:tcBorders>
            <w:vAlign w:val="center"/>
          </w:tcPr>
          <w:p w14:paraId="0E94941F">
            <w:pPr>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sz w:val="21"/>
                <w:szCs w:val="21"/>
              </w:rPr>
              <w:t>厂区用地范围</w:t>
            </w:r>
          </w:p>
        </w:tc>
        <w:tc>
          <w:tcPr>
            <w:tcW w:w="2230" w:type="pct"/>
            <w:gridSpan w:val="7"/>
            <w:tcBorders>
              <w:tl2br w:val="nil"/>
              <w:tr2bl w:val="nil"/>
            </w:tcBorders>
            <w:vAlign w:val="center"/>
          </w:tcPr>
          <w:p w14:paraId="2E16895B">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《土壤环境质量建设用地土壤污染风险管控标准（试行）》（GB36600-2018）中第二类用地筛选值标准</w:t>
            </w:r>
          </w:p>
        </w:tc>
      </w:tr>
      <w:tr w14:paraId="033F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6" w:type="pct"/>
            <w:vMerge w:val="continue"/>
            <w:tcBorders>
              <w:tl2br w:val="nil"/>
              <w:tr2bl w:val="nil"/>
            </w:tcBorders>
            <w:vAlign w:val="center"/>
          </w:tcPr>
          <w:p w14:paraId="1C9F330E">
            <w:pPr>
              <w:jc w:val="center"/>
              <w:rPr>
                <w:rFonts w:hint="default" w:ascii="Times New Roman" w:hAnsi="Times New Roman" w:cs="Times New Roman"/>
                <w:color w:val="auto"/>
                <w:sz w:val="21"/>
                <w:szCs w:val="21"/>
              </w:rPr>
            </w:pPr>
          </w:p>
        </w:tc>
        <w:tc>
          <w:tcPr>
            <w:tcW w:w="2613" w:type="pct"/>
            <w:gridSpan w:val="6"/>
            <w:tcBorders>
              <w:tl2br w:val="nil"/>
              <w:tr2bl w:val="nil"/>
            </w:tcBorders>
            <w:vAlign w:val="center"/>
          </w:tcPr>
          <w:p w14:paraId="3F15EDBD">
            <w:pPr>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eastAsia="zh-CN"/>
              </w:rPr>
              <w:t>厂区</w:t>
            </w:r>
            <w:r>
              <w:rPr>
                <w:rFonts w:hint="eastAsia" w:ascii="Times New Roman" w:hAnsi="Times New Roman" w:cs="Times New Roman" w:eastAsiaTheme="minorEastAsia"/>
                <w:color w:val="auto"/>
                <w:sz w:val="21"/>
                <w:szCs w:val="21"/>
                <w:lang w:val="en-US" w:eastAsia="zh-CN"/>
              </w:rPr>
              <w:t>周围林地、</w:t>
            </w:r>
            <w:r>
              <w:rPr>
                <w:rFonts w:hint="eastAsia" w:cs="Times New Roman" w:eastAsiaTheme="minorEastAsia"/>
                <w:color w:val="auto"/>
                <w:sz w:val="21"/>
                <w:szCs w:val="21"/>
                <w:lang w:val="en-US" w:eastAsia="zh-CN"/>
              </w:rPr>
              <w:t>农田</w:t>
            </w:r>
          </w:p>
        </w:tc>
        <w:tc>
          <w:tcPr>
            <w:tcW w:w="2230" w:type="pct"/>
            <w:gridSpan w:val="7"/>
            <w:tcBorders>
              <w:tl2br w:val="nil"/>
              <w:tr2bl w:val="nil"/>
            </w:tcBorders>
            <w:vAlign w:val="center"/>
          </w:tcPr>
          <w:p w14:paraId="5ED42A67">
            <w:pPr>
              <w:jc w:val="center"/>
              <w:rPr>
                <w:rFonts w:hint="default" w:ascii="Times New Roman" w:hAnsi="Times New Roman" w:cs="Times New Roman"/>
                <w:color w:val="auto"/>
                <w:sz w:val="21"/>
                <w:szCs w:val="21"/>
              </w:rPr>
            </w:pPr>
            <w:r>
              <w:rPr>
                <w:rFonts w:hint="default" w:ascii="Times New Roman" w:hAnsi="Times New Roman" w:cs="Times New Roman"/>
                <w:color w:val="auto"/>
                <w:spacing w:val="-4"/>
                <w:sz w:val="21"/>
                <w:szCs w:val="21"/>
              </w:rPr>
              <w:t>《土壤环境质量农用地土壤污染风险管控标准（试行）》（GB15618-2018）中风险筛选值标准</w:t>
            </w:r>
          </w:p>
        </w:tc>
      </w:tr>
      <w:tr w14:paraId="3CAC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6" w:type="pct"/>
            <w:tcBorders>
              <w:tl2br w:val="nil"/>
              <w:tr2bl w:val="nil"/>
            </w:tcBorders>
            <w:vAlign w:val="center"/>
          </w:tcPr>
          <w:p w14:paraId="37CEABB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生态</w:t>
            </w:r>
          </w:p>
        </w:tc>
        <w:tc>
          <w:tcPr>
            <w:tcW w:w="2613" w:type="pct"/>
            <w:gridSpan w:val="6"/>
            <w:tcBorders>
              <w:tl2br w:val="nil"/>
              <w:tr2bl w:val="nil"/>
            </w:tcBorders>
            <w:vAlign w:val="center"/>
          </w:tcPr>
          <w:p w14:paraId="0C07B197">
            <w:pPr>
              <w:jc w:val="center"/>
              <w:rPr>
                <w:rFonts w:hint="default" w:ascii="Times New Roman" w:hAnsi="Times New Roman" w:cs="Times New Roman" w:eastAsiaTheme="minorEastAsia"/>
                <w:color w:val="auto"/>
                <w:sz w:val="21"/>
                <w:szCs w:val="21"/>
                <w:lang w:val="en-US" w:eastAsia="zh-CN"/>
              </w:rPr>
            </w:pPr>
            <w:r>
              <w:rPr>
                <w:rFonts w:hint="eastAsia" w:ascii="Times New Roman" w:hAnsi="Times New Roman" w:cs="Times New Roman" w:eastAsiaTheme="minorEastAsia"/>
                <w:color w:val="auto"/>
                <w:sz w:val="21"/>
                <w:szCs w:val="21"/>
                <w:lang w:val="en-US" w:eastAsia="zh-CN"/>
              </w:rPr>
              <w:t>厂区周围植被、土地、野生动物等</w:t>
            </w:r>
          </w:p>
        </w:tc>
        <w:tc>
          <w:tcPr>
            <w:tcW w:w="2230" w:type="pct"/>
            <w:gridSpan w:val="7"/>
            <w:tcBorders>
              <w:tl2br w:val="nil"/>
              <w:tr2bl w:val="nil"/>
            </w:tcBorders>
            <w:vAlign w:val="center"/>
          </w:tcPr>
          <w:p w14:paraId="0DA86A4F">
            <w:pPr>
              <w:jc w:val="center"/>
              <w:rPr>
                <w:rFonts w:hint="default" w:ascii="Times New Roman" w:hAnsi="Times New Roman" w:cs="Times New Roman"/>
                <w:color w:val="auto"/>
                <w:spacing w:val="-4"/>
                <w:sz w:val="21"/>
                <w:szCs w:val="21"/>
              </w:rPr>
            </w:pPr>
            <w:r>
              <w:rPr>
                <w:rFonts w:hint="default" w:ascii="Times New Roman" w:hAnsi="Times New Roman" w:cs="Times New Roman"/>
                <w:color w:val="auto"/>
                <w:spacing w:val="-4"/>
                <w:sz w:val="21"/>
                <w:szCs w:val="21"/>
                <w:lang w:val="en-US" w:eastAsia="zh-CN"/>
              </w:rPr>
              <w:t>维持区域生态系统完整性</w:t>
            </w:r>
            <w:r>
              <w:rPr>
                <w:rFonts w:hint="eastAsia" w:ascii="Times New Roman" w:hAnsi="Times New Roman" w:cs="Times New Roman"/>
                <w:color w:val="auto"/>
                <w:spacing w:val="-4"/>
                <w:sz w:val="21"/>
                <w:szCs w:val="21"/>
                <w:lang w:val="en-US" w:eastAsia="zh-CN"/>
              </w:rPr>
              <w:t>、</w:t>
            </w:r>
            <w:r>
              <w:rPr>
                <w:rFonts w:hint="default" w:ascii="Times New Roman" w:hAnsi="Times New Roman" w:cs="Times New Roman"/>
                <w:color w:val="auto"/>
                <w:spacing w:val="-4"/>
                <w:sz w:val="21"/>
                <w:szCs w:val="21"/>
                <w:lang w:val="en-US" w:eastAsia="zh-CN"/>
              </w:rPr>
              <w:t>稳定性</w:t>
            </w:r>
            <w:r>
              <w:rPr>
                <w:rFonts w:hint="eastAsia" w:ascii="Times New Roman" w:hAnsi="Times New Roman" w:cs="Times New Roman"/>
                <w:color w:val="auto"/>
                <w:spacing w:val="-4"/>
                <w:sz w:val="21"/>
                <w:szCs w:val="21"/>
                <w:lang w:val="en-US" w:eastAsia="zh-CN"/>
              </w:rPr>
              <w:t>及多样性</w:t>
            </w:r>
            <w:r>
              <w:rPr>
                <w:rFonts w:hint="default" w:ascii="Times New Roman" w:hAnsi="Times New Roman" w:cs="Times New Roman"/>
                <w:color w:val="auto"/>
                <w:spacing w:val="-4"/>
                <w:sz w:val="21"/>
                <w:szCs w:val="21"/>
                <w:lang w:val="en-US" w:eastAsia="zh-CN"/>
              </w:rPr>
              <w:t>。</w:t>
            </w:r>
          </w:p>
        </w:tc>
      </w:tr>
    </w:tbl>
    <w:p w14:paraId="189C4DCE">
      <w:pPr>
        <w:autoSpaceDE w:val="0"/>
        <w:autoSpaceDN w:val="0"/>
        <w:rPr>
          <w:b/>
          <w:color w:val="auto"/>
          <w:sz w:val="24"/>
        </w:rPr>
      </w:pPr>
    </w:p>
    <w:p w14:paraId="5C12B6BD">
      <w:pPr>
        <w:autoSpaceDE w:val="0"/>
        <w:autoSpaceDN w:val="0"/>
        <w:rPr>
          <w:b/>
          <w:color w:val="auto"/>
          <w:sz w:val="24"/>
        </w:rPr>
      </w:pPr>
    </w:p>
    <w:p w14:paraId="41823ADF">
      <w:pPr>
        <w:tabs>
          <w:tab w:val="left" w:pos="7105"/>
        </w:tabs>
        <w:rPr>
          <w:color w:val="auto"/>
        </w:rPr>
      </w:pPr>
      <w:bookmarkStart w:id="33" w:name="_Toc436571624"/>
    </w:p>
    <w:p w14:paraId="0C2DB294">
      <w:pPr>
        <w:tabs>
          <w:tab w:val="left" w:pos="7105"/>
        </w:tabs>
        <w:rPr>
          <w:color w:val="auto"/>
        </w:rPr>
      </w:pPr>
    </w:p>
    <w:p w14:paraId="06659660">
      <w:pPr>
        <w:tabs>
          <w:tab w:val="left" w:pos="7105"/>
        </w:tabs>
        <w:rPr>
          <w:color w:val="auto"/>
        </w:rPr>
      </w:pPr>
    </w:p>
    <w:p w14:paraId="2232485F">
      <w:pPr>
        <w:tabs>
          <w:tab w:val="left" w:pos="7105"/>
        </w:tabs>
        <w:rPr>
          <w:color w:val="auto"/>
        </w:rPr>
      </w:pPr>
    </w:p>
    <w:p w14:paraId="1D7AB41E">
      <w:pPr>
        <w:tabs>
          <w:tab w:val="left" w:pos="7105"/>
        </w:tabs>
        <w:rPr>
          <w:color w:val="auto"/>
        </w:rPr>
      </w:pPr>
    </w:p>
    <w:p w14:paraId="16451D0D">
      <w:pPr>
        <w:tabs>
          <w:tab w:val="left" w:pos="7105"/>
        </w:tabs>
        <w:rPr>
          <w:color w:val="auto"/>
        </w:rPr>
      </w:pPr>
    </w:p>
    <w:p w14:paraId="409ADBC2">
      <w:pPr>
        <w:tabs>
          <w:tab w:val="left" w:pos="7105"/>
        </w:tabs>
        <w:rPr>
          <w:color w:val="auto"/>
        </w:rPr>
      </w:pPr>
    </w:p>
    <w:p w14:paraId="4C95F922">
      <w:pPr>
        <w:tabs>
          <w:tab w:val="left" w:pos="7105"/>
        </w:tabs>
        <w:rPr>
          <w:color w:val="auto"/>
        </w:rPr>
      </w:pPr>
    </w:p>
    <w:p w14:paraId="52C65A47">
      <w:pPr>
        <w:tabs>
          <w:tab w:val="left" w:pos="7105"/>
        </w:tabs>
        <w:spacing w:line="360" w:lineRule="auto"/>
        <w:jc w:val="center"/>
        <w:rPr>
          <w:rFonts w:hint="eastAsia"/>
          <w:b/>
          <w:bCs/>
          <w:color w:val="auto"/>
          <w:sz w:val="24"/>
          <w:szCs w:val="32"/>
          <w:lang w:val="en-US" w:eastAsia="zh-CN"/>
        </w:rPr>
      </w:pPr>
      <w:r>
        <w:drawing>
          <wp:anchor distT="0" distB="0" distL="114300" distR="114300" simplePos="0" relativeHeight="251881472" behindDoc="0" locked="0" layoutInCell="1" allowOverlap="1">
            <wp:simplePos x="0" y="0"/>
            <wp:positionH relativeFrom="column">
              <wp:posOffset>12202795</wp:posOffset>
            </wp:positionH>
            <wp:positionV relativeFrom="paragraph">
              <wp:posOffset>152400</wp:posOffset>
            </wp:positionV>
            <wp:extent cx="410210" cy="756285"/>
            <wp:effectExtent l="0" t="0" r="8890" b="5715"/>
            <wp:wrapNone/>
            <wp:docPr id="2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5"/>
                    <pic:cNvPicPr>
                      <a:picLocks noChangeAspect="1"/>
                    </pic:cNvPicPr>
                  </pic:nvPicPr>
                  <pic:blipFill>
                    <a:blip r:embed="rId34"/>
                    <a:srcRect t="915"/>
                    <a:stretch>
                      <a:fillRect/>
                    </a:stretch>
                  </pic:blipFill>
                  <pic:spPr>
                    <a:xfrm>
                      <a:off x="0" y="0"/>
                      <a:ext cx="410210" cy="756285"/>
                    </a:xfrm>
                    <a:prstGeom prst="rect">
                      <a:avLst/>
                    </a:prstGeom>
                    <a:noFill/>
                    <a:ln>
                      <a:noFill/>
                    </a:ln>
                  </pic:spPr>
                </pic:pic>
              </a:graphicData>
            </a:graphic>
          </wp:anchor>
        </w:drawing>
      </w:r>
      <w:r>
        <w:rPr>
          <w:sz w:val="24"/>
        </w:rPr>
        <mc:AlternateContent>
          <mc:Choice Requires="wps">
            <w:drawing>
              <wp:anchor distT="0" distB="0" distL="114300" distR="114300" simplePos="0" relativeHeight="251853824" behindDoc="0" locked="0" layoutInCell="1" allowOverlap="1">
                <wp:simplePos x="0" y="0"/>
                <wp:positionH relativeFrom="column">
                  <wp:posOffset>3134995</wp:posOffset>
                </wp:positionH>
                <wp:positionV relativeFrom="paragraph">
                  <wp:posOffset>4686300</wp:posOffset>
                </wp:positionV>
                <wp:extent cx="734695" cy="49149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734695"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01BF83">
                            <w:pPr>
                              <w:rPr>
                                <w:rFonts w:hint="default" w:eastAsia="宋体"/>
                                <w:color w:val="FF0000"/>
                                <w:lang w:val="en-US" w:eastAsia="zh-CN"/>
                              </w:rPr>
                            </w:pPr>
                            <w:r>
                              <w:rPr>
                                <w:rFonts w:hint="eastAsia"/>
                                <w:color w:val="FF0000"/>
                                <w:lang w:val="en-US" w:eastAsia="zh-CN"/>
                              </w:rPr>
                              <w:t>赵家营子1472m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85pt;margin-top:369pt;height:38.7pt;width:57.85pt;z-index:251853824;mso-width-relative:page;mso-height-relative:page;" filled="f" stroked="f" coordsize="21600,21600" o:gfxdata="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GCcet0AAAALAQAADwAAAAAAAAABACAAAAAi&#10;AAAAZHJzL2Rvd25yZXYueG1sUEsBAhQAFAAAAAgAh07iQLeEF44+AgAAaQQAAA4AAAAAAAAAAQAg&#10;AAAALAEAAGRycy9lMm9Eb2MueG1sUEsFBgAAAAAGAAYAWQEAANwFAAAAAA==&#10;">
                <v:fill on="f" focussize="0,0"/>
                <v:stroke on="f" weight="0.5pt"/>
                <v:imagedata o:title=""/>
                <o:lock v:ext="edit" aspectratio="f"/>
                <v:textbox>
                  <w:txbxContent>
                    <w:p w14:paraId="5C01BF83">
                      <w:pPr>
                        <w:rPr>
                          <w:rFonts w:hint="default" w:eastAsia="宋体"/>
                          <w:color w:val="FF0000"/>
                          <w:lang w:val="en-US" w:eastAsia="zh-CN"/>
                        </w:rPr>
                      </w:pPr>
                      <w:r>
                        <w:rPr>
                          <w:rFonts w:hint="eastAsia"/>
                          <w:color w:val="FF0000"/>
                          <w:lang w:val="en-US" w:eastAsia="zh-CN"/>
                        </w:rPr>
                        <w:t>赵家营子1472m</w:t>
                      </w:r>
                    </w:p>
                  </w:txbxContent>
                </v:textbox>
              </v:shape>
            </w:pict>
          </mc:Fallback>
        </mc:AlternateContent>
      </w:r>
      <w:r>
        <w:rPr>
          <w:sz w:val="24"/>
        </w:rPr>
        <mc:AlternateContent>
          <mc:Choice Requires="wps">
            <w:drawing>
              <wp:anchor distT="0" distB="0" distL="114300" distR="114300" simplePos="0" relativeHeight="251852800" behindDoc="0" locked="0" layoutInCell="1" allowOverlap="1">
                <wp:simplePos x="0" y="0"/>
                <wp:positionH relativeFrom="column">
                  <wp:posOffset>2348230</wp:posOffset>
                </wp:positionH>
                <wp:positionV relativeFrom="paragraph">
                  <wp:posOffset>4640580</wp:posOffset>
                </wp:positionV>
                <wp:extent cx="1661160" cy="412750"/>
                <wp:effectExtent l="0" t="0" r="15240" b="6350"/>
                <wp:wrapNone/>
                <wp:docPr id="247" name="任意多边形 247"/>
                <wp:cNvGraphicFramePr/>
                <a:graphic xmlns:a="http://schemas.openxmlformats.org/drawingml/2006/main">
                  <a:graphicData uri="http://schemas.microsoft.com/office/word/2010/wordprocessingShape">
                    <wps:wsp>
                      <wps:cNvSpPr/>
                      <wps:spPr>
                        <a:xfrm>
                          <a:off x="3428365" y="6116955"/>
                          <a:ext cx="1661160" cy="412750"/>
                        </a:xfrm>
                        <a:custGeom>
                          <a:avLst/>
                          <a:gdLst>
                            <a:gd name="connisteX0" fmla="*/ 1661160 w 1661160"/>
                            <a:gd name="connsiteY0" fmla="*/ 158750 h 412750"/>
                            <a:gd name="connisteX1" fmla="*/ 1036955 w 1661160"/>
                            <a:gd name="connsiteY1" fmla="*/ 0 h 412750"/>
                            <a:gd name="connisteX2" fmla="*/ 909955 w 1661160"/>
                            <a:gd name="connsiteY2" fmla="*/ 106045 h 412750"/>
                            <a:gd name="connisteX3" fmla="*/ 645160 w 1661160"/>
                            <a:gd name="connsiteY3" fmla="*/ 254000 h 412750"/>
                            <a:gd name="connisteX4" fmla="*/ 0 w 1661160"/>
                            <a:gd name="connsiteY4" fmla="*/ 243840 h 412750"/>
                            <a:gd name="connisteX5" fmla="*/ 20955 w 1661160"/>
                            <a:gd name="connsiteY5" fmla="*/ 402590 h 412750"/>
                            <a:gd name="connisteX6" fmla="*/ 645160 w 1661160"/>
                            <a:gd name="connsiteY6" fmla="*/ 412750 h 412750"/>
                            <a:gd name="connisteX7" fmla="*/ 1290955 w 1661160"/>
                            <a:gd name="connsiteY7" fmla="*/ 391795 h 412750"/>
                            <a:gd name="connisteX8" fmla="*/ 1640205 w 1661160"/>
                            <a:gd name="connsiteY8" fmla="*/ 381000 h 412750"/>
                            <a:gd name="connisteX9" fmla="*/ 1661160 w 1661160"/>
                            <a:gd name="connsiteY9" fmla="*/ 158750 h 412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Lst>
                          <a:rect l="l" t="t" r="r" b="b"/>
                          <a:pathLst>
                            <a:path w="1661160" h="412750">
                              <a:moveTo>
                                <a:pt x="1661160" y="158750"/>
                              </a:moveTo>
                              <a:lnTo>
                                <a:pt x="1036955" y="0"/>
                              </a:lnTo>
                              <a:lnTo>
                                <a:pt x="909955" y="106045"/>
                              </a:lnTo>
                              <a:lnTo>
                                <a:pt x="645160" y="254000"/>
                              </a:lnTo>
                              <a:lnTo>
                                <a:pt x="0" y="243840"/>
                              </a:lnTo>
                              <a:lnTo>
                                <a:pt x="20955" y="402590"/>
                              </a:lnTo>
                              <a:lnTo>
                                <a:pt x="645160" y="412750"/>
                              </a:lnTo>
                              <a:lnTo>
                                <a:pt x="1290955" y="391795"/>
                              </a:lnTo>
                              <a:lnTo>
                                <a:pt x="1640205" y="381000"/>
                              </a:lnTo>
                              <a:lnTo>
                                <a:pt x="1661160" y="158750"/>
                              </a:lnTo>
                              <a:close/>
                            </a:path>
                          </a:pathLst>
                        </a:custGeom>
                        <a:solidFill>
                          <a:srgbClr val="FAC090">
                            <a:alpha val="46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84.9pt;margin-top:365.4pt;height:32.5pt;width:130.8pt;z-index:251852800;mso-width-relative:page;mso-height-relative:page;" fillcolor="#FAC090" filled="t" stroked="f" coordsize="1661160,412750" o:gfxdata="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DhkxJd2gAAAAsBAAAPAAAAAAAAAAEAIAAA&#10;ACIAAABkcnMvZG93bnJldi54bWxQSwECFAAUAAAACACHTuJA7WWhWdIDAACNDAAADgAAAAAAAAAB&#10;ACAAAAApAQAAZHJzL2Uyb0RvYy54bWxQSwUGAAAAAAYABgBZAQAAbQcAAAAA&#10;" path="m1661160,158750l1036955,0,909955,106045,645160,254000,0,243840,20955,402590,645160,412750,1290955,391795,1640205,381000,1661160,158750xe">
                <v:path o:connectlocs="1661160,158750;1036955,0;909955,106045;645160,254000;0,243840;20955,402590;645160,412750;1290955,391795;1640205,381000;1661160,158750" o:connectangles="0,0,0,0,0,0,0,0,0,0"/>
                <v:fill on="t" opacity="30146f" focussize="0,0"/>
                <v:stroke on="f" weight="2pt"/>
                <v:imagedata o:title=""/>
                <o:lock v:ext="edit" aspectratio="f"/>
              </v:shape>
            </w:pict>
          </mc:Fallback>
        </mc:AlternateContent>
      </w:r>
      <w:r>
        <w:rPr>
          <w:sz w:val="24"/>
        </w:rPr>
        <mc:AlternateContent>
          <mc:Choice Requires="wps">
            <w:drawing>
              <wp:anchor distT="0" distB="0" distL="114300" distR="114300" simplePos="0" relativeHeight="251851776" behindDoc="0" locked="0" layoutInCell="1" allowOverlap="1">
                <wp:simplePos x="0" y="0"/>
                <wp:positionH relativeFrom="column">
                  <wp:posOffset>7160895</wp:posOffset>
                </wp:positionH>
                <wp:positionV relativeFrom="paragraph">
                  <wp:posOffset>6595745</wp:posOffset>
                </wp:positionV>
                <wp:extent cx="734695" cy="49149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734695"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026AAF">
                            <w:pPr>
                              <w:rPr>
                                <w:rFonts w:hint="default" w:eastAsia="宋体"/>
                                <w:color w:val="FF0000"/>
                                <w:lang w:val="en-US" w:eastAsia="zh-CN"/>
                              </w:rPr>
                            </w:pPr>
                            <w:r>
                              <w:rPr>
                                <w:rFonts w:hint="eastAsia"/>
                                <w:color w:val="FF0000"/>
                                <w:lang w:val="en-US" w:eastAsia="zh-CN"/>
                              </w:rPr>
                              <w:t>大二齿沟2400m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3.85pt;margin-top:519.35pt;height:38.7pt;width:57.85pt;z-index:251851776;mso-width-relative:page;mso-height-relative:page;" filled="f" stroked="f" coordsize="21600,21600" o:gfxdata="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RAm1jt0AAAAPAQAADwAAAAAAAAABACAAAAAi&#10;AAAAZHJzL2Rvd25yZXYueG1sUEsBAhQAFAAAAAgAh07iQLDf9lE+AgAAaQQAAA4AAAAAAAAAAQAg&#10;AAAALAEAAGRycy9lMm9Eb2MueG1sUEsFBgAAAAAGAAYAWQEAANwFAAAAAA==&#10;">
                <v:fill on="f" focussize="0,0"/>
                <v:stroke on="f" weight="0.5pt"/>
                <v:imagedata o:title=""/>
                <o:lock v:ext="edit" aspectratio="f"/>
                <v:textbox>
                  <w:txbxContent>
                    <w:p w14:paraId="71026AAF">
                      <w:pPr>
                        <w:rPr>
                          <w:rFonts w:hint="default" w:eastAsia="宋体"/>
                          <w:color w:val="FF0000"/>
                          <w:lang w:val="en-US" w:eastAsia="zh-CN"/>
                        </w:rPr>
                      </w:pPr>
                      <w:r>
                        <w:rPr>
                          <w:rFonts w:hint="eastAsia"/>
                          <w:color w:val="FF0000"/>
                          <w:lang w:val="en-US" w:eastAsia="zh-CN"/>
                        </w:rPr>
                        <w:t>大二齿沟2400m</w:t>
                      </w:r>
                    </w:p>
                  </w:txbxContent>
                </v:textbox>
              </v:shape>
            </w:pict>
          </mc:Fallback>
        </mc:AlternateContent>
      </w:r>
      <w:r>
        <w:rPr>
          <w:sz w:val="24"/>
        </w:rPr>
        <mc:AlternateContent>
          <mc:Choice Requires="wps">
            <w:drawing>
              <wp:anchor distT="0" distB="0" distL="114300" distR="114300" simplePos="0" relativeHeight="251850752" behindDoc="0" locked="0" layoutInCell="1" allowOverlap="1">
                <wp:simplePos x="0" y="0"/>
                <wp:positionH relativeFrom="column">
                  <wp:posOffset>7258685</wp:posOffset>
                </wp:positionH>
                <wp:positionV relativeFrom="paragraph">
                  <wp:posOffset>6731635</wp:posOffset>
                </wp:positionV>
                <wp:extent cx="476250" cy="264160"/>
                <wp:effectExtent l="0" t="0" r="0" b="2540"/>
                <wp:wrapNone/>
                <wp:docPr id="245" name="任意多边形 245"/>
                <wp:cNvGraphicFramePr/>
                <a:graphic xmlns:a="http://schemas.openxmlformats.org/drawingml/2006/main">
                  <a:graphicData uri="http://schemas.microsoft.com/office/word/2010/wordprocessingShape">
                    <wps:wsp>
                      <wps:cNvSpPr/>
                      <wps:spPr>
                        <a:xfrm>
                          <a:off x="8338820" y="8009890"/>
                          <a:ext cx="476250" cy="264160"/>
                        </a:xfrm>
                        <a:custGeom>
                          <a:avLst/>
                          <a:gdLst>
                            <a:gd name="connisteX0" fmla="*/ 0 w 476250"/>
                            <a:gd name="connsiteY0" fmla="*/ 232410 h 264160"/>
                            <a:gd name="connisteX1" fmla="*/ 264795 w 476250"/>
                            <a:gd name="connsiteY1" fmla="*/ 0 h 264160"/>
                            <a:gd name="connisteX2" fmla="*/ 476250 w 476250"/>
                            <a:gd name="connsiteY2" fmla="*/ 105410 h 264160"/>
                            <a:gd name="connisteX3" fmla="*/ 391795 w 476250"/>
                            <a:gd name="connsiteY3" fmla="*/ 264160 h 264160"/>
                            <a:gd name="connisteX4" fmla="*/ 0 w 476250"/>
                            <a:gd name="connsiteY4" fmla="*/ 232410 h 26416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476250" h="264160">
                              <a:moveTo>
                                <a:pt x="0" y="232410"/>
                              </a:moveTo>
                              <a:lnTo>
                                <a:pt x="264795" y="0"/>
                              </a:lnTo>
                              <a:lnTo>
                                <a:pt x="476250" y="105410"/>
                              </a:lnTo>
                              <a:lnTo>
                                <a:pt x="391795" y="264160"/>
                              </a:lnTo>
                              <a:lnTo>
                                <a:pt x="0" y="232410"/>
                              </a:lnTo>
                              <a:close/>
                            </a:path>
                          </a:pathLst>
                        </a:custGeom>
                        <a:solidFill>
                          <a:srgbClr val="FAC090">
                            <a:alpha val="58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71.55pt;margin-top:530.05pt;height:20.8pt;width:37.5pt;z-index:251850752;mso-width-relative:page;mso-height-relative:page;" fillcolor="#FAC090" filled="t" stroked="f" coordsize="476250,264160" o:gfxdata="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JEaySNgAAAAPAQAADwAAAAAAAAABACAAAAAiAAAAZHJzL2Rvd25y&#10;ZXYueG1sUEsBAhQAFAAAAAgAh07iQLGPY9QbAwAAWggAAA4AAAAAAAAAAQAgAAAAJwEAAGRycy9l&#10;Mm9Eb2MueG1sUEsFBgAAAAAGAAYAWQEAALQGAAAAAA==&#10;" path="m0,232410l264795,0,476250,105410,391795,264160,0,232410xe">
                <v:path o:connectlocs="0,232410;264795,0;476250,105410;391795,264160;0,232410" o:connectangles="0,0,0,0,0"/>
                <v:fill on="t" opacity="38010f" focussize="0,0"/>
                <v:stroke on="f" weight="2pt"/>
                <v:imagedata o:title=""/>
                <o:lock v:ext="edit" aspectratio="f"/>
              </v:shape>
            </w:pict>
          </mc:Fallback>
        </mc:AlternateContent>
      </w:r>
      <w:r>
        <w:rPr>
          <w:sz w:val="24"/>
        </w:rPr>
        <mc:AlternateContent>
          <mc:Choice Requires="wps">
            <w:drawing>
              <wp:anchor distT="0" distB="0" distL="114300" distR="114300" simplePos="0" relativeHeight="251849728" behindDoc="0" locked="0" layoutInCell="1" allowOverlap="1">
                <wp:simplePos x="0" y="0"/>
                <wp:positionH relativeFrom="column">
                  <wp:posOffset>5463540</wp:posOffset>
                </wp:positionH>
                <wp:positionV relativeFrom="paragraph">
                  <wp:posOffset>6200140</wp:posOffset>
                </wp:positionV>
                <wp:extent cx="734695" cy="49149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734695"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577B07">
                            <w:pPr>
                              <w:rPr>
                                <w:rFonts w:hint="default" w:eastAsia="宋体"/>
                                <w:color w:val="FF0000"/>
                                <w:lang w:val="en-US" w:eastAsia="zh-CN"/>
                              </w:rPr>
                            </w:pPr>
                            <w:r>
                              <w:rPr>
                                <w:rFonts w:hint="eastAsia"/>
                                <w:color w:val="FF0000"/>
                                <w:lang w:val="en-US" w:eastAsia="zh-CN"/>
                              </w:rPr>
                              <w:t>小二齿沟2095m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2pt;margin-top:488.2pt;height:38.7pt;width:57.85pt;z-index:251849728;mso-width-relative:page;mso-height-relative:page;" filled="f" stroked="f" coordsize="21600,21600" o:gfxdata="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3EXIbbAAAADAEAAA8AAAAAAAAAAQAgAAAAIgAA&#10;AGRycy9kb3ducmV2LnhtbFBLAQIUABQAAAAIAIdO4kCqwMY9PgIAAGkEAAAOAAAAAAAAAAEAIAAA&#10;ACoBAABkcnMvZTJvRG9jLnhtbFBLBQYAAAAABgAGAFkBAADaBQAAAAA=&#10;">
                <v:fill on="f" focussize="0,0"/>
                <v:stroke on="f" weight="0.5pt"/>
                <v:imagedata o:title=""/>
                <o:lock v:ext="edit" aspectratio="f"/>
                <v:textbox>
                  <w:txbxContent>
                    <w:p w14:paraId="62577B07">
                      <w:pPr>
                        <w:rPr>
                          <w:rFonts w:hint="default" w:eastAsia="宋体"/>
                          <w:color w:val="FF0000"/>
                          <w:lang w:val="en-US" w:eastAsia="zh-CN"/>
                        </w:rPr>
                      </w:pPr>
                      <w:r>
                        <w:rPr>
                          <w:rFonts w:hint="eastAsia"/>
                          <w:color w:val="FF0000"/>
                          <w:lang w:val="en-US" w:eastAsia="zh-CN"/>
                        </w:rPr>
                        <w:t>小二齿沟2095m</w:t>
                      </w:r>
                    </w:p>
                  </w:txbxContent>
                </v:textbox>
              </v:shape>
            </w:pict>
          </mc:Fallback>
        </mc:AlternateContent>
      </w:r>
      <w:r>
        <w:rPr>
          <w:sz w:val="24"/>
        </w:rPr>
        <mc:AlternateContent>
          <mc:Choice Requires="wps">
            <w:drawing>
              <wp:anchor distT="0" distB="0" distL="114300" distR="114300" simplePos="0" relativeHeight="251848704" behindDoc="0" locked="0" layoutInCell="1" allowOverlap="1">
                <wp:simplePos x="0" y="0"/>
                <wp:positionH relativeFrom="column">
                  <wp:posOffset>5269230</wp:posOffset>
                </wp:positionH>
                <wp:positionV relativeFrom="paragraph">
                  <wp:posOffset>6097270</wp:posOffset>
                </wp:positionV>
                <wp:extent cx="930910" cy="677545"/>
                <wp:effectExtent l="0" t="0" r="2540" b="8255"/>
                <wp:wrapNone/>
                <wp:docPr id="243" name="任意多边形 243"/>
                <wp:cNvGraphicFramePr/>
                <a:graphic xmlns:a="http://schemas.openxmlformats.org/drawingml/2006/main">
                  <a:graphicData uri="http://schemas.microsoft.com/office/word/2010/wordprocessingShape">
                    <wps:wsp>
                      <wps:cNvSpPr/>
                      <wps:spPr>
                        <a:xfrm>
                          <a:off x="6349365" y="7375525"/>
                          <a:ext cx="930910" cy="677545"/>
                        </a:xfrm>
                        <a:custGeom>
                          <a:avLst/>
                          <a:gdLst>
                            <a:gd name="connisteX0" fmla="*/ 613410 w 930910"/>
                            <a:gd name="connsiteY0" fmla="*/ 10795 h 677545"/>
                            <a:gd name="connisteX1" fmla="*/ 0 w 930910"/>
                            <a:gd name="connsiteY1" fmla="*/ 455295 h 677545"/>
                            <a:gd name="connisteX2" fmla="*/ 232410 w 930910"/>
                            <a:gd name="connsiteY2" fmla="*/ 677545 h 677545"/>
                            <a:gd name="connisteX3" fmla="*/ 930910 w 930910"/>
                            <a:gd name="connsiteY3" fmla="*/ 201295 h 677545"/>
                            <a:gd name="connisteX4" fmla="*/ 645160 w 930910"/>
                            <a:gd name="connsiteY4" fmla="*/ 0 h 67754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930910" h="677545">
                              <a:moveTo>
                                <a:pt x="613410" y="10795"/>
                              </a:moveTo>
                              <a:lnTo>
                                <a:pt x="0" y="455295"/>
                              </a:lnTo>
                              <a:lnTo>
                                <a:pt x="232410" y="677545"/>
                              </a:lnTo>
                              <a:lnTo>
                                <a:pt x="930910" y="201295"/>
                              </a:lnTo>
                              <a:lnTo>
                                <a:pt x="645160" y="0"/>
                              </a:lnTo>
                            </a:path>
                          </a:pathLst>
                        </a:custGeom>
                        <a:solidFill>
                          <a:srgbClr val="FAC090">
                            <a:alpha val="49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14.9pt;margin-top:480.1pt;height:53.35pt;width:73.3pt;z-index:251848704;mso-width-relative:page;mso-height-relative:page;" fillcolor="#FAC090" filled="t" stroked="f" coordsize="930910,677545" o:gfxdata="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AxtHzLaAAAADAEAAA8AAAAAAAAAAQAgAAAA&#10;IgAAAGRycy9kb3ducmV2LnhtbFBLAQIUABQAAAAIAIdO4kCpoMrZJgMAAFgIAAAOAAAAAAAAAAEA&#10;IAAAACkBAABkcnMvZTJvRG9jLnhtbFBLBQYAAAAABgAGAFkBAADBBgAAAAA=&#10;" path="m613410,10795l0,455295,232410,677545,930910,201295,645160,0e">
                <v:path o:connectlocs="613410,10795;0,455295;232410,677545;930910,201295;645160,0" o:connectangles="0,0,0,0,0"/>
                <v:fill on="t" opacity="32112f" focussize="0,0"/>
                <v:stroke on="f" weight="2pt"/>
                <v:imagedata o:title=""/>
                <o:lock v:ext="edit" aspectratio="f"/>
              </v:shape>
            </w:pict>
          </mc:Fallback>
        </mc:AlternateContent>
      </w:r>
      <w:r>
        <w:rPr>
          <w:sz w:val="24"/>
        </w:rPr>
        <mc:AlternateContent>
          <mc:Choice Requires="wps">
            <w:drawing>
              <wp:anchor distT="0" distB="0" distL="114300" distR="114300" simplePos="0" relativeHeight="251847680" behindDoc="0" locked="0" layoutInCell="1" allowOverlap="1">
                <wp:simplePos x="0" y="0"/>
                <wp:positionH relativeFrom="column">
                  <wp:posOffset>7667625</wp:posOffset>
                </wp:positionH>
                <wp:positionV relativeFrom="paragraph">
                  <wp:posOffset>4222750</wp:posOffset>
                </wp:positionV>
                <wp:extent cx="820420" cy="49149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820420"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82020F">
                            <w:pPr>
                              <w:rPr>
                                <w:rFonts w:hint="default" w:eastAsia="宋体"/>
                                <w:color w:val="FF0000"/>
                                <w:lang w:val="en-US" w:eastAsia="zh-CN"/>
                              </w:rPr>
                            </w:pPr>
                            <w:r>
                              <w:rPr>
                                <w:rFonts w:hint="eastAsia"/>
                                <w:color w:val="FF0000"/>
                                <w:lang w:val="en-US" w:eastAsia="zh-CN"/>
                              </w:rPr>
                              <w:t>下朝阳沟1897m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3.75pt;margin-top:332.5pt;height:38.7pt;width:64.6pt;z-index:251847680;mso-width-relative:page;mso-height-relative:page;" filled="f" stroked="f" coordsize="21600,21600" o:gfxdata="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&#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c4w5HdAAAADQEAAA8AAAAAAAAAAQAgAAAAIgAA&#10;AGRycy9kb3ducmV2LnhtbFBLAQIUABQAAAAIAIdO4kARtdXhPAIAAGkEAAAOAAAAAAAAAAEAIAAA&#10;ACwBAABkcnMvZTJvRG9jLnhtbFBLBQYAAAAABgAGAFkBAADaBQAAAAA=&#10;">
                <v:fill on="f" focussize="0,0"/>
                <v:stroke on="f" weight="0.5pt"/>
                <v:imagedata o:title=""/>
                <o:lock v:ext="edit" aspectratio="f"/>
                <v:textbox>
                  <w:txbxContent>
                    <w:p w14:paraId="7782020F">
                      <w:pPr>
                        <w:rPr>
                          <w:rFonts w:hint="default" w:eastAsia="宋体"/>
                          <w:color w:val="FF0000"/>
                          <w:lang w:val="en-US" w:eastAsia="zh-CN"/>
                        </w:rPr>
                      </w:pPr>
                      <w:r>
                        <w:rPr>
                          <w:rFonts w:hint="eastAsia"/>
                          <w:color w:val="FF0000"/>
                          <w:lang w:val="en-US" w:eastAsia="zh-CN"/>
                        </w:rPr>
                        <w:t>下朝阳沟1897m</w:t>
                      </w:r>
                    </w:p>
                  </w:txbxContent>
                </v:textbox>
              </v:shape>
            </w:pict>
          </mc:Fallback>
        </mc:AlternateContent>
      </w:r>
      <w:r>
        <w:rPr>
          <w:sz w:val="24"/>
        </w:rPr>
        <mc:AlternateContent>
          <mc:Choice Requires="wps">
            <w:drawing>
              <wp:anchor distT="0" distB="0" distL="114300" distR="114300" simplePos="0" relativeHeight="251846656" behindDoc="0" locked="0" layoutInCell="1" allowOverlap="1">
                <wp:simplePos x="0" y="0"/>
                <wp:positionH relativeFrom="column">
                  <wp:posOffset>7607935</wp:posOffset>
                </wp:positionH>
                <wp:positionV relativeFrom="paragraph">
                  <wp:posOffset>4150995</wp:posOffset>
                </wp:positionV>
                <wp:extent cx="677545" cy="720090"/>
                <wp:effectExtent l="0" t="0" r="8255" b="3810"/>
                <wp:wrapNone/>
                <wp:docPr id="240" name="任意多边形 240"/>
                <wp:cNvGraphicFramePr/>
                <a:graphic xmlns:a="http://schemas.openxmlformats.org/drawingml/2006/main">
                  <a:graphicData uri="http://schemas.microsoft.com/office/word/2010/wordprocessingShape">
                    <wps:wsp>
                      <wps:cNvSpPr/>
                      <wps:spPr>
                        <a:xfrm>
                          <a:off x="8688070" y="5429250"/>
                          <a:ext cx="677545" cy="720090"/>
                        </a:xfrm>
                        <a:custGeom>
                          <a:avLst/>
                          <a:gdLst>
                            <a:gd name="connisteX0" fmla="*/ 317500 w 677545"/>
                            <a:gd name="connsiteY0" fmla="*/ 0 h 720090"/>
                            <a:gd name="connisteX1" fmla="*/ 0 w 677545"/>
                            <a:gd name="connsiteY1" fmla="*/ 455295 h 720090"/>
                            <a:gd name="connisteX2" fmla="*/ 127000 w 677545"/>
                            <a:gd name="connsiteY2" fmla="*/ 656590 h 720090"/>
                            <a:gd name="connisteX3" fmla="*/ 296545 w 677545"/>
                            <a:gd name="connsiteY3" fmla="*/ 720090 h 720090"/>
                            <a:gd name="connisteX4" fmla="*/ 539750 w 677545"/>
                            <a:gd name="connsiteY4" fmla="*/ 264795 h 720090"/>
                            <a:gd name="connisteX5" fmla="*/ 677545 w 677545"/>
                            <a:gd name="connsiteY5" fmla="*/ 10795 h 720090"/>
                            <a:gd name="connisteX6" fmla="*/ 317500 w 677545"/>
                            <a:gd name="connsiteY6" fmla="*/ 0 h 72009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77545" h="720090">
                              <a:moveTo>
                                <a:pt x="317500" y="0"/>
                              </a:moveTo>
                              <a:lnTo>
                                <a:pt x="0" y="455295"/>
                              </a:lnTo>
                              <a:lnTo>
                                <a:pt x="127000" y="656590"/>
                              </a:lnTo>
                              <a:lnTo>
                                <a:pt x="296545" y="720090"/>
                              </a:lnTo>
                              <a:lnTo>
                                <a:pt x="539750" y="264795"/>
                              </a:lnTo>
                              <a:lnTo>
                                <a:pt x="677545" y="10795"/>
                              </a:lnTo>
                              <a:lnTo>
                                <a:pt x="317500" y="0"/>
                              </a:lnTo>
                              <a:close/>
                            </a:path>
                          </a:pathLst>
                        </a:custGeom>
                        <a:solidFill>
                          <a:srgbClr val="FAC090">
                            <a:alpha val="53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99.05pt;margin-top:326.85pt;height:56.7pt;width:53.35pt;z-index:251846656;mso-width-relative:page;mso-height-relative:page;" fillcolor="#FAC090" filled="t" stroked="f" coordsize="677545,720090" o:gfxdata="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AUCTCz2wAAAA0BAAAPAAAAAAAAAAEAIAAA&#10;ACIAAABkcnMvZG93bnJldi54bWxQSwECFAAUAAAACACHTuJAAmmJJ18DAAD6CQAADgAAAAAAAAAB&#10;ACAAAAAqAQAAZHJzL2Uyb0RvYy54bWxQSwUGAAAAAAYABgBZAQAA+wYAAAAA&#10;" path="m317500,0l0,455295,127000,656590,296545,720090,539750,264795,677545,10795,317500,0xe">
                <v:path o:connectlocs="317500,0;0,455295;127000,656590;296545,720090;539750,264795;677545,10795;317500,0" o:connectangles="0,0,0,0,0,0,0"/>
                <v:fill on="t" opacity="34734f" focussize="0,0"/>
                <v:stroke on="f" weight="2pt"/>
                <v:imagedata o:title=""/>
                <o:lock v:ext="edit" aspectratio="f"/>
              </v:shape>
            </w:pict>
          </mc:Fallback>
        </mc:AlternateContent>
      </w:r>
      <w:r>
        <w:rPr>
          <w:sz w:val="24"/>
        </w:rPr>
        <mc:AlternateContent>
          <mc:Choice Requires="wps">
            <w:drawing>
              <wp:anchor distT="0" distB="0" distL="114300" distR="114300" simplePos="0" relativeHeight="251845632" behindDoc="0" locked="0" layoutInCell="1" allowOverlap="1">
                <wp:simplePos x="0" y="0"/>
                <wp:positionH relativeFrom="column">
                  <wp:posOffset>7938135</wp:posOffset>
                </wp:positionH>
                <wp:positionV relativeFrom="paragraph">
                  <wp:posOffset>3276600</wp:posOffset>
                </wp:positionV>
                <wp:extent cx="820420" cy="491490"/>
                <wp:effectExtent l="0" t="0" r="0" b="0"/>
                <wp:wrapNone/>
                <wp:docPr id="239" name="文本框 239"/>
                <wp:cNvGraphicFramePr/>
                <a:graphic xmlns:a="http://schemas.openxmlformats.org/drawingml/2006/main">
                  <a:graphicData uri="http://schemas.microsoft.com/office/word/2010/wordprocessingShape">
                    <wps:wsp>
                      <wps:cNvSpPr txBox="1"/>
                      <wps:spPr>
                        <a:xfrm>
                          <a:off x="0" y="0"/>
                          <a:ext cx="820420"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0F7882">
                            <w:pPr>
                              <w:rPr>
                                <w:rFonts w:hint="default" w:eastAsia="宋体"/>
                                <w:color w:val="FF0000"/>
                                <w:lang w:val="en-US" w:eastAsia="zh-CN"/>
                              </w:rPr>
                            </w:pPr>
                            <w:r>
                              <w:rPr>
                                <w:rFonts w:hint="eastAsia"/>
                                <w:color w:val="FF0000"/>
                                <w:lang w:val="en-US" w:eastAsia="zh-CN"/>
                              </w:rPr>
                              <w:t>上朝阳沟2102m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5.05pt;margin-top:258pt;height:38.7pt;width:64.6pt;z-index:251845632;mso-width-relative:page;mso-height-relative:page;" filled="f" stroked="f" coordsize="21600,21600" o:gfxdata="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nA8C3QAAAA0BAAAPAAAAAAAAAAEAIAAAACIA&#10;AABkcnMvZG93bnJldi54bWxQSwECFAAUAAAACACHTuJARHU5xT0CAABpBAAADgAAAAAAAAABACAA&#10;AAAsAQAAZHJzL2Uyb0RvYy54bWxQSwUGAAAAAAYABgBZAQAA2wUAAAAA&#10;">
                <v:fill on="f" focussize="0,0"/>
                <v:stroke on="f" weight="0.5pt"/>
                <v:imagedata o:title=""/>
                <o:lock v:ext="edit" aspectratio="f"/>
                <v:textbox>
                  <w:txbxContent>
                    <w:p w14:paraId="690F7882">
                      <w:pPr>
                        <w:rPr>
                          <w:rFonts w:hint="default" w:eastAsia="宋体"/>
                          <w:color w:val="FF0000"/>
                          <w:lang w:val="en-US" w:eastAsia="zh-CN"/>
                        </w:rPr>
                      </w:pPr>
                      <w:r>
                        <w:rPr>
                          <w:rFonts w:hint="eastAsia"/>
                          <w:color w:val="FF0000"/>
                          <w:lang w:val="en-US" w:eastAsia="zh-CN"/>
                        </w:rPr>
                        <w:t>上朝阳沟2102m</w:t>
                      </w:r>
                    </w:p>
                  </w:txbxContent>
                </v:textbox>
              </v:shape>
            </w:pict>
          </mc:Fallback>
        </mc:AlternateContent>
      </w:r>
      <w:r>
        <w:rPr>
          <w:sz w:val="24"/>
        </w:rPr>
        <mc:AlternateContent>
          <mc:Choice Requires="wps">
            <w:drawing>
              <wp:anchor distT="0" distB="0" distL="114300" distR="114300" simplePos="0" relativeHeight="251844608" behindDoc="0" locked="0" layoutInCell="1" allowOverlap="1">
                <wp:simplePos x="0" y="0"/>
                <wp:positionH relativeFrom="column">
                  <wp:posOffset>7872730</wp:posOffset>
                </wp:positionH>
                <wp:positionV relativeFrom="paragraph">
                  <wp:posOffset>3114040</wp:posOffset>
                </wp:positionV>
                <wp:extent cx="603250" cy="1026795"/>
                <wp:effectExtent l="0" t="0" r="6350" b="1905"/>
                <wp:wrapNone/>
                <wp:docPr id="238" name="任意多边形 238"/>
                <wp:cNvGraphicFramePr/>
                <a:graphic xmlns:a="http://schemas.openxmlformats.org/drawingml/2006/main">
                  <a:graphicData uri="http://schemas.microsoft.com/office/word/2010/wordprocessingShape">
                    <wps:wsp>
                      <wps:cNvSpPr/>
                      <wps:spPr>
                        <a:xfrm>
                          <a:off x="8952865" y="4392295"/>
                          <a:ext cx="603250" cy="1026795"/>
                        </a:xfrm>
                        <a:custGeom>
                          <a:avLst/>
                          <a:gdLst>
                            <a:gd name="connisteX0" fmla="*/ 116205 w 603250"/>
                            <a:gd name="connsiteY0" fmla="*/ 0 h 1026795"/>
                            <a:gd name="connisteX1" fmla="*/ 0 w 603250"/>
                            <a:gd name="connsiteY1" fmla="*/ 973455 h 1026795"/>
                            <a:gd name="connisteX2" fmla="*/ 401955 w 603250"/>
                            <a:gd name="connsiteY2" fmla="*/ 1026795 h 1026795"/>
                            <a:gd name="connisteX3" fmla="*/ 603250 w 603250"/>
                            <a:gd name="connsiteY3" fmla="*/ 116205 h 1026795"/>
                            <a:gd name="connisteX4" fmla="*/ 116205 w 603250"/>
                            <a:gd name="connsiteY4" fmla="*/ 0 h 102679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03250" h="1026795">
                              <a:moveTo>
                                <a:pt x="116205" y="0"/>
                              </a:moveTo>
                              <a:lnTo>
                                <a:pt x="0" y="973455"/>
                              </a:lnTo>
                              <a:lnTo>
                                <a:pt x="401955" y="1026795"/>
                              </a:lnTo>
                              <a:lnTo>
                                <a:pt x="603250" y="116205"/>
                              </a:lnTo>
                              <a:lnTo>
                                <a:pt x="116205" y="0"/>
                              </a:lnTo>
                              <a:close/>
                            </a:path>
                          </a:pathLst>
                        </a:custGeom>
                        <a:solidFill>
                          <a:schemeClr val="accent6">
                            <a:lumMod val="60000"/>
                            <a:lumOff val="40000"/>
                            <a:alpha val="53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619.9pt;margin-top:245.2pt;height:80.85pt;width:47.5pt;z-index:251844608;mso-width-relative:page;mso-height-relative:page;" fillcolor="#FAC090 [1945]" filled="t" stroked="f" coordsize="603250,1026795" o:gfxdata="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Ms8YDHaAAAA&#10;DQEAAA8AAAAAAAAAAQAgAAAAIgAAAGRycy9kb3ducmV2LnhtbFBLAQIUABQAAAAIAIdO4kC31FsL&#10;OAMAAJEIAAAOAAAAAAAAAAEAIAAAACkBAABkcnMvZTJvRG9jLnhtbFBLBQYAAAAABgAGAFkBAADT&#10;BgAAAAA=&#10;" path="m116205,0l0,973455,401955,1026795,603250,116205,116205,0xe">
                <v:path o:connectlocs="116205,0;0,973455;401955,1026795;603250,116205;116205,0" o:connectangles="0,0,0,0,0"/>
                <v:fill on="t" opacity="34734f" focussize="0,0"/>
                <v:stroke on="f" weight="2pt"/>
                <v:imagedata o:title=""/>
                <o:lock v:ext="edit" aspectratio="f"/>
              </v:shape>
            </w:pict>
          </mc:Fallback>
        </mc:AlternateContent>
      </w:r>
      <w:r>
        <w:rPr>
          <w:sz w:val="24"/>
        </w:rPr>
        <mc:AlternateContent>
          <mc:Choice Requires="wps">
            <w:drawing>
              <wp:anchor distT="0" distB="0" distL="114300" distR="114300" simplePos="0" relativeHeight="251843584" behindDoc="0" locked="0" layoutInCell="1" allowOverlap="1">
                <wp:simplePos x="0" y="0"/>
                <wp:positionH relativeFrom="column">
                  <wp:posOffset>6102985</wp:posOffset>
                </wp:positionH>
                <wp:positionV relativeFrom="paragraph">
                  <wp:posOffset>3166110</wp:posOffset>
                </wp:positionV>
                <wp:extent cx="503555" cy="49149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503555"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2AD92">
                            <w:pPr>
                              <w:rPr>
                                <w:rFonts w:hint="default" w:eastAsia="宋体"/>
                                <w:color w:val="FF0000"/>
                                <w:lang w:val="en-US" w:eastAsia="zh-CN"/>
                              </w:rPr>
                            </w:pPr>
                            <w:r>
                              <w:rPr>
                                <w:rFonts w:hint="eastAsia"/>
                                <w:color w:val="FF0000"/>
                                <w:lang w:val="en-US" w:eastAsia="zh-CN"/>
                              </w:rPr>
                              <w:t>马场734m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0.55pt;margin-top:249.3pt;height:38.7pt;width:39.65pt;z-index:251843584;mso-width-relative:page;mso-height-relative:page;" filled="f" stroked="f" coordsize="21600,21600" o:gfxdata="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wcfXU3QAAAAwBAAAPAAAAAAAAAAEAIAAAACIA&#10;AABkcnMvZG93bnJldi54bWxQSwECFAAUAAAACACHTuJAkqvadT0CAABpBAAADgAAAAAAAAABACAA&#10;AAAsAQAAZHJzL2Uyb0RvYy54bWxQSwUGAAAAAAYABgBZAQAA2wUAAAAA&#10;">
                <v:fill on="f" focussize="0,0"/>
                <v:stroke on="f" weight="0.5pt"/>
                <v:imagedata o:title=""/>
                <o:lock v:ext="edit" aspectratio="f"/>
                <v:textbox>
                  <w:txbxContent>
                    <w:p w14:paraId="1132AD92">
                      <w:pPr>
                        <w:rPr>
                          <w:rFonts w:hint="default" w:eastAsia="宋体"/>
                          <w:color w:val="FF0000"/>
                          <w:lang w:val="en-US" w:eastAsia="zh-CN"/>
                        </w:rPr>
                      </w:pPr>
                      <w:r>
                        <w:rPr>
                          <w:rFonts w:hint="eastAsia"/>
                          <w:color w:val="FF0000"/>
                          <w:lang w:val="en-US" w:eastAsia="zh-CN"/>
                        </w:rPr>
                        <w:t>马场734m</w:t>
                      </w:r>
                    </w:p>
                  </w:txbxContent>
                </v:textbox>
              </v:shape>
            </w:pict>
          </mc:Fallback>
        </mc:AlternateContent>
      </w:r>
      <w:r>
        <w:rPr>
          <w:sz w:val="24"/>
        </w:rPr>
        <mc:AlternateContent>
          <mc:Choice Requires="wps">
            <w:drawing>
              <wp:anchor distT="0" distB="0" distL="114300" distR="114300" simplePos="0" relativeHeight="251842560" behindDoc="0" locked="0" layoutInCell="1" allowOverlap="1">
                <wp:simplePos x="0" y="0"/>
                <wp:positionH relativeFrom="column">
                  <wp:posOffset>6009640</wp:posOffset>
                </wp:positionH>
                <wp:positionV relativeFrom="paragraph">
                  <wp:posOffset>3041015</wp:posOffset>
                </wp:positionV>
                <wp:extent cx="614045" cy="730250"/>
                <wp:effectExtent l="0" t="0" r="14605" b="12700"/>
                <wp:wrapNone/>
                <wp:docPr id="234" name="任意多边形 234"/>
                <wp:cNvGraphicFramePr/>
                <a:graphic xmlns:a="http://schemas.openxmlformats.org/drawingml/2006/main">
                  <a:graphicData uri="http://schemas.microsoft.com/office/word/2010/wordprocessingShape">
                    <wps:wsp>
                      <wps:cNvSpPr/>
                      <wps:spPr>
                        <a:xfrm>
                          <a:off x="7089775" y="4319270"/>
                          <a:ext cx="614045" cy="730250"/>
                        </a:xfrm>
                        <a:custGeom>
                          <a:avLst/>
                          <a:gdLst>
                            <a:gd name="connisteX0" fmla="*/ 444500 w 614045"/>
                            <a:gd name="connsiteY0" fmla="*/ 10160 h 730250"/>
                            <a:gd name="connisteX1" fmla="*/ 0 w 614045"/>
                            <a:gd name="connsiteY1" fmla="*/ 571500 h 730250"/>
                            <a:gd name="connisteX2" fmla="*/ 233045 w 614045"/>
                            <a:gd name="connsiteY2" fmla="*/ 730250 h 730250"/>
                            <a:gd name="connisteX3" fmla="*/ 539750 w 614045"/>
                            <a:gd name="connsiteY3" fmla="*/ 200660 h 730250"/>
                            <a:gd name="connisteX4" fmla="*/ 614045 w 614045"/>
                            <a:gd name="connsiteY4" fmla="*/ 52705 h 730250"/>
                            <a:gd name="connisteX5" fmla="*/ 476250 w 614045"/>
                            <a:gd name="connsiteY5" fmla="*/ 0 h 730250"/>
                            <a:gd name="connisteX6" fmla="*/ 402590 w 614045"/>
                            <a:gd name="connsiteY6" fmla="*/ 73660 h 730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Lst>
                          <a:rect l="l" t="t" r="r" b="b"/>
                          <a:pathLst>
                            <a:path w="614045" h="730250">
                              <a:moveTo>
                                <a:pt x="444500" y="10160"/>
                              </a:moveTo>
                              <a:lnTo>
                                <a:pt x="0" y="571500"/>
                              </a:lnTo>
                              <a:lnTo>
                                <a:pt x="233045" y="730250"/>
                              </a:lnTo>
                              <a:lnTo>
                                <a:pt x="539750" y="200660"/>
                              </a:lnTo>
                              <a:lnTo>
                                <a:pt x="614045" y="52705"/>
                              </a:lnTo>
                              <a:lnTo>
                                <a:pt x="476250" y="0"/>
                              </a:lnTo>
                              <a:lnTo>
                                <a:pt x="402590" y="73660"/>
                              </a:lnTo>
                            </a:path>
                          </a:pathLst>
                        </a:custGeom>
                        <a:solidFill>
                          <a:srgbClr val="FAC090">
                            <a:alpha val="52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473.2pt;margin-top:239.45pt;height:57.5pt;width:48.35pt;z-index:251842560;mso-width-relative:page;mso-height-relative:page;" fillcolor="#FAC090" filled="t" stroked="f" coordsize="614045,730250" o:gfxdata="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" path="m444500,10160l0,571500,233045,730250,539750,200660,614045,52705,476250,0,402590,73660e">
                <v:path o:connectlocs="444500,10160;0,571500;233045,730250;539750,200660;614045,52705;476250,0;402590,73660" o:connectangles="0,0,0,0,0,0,0"/>
                <v:fill on="t" opacity="34078f" focussize="0,0"/>
                <v:stroke on="f" weight="2pt"/>
                <v:imagedata o:title=""/>
                <o:lock v:ext="edit" aspectratio="f"/>
              </v:shape>
            </w:pict>
          </mc:Fallback>
        </mc:AlternateContent>
      </w:r>
      <w:r>
        <w:rPr>
          <w:sz w:val="24"/>
        </w:rPr>
        <mc:AlternateContent>
          <mc:Choice Requires="wps">
            <w:drawing>
              <wp:anchor distT="0" distB="0" distL="114300" distR="114300" simplePos="0" relativeHeight="251841536" behindDoc="0" locked="0" layoutInCell="1" allowOverlap="1">
                <wp:simplePos x="0" y="0"/>
                <wp:positionH relativeFrom="column">
                  <wp:posOffset>2974340</wp:posOffset>
                </wp:positionH>
                <wp:positionV relativeFrom="paragraph">
                  <wp:posOffset>1529715</wp:posOffset>
                </wp:positionV>
                <wp:extent cx="734695" cy="491490"/>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734695"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1D29AD">
                            <w:pPr>
                              <w:rPr>
                                <w:rFonts w:hint="default" w:eastAsia="宋体"/>
                                <w:color w:val="FF0000"/>
                                <w:lang w:val="en-US" w:eastAsia="zh-CN"/>
                              </w:rPr>
                            </w:pPr>
                            <w:r>
                              <w:rPr>
                                <w:rFonts w:hint="eastAsia"/>
                                <w:color w:val="FF0000"/>
                                <w:lang w:val="en-US" w:eastAsia="zh-CN"/>
                              </w:rPr>
                              <w:t>冯家营村2545m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2pt;margin-top:120.45pt;height:38.7pt;width:57.85pt;z-index:251841536;mso-width-relative:page;mso-height-relative:page;" filled="f" stroked="f" coordsize="21600,21600" o:gfxdata="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opNtVt0AAAALAQAADwAAAAAAAAABACAAAAAi&#10;AAAAZHJzL2Rvd25yZXYueG1sUEsBAhQAFAAAAAgAh07iQPhby8Y+AgAAaQQAAA4AAAAAAAAAAQAg&#10;AAAALAEAAGRycy9lMm9Eb2MueG1sUEsFBgAAAAAGAAYAWQEAANwFAAAAAA==&#10;">
                <v:fill on="f" focussize="0,0"/>
                <v:stroke on="f" weight="0.5pt"/>
                <v:imagedata o:title=""/>
                <o:lock v:ext="edit" aspectratio="f"/>
                <v:textbox>
                  <w:txbxContent>
                    <w:p w14:paraId="3F1D29AD">
                      <w:pPr>
                        <w:rPr>
                          <w:rFonts w:hint="default" w:eastAsia="宋体"/>
                          <w:color w:val="FF0000"/>
                          <w:lang w:val="en-US" w:eastAsia="zh-CN"/>
                        </w:rPr>
                      </w:pPr>
                      <w:r>
                        <w:rPr>
                          <w:rFonts w:hint="eastAsia"/>
                          <w:color w:val="FF0000"/>
                          <w:lang w:val="en-US" w:eastAsia="zh-CN"/>
                        </w:rPr>
                        <w:t>冯家营村2545m</w:t>
                      </w:r>
                    </w:p>
                  </w:txbxContent>
                </v:textbox>
              </v:shape>
            </w:pict>
          </mc:Fallback>
        </mc:AlternateContent>
      </w:r>
      <w:r>
        <w:rPr>
          <w:sz w:val="24"/>
        </w:rPr>
        <mc:AlternateContent>
          <mc:Choice Requires="wps">
            <w:drawing>
              <wp:anchor distT="0" distB="0" distL="114300" distR="114300" simplePos="0" relativeHeight="251840512" behindDoc="0" locked="0" layoutInCell="1" allowOverlap="1">
                <wp:simplePos x="0" y="0"/>
                <wp:positionH relativeFrom="column">
                  <wp:posOffset>2464435</wp:posOffset>
                </wp:positionH>
                <wp:positionV relativeFrom="paragraph">
                  <wp:posOffset>946150</wp:posOffset>
                </wp:positionV>
                <wp:extent cx="1312545" cy="1047750"/>
                <wp:effectExtent l="0" t="0" r="1905" b="0"/>
                <wp:wrapNone/>
                <wp:docPr id="231" name="任意多边形 231"/>
                <wp:cNvGraphicFramePr/>
                <a:graphic xmlns:a="http://schemas.openxmlformats.org/drawingml/2006/main">
                  <a:graphicData uri="http://schemas.microsoft.com/office/word/2010/wordprocessingShape">
                    <wps:wsp>
                      <wps:cNvSpPr/>
                      <wps:spPr>
                        <a:xfrm>
                          <a:off x="3544570" y="2224405"/>
                          <a:ext cx="1312545" cy="1047750"/>
                        </a:xfrm>
                        <a:custGeom>
                          <a:avLst/>
                          <a:gdLst>
                            <a:gd name="connisteX0" fmla="*/ 592455 w 1312545"/>
                            <a:gd name="connsiteY0" fmla="*/ 10795 h 1047750"/>
                            <a:gd name="connisteX1" fmla="*/ 518795 w 1312545"/>
                            <a:gd name="connsiteY1" fmla="*/ 201295 h 1047750"/>
                            <a:gd name="connisteX2" fmla="*/ 677545 w 1312545"/>
                            <a:gd name="connsiteY2" fmla="*/ 560705 h 1047750"/>
                            <a:gd name="connisteX3" fmla="*/ 0 w 1312545"/>
                            <a:gd name="connsiteY3" fmla="*/ 666750 h 1047750"/>
                            <a:gd name="connisteX4" fmla="*/ 52705 w 1312545"/>
                            <a:gd name="connsiteY4" fmla="*/ 931545 h 1047750"/>
                            <a:gd name="connisteX5" fmla="*/ 868045 w 1312545"/>
                            <a:gd name="connsiteY5" fmla="*/ 1047750 h 1047750"/>
                            <a:gd name="connisteX6" fmla="*/ 1312545 w 1312545"/>
                            <a:gd name="connsiteY6" fmla="*/ 973455 h 1047750"/>
                            <a:gd name="connisteX7" fmla="*/ 624205 w 1312545"/>
                            <a:gd name="connsiteY7" fmla="*/ 0 h 1047750"/>
                            <a:gd name="connisteX8" fmla="*/ 592455 w 1312545"/>
                            <a:gd name="connsiteY8" fmla="*/ 10795 h 10477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Lst>
                          <a:rect l="l" t="t" r="r" b="b"/>
                          <a:pathLst>
                            <a:path w="1312545" h="1047750">
                              <a:moveTo>
                                <a:pt x="592455" y="10795"/>
                              </a:moveTo>
                              <a:lnTo>
                                <a:pt x="518795" y="201295"/>
                              </a:lnTo>
                              <a:lnTo>
                                <a:pt x="677545" y="560705"/>
                              </a:lnTo>
                              <a:lnTo>
                                <a:pt x="0" y="666750"/>
                              </a:lnTo>
                              <a:lnTo>
                                <a:pt x="52705" y="931545"/>
                              </a:lnTo>
                              <a:lnTo>
                                <a:pt x="868045" y="1047750"/>
                              </a:lnTo>
                              <a:lnTo>
                                <a:pt x="1312545" y="973455"/>
                              </a:lnTo>
                              <a:lnTo>
                                <a:pt x="624205" y="0"/>
                              </a:lnTo>
                              <a:lnTo>
                                <a:pt x="592455" y="10795"/>
                              </a:lnTo>
                              <a:close/>
                            </a:path>
                          </a:pathLst>
                        </a:custGeom>
                        <a:solidFill>
                          <a:srgbClr val="FAC090">
                            <a:alpha val="46000"/>
                          </a:srgb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94.05pt;margin-top:74.5pt;height:82.5pt;width:103.35pt;z-index:251840512;mso-width-relative:page;mso-height-relative:page;" fillcolor="#FAC090" filled="t" stroked="f" coordsize="1312545,1047750" o:gfxdata="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" path="m592455,10795l518795,201295,677545,560705,0,666750,52705,931545,868045,1047750,1312545,973455,624205,0,592455,10795xe">
                <v:path o:connectlocs="592455,10795;518795,201295;677545,560705;0,666750;52705,931545;868045,1047750;1312545,973455;624205,0;592455,10795" o:connectangles="0,0,0,0,0,0,0,0,0"/>
                <v:fill on="t" opacity="30146f" focussize="0,0"/>
                <v:stroke on="f" weight="2pt"/>
                <v:imagedata o:title=""/>
                <o:lock v:ext="edit" aspectratio="f"/>
              </v:shape>
            </w:pict>
          </mc:Fallback>
        </mc:AlternateContent>
      </w:r>
      <w:r>
        <w:rPr>
          <w:sz w:val="24"/>
        </w:rPr>
        <mc:AlternateContent>
          <mc:Choice Requires="wps">
            <w:drawing>
              <wp:anchor distT="0" distB="0" distL="114300" distR="114300" simplePos="0" relativeHeight="251839488" behindDoc="0" locked="0" layoutInCell="1" allowOverlap="1">
                <wp:simplePos x="0" y="0"/>
                <wp:positionH relativeFrom="column">
                  <wp:posOffset>4028440</wp:posOffset>
                </wp:positionH>
                <wp:positionV relativeFrom="paragraph">
                  <wp:posOffset>2023110</wp:posOffset>
                </wp:positionV>
                <wp:extent cx="608330" cy="49149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608330"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7C192">
                            <w:pPr>
                              <w:rPr>
                                <w:rFonts w:hint="default" w:eastAsia="宋体"/>
                                <w:color w:val="FF0000"/>
                                <w:lang w:val="en-US" w:eastAsia="zh-CN"/>
                              </w:rPr>
                            </w:pPr>
                            <w:r>
                              <w:rPr>
                                <w:rFonts w:hint="eastAsia"/>
                                <w:color w:val="FF0000"/>
                                <w:lang w:val="en-US" w:eastAsia="zh-CN"/>
                              </w:rPr>
                              <w:t>下仗子1242m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2pt;margin-top:159.3pt;height:38.7pt;width:47.9pt;z-index:251839488;mso-width-relative:page;mso-height-relative:page;" filled="f" stroked="f" coordsize="21600,21600" o:gfxdata="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fLPwv3AAAAAsBAAAPAAAAAAAAAAEAIAAAACIAAABk&#10;cnMvZG93bnJldi54bWxQSwECFAAUAAAACACHTuJAOivl9zsCAABpBAAADgAAAAAAAAABACAAAAAr&#10;AQAAZHJzL2Uyb0RvYy54bWxQSwUGAAAAAAYABgBZAQAA2AUAAAAA&#10;">
                <v:fill on="f" focussize="0,0"/>
                <v:stroke on="f" weight="0.5pt"/>
                <v:imagedata o:title=""/>
                <o:lock v:ext="edit" aspectratio="f"/>
                <v:textbox>
                  <w:txbxContent>
                    <w:p w14:paraId="6FF7C192">
                      <w:pPr>
                        <w:rPr>
                          <w:rFonts w:hint="default" w:eastAsia="宋体"/>
                          <w:color w:val="FF0000"/>
                          <w:lang w:val="en-US" w:eastAsia="zh-CN"/>
                        </w:rPr>
                      </w:pPr>
                      <w:r>
                        <w:rPr>
                          <w:rFonts w:hint="eastAsia"/>
                          <w:color w:val="FF0000"/>
                          <w:lang w:val="en-US" w:eastAsia="zh-CN"/>
                        </w:rPr>
                        <w:t>下仗子1242m</w:t>
                      </w:r>
                    </w:p>
                  </w:txbxContent>
                </v:textbox>
              </v:shape>
            </w:pict>
          </mc:Fallback>
        </mc:AlternateContent>
      </w:r>
      <w:r>
        <w:rPr>
          <w:sz w:val="24"/>
        </w:rPr>
        <mc:AlternateContent>
          <mc:Choice Requires="wps">
            <w:drawing>
              <wp:anchor distT="0" distB="0" distL="114300" distR="114300" simplePos="0" relativeHeight="251838464" behindDoc="0" locked="0" layoutInCell="1" allowOverlap="1">
                <wp:simplePos x="0" y="0"/>
                <wp:positionH relativeFrom="column">
                  <wp:posOffset>3967480</wp:posOffset>
                </wp:positionH>
                <wp:positionV relativeFrom="paragraph">
                  <wp:posOffset>1940560</wp:posOffset>
                </wp:positionV>
                <wp:extent cx="581660" cy="550545"/>
                <wp:effectExtent l="0" t="0" r="8890" b="1905"/>
                <wp:wrapNone/>
                <wp:docPr id="229" name="任意多边形 229"/>
                <wp:cNvGraphicFramePr/>
                <a:graphic xmlns:a="http://schemas.openxmlformats.org/drawingml/2006/main">
                  <a:graphicData uri="http://schemas.microsoft.com/office/word/2010/wordprocessingShape">
                    <wps:wsp>
                      <wps:cNvSpPr/>
                      <wps:spPr>
                        <a:xfrm>
                          <a:off x="5047615" y="3218815"/>
                          <a:ext cx="581660" cy="550545"/>
                        </a:xfrm>
                        <a:custGeom>
                          <a:avLst/>
                          <a:gdLst>
                            <a:gd name="connisteX0" fmla="*/ 211455 w 581660"/>
                            <a:gd name="connsiteY0" fmla="*/ 10795 h 550545"/>
                            <a:gd name="connisteX1" fmla="*/ 0 w 581660"/>
                            <a:gd name="connsiteY1" fmla="*/ 306705 h 550545"/>
                            <a:gd name="connisteX2" fmla="*/ 401955 w 581660"/>
                            <a:gd name="connsiteY2" fmla="*/ 550545 h 550545"/>
                            <a:gd name="connisteX3" fmla="*/ 581660 w 581660"/>
                            <a:gd name="connsiteY3" fmla="*/ 317500 h 550545"/>
                            <a:gd name="connisteX4" fmla="*/ 264160 w 581660"/>
                            <a:gd name="connsiteY4" fmla="*/ 0 h 550545"/>
                            <a:gd name="connisteX5" fmla="*/ 211455 w 581660"/>
                            <a:gd name="connsiteY5" fmla="*/ 10795 h 55054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581660" h="550545">
                              <a:moveTo>
                                <a:pt x="211455" y="10795"/>
                              </a:moveTo>
                              <a:lnTo>
                                <a:pt x="0" y="306705"/>
                              </a:lnTo>
                              <a:lnTo>
                                <a:pt x="401955" y="550545"/>
                              </a:lnTo>
                              <a:lnTo>
                                <a:pt x="581660" y="317500"/>
                              </a:lnTo>
                              <a:lnTo>
                                <a:pt x="264160" y="0"/>
                              </a:lnTo>
                              <a:lnTo>
                                <a:pt x="211455" y="10795"/>
                              </a:lnTo>
                              <a:close/>
                            </a:path>
                          </a:pathLst>
                        </a:custGeom>
                        <a:solidFill>
                          <a:schemeClr val="accent6">
                            <a:lumMod val="40000"/>
                            <a:lumOff val="60000"/>
                            <a:alpha val="44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12.4pt;margin-top:152.8pt;height:43.35pt;width:45.8pt;z-index:251838464;mso-width-relative:page;mso-height-relative:page;" fillcolor="#FCD5B5 [1305]" filled="t" stroked="f" coordsize="581660,550545" o:gfxdata="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CfQkmg2gAAAAsBAAAPAAAAAAAAAAEAIAAAACIAAABkcnMv&#10;ZG93bnJldi54bWxQSwECFAAUAAAACACHTuJAx1keV1cDAABfCQAADgAAAAAAAAABACAAAAApAQAA&#10;ZHJzL2Uyb0RvYy54bWxQSwUGAAAAAAYABgBZAQAA8gYAAAAA&#10;" path="m211455,10795l0,306705,401955,550545,581660,317500,264160,0,211455,10795xe">
                <v:path o:connectlocs="211455,10795;0,306705;401955,550545;581660,317500;264160,0;211455,10795" o:connectangles="0,0,0,0,0,0"/>
                <v:fill on="t" opacity="28835f" focussize="0,0"/>
                <v:stroke on="f" weight="2pt"/>
                <v:imagedata o:title=""/>
                <o:lock v:ext="edit" aspectratio="f"/>
              </v:shape>
            </w:pict>
          </mc:Fallback>
        </mc:AlternateContent>
      </w:r>
      <w:r>
        <w:rPr>
          <w:sz w:val="24"/>
        </w:rPr>
        <mc:AlternateContent>
          <mc:Choice Requires="wps">
            <w:drawing>
              <wp:anchor distT="0" distB="0" distL="114300" distR="114300" simplePos="0" relativeHeight="251837440" behindDoc="0" locked="0" layoutInCell="1" allowOverlap="1">
                <wp:simplePos x="0" y="0"/>
                <wp:positionH relativeFrom="column">
                  <wp:posOffset>4490085</wp:posOffset>
                </wp:positionH>
                <wp:positionV relativeFrom="paragraph">
                  <wp:posOffset>2453005</wp:posOffset>
                </wp:positionV>
                <wp:extent cx="608330" cy="49149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608330"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2E14DA">
                            <w:pPr>
                              <w:rPr>
                                <w:rFonts w:hint="default" w:eastAsia="宋体"/>
                                <w:color w:val="FF0000"/>
                                <w:lang w:val="en-US" w:eastAsia="zh-CN"/>
                              </w:rPr>
                            </w:pPr>
                            <w:r>
                              <w:rPr>
                                <w:rFonts w:hint="eastAsia"/>
                                <w:color w:val="FF0000"/>
                                <w:lang w:val="en-US" w:eastAsia="zh-CN"/>
                              </w:rPr>
                              <w:t>西南沟695m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3.55pt;margin-top:193.15pt;height:38.7pt;width:47.9pt;z-index:251837440;mso-width-relative:page;mso-height-relative:page;" filled="f" stroked="f" coordsize="21600,21600" o:gfxdata="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lxDAndAAAACwEAAA8AAAAAAAAAAQAgAAAAIgAA&#10;AGRycy9kb3ducmV2LnhtbFBLAQIUABQAAAAIAIdO4kCBtmsPPAIAAGkEAAAOAAAAAAAAAAEAIAAA&#10;ACwBAABkcnMvZTJvRG9jLnhtbFBLBQYAAAAABgAGAFkBAADaBQAAAAA=&#10;">
                <v:fill on="f" focussize="0,0"/>
                <v:stroke on="f" weight="0.5pt"/>
                <v:imagedata o:title=""/>
                <o:lock v:ext="edit" aspectratio="f"/>
                <v:textbox>
                  <w:txbxContent>
                    <w:p w14:paraId="5C2E14DA">
                      <w:pPr>
                        <w:rPr>
                          <w:rFonts w:hint="default" w:eastAsia="宋体"/>
                          <w:color w:val="FF0000"/>
                          <w:lang w:val="en-US" w:eastAsia="zh-CN"/>
                        </w:rPr>
                      </w:pPr>
                      <w:r>
                        <w:rPr>
                          <w:rFonts w:hint="eastAsia"/>
                          <w:color w:val="FF0000"/>
                          <w:lang w:val="en-US" w:eastAsia="zh-CN"/>
                        </w:rPr>
                        <w:t>西南沟695m</w:t>
                      </w:r>
                    </w:p>
                  </w:txbxContent>
                </v:textbox>
              </v:shape>
            </w:pict>
          </mc:Fallback>
        </mc:AlternateContent>
      </w:r>
      <w:r>
        <w:rPr>
          <w:sz w:val="24"/>
        </w:rPr>
        <mc:AlternateContent>
          <mc:Choice Requires="wps">
            <w:drawing>
              <wp:anchor distT="0" distB="0" distL="114300" distR="114300" simplePos="0" relativeHeight="251836416" behindDoc="0" locked="0" layoutInCell="1" allowOverlap="1">
                <wp:simplePos x="0" y="0"/>
                <wp:positionH relativeFrom="column">
                  <wp:posOffset>4380230</wp:posOffset>
                </wp:positionH>
                <wp:positionV relativeFrom="paragraph">
                  <wp:posOffset>2279650</wp:posOffset>
                </wp:positionV>
                <wp:extent cx="666750" cy="730250"/>
                <wp:effectExtent l="0" t="0" r="0" b="12700"/>
                <wp:wrapNone/>
                <wp:docPr id="227" name="任意多边形 227"/>
                <wp:cNvGraphicFramePr/>
                <a:graphic xmlns:a="http://schemas.openxmlformats.org/drawingml/2006/main">
                  <a:graphicData uri="http://schemas.microsoft.com/office/word/2010/wordprocessingShape">
                    <wps:wsp>
                      <wps:cNvSpPr/>
                      <wps:spPr>
                        <a:xfrm>
                          <a:off x="5460365" y="3557905"/>
                          <a:ext cx="666750" cy="730250"/>
                        </a:xfrm>
                        <a:custGeom>
                          <a:avLst/>
                          <a:gdLst>
                            <a:gd name="connisteX0" fmla="*/ 666750 w 666750"/>
                            <a:gd name="connsiteY0" fmla="*/ 655955 h 730250"/>
                            <a:gd name="connisteX1" fmla="*/ 613410 w 666750"/>
                            <a:gd name="connsiteY1" fmla="*/ 264795 h 730250"/>
                            <a:gd name="connisteX2" fmla="*/ 200660 w 666750"/>
                            <a:gd name="connsiteY2" fmla="*/ 0 h 730250"/>
                            <a:gd name="connisteX3" fmla="*/ 0 w 666750"/>
                            <a:gd name="connsiteY3" fmla="*/ 243205 h 730250"/>
                            <a:gd name="connisteX4" fmla="*/ 465455 w 666750"/>
                            <a:gd name="connsiteY4" fmla="*/ 730250 h 730250"/>
                            <a:gd name="connisteX5" fmla="*/ 666750 w 666750"/>
                            <a:gd name="connsiteY5" fmla="*/ 655955 h 73025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666750" h="730250">
                              <a:moveTo>
                                <a:pt x="666750" y="655955"/>
                              </a:moveTo>
                              <a:lnTo>
                                <a:pt x="613410" y="264795"/>
                              </a:lnTo>
                              <a:lnTo>
                                <a:pt x="200660" y="0"/>
                              </a:lnTo>
                              <a:lnTo>
                                <a:pt x="0" y="243205"/>
                              </a:lnTo>
                              <a:lnTo>
                                <a:pt x="465455" y="730250"/>
                              </a:lnTo>
                              <a:lnTo>
                                <a:pt x="666750" y="655955"/>
                              </a:lnTo>
                              <a:close/>
                            </a:path>
                          </a:pathLst>
                        </a:custGeom>
                        <a:solidFill>
                          <a:schemeClr val="accent6">
                            <a:lumMod val="40000"/>
                            <a:lumOff val="60000"/>
                            <a:alpha val="59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44.9pt;margin-top:179.5pt;height:57.5pt;width:52.5pt;z-index:251836416;mso-width-relative:page;mso-height-relative:page;" fillcolor="#FCD5B5 [1305]" filled="t" stroked="f" coordsize="666750,730250" o:gfxdata="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" path="m666750,655955l613410,264795,200660,0,0,243205,465455,730250,666750,655955xe">
                <v:path o:connectlocs="666750,655955;613410,264795;200660,0;0,243205;465455,730250;666750,655955" o:connectangles="0,0,0,0,0,0"/>
                <v:fill on="t" opacity="38666f" focussize="0,0"/>
                <v:stroke on="f" weight="2pt"/>
                <v:imagedata o:title=""/>
                <o:lock v:ext="edit" aspectratio="f"/>
              </v:shape>
            </w:pict>
          </mc:Fallback>
        </mc:AlternateContent>
      </w:r>
      <w:r>
        <w:rPr>
          <w:sz w:val="24"/>
        </w:rPr>
        <mc:AlternateContent>
          <mc:Choice Requires="wps">
            <w:drawing>
              <wp:anchor distT="0" distB="0" distL="114300" distR="114300" simplePos="0" relativeHeight="251835392" behindDoc="0" locked="0" layoutInCell="1" allowOverlap="1">
                <wp:simplePos x="0" y="0"/>
                <wp:positionH relativeFrom="column">
                  <wp:posOffset>4993640</wp:posOffset>
                </wp:positionH>
                <wp:positionV relativeFrom="paragraph">
                  <wp:posOffset>4449445</wp:posOffset>
                </wp:positionV>
                <wp:extent cx="734695" cy="491490"/>
                <wp:effectExtent l="0" t="0" r="8255" b="3810"/>
                <wp:wrapNone/>
                <wp:docPr id="226" name="文本框 226"/>
                <wp:cNvGraphicFramePr/>
                <a:graphic xmlns:a="http://schemas.openxmlformats.org/drawingml/2006/main">
                  <a:graphicData uri="http://schemas.microsoft.com/office/word/2010/wordprocessingShape">
                    <wps:wsp>
                      <wps:cNvSpPr txBox="1"/>
                      <wps:spPr>
                        <a:xfrm>
                          <a:off x="6063615" y="6478905"/>
                          <a:ext cx="734695" cy="4914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064DB6">
                            <w:pPr>
                              <w:rPr>
                                <w:rFonts w:hint="default" w:eastAsia="宋体"/>
                                <w:color w:val="FF0000"/>
                                <w:lang w:val="en-US" w:eastAsia="zh-CN"/>
                              </w:rPr>
                            </w:pPr>
                            <w:r>
                              <w:rPr>
                                <w:rFonts w:hint="eastAsia"/>
                                <w:color w:val="FF0000"/>
                                <w:lang w:val="en-US" w:eastAsia="zh-CN"/>
                              </w:rPr>
                              <w:t>七家子村1004m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2pt;margin-top:350.35pt;height:38.7pt;width:57.85pt;z-index:251835392;mso-width-relative:page;mso-height-relative:page;" filled="f" stroked="f" coordsize="21600,21600" o:gfxdata="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oViDvbAAAACwEAAA8AAAAA&#10;AAAAAQAgAAAAIgAAAGRycy9kb3ducmV2LnhtbFBLAQIUABQAAAAIAIdO4kB8+9m1SgIAAHUEAAAO&#10;AAAAAAAAAAEAIAAAACoBAABkcnMvZTJvRG9jLnhtbFBLBQYAAAAABgAGAFkBAADmBQAAAAA=&#10;">
                <v:fill on="f" focussize="0,0"/>
                <v:stroke on="f" weight="0.5pt"/>
                <v:imagedata o:title=""/>
                <o:lock v:ext="edit" aspectratio="f"/>
                <v:textbox>
                  <w:txbxContent>
                    <w:p w14:paraId="5B064DB6">
                      <w:pPr>
                        <w:rPr>
                          <w:rFonts w:hint="default" w:eastAsia="宋体"/>
                          <w:color w:val="FF0000"/>
                          <w:lang w:val="en-US" w:eastAsia="zh-CN"/>
                        </w:rPr>
                      </w:pPr>
                      <w:r>
                        <w:rPr>
                          <w:rFonts w:hint="eastAsia"/>
                          <w:color w:val="FF0000"/>
                          <w:lang w:val="en-US" w:eastAsia="zh-CN"/>
                        </w:rPr>
                        <w:t>七家子村1004m</w:t>
                      </w:r>
                    </w:p>
                  </w:txbxContent>
                </v:textbox>
              </v:shape>
            </w:pict>
          </mc:Fallback>
        </mc:AlternateContent>
      </w:r>
      <w:r>
        <w:rPr>
          <w:sz w:val="24"/>
        </w:rPr>
        <mc:AlternateContent>
          <mc:Choice Requires="wps">
            <w:drawing>
              <wp:anchor distT="0" distB="0" distL="114300" distR="114300" simplePos="0" relativeHeight="251834368" behindDoc="0" locked="0" layoutInCell="1" allowOverlap="1">
                <wp:simplePos x="0" y="0"/>
                <wp:positionH relativeFrom="column">
                  <wp:posOffset>4623435</wp:posOffset>
                </wp:positionH>
                <wp:positionV relativeFrom="paragraph">
                  <wp:posOffset>4279900</wp:posOffset>
                </wp:positionV>
                <wp:extent cx="1312545" cy="698500"/>
                <wp:effectExtent l="0" t="0" r="1905" b="6350"/>
                <wp:wrapNone/>
                <wp:docPr id="225" name="任意多边形 225"/>
                <wp:cNvGraphicFramePr/>
                <a:graphic xmlns:a="http://schemas.openxmlformats.org/drawingml/2006/main">
                  <a:graphicData uri="http://schemas.microsoft.com/office/word/2010/wordprocessingShape">
                    <wps:wsp>
                      <wps:cNvSpPr/>
                      <wps:spPr>
                        <a:xfrm>
                          <a:off x="5703570" y="5558155"/>
                          <a:ext cx="1312545" cy="698500"/>
                        </a:xfrm>
                        <a:custGeom>
                          <a:avLst/>
                          <a:gdLst>
                            <a:gd name="connisteX0" fmla="*/ 0 w 1312545"/>
                            <a:gd name="connsiteY0" fmla="*/ 243205 h 698500"/>
                            <a:gd name="connisteX1" fmla="*/ 592455 w 1312545"/>
                            <a:gd name="connsiteY1" fmla="*/ 274955 h 698500"/>
                            <a:gd name="connisteX2" fmla="*/ 857250 w 1312545"/>
                            <a:gd name="connsiteY2" fmla="*/ 0 h 698500"/>
                            <a:gd name="connisteX3" fmla="*/ 1227455 w 1312545"/>
                            <a:gd name="connsiteY3" fmla="*/ 200660 h 698500"/>
                            <a:gd name="connisteX4" fmla="*/ 1312545 w 1312545"/>
                            <a:gd name="connsiteY4" fmla="*/ 401955 h 698500"/>
                            <a:gd name="connisteX5" fmla="*/ 1047750 w 1312545"/>
                            <a:gd name="connsiteY5" fmla="*/ 687705 h 698500"/>
                            <a:gd name="connisteX6" fmla="*/ 106045 w 1312545"/>
                            <a:gd name="connsiteY6" fmla="*/ 698500 h 698500"/>
                            <a:gd name="connisteX7" fmla="*/ 0 w 1312545"/>
                            <a:gd name="connsiteY7" fmla="*/ 243205 h 6985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Lst>
                          <a:rect l="l" t="t" r="r" b="b"/>
                          <a:pathLst>
                            <a:path w="1312545" h="698500">
                              <a:moveTo>
                                <a:pt x="0" y="243205"/>
                              </a:moveTo>
                              <a:lnTo>
                                <a:pt x="592455" y="274955"/>
                              </a:lnTo>
                              <a:lnTo>
                                <a:pt x="857250" y="0"/>
                              </a:lnTo>
                              <a:lnTo>
                                <a:pt x="1227455" y="200660"/>
                              </a:lnTo>
                              <a:lnTo>
                                <a:pt x="1312545" y="401955"/>
                              </a:lnTo>
                              <a:lnTo>
                                <a:pt x="1047750" y="687705"/>
                              </a:lnTo>
                              <a:lnTo>
                                <a:pt x="106045" y="698500"/>
                              </a:lnTo>
                              <a:lnTo>
                                <a:pt x="0" y="243205"/>
                              </a:lnTo>
                              <a:close/>
                            </a:path>
                          </a:pathLst>
                        </a:custGeom>
                        <a:solidFill>
                          <a:schemeClr val="accent6">
                            <a:lumMod val="60000"/>
                            <a:lumOff val="40000"/>
                            <a:alpha val="53000"/>
                          </a:schemeClr>
                        </a:solidFill>
                        <a:ln>
                          <a:no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364.05pt;margin-top:337pt;height:55pt;width:103.35pt;z-index:251834368;mso-width-relative:page;mso-height-relative:page;" fillcolor="#FAC090 [1945]" filled="t" stroked="f" coordsize="1312545,698500" o:gfxdata="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" path="m0,243205l592455,274955,857250,0,1227455,200660,1312545,401955,1047750,687705,106045,698500,0,243205xe">
                <v:path o:connectlocs="0,243205;592455,274955;857250,0;1227455,200660;1312545,401955;1047750,687705;106045,698500;0,243205" o:connectangles="0,0,0,0,0,0,0,0"/>
                <v:fill on="t" opacity="34734f" focussize="0,0"/>
                <v:stroke on="f" weight="2pt"/>
                <v:imagedata o:title=""/>
                <o:lock v:ext="edit" aspectratio="f"/>
              </v:shape>
            </w:pict>
          </mc:Fallback>
        </mc:AlternateContent>
      </w:r>
      <w:r>
        <w:rPr>
          <w:sz w:val="24"/>
        </w:rPr>
        <mc:AlternateContent>
          <mc:Choice Requires="wpg">
            <w:drawing>
              <wp:anchor distT="0" distB="0" distL="114300" distR="114300" simplePos="0" relativeHeight="251833344" behindDoc="0" locked="0" layoutInCell="1" allowOverlap="1">
                <wp:simplePos x="0" y="0"/>
                <wp:positionH relativeFrom="column">
                  <wp:posOffset>10396855</wp:posOffset>
                </wp:positionH>
                <wp:positionV relativeFrom="paragraph">
                  <wp:posOffset>5808345</wp:posOffset>
                </wp:positionV>
                <wp:extent cx="190500" cy="1296670"/>
                <wp:effectExtent l="12700" t="12700" r="25400" b="24130"/>
                <wp:wrapNone/>
                <wp:docPr id="223" name="组合 223"/>
                <wp:cNvGraphicFramePr/>
                <a:graphic xmlns:a="http://schemas.openxmlformats.org/drawingml/2006/main">
                  <a:graphicData uri="http://schemas.microsoft.com/office/word/2010/wordprocessingGroup">
                    <wpg:wgp>
                      <wpg:cNvGrpSpPr/>
                      <wpg:grpSpPr>
                        <a:xfrm>
                          <a:off x="0" y="0"/>
                          <a:ext cx="190500" cy="1296670"/>
                          <a:chOff x="18357" y="593557"/>
                          <a:chExt cx="300" cy="2042"/>
                        </a:xfrm>
                      </wpg:grpSpPr>
                      <wps:wsp>
                        <wps:cNvPr id="218" name="圆角矩形 218"/>
                        <wps:cNvSpPr/>
                        <wps:spPr>
                          <a:xfrm>
                            <a:off x="18357" y="593557"/>
                            <a:ext cx="300" cy="217"/>
                          </a:xfrm>
                          <a:prstGeom prst="round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9" name="圆角矩形 219"/>
                        <wps:cNvSpPr/>
                        <wps:spPr>
                          <a:xfrm>
                            <a:off x="18357" y="594013"/>
                            <a:ext cx="300" cy="217"/>
                          </a:xfrm>
                          <a:prstGeom prst="roundRect">
                            <a:avLst/>
                          </a:prstGeom>
                          <a:noFill/>
                          <a:ln>
                            <a:solidFill>
                              <a:srgbClr val="3B33A8"/>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0" name="圆角矩形 220"/>
                        <wps:cNvSpPr/>
                        <wps:spPr>
                          <a:xfrm>
                            <a:off x="18357" y="594519"/>
                            <a:ext cx="300" cy="217"/>
                          </a:xfrm>
                          <a:prstGeom prst="roundRect">
                            <a:avLst/>
                          </a:prstGeom>
                          <a:no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1" name="圆角矩形 221"/>
                        <wps:cNvSpPr/>
                        <wps:spPr>
                          <a:xfrm>
                            <a:off x="18357" y="594939"/>
                            <a:ext cx="300" cy="217"/>
                          </a:xfrm>
                          <a:prstGeom prst="round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2" name="圆角矩形 222"/>
                        <wps:cNvSpPr/>
                        <wps:spPr>
                          <a:xfrm>
                            <a:off x="18357" y="595383"/>
                            <a:ext cx="300" cy="217"/>
                          </a:xfrm>
                          <a:prstGeom prst="roundRect">
                            <a:avLst/>
                          </a:prstGeom>
                          <a:noFill/>
                          <a:ln>
                            <a:solidFill>
                              <a:schemeClr val="accent6">
                                <a:lumMod val="7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8.65pt;margin-top:457.35pt;height:102.1pt;width:15pt;z-index:251833344;mso-width-relative:page;mso-height-relative:page;" coordorigin="18357,593557" coordsize="300,2042" o:gfxdata="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">
                <o:lock v:ext="edit" aspectratio="f"/>
                <v:roundrect id="_x0000_s1026" o:spid="_x0000_s1026" o:spt="2" style="position:absolute;left:18357;top:593557;height:217;width:300;v-text-anchor:middle;" filled="f" stroked="t" coordsize="21600,21600" arcsize="0.166666666666667" o:gfxdata="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bA265AAAA3AAA&#10;AA8AAAAAAAAAAQAgAAAAIgAAAGRycy9kb3ducmV2LnhtbFBLAQIUABQAAAAIAIdO4kAzLwWeOwAA&#10;ADkAAAAQAAAAAAAAAAEAIAAAAAgBAABkcnMvc2hhcGV4bWwueG1sUEsFBgAAAAAGAAYAWwEAALID&#10;AAAAAA==&#10;">
                  <v:fill on="f" focussize="0,0"/>
                  <v:stroke weight="2pt" color="#FF0000 [2404]" joinstyle="round"/>
                  <v:imagedata o:title=""/>
                  <o:lock v:ext="edit" aspectratio="f"/>
                </v:roundrect>
                <v:roundrect id="_x0000_s1026" o:spid="_x0000_s1026" o:spt="2" style="position:absolute;left:18357;top:594013;height:217;width:300;v-text-anchor:middle;" filled="f" stroked="t" coordsize="21600,21600" arcsize="0.166666666666667" o:gfxdata="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AyjG8AAAA&#10;3AAAAA8AAAAAAAAAAQAgAAAAIgAAAGRycy9kb3ducmV2LnhtbFBLAQIUABQAAAAIAIdO4kAzLwWe&#10;OwAAADkAAAAQAAAAAAAAAAEAIAAAAAsBAABkcnMvc2hhcGV4bWwueG1sUEsFBgAAAAAGAAYAWwEA&#10;ALUDAAAAAA==&#10;">
                  <v:fill on="f" focussize="0,0"/>
                  <v:stroke weight="2pt" color="#3B33A8 [2404]" joinstyle="round"/>
                  <v:imagedata o:title=""/>
                  <o:lock v:ext="edit" aspectratio="f"/>
                </v:roundrect>
                <v:roundrect id="_x0000_s1026" o:spid="_x0000_s1026" o:spt="2" style="position:absolute;left:18357;top:594519;height:217;width:300;v-text-anchor:middle;" filled="f" stroked="t" coordsize="21600,21600" arcsize="0.166666666666667" o:gfxdata="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8ObQG5AAAA3AAA&#10;AA8AAAAAAAAAAQAgAAAAIgAAAGRycy9kb3ducmV2LnhtbFBLAQIUABQAAAAIAIdO4kAzLwWeOwAA&#10;ADkAAAAQAAAAAAAAAAEAIAAAAAgBAABkcnMvc2hhcGV4bWwueG1sUEsFBgAAAAAGAAYAWwEAALID&#10;AAAAAA==&#10;">
                  <v:fill on="f" focussize="0,0"/>
                  <v:stroke weight="2pt" color="#92D050 [2404]" joinstyle="round"/>
                  <v:imagedata o:title=""/>
                  <o:lock v:ext="edit" aspectratio="f"/>
                </v:roundrect>
                <v:roundrect id="_x0000_s1026" o:spid="_x0000_s1026" o:spt="2" style="position:absolute;left:18357;top:594939;height:217;width:300;v-text-anchor:middle;" filled="f" stroked="t" coordsize="21600,21600" arcsize="0.166666666666667" o:gfxdata="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YpnK/&#10;AAAA3AAAAA8AAAAAAAAAAQAgAAAAIgAAAGRycy9kb3ducmV2LnhtbFBLAQIUABQAAAAIAIdO4kAz&#10;LwWeOwAAADkAAAAQAAAAAAAAAAEAIAAAAA4BAABkcnMvc2hhcGV4bWwueG1sUEsFBgAAAAAGAAYA&#10;WwEAALgDAAAAAA==&#10;">
                  <v:fill on="f" focussize="0,0"/>
                  <v:stroke weight="2pt" color="#FFFF00 [2404]" joinstyle="round"/>
                  <v:imagedata o:title=""/>
                  <o:lock v:ext="edit" aspectratio="f"/>
                </v:roundrect>
                <v:roundrect id="_x0000_s1026" o:spid="_x0000_s1026" o:spt="2" style="position:absolute;left:18357;top:595383;height:217;width:300;v-text-anchor:middle;" filled="f" stroked="t" coordsize="21600,21600" arcsize="0.166666666666667" o:gfxdata="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irO/&#10;AAAA3AAAAA8AAAAAAAAAAQAgAAAAIgAAAGRycy9kb3ducmV2LnhtbFBLAQIUABQAAAAIAIdO4kAz&#10;LwWeOwAAADkAAAAQAAAAAAAAAAEAIAAAAA4BAABkcnMvc2hhcGV4bWwueG1sUEsFBgAAAAAGAAYA&#10;WwEAALgDAAAAAA==&#10;">
                  <v:fill on="f" focussize="0,0"/>
                  <v:stroke weight="2pt" color="#E46C0A [2409]" joinstyle="round"/>
                  <v:imagedata o:title=""/>
                  <o:lock v:ext="edit" aspectratio="f"/>
                </v:roundrect>
              </v:group>
            </w:pict>
          </mc:Fallback>
        </mc:AlternateContent>
      </w:r>
      <w:r>
        <w:rPr>
          <w:sz w:val="24"/>
        </w:rPr>
        <mc:AlternateContent>
          <mc:Choice Requires="wps">
            <w:drawing>
              <wp:anchor distT="0" distB="0" distL="114300" distR="114300" simplePos="0" relativeHeight="251832320" behindDoc="0" locked="0" layoutInCell="1" allowOverlap="1">
                <wp:simplePos x="0" y="0"/>
                <wp:positionH relativeFrom="column">
                  <wp:posOffset>10263505</wp:posOffset>
                </wp:positionH>
                <wp:positionV relativeFrom="paragraph">
                  <wp:posOffset>5374640</wp:posOffset>
                </wp:positionV>
                <wp:extent cx="2423795" cy="1894205"/>
                <wp:effectExtent l="4445" t="5080" r="10160" b="5715"/>
                <wp:wrapNone/>
                <wp:docPr id="217" name="文本框 217"/>
                <wp:cNvGraphicFramePr/>
                <a:graphic xmlns:a="http://schemas.openxmlformats.org/drawingml/2006/main">
                  <a:graphicData uri="http://schemas.microsoft.com/office/word/2010/wordprocessingShape">
                    <wps:wsp>
                      <wps:cNvSpPr txBox="1"/>
                      <wps:spPr>
                        <a:xfrm>
                          <a:off x="11343640" y="6652895"/>
                          <a:ext cx="2423795" cy="18942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39D1FA">
                            <w:pPr>
                              <w:spacing w:line="360" w:lineRule="auto"/>
                              <w:rPr>
                                <w:rFonts w:hint="eastAsia"/>
                                <w:b/>
                                <w:bCs/>
                                <w:sz w:val="24"/>
                                <w:szCs w:val="32"/>
                                <w:lang w:val="en-US" w:eastAsia="zh-CN"/>
                              </w:rPr>
                            </w:pPr>
                            <w:r>
                              <w:rPr>
                                <w:rFonts w:hint="eastAsia"/>
                                <w:b/>
                                <w:bCs/>
                                <w:sz w:val="24"/>
                                <w:szCs w:val="32"/>
                                <w:lang w:val="en-US" w:eastAsia="zh-CN"/>
                              </w:rPr>
                              <w:t>图例：</w:t>
                            </w:r>
                          </w:p>
                          <w:p w14:paraId="3F33B379">
                            <w:pPr>
                              <w:spacing w:line="360" w:lineRule="auto"/>
                              <w:ind w:firstLine="480"/>
                              <w:rPr>
                                <w:rFonts w:hint="eastAsia"/>
                                <w:b w:val="0"/>
                                <w:bCs w:val="0"/>
                                <w:sz w:val="24"/>
                                <w:szCs w:val="32"/>
                                <w:lang w:val="en-US" w:eastAsia="zh-CN"/>
                              </w:rPr>
                            </w:pPr>
                            <w:r>
                              <w:rPr>
                                <w:rFonts w:hint="eastAsia"/>
                                <w:b w:val="0"/>
                                <w:bCs w:val="0"/>
                                <w:sz w:val="24"/>
                                <w:szCs w:val="32"/>
                                <w:lang w:val="en-US" w:eastAsia="zh-CN"/>
                              </w:rPr>
                              <w:t>项目位置</w:t>
                            </w:r>
                          </w:p>
                          <w:p w14:paraId="050D6FD9">
                            <w:pPr>
                              <w:spacing w:line="360" w:lineRule="auto"/>
                              <w:ind w:firstLine="480"/>
                              <w:rPr>
                                <w:rFonts w:hint="eastAsia"/>
                                <w:b w:val="0"/>
                                <w:bCs w:val="0"/>
                                <w:sz w:val="24"/>
                                <w:szCs w:val="32"/>
                                <w:lang w:val="en-US" w:eastAsia="zh-CN"/>
                              </w:rPr>
                            </w:pPr>
                            <w:r>
                              <w:rPr>
                                <w:rFonts w:hint="eastAsia"/>
                                <w:b w:val="0"/>
                                <w:bCs w:val="0"/>
                                <w:sz w:val="24"/>
                                <w:szCs w:val="32"/>
                                <w:lang w:val="en-US" w:eastAsia="zh-CN"/>
                              </w:rPr>
                              <w:t>大气评价范围</w:t>
                            </w:r>
                          </w:p>
                          <w:p w14:paraId="33FD209E">
                            <w:pPr>
                              <w:spacing w:line="360" w:lineRule="auto"/>
                              <w:ind w:firstLine="480"/>
                              <w:rPr>
                                <w:rFonts w:hint="eastAsia"/>
                                <w:b w:val="0"/>
                                <w:bCs w:val="0"/>
                                <w:sz w:val="24"/>
                                <w:szCs w:val="32"/>
                                <w:lang w:val="en-US" w:eastAsia="zh-CN"/>
                              </w:rPr>
                            </w:pPr>
                            <w:r>
                              <w:rPr>
                                <w:rFonts w:hint="eastAsia"/>
                                <w:b w:val="0"/>
                                <w:bCs w:val="0"/>
                                <w:sz w:val="24"/>
                                <w:szCs w:val="32"/>
                                <w:lang w:val="en-US" w:eastAsia="zh-CN"/>
                              </w:rPr>
                              <w:t>土壤环境评价范围</w:t>
                            </w:r>
                          </w:p>
                          <w:p w14:paraId="18057C95">
                            <w:pPr>
                              <w:spacing w:line="360" w:lineRule="auto"/>
                              <w:ind w:firstLine="480"/>
                              <w:rPr>
                                <w:rFonts w:hint="eastAsia"/>
                                <w:b w:val="0"/>
                                <w:bCs w:val="0"/>
                                <w:sz w:val="24"/>
                                <w:szCs w:val="32"/>
                                <w:lang w:val="en-US" w:eastAsia="zh-CN"/>
                              </w:rPr>
                            </w:pPr>
                            <w:r>
                              <w:rPr>
                                <w:rFonts w:hint="eastAsia"/>
                                <w:b w:val="0"/>
                                <w:bCs w:val="0"/>
                                <w:sz w:val="24"/>
                                <w:szCs w:val="32"/>
                                <w:lang w:val="en-US" w:eastAsia="zh-CN"/>
                              </w:rPr>
                              <w:t>声环境评价范围</w:t>
                            </w:r>
                          </w:p>
                          <w:p w14:paraId="517E1593">
                            <w:pPr>
                              <w:spacing w:line="360" w:lineRule="auto"/>
                              <w:ind w:firstLine="480"/>
                              <w:rPr>
                                <w:rFonts w:hint="default"/>
                                <w:b w:val="0"/>
                                <w:bCs w:val="0"/>
                                <w:sz w:val="24"/>
                                <w:szCs w:val="32"/>
                                <w:lang w:val="en-US" w:eastAsia="zh-CN"/>
                              </w:rPr>
                            </w:pPr>
                            <w:r>
                              <w:rPr>
                                <w:rFonts w:hint="eastAsia"/>
                                <w:b w:val="0"/>
                                <w:bCs w:val="0"/>
                                <w:sz w:val="24"/>
                                <w:szCs w:val="32"/>
                                <w:lang w:val="en-US" w:eastAsia="zh-CN"/>
                              </w:rPr>
                              <w:t>敏感点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8.15pt;margin-top:423.2pt;height:149.15pt;width:190.85pt;z-index:251832320;mso-width-relative:page;mso-height-relative:page;" fillcolor="#FFFFFF [3201]" filled="t" stroked="t" coordsize="21600,21600" o:gfxdata="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VOmFHtkAAAAOAQAADwAAAAAAAAABACAAAAAiAAAAZHJzL2Rvd25yZXYueG1s&#10;UEsBAhQAFAAAAAgAh07iQJuzraZpAgAAyQQAAA4AAAAAAAAAAQAgAAAAKAEAAGRycy9lMm9Eb2Mu&#10;eG1sUEsFBgAAAAAGAAYAWQEAAAMGAAAAAA==&#10;">
                <v:fill on="t" focussize="0,0"/>
                <v:stroke weight="0.5pt" color="#000000 [3204]" joinstyle="round"/>
                <v:imagedata o:title=""/>
                <o:lock v:ext="edit" aspectratio="f"/>
                <v:textbox>
                  <w:txbxContent>
                    <w:p w14:paraId="6339D1FA">
                      <w:pPr>
                        <w:spacing w:line="360" w:lineRule="auto"/>
                        <w:rPr>
                          <w:rFonts w:hint="eastAsia"/>
                          <w:b/>
                          <w:bCs/>
                          <w:sz w:val="24"/>
                          <w:szCs w:val="32"/>
                          <w:lang w:val="en-US" w:eastAsia="zh-CN"/>
                        </w:rPr>
                      </w:pPr>
                      <w:r>
                        <w:rPr>
                          <w:rFonts w:hint="eastAsia"/>
                          <w:b/>
                          <w:bCs/>
                          <w:sz w:val="24"/>
                          <w:szCs w:val="32"/>
                          <w:lang w:val="en-US" w:eastAsia="zh-CN"/>
                        </w:rPr>
                        <w:t>图例：</w:t>
                      </w:r>
                    </w:p>
                    <w:p w14:paraId="3F33B379">
                      <w:pPr>
                        <w:spacing w:line="360" w:lineRule="auto"/>
                        <w:ind w:firstLine="480"/>
                        <w:rPr>
                          <w:rFonts w:hint="eastAsia"/>
                          <w:b w:val="0"/>
                          <w:bCs w:val="0"/>
                          <w:sz w:val="24"/>
                          <w:szCs w:val="32"/>
                          <w:lang w:val="en-US" w:eastAsia="zh-CN"/>
                        </w:rPr>
                      </w:pPr>
                      <w:r>
                        <w:rPr>
                          <w:rFonts w:hint="eastAsia"/>
                          <w:b w:val="0"/>
                          <w:bCs w:val="0"/>
                          <w:sz w:val="24"/>
                          <w:szCs w:val="32"/>
                          <w:lang w:val="en-US" w:eastAsia="zh-CN"/>
                        </w:rPr>
                        <w:t>项目位置</w:t>
                      </w:r>
                    </w:p>
                    <w:p w14:paraId="050D6FD9">
                      <w:pPr>
                        <w:spacing w:line="360" w:lineRule="auto"/>
                        <w:ind w:firstLine="480"/>
                        <w:rPr>
                          <w:rFonts w:hint="eastAsia"/>
                          <w:b w:val="0"/>
                          <w:bCs w:val="0"/>
                          <w:sz w:val="24"/>
                          <w:szCs w:val="32"/>
                          <w:lang w:val="en-US" w:eastAsia="zh-CN"/>
                        </w:rPr>
                      </w:pPr>
                      <w:r>
                        <w:rPr>
                          <w:rFonts w:hint="eastAsia"/>
                          <w:b w:val="0"/>
                          <w:bCs w:val="0"/>
                          <w:sz w:val="24"/>
                          <w:szCs w:val="32"/>
                          <w:lang w:val="en-US" w:eastAsia="zh-CN"/>
                        </w:rPr>
                        <w:t>大气评价范围</w:t>
                      </w:r>
                    </w:p>
                    <w:p w14:paraId="33FD209E">
                      <w:pPr>
                        <w:spacing w:line="360" w:lineRule="auto"/>
                        <w:ind w:firstLine="480"/>
                        <w:rPr>
                          <w:rFonts w:hint="eastAsia"/>
                          <w:b w:val="0"/>
                          <w:bCs w:val="0"/>
                          <w:sz w:val="24"/>
                          <w:szCs w:val="32"/>
                          <w:lang w:val="en-US" w:eastAsia="zh-CN"/>
                        </w:rPr>
                      </w:pPr>
                      <w:r>
                        <w:rPr>
                          <w:rFonts w:hint="eastAsia"/>
                          <w:b w:val="0"/>
                          <w:bCs w:val="0"/>
                          <w:sz w:val="24"/>
                          <w:szCs w:val="32"/>
                          <w:lang w:val="en-US" w:eastAsia="zh-CN"/>
                        </w:rPr>
                        <w:t>土壤环境评价范围</w:t>
                      </w:r>
                    </w:p>
                    <w:p w14:paraId="18057C95">
                      <w:pPr>
                        <w:spacing w:line="360" w:lineRule="auto"/>
                        <w:ind w:firstLine="480"/>
                        <w:rPr>
                          <w:rFonts w:hint="eastAsia"/>
                          <w:b w:val="0"/>
                          <w:bCs w:val="0"/>
                          <w:sz w:val="24"/>
                          <w:szCs w:val="32"/>
                          <w:lang w:val="en-US" w:eastAsia="zh-CN"/>
                        </w:rPr>
                      </w:pPr>
                      <w:r>
                        <w:rPr>
                          <w:rFonts w:hint="eastAsia"/>
                          <w:b w:val="0"/>
                          <w:bCs w:val="0"/>
                          <w:sz w:val="24"/>
                          <w:szCs w:val="32"/>
                          <w:lang w:val="en-US" w:eastAsia="zh-CN"/>
                        </w:rPr>
                        <w:t>声环境评价范围</w:t>
                      </w:r>
                    </w:p>
                    <w:p w14:paraId="517E1593">
                      <w:pPr>
                        <w:spacing w:line="360" w:lineRule="auto"/>
                        <w:ind w:firstLine="480"/>
                        <w:rPr>
                          <w:rFonts w:hint="default"/>
                          <w:b w:val="0"/>
                          <w:bCs w:val="0"/>
                          <w:sz w:val="24"/>
                          <w:szCs w:val="32"/>
                          <w:lang w:val="en-US" w:eastAsia="zh-CN"/>
                        </w:rPr>
                      </w:pPr>
                      <w:r>
                        <w:rPr>
                          <w:rFonts w:hint="eastAsia"/>
                          <w:b w:val="0"/>
                          <w:bCs w:val="0"/>
                          <w:sz w:val="24"/>
                          <w:szCs w:val="32"/>
                          <w:lang w:val="en-US" w:eastAsia="zh-CN"/>
                        </w:rPr>
                        <w:t>敏感点</w:t>
                      </w:r>
                    </w:p>
                  </w:txbxContent>
                </v:textbox>
              </v:shape>
            </w:pict>
          </mc:Fallback>
        </mc:AlternateContent>
      </w:r>
      <w:r>
        <w:rPr>
          <w:rFonts w:hint="eastAsia"/>
          <w:b/>
          <w:bCs/>
          <w:color w:val="auto"/>
          <w:sz w:val="24"/>
          <w:szCs w:val="32"/>
          <w:lang w:val="en-US" w:eastAsia="zh-CN"/>
        </w:rPr>
        <w:drawing>
          <wp:inline distT="0" distB="0" distL="114300" distR="114300">
            <wp:extent cx="12477750" cy="7579360"/>
            <wp:effectExtent l="0" t="0" r="0" b="2540"/>
            <wp:docPr id="216" name="图片 216" descr="aba3e5c017ad82e81c037ad0c784da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aba3e5c017ad82e81c037ad0c784daa9"/>
                    <pic:cNvPicPr>
                      <a:picLocks noChangeAspect="1"/>
                    </pic:cNvPicPr>
                  </pic:nvPicPr>
                  <pic:blipFill>
                    <a:blip r:embed="rId35"/>
                    <a:stretch>
                      <a:fillRect/>
                    </a:stretch>
                  </pic:blipFill>
                  <pic:spPr>
                    <a:xfrm>
                      <a:off x="0" y="0"/>
                      <a:ext cx="12477750" cy="7579360"/>
                    </a:xfrm>
                    <a:prstGeom prst="rect">
                      <a:avLst/>
                    </a:prstGeom>
                  </pic:spPr>
                </pic:pic>
              </a:graphicData>
            </a:graphic>
          </wp:inline>
        </w:drawing>
      </w:r>
    </w:p>
    <w:p w14:paraId="15C681C3">
      <w:pPr>
        <w:tabs>
          <w:tab w:val="left" w:pos="7105"/>
        </w:tabs>
        <w:spacing w:line="360" w:lineRule="auto"/>
        <w:jc w:val="center"/>
        <w:rPr>
          <w:rFonts w:hint="default" w:eastAsia="宋体"/>
          <w:b/>
          <w:bCs/>
          <w:color w:val="auto"/>
          <w:sz w:val="24"/>
          <w:szCs w:val="32"/>
          <w:lang w:val="en-US" w:eastAsia="zh-CN"/>
        </w:rPr>
        <w:sectPr>
          <w:pgSz w:w="23811" w:h="16838"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bCs/>
          <w:color w:val="auto"/>
          <w:sz w:val="24"/>
          <w:szCs w:val="32"/>
          <w:lang w:val="en-US" w:eastAsia="zh-CN"/>
        </w:rPr>
        <w:t>图2.5-1  各要素评价范围及敏感目标相对位置关系图</w:t>
      </w:r>
    </w:p>
    <w:bookmarkEnd w:id="33"/>
    <w:p w14:paraId="6F777C50">
      <w:pPr>
        <w:pStyle w:val="3"/>
        <w:bidi w:val="0"/>
        <w:rPr>
          <w:sz w:val="32"/>
          <w:szCs w:val="32"/>
        </w:rPr>
      </w:pPr>
      <w:bookmarkStart w:id="34" w:name="_Toc4787"/>
      <w:r>
        <w:rPr>
          <w:rFonts w:hint="eastAsia"/>
          <w:sz w:val="32"/>
          <w:szCs w:val="32"/>
          <w:lang w:val="en-US" w:eastAsia="zh-CN"/>
        </w:rPr>
        <w:t>3建设</w:t>
      </w:r>
      <w:r>
        <w:rPr>
          <w:sz w:val="32"/>
          <w:szCs w:val="32"/>
        </w:rPr>
        <w:t>项目</w:t>
      </w:r>
      <w:r>
        <w:rPr>
          <w:rFonts w:hint="eastAsia"/>
          <w:sz w:val="32"/>
          <w:szCs w:val="32"/>
          <w:lang w:eastAsia="zh-CN"/>
        </w:rPr>
        <w:t>概况与</w:t>
      </w:r>
      <w:r>
        <w:rPr>
          <w:sz w:val="32"/>
          <w:szCs w:val="32"/>
        </w:rPr>
        <w:t>工程分析</w:t>
      </w:r>
      <w:bookmarkEnd w:id="34"/>
    </w:p>
    <w:p w14:paraId="21260D35">
      <w:pPr>
        <w:pStyle w:val="4"/>
        <w:bidi w:val="0"/>
        <w:spacing w:line="240" w:lineRule="auto"/>
        <w:rPr>
          <w:rFonts w:hint="eastAsia" w:ascii="Times New Roman" w:hAnsi="Times New Roman" w:eastAsia="宋体" w:cs="Times New Roman"/>
          <w:sz w:val="30"/>
          <w:szCs w:val="30"/>
          <w:lang w:val="en-US" w:eastAsia="zh-CN"/>
        </w:rPr>
      </w:pPr>
      <w:bookmarkStart w:id="35" w:name="_Toc29353"/>
      <w:r>
        <w:rPr>
          <w:rFonts w:hint="eastAsia" w:ascii="Times New Roman" w:hAnsi="Times New Roman" w:eastAsia="宋体" w:cs="Times New Roman"/>
          <w:sz w:val="30"/>
          <w:szCs w:val="30"/>
          <w:lang w:val="en-US" w:eastAsia="zh-CN"/>
        </w:rPr>
        <w:t>3.1现有项目概况</w:t>
      </w:r>
      <w:bookmarkEnd w:id="35"/>
    </w:p>
    <w:p w14:paraId="179BB027">
      <w:pPr>
        <w:pStyle w:val="177"/>
        <w:ind w:firstLine="480"/>
        <w:jc w:val="both"/>
        <w:rPr>
          <w:rFonts w:hint="eastAsia" w:ascii="Times New Roman"/>
          <w:color w:val="auto"/>
          <w:highlight w:val="none"/>
          <w:lang w:val="en-US" w:eastAsia="zh-CN"/>
        </w:rPr>
      </w:pPr>
      <w:r>
        <w:rPr>
          <w:rFonts w:hint="eastAsia" w:ascii="Times New Roman"/>
          <w:color w:val="auto"/>
          <w:lang w:val="en-US" w:eastAsia="zh-CN"/>
        </w:rPr>
        <w:t>北票市大力铁精粉精选厂</w:t>
      </w:r>
      <w:r>
        <w:rPr>
          <w:rFonts w:hint="eastAsia" w:ascii="Times New Roman" w:eastAsia="宋体"/>
          <w:color w:val="auto"/>
          <w:lang w:val="en-US" w:eastAsia="zh-CN"/>
        </w:rPr>
        <w:t>成立于</w:t>
      </w:r>
      <w:r>
        <w:rPr>
          <w:rFonts w:hint="eastAsia" w:ascii="Times New Roman"/>
          <w:color w:val="auto"/>
          <w:highlight w:val="none"/>
          <w:lang w:val="en-US" w:eastAsia="zh-CN"/>
        </w:rPr>
        <w:t>2008</w:t>
      </w:r>
      <w:r>
        <w:rPr>
          <w:rFonts w:hint="eastAsia" w:ascii="Times New Roman" w:eastAsia="宋体"/>
          <w:color w:val="auto"/>
          <w:highlight w:val="none"/>
          <w:lang w:val="en-US" w:eastAsia="zh-CN"/>
        </w:rPr>
        <w:t>年</w:t>
      </w:r>
      <w:r>
        <w:rPr>
          <w:rFonts w:hint="eastAsia" w:ascii="Times New Roman"/>
          <w:color w:val="auto"/>
          <w:highlight w:val="none"/>
          <w:lang w:val="en-US" w:eastAsia="zh-CN"/>
        </w:rPr>
        <w:t>8</w:t>
      </w:r>
      <w:r>
        <w:rPr>
          <w:rFonts w:hint="eastAsia" w:ascii="Times New Roman" w:eastAsia="宋体"/>
          <w:color w:val="auto"/>
          <w:highlight w:val="none"/>
          <w:lang w:val="en-US" w:eastAsia="zh-CN"/>
        </w:rPr>
        <w:t>月</w:t>
      </w:r>
      <w:r>
        <w:rPr>
          <w:rFonts w:hint="eastAsia" w:ascii="Times New Roman" w:eastAsia="宋体"/>
          <w:color w:val="auto"/>
          <w:lang w:val="en-US" w:eastAsia="zh-CN"/>
        </w:rPr>
        <w:t>，位于辽宁省朝阳市北票市娄家店乡冯家营村</w:t>
      </w:r>
      <w:r>
        <w:rPr>
          <w:rFonts w:hint="eastAsia" w:ascii="Times New Roman"/>
          <w:color w:val="auto"/>
          <w:lang w:val="en-US" w:eastAsia="zh-CN"/>
        </w:rPr>
        <w:t>，</w:t>
      </w:r>
      <w:r>
        <w:rPr>
          <w:rFonts w:hint="eastAsia" w:ascii="Times New Roman" w:eastAsia="宋体"/>
          <w:color w:val="auto"/>
          <w:lang w:val="en-US" w:eastAsia="zh-CN"/>
        </w:rPr>
        <w:t>现有项目总占地面积13340m</w:t>
      </w:r>
      <w:r>
        <w:rPr>
          <w:rFonts w:hint="eastAsia" w:ascii="Times New Roman" w:eastAsia="宋体"/>
          <w:color w:val="auto"/>
          <w:vertAlign w:val="superscript"/>
          <w:lang w:val="en-US" w:eastAsia="zh-CN"/>
        </w:rPr>
        <w:t>2</w:t>
      </w:r>
      <w:r>
        <w:rPr>
          <w:rFonts w:hint="eastAsia" w:ascii="Times New Roman" w:eastAsia="宋体"/>
          <w:color w:val="auto"/>
          <w:lang w:val="en-US" w:eastAsia="zh-CN"/>
        </w:rPr>
        <w:t>，</w:t>
      </w:r>
      <w:r>
        <w:rPr>
          <w:rFonts w:hint="eastAsia" w:ascii="Times New Roman"/>
          <w:color w:val="auto"/>
          <w:lang w:val="en-US" w:eastAsia="zh-CN"/>
        </w:rPr>
        <w:t>现有</w:t>
      </w:r>
      <w:r>
        <w:rPr>
          <w:rFonts w:hint="eastAsia" w:ascii="Times New Roman" w:eastAsia="宋体"/>
          <w:color w:val="auto"/>
          <w:lang w:val="en-US" w:eastAsia="zh-CN"/>
        </w:rPr>
        <w:t>项目主要建设内容：</w:t>
      </w:r>
      <w:r>
        <w:rPr>
          <w:rFonts w:hint="eastAsia" w:ascii="Times New Roman"/>
          <w:color w:val="auto"/>
          <w:lang w:val="en-US" w:eastAsia="zh-CN"/>
        </w:rPr>
        <w:t>破碎区、选矿</w:t>
      </w:r>
      <w:r>
        <w:rPr>
          <w:rFonts w:hint="eastAsia" w:ascii="Times New Roman" w:eastAsia="宋体"/>
          <w:color w:val="auto"/>
          <w:lang w:val="en-US" w:eastAsia="zh-CN"/>
        </w:rPr>
        <w:t>车间、办公室、机修车间、铁精粉</w:t>
      </w:r>
      <w:r>
        <w:rPr>
          <w:rFonts w:hint="eastAsia" w:ascii="Times New Roman"/>
          <w:color w:val="auto"/>
          <w:lang w:val="en-US" w:eastAsia="zh-CN"/>
        </w:rPr>
        <w:t>库房</w:t>
      </w:r>
      <w:r>
        <w:rPr>
          <w:rFonts w:hint="eastAsia" w:ascii="Times New Roman" w:eastAsia="宋体"/>
          <w:color w:val="auto"/>
          <w:lang w:val="en-US" w:eastAsia="zh-CN"/>
        </w:rPr>
        <w:t>、</w:t>
      </w:r>
      <w:r>
        <w:rPr>
          <w:rFonts w:hint="eastAsia" w:ascii="Times New Roman"/>
          <w:color w:val="auto"/>
          <w:lang w:val="en-US" w:eastAsia="zh-CN"/>
        </w:rPr>
        <w:t>原矿</w:t>
      </w:r>
      <w:r>
        <w:rPr>
          <w:rFonts w:hint="eastAsia" w:ascii="Times New Roman" w:eastAsia="宋体"/>
          <w:color w:val="auto"/>
          <w:lang w:val="en-US" w:eastAsia="zh-CN"/>
        </w:rPr>
        <w:t>堆场</w:t>
      </w:r>
      <w:r>
        <w:rPr>
          <w:rFonts w:hint="eastAsia" w:ascii="Times New Roman"/>
          <w:color w:val="auto"/>
          <w:lang w:val="en-US" w:eastAsia="zh-CN"/>
        </w:rPr>
        <w:t>、中间物料堆场</w:t>
      </w:r>
      <w:r>
        <w:rPr>
          <w:rFonts w:hint="eastAsia" w:ascii="Times New Roman" w:eastAsia="宋体"/>
          <w:color w:val="auto"/>
          <w:lang w:val="en-US" w:eastAsia="zh-CN"/>
        </w:rPr>
        <w:t>，建设</w:t>
      </w:r>
      <w:r>
        <w:rPr>
          <w:rFonts w:hint="eastAsia" w:ascii="Times New Roman"/>
          <w:color w:val="auto"/>
          <w:lang w:val="en-US" w:eastAsia="zh-CN"/>
        </w:rPr>
        <w:t>选铁生产线</w:t>
      </w:r>
      <w:r>
        <w:rPr>
          <w:rFonts w:hint="eastAsia" w:ascii="Times New Roman" w:eastAsia="宋体"/>
          <w:color w:val="auto"/>
          <w:lang w:val="en-US" w:eastAsia="zh-CN"/>
        </w:rPr>
        <w:t>，建设规模为年加工矿石</w:t>
      </w:r>
      <w:r>
        <w:rPr>
          <w:rFonts w:hint="eastAsia" w:ascii="Times New Roman"/>
          <w:color w:val="auto"/>
          <w:lang w:val="en-US" w:eastAsia="zh-CN"/>
        </w:rPr>
        <w:t>40</w:t>
      </w:r>
      <w:r>
        <w:rPr>
          <w:rFonts w:hint="eastAsia" w:ascii="Times New Roman" w:eastAsia="宋体"/>
          <w:color w:val="auto"/>
          <w:lang w:val="en-US" w:eastAsia="zh-CN"/>
        </w:rPr>
        <w:t>万吨，年产铁精粉</w:t>
      </w:r>
      <w:r>
        <w:rPr>
          <w:rFonts w:hint="eastAsia" w:ascii="Times New Roman"/>
          <w:color w:val="auto"/>
          <w:lang w:val="en-US" w:eastAsia="zh-CN"/>
        </w:rPr>
        <w:t>30</w:t>
      </w:r>
      <w:r>
        <w:rPr>
          <w:rFonts w:hint="eastAsia" w:ascii="Times New Roman" w:eastAsia="宋体"/>
          <w:color w:val="auto"/>
          <w:lang w:val="en-US" w:eastAsia="zh-CN"/>
        </w:rPr>
        <w:t>万吨，年产生尾矿约</w:t>
      </w:r>
      <w:r>
        <w:rPr>
          <w:rFonts w:hint="eastAsia" w:ascii="Times New Roman"/>
          <w:color w:val="auto"/>
          <w:lang w:val="en-US" w:eastAsia="zh-CN"/>
        </w:rPr>
        <w:t>10</w:t>
      </w:r>
      <w:r>
        <w:rPr>
          <w:rFonts w:hint="eastAsia" w:ascii="Times New Roman" w:eastAsia="宋体"/>
          <w:color w:val="auto"/>
          <w:lang w:val="en-US" w:eastAsia="zh-CN"/>
        </w:rPr>
        <w:t>万</w:t>
      </w:r>
      <w:r>
        <w:rPr>
          <w:rFonts w:hint="eastAsia" w:ascii="Times New Roman"/>
          <w:color w:val="auto"/>
          <w:lang w:val="en-US" w:eastAsia="zh-CN"/>
        </w:rPr>
        <w:t>吨</w:t>
      </w:r>
      <w:r>
        <w:rPr>
          <w:rFonts w:hint="eastAsia" w:ascii="Times New Roman" w:eastAsia="宋体"/>
          <w:color w:val="auto"/>
          <w:lang w:val="en-US" w:eastAsia="zh-CN"/>
        </w:rPr>
        <w:t>，选矿工艺为“一段球磨+</w:t>
      </w:r>
      <w:r>
        <w:rPr>
          <w:rFonts w:hint="eastAsia" w:ascii="Times New Roman"/>
          <w:color w:val="auto"/>
          <w:lang w:val="en-US" w:eastAsia="zh-CN"/>
        </w:rPr>
        <w:t>三</w:t>
      </w:r>
      <w:r>
        <w:rPr>
          <w:rFonts w:hint="eastAsia" w:ascii="Times New Roman" w:eastAsia="宋体"/>
          <w:color w:val="auto"/>
          <w:lang w:val="en-US" w:eastAsia="zh-CN"/>
        </w:rPr>
        <w:t>段磁选”，</w:t>
      </w:r>
      <w:r>
        <w:rPr>
          <w:rFonts w:hint="eastAsia" w:ascii="Times New Roman"/>
          <w:color w:val="auto"/>
          <w:lang w:val="en-US" w:eastAsia="zh-CN"/>
        </w:rPr>
        <w:t>原矿</w:t>
      </w:r>
      <w:r>
        <w:rPr>
          <w:rFonts w:hint="eastAsia" w:ascii="Times New Roman" w:eastAsia="宋体"/>
          <w:color w:val="auto"/>
          <w:lang w:val="en-US" w:eastAsia="zh-CN"/>
        </w:rPr>
        <w:t>来自周边矿山，</w:t>
      </w:r>
      <w:r>
        <w:rPr>
          <w:rFonts w:hint="eastAsia" w:ascii="Times New Roman"/>
          <w:color w:val="auto"/>
          <w:lang w:val="en-US" w:eastAsia="zh-CN"/>
        </w:rPr>
        <w:t>尾矿采取干排方式回收利用</w:t>
      </w:r>
      <w:r>
        <w:rPr>
          <w:rFonts w:hint="eastAsia" w:ascii="Times New Roman"/>
          <w:color w:val="auto"/>
          <w:highlight w:val="none"/>
          <w:lang w:val="en-US" w:eastAsia="zh-CN"/>
        </w:rPr>
        <w:t>。</w:t>
      </w:r>
    </w:p>
    <w:p w14:paraId="2A092067">
      <w:pPr>
        <w:pStyle w:val="177"/>
        <w:ind w:firstLine="480"/>
        <w:jc w:val="both"/>
        <w:rPr>
          <w:rFonts w:hint="eastAsia" w:ascii="Times New Roman" w:eastAsia="宋体"/>
          <w:color w:val="auto"/>
          <w:lang w:val="en-US" w:eastAsia="zh-CN"/>
        </w:rPr>
      </w:pPr>
      <w:r>
        <w:rPr>
          <w:rFonts w:hint="eastAsia" w:ascii="Times New Roman"/>
          <w:color w:val="auto"/>
          <w:highlight w:val="none"/>
          <w:lang w:val="en-US" w:eastAsia="zh-CN"/>
        </w:rPr>
        <w:t>企业现有员工50人，全年工作300天，每天三班制，每班工作时间8小时。</w:t>
      </w:r>
    </w:p>
    <w:p w14:paraId="7C1196F5">
      <w:pPr>
        <w:pStyle w:val="177"/>
        <w:ind w:firstLine="480"/>
        <w:jc w:val="both"/>
        <w:rPr>
          <w:rFonts w:hint="default" w:ascii="Times New Roman" w:eastAsia="宋体"/>
          <w:color w:val="auto"/>
          <w:lang w:val="en-US" w:eastAsia="zh-CN"/>
        </w:rPr>
      </w:pPr>
      <w:r>
        <w:rPr>
          <w:rFonts w:hint="eastAsia" w:ascii="Times New Roman"/>
          <w:color w:val="auto"/>
          <w:lang w:val="en-US" w:eastAsia="zh-CN"/>
        </w:rPr>
        <w:t>北票市大力铁精粉精选厂</w:t>
      </w:r>
      <w:r>
        <w:rPr>
          <w:rFonts w:hint="eastAsia" w:ascii="Times New Roman" w:eastAsia="宋体"/>
          <w:color w:val="auto"/>
          <w:lang w:val="en-US" w:eastAsia="zh-CN"/>
        </w:rPr>
        <w:t>于20</w:t>
      </w:r>
      <w:r>
        <w:rPr>
          <w:rFonts w:hint="eastAsia" w:ascii="Times New Roman"/>
          <w:color w:val="auto"/>
          <w:lang w:val="en-US" w:eastAsia="zh-CN"/>
        </w:rPr>
        <w:t>08</w:t>
      </w:r>
      <w:r>
        <w:rPr>
          <w:rFonts w:hint="eastAsia" w:ascii="Times New Roman" w:eastAsia="宋体"/>
          <w:color w:val="auto"/>
          <w:lang w:val="en-US" w:eastAsia="zh-CN"/>
        </w:rPr>
        <w:t>年</w:t>
      </w:r>
      <w:r>
        <w:rPr>
          <w:rFonts w:hint="eastAsia" w:ascii="Times New Roman"/>
          <w:color w:val="auto"/>
          <w:lang w:val="en-US" w:eastAsia="zh-CN"/>
        </w:rPr>
        <w:t>8</w:t>
      </w:r>
      <w:r>
        <w:rPr>
          <w:rFonts w:hint="eastAsia" w:ascii="Times New Roman" w:eastAsia="宋体"/>
          <w:color w:val="auto"/>
          <w:lang w:val="en-US" w:eastAsia="zh-CN"/>
        </w:rPr>
        <w:t>月委托</w:t>
      </w:r>
      <w:r>
        <w:rPr>
          <w:rFonts w:hint="eastAsia" w:ascii="Times New Roman"/>
          <w:color w:val="auto"/>
          <w:lang w:val="en-US" w:eastAsia="zh-CN"/>
        </w:rPr>
        <w:t>江苏久力咨询有限公司</w:t>
      </w:r>
      <w:r>
        <w:rPr>
          <w:rFonts w:hint="eastAsia" w:ascii="Times New Roman" w:eastAsia="宋体"/>
          <w:color w:val="auto"/>
          <w:lang w:val="en-US" w:eastAsia="zh-CN"/>
        </w:rPr>
        <w:t>编制完成了《北票大力铁精粉精选厂年产30万吨铁精粉建设项目环境影响报告书》，并于</w:t>
      </w:r>
      <w:r>
        <w:rPr>
          <w:rFonts w:hint="eastAsia" w:ascii="Times New Roman"/>
          <w:color w:val="auto"/>
          <w:lang w:val="en-US" w:eastAsia="zh-CN"/>
        </w:rPr>
        <w:t>2009</w:t>
      </w:r>
      <w:r>
        <w:rPr>
          <w:rFonts w:hint="eastAsia" w:ascii="Times New Roman" w:eastAsia="宋体"/>
          <w:color w:val="auto"/>
          <w:lang w:val="en-US" w:eastAsia="zh-CN"/>
        </w:rPr>
        <w:t>年</w:t>
      </w:r>
      <w:r>
        <w:rPr>
          <w:rFonts w:hint="eastAsia" w:ascii="Times New Roman"/>
          <w:color w:val="auto"/>
          <w:lang w:val="en-US" w:eastAsia="zh-CN"/>
        </w:rPr>
        <w:t>1</w:t>
      </w:r>
      <w:r>
        <w:rPr>
          <w:rFonts w:hint="eastAsia" w:ascii="Times New Roman" w:eastAsia="宋体"/>
          <w:color w:val="auto"/>
          <w:lang w:val="en-US" w:eastAsia="zh-CN"/>
        </w:rPr>
        <w:t>月</w:t>
      </w:r>
      <w:r>
        <w:rPr>
          <w:rFonts w:hint="eastAsia" w:ascii="Times New Roman"/>
          <w:color w:val="auto"/>
          <w:lang w:val="en-US" w:eastAsia="zh-CN"/>
        </w:rPr>
        <w:t>14</w:t>
      </w:r>
      <w:r>
        <w:rPr>
          <w:rFonts w:hint="eastAsia" w:ascii="Times New Roman" w:eastAsia="宋体"/>
          <w:color w:val="auto"/>
          <w:lang w:val="en-US" w:eastAsia="zh-CN"/>
        </w:rPr>
        <w:t>日取得环评批复文件（</w:t>
      </w:r>
      <w:r>
        <w:rPr>
          <w:rFonts w:hint="eastAsia" w:ascii="Times New Roman"/>
          <w:color w:val="auto"/>
          <w:lang w:val="en-US" w:eastAsia="zh-CN"/>
        </w:rPr>
        <w:t>北</w:t>
      </w:r>
      <w:r>
        <w:rPr>
          <w:rFonts w:hint="eastAsia" w:ascii="Times New Roman" w:eastAsia="宋体"/>
          <w:color w:val="auto"/>
          <w:lang w:val="en-US" w:eastAsia="zh-CN"/>
        </w:rPr>
        <w:t>环审[20</w:t>
      </w:r>
      <w:r>
        <w:rPr>
          <w:rFonts w:hint="eastAsia" w:ascii="Times New Roman"/>
          <w:color w:val="auto"/>
          <w:lang w:val="en-US" w:eastAsia="zh-CN"/>
        </w:rPr>
        <w:t>09</w:t>
      </w:r>
      <w:r>
        <w:rPr>
          <w:rFonts w:hint="eastAsia" w:ascii="Times New Roman" w:eastAsia="宋体"/>
          <w:color w:val="auto"/>
          <w:lang w:val="en-US" w:eastAsia="zh-CN"/>
        </w:rPr>
        <w:t>]3号）</w:t>
      </w:r>
      <w:r>
        <w:rPr>
          <w:rFonts w:hint="eastAsia" w:ascii="Times New Roman"/>
          <w:color w:val="auto"/>
          <w:lang w:val="en-US" w:eastAsia="zh-CN"/>
        </w:rPr>
        <w:t>，企业</w:t>
      </w:r>
      <w:r>
        <w:rPr>
          <w:rFonts w:hint="eastAsia" w:ascii="Times New Roman" w:eastAsia="宋体"/>
          <w:color w:val="auto"/>
          <w:lang w:val="en-US" w:eastAsia="zh-CN"/>
        </w:rPr>
        <w:t>于2020年4月14日填报了固定污染源排污许可登记，形成登记回执，登记编号：91211381680056656U001W</w:t>
      </w:r>
      <w:r>
        <w:rPr>
          <w:rFonts w:hint="eastAsia" w:ascii="Times New Roman"/>
          <w:color w:val="auto"/>
          <w:lang w:val="en-US" w:eastAsia="zh-CN"/>
        </w:rPr>
        <w:t>；于</w:t>
      </w:r>
      <w:r>
        <w:rPr>
          <w:rFonts w:hint="eastAsia" w:ascii="Times New Roman" w:eastAsia="宋体"/>
          <w:color w:val="auto"/>
          <w:lang w:val="en-US" w:eastAsia="zh-CN"/>
        </w:rPr>
        <w:t>202</w:t>
      </w:r>
      <w:r>
        <w:rPr>
          <w:rFonts w:hint="eastAsia" w:ascii="Times New Roman"/>
          <w:color w:val="auto"/>
          <w:lang w:val="en-US" w:eastAsia="zh-CN"/>
        </w:rPr>
        <w:t>4</w:t>
      </w:r>
      <w:r>
        <w:rPr>
          <w:rFonts w:hint="eastAsia" w:ascii="Times New Roman" w:eastAsia="宋体"/>
          <w:color w:val="auto"/>
          <w:lang w:val="en-US" w:eastAsia="zh-CN"/>
        </w:rPr>
        <w:t>年</w:t>
      </w:r>
      <w:r>
        <w:rPr>
          <w:rFonts w:hint="eastAsia" w:ascii="Times New Roman"/>
          <w:color w:val="auto"/>
          <w:lang w:val="en-US" w:eastAsia="zh-CN"/>
        </w:rPr>
        <w:t>6</w:t>
      </w:r>
      <w:r>
        <w:rPr>
          <w:rFonts w:hint="eastAsia" w:ascii="Times New Roman" w:eastAsia="宋体"/>
          <w:color w:val="auto"/>
          <w:lang w:val="en-US" w:eastAsia="zh-CN"/>
        </w:rPr>
        <w:t>月编制完成了《北票市大力铁精粉精选厂年产30万吨铁精粉建设项目竣工环境保护验收监测报告》，</w:t>
      </w:r>
      <w:r>
        <w:rPr>
          <w:rFonts w:hint="eastAsia" w:ascii="Times New Roman"/>
          <w:color w:val="auto"/>
          <w:lang w:val="en-US" w:eastAsia="zh-CN"/>
        </w:rPr>
        <w:t>验收通过，</w:t>
      </w:r>
      <w:r>
        <w:rPr>
          <w:rFonts w:hint="eastAsia" w:ascii="Times New Roman" w:eastAsia="宋体"/>
          <w:color w:val="auto"/>
          <w:lang w:val="en-US" w:eastAsia="zh-CN"/>
        </w:rPr>
        <w:t>并形成了验收意见。</w:t>
      </w:r>
    </w:p>
    <w:p w14:paraId="39DCE195">
      <w:pPr>
        <w:pStyle w:val="5"/>
        <w:bidi w:val="0"/>
        <w:spacing w:line="240" w:lineRule="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3.1.1工程组成</w:t>
      </w:r>
    </w:p>
    <w:p w14:paraId="02910680">
      <w:pPr>
        <w:keepNext w:val="0"/>
        <w:keepLines w:val="0"/>
        <w:pageBreakBefore w:val="0"/>
        <w:widowControl w:val="0"/>
        <w:kinsoku/>
        <w:overflowPunct/>
        <w:topLinePunct w:val="0"/>
        <w:autoSpaceDE/>
        <w:autoSpaceDN/>
        <w:bidi w:val="0"/>
        <w:adjustRightInd/>
        <w:snapToGrid w:val="0"/>
        <w:spacing w:line="360" w:lineRule="auto"/>
        <w:ind w:left="0" w:firstLine="480" w:firstLineChars="200"/>
        <w:jc w:val="both"/>
        <w:rPr>
          <w:rFonts w:hint="default" w:ascii="Times New Roman" w:hAnsi="Times New Roman" w:eastAsia="宋体" w:cs="Times New Roman"/>
          <w:color w:val="auto"/>
          <w:kern w:val="2"/>
          <w:sz w:val="24"/>
          <w:szCs w:val="22"/>
          <w:lang w:val="en-US" w:eastAsia="zh-CN" w:bidi="ar-SA"/>
        </w:rPr>
      </w:pPr>
      <w:r>
        <w:rPr>
          <w:rFonts w:hint="eastAsia" w:cs="Times New Roman"/>
          <w:color w:val="auto"/>
          <w:kern w:val="2"/>
          <w:sz w:val="24"/>
          <w:szCs w:val="22"/>
          <w:lang w:val="en-US" w:eastAsia="zh-CN" w:bidi="ar-SA"/>
        </w:rPr>
        <w:t>现有厂区</w:t>
      </w:r>
      <w:r>
        <w:rPr>
          <w:rFonts w:hint="eastAsia" w:ascii="Times New Roman" w:hAnsi="Times New Roman" w:eastAsia="宋体" w:cs="Times New Roman"/>
          <w:color w:val="auto"/>
          <w:kern w:val="2"/>
          <w:sz w:val="24"/>
          <w:szCs w:val="22"/>
          <w:lang w:val="en-US" w:eastAsia="zh-CN" w:bidi="ar-SA"/>
        </w:rPr>
        <w:t>占地</w:t>
      </w:r>
      <w:r>
        <w:rPr>
          <w:rFonts w:hint="eastAsia" w:cs="Times New Roman"/>
          <w:color w:val="auto"/>
          <w:kern w:val="2"/>
          <w:sz w:val="24"/>
          <w:szCs w:val="22"/>
          <w:lang w:val="en-US" w:eastAsia="zh-CN" w:bidi="ar-SA"/>
        </w:rPr>
        <w:t>面积13340</w:t>
      </w:r>
      <w:r>
        <w:rPr>
          <w:rFonts w:hint="eastAsia" w:ascii="Times New Roman" w:hAnsi="Times New Roman" w:eastAsia="宋体" w:cs="Times New Roman"/>
          <w:color w:val="auto"/>
          <w:kern w:val="2"/>
          <w:sz w:val="24"/>
          <w:szCs w:val="22"/>
          <w:lang w:val="en-US" w:eastAsia="zh-CN" w:bidi="ar-SA"/>
        </w:rPr>
        <w:t>m</w:t>
      </w:r>
      <w:r>
        <w:rPr>
          <w:rFonts w:hint="eastAsia" w:ascii="Times New Roman" w:hAnsi="Times New Roman" w:eastAsia="宋体" w:cs="Times New Roman"/>
          <w:color w:val="auto"/>
          <w:kern w:val="2"/>
          <w:sz w:val="24"/>
          <w:szCs w:val="22"/>
          <w:vertAlign w:val="superscript"/>
          <w:lang w:val="en-US" w:eastAsia="zh-CN" w:bidi="ar-SA"/>
        </w:rPr>
        <w:t>2</w:t>
      </w:r>
      <w:r>
        <w:rPr>
          <w:rFonts w:hint="eastAsia" w:ascii="Times New Roman" w:hAnsi="Times New Roman" w:eastAsia="宋体" w:cs="Times New Roman"/>
          <w:color w:val="auto"/>
          <w:kern w:val="2"/>
          <w:sz w:val="24"/>
          <w:szCs w:val="22"/>
          <w:lang w:val="en-US" w:eastAsia="zh-CN" w:bidi="ar-SA"/>
        </w:rPr>
        <w:t>，</w:t>
      </w:r>
      <w:r>
        <w:rPr>
          <w:rFonts w:hint="eastAsia" w:cs="Times New Roman"/>
          <w:color w:val="auto"/>
          <w:kern w:val="2"/>
          <w:sz w:val="24"/>
          <w:szCs w:val="22"/>
          <w:lang w:val="en-US" w:eastAsia="zh-CN" w:bidi="ar-SA"/>
        </w:rPr>
        <w:t>设</w:t>
      </w:r>
      <w:r>
        <w:rPr>
          <w:rFonts w:hint="eastAsia" w:ascii="Times New Roman" w:hAnsi="Times New Roman" w:eastAsia="宋体" w:cs="Times New Roman"/>
          <w:color w:val="auto"/>
          <w:kern w:val="2"/>
          <w:sz w:val="24"/>
          <w:szCs w:val="22"/>
          <w:lang w:val="en-US" w:eastAsia="zh-CN" w:bidi="ar-SA"/>
        </w:rPr>
        <w:t>置破碎区、选矿车间、办公室、机修车间、</w:t>
      </w:r>
      <w:r>
        <w:rPr>
          <w:rFonts w:hint="eastAsia" w:cs="Times New Roman"/>
          <w:color w:val="auto"/>
          <w:kern w:val="2"/>
          <w:sz w:val="24"/>
          <w:szCs w:val="22"/>
          <w:lang w:val="en-US" w:eastAsia="zh-CN" w:bidi="ar-SA"/>
        </w:rPr>
        <w:t>产品</w:t>
      </w:r>
      <w:r>
        <w:rPr>
          <w:rFonts w:hint="eastAsia" w:ascii="Times New Roman" w:hAnsi="Times New Roman" w:eastAsia="宋体" w:cs="Times New Roman"/>
          <w:color w:val="auto"/>
          <w:kern w:val="2"/>
          <w:sz w:val="24"/>
          <w:szCs w:val="22"/>
          <w:lang w:val="en-US" w:eastAsia="zh-CN" w:bidi="ar-SA"/>
        </w:rPr>
        <w:t>库房、原矿堆场、中间物料堆场等</w:t>
      </w:r>
      <w:r>
        <w:rPr>
          <w:rFonts w:hint="eastAsia" w:cs="Times New Roman"/>
          <w:color w:val="auto"/>
          <w:kern w:val="2"/>
          <w:sz w:val="24"/>
          <w:szCs w:val="22"/>
          <w:lang w:val="en-US" w:eastAsia="zh-CN" w:bidi="ar-SA"/>
        </w:rPr>
        <w:t>，具体如下：</w:t>
      </w:r>
    </w:p>
    <w:p w14:paraId="4CE050AF">
      <w:pPr>
        <w:spacing w:line="240" w:lineRule="auto"/>
        <w:ind w:firstLine="482"/>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1"/>
          <w:szCs w:val="21"/>
          <w:lang w:val="en-US" w:eastAsia="zh-CN" w:bidi="ar-SA"/>
        </w:rPr>
        <w:t>表</w:t>
      </w:r>
      <w:r>
        <w:rPr>
          <w:rFonts w:hint="eastAsia" w:cs="Times New Roman"/>
          <w:b/>
          <w:color w:val="auto"/>
          <w:kern w:val="2"/>
          <w:sz w:val="21"/>
          <w:szCs w:val="21"/>
          <w:lang w:val="en-US" w:eastAsia="zh-CN" w:bidi="ar-SA"/>
        </w:rPr>
        <w:t>3.1-1</w:t>
      </w:r>
      <w:r>
        <w:rPr>
          <w:rFonts w:hint="eastAsia" w:ascii="Times New Roman" w:hAnsi="Times New Roman" w:eastAsia="宋体" w:cs="Times New Roman"/>
          <w:b/>
          <w:color w:val="auto"/>
          <w:kern w:val="2"/>
          <w:sz w:val="21"/>
          <w:szCs w:val="21"/>
          <w:lang w:val="en-US" w:eastAsia="zh-CN" w:bidi="ar-SA"/>
        </w:rPr>
        <w:t xml:space="preserve">     </w:t>
      </w:r>
      <w:r>
        <w:rPr>
          <w:rFonts w:hint="eastAsia" w:cs="Times New Roman"/>
          <w:b/>
          <w:color w:val="auto"/>
          <w:kern w:val="2"/>
          <w:sz w:val="21"/>
          <w:szCs w:val="21"/>
          <w:lang w:val="en-US" w:eastAsia="zh-CN" w:bidi="ar-SA"/>
        </w:rPr>
        <w:t>现有</w:t>
      </w:r>
      <w:r>
        <w:rPr>
          <w:rFonts w:hint="eastAsia" w:ascii="Times New Roman" w:hAnsi="Times New Roman" w:eastAsia="宋体" w:cs="Times New Roman"/>
          <w:b/>
          <w:color w:val="auto"/>
          <w:kern w:val="2"/>
          <w:sz w:val="21"/>
          <w:szCs w:val="21"/>
          <w:lang w:val="en-US" w:eastAsia="zh-CN" w:bidi="ar-SA"/>
        </w:rPr>
        <w:t>项目组成</w:t>
      </w:r>
      <w:r>
        <w:rPr>
          <w:rFonts w:hint="eastAsia" w:cs="Times New Roman"/>
          <w:b/>
          <w:color w:val="auto"/>
          <w:kern w:val="2"/>
          <w:sz w:val="21"/>
          <w:szCs w:val="21"/>
          <w:lang w:val="en-US" w:eastAsia="zh-CN" w:bidi="ar-SA"/>
        </w:rPr>
        <w:t>一览</w:t>
      </w:r>
      <w:r>
        <w:rPr>
          <w:rFonts w:hint="eastAsia" w:ascii="Times New Roman" w:hAnsi="Times New Roman" w:eastAsia="宋体" w:cs="Times New Roman"/>
          <w:b/>
          <w:color w:val="auto"/>
          <w:kern w:val="2"/>
          <w:sz w:val="21"/>
          <w:szCs w:val="21"/>
          <w:lang w:val="en-US" w:eastAsia="zh-CN" w:bidi="ar-SA"/>
        </w:rPr>
        <w:t>表</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1"/>
        <w:gridCol w:w="1399"/>
        <w:gridCol w:w="1969"/>
        <w:gridCol w:w="4668"/>
      </w:tblGrid>
      <w:tr w14:paraId="63E4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tcBorders>
              <w:tl2br w:val="nil"/>
              <w:tr2bl w:val="nil"/>
            </w:tcBorders>
            <w:vAlign w:val="center"/>
          </w:tcPr>
          <w:p w14:paraId="20C6589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类别</w:t>
            </w:r>
          </w:p>
        </w:tc>
        <w:tc>
          <w:tcPr>
            <w:tcW w:w="802" w:type="pct"/>
            <w:tcBorders>
              <w:tl2br w:val="nil"/>
              <w:tr2bl w:val="nil"/>
            </w:tcBorders>
            <w:vAlign w:val="center"/>
          </w:tcPr>
          <w:p w14:paraId="071A6BC1">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项目</w:t>
            </w:r>
          </w:p>
        </w:tc>
        <w:tc>
          <w:tcPr>
            <w:tcW w:w="3806" w:type="pct"/>
            <w:gridSpan w:val="2"/>
            <w:tcBorders>
              <w:tl2br w:val="nil"/>
              <w:tr2bl w:val="nil"/>
            </w:tcBorders>
            <w:vAlign w:val="center"/>
          </w:tcPr>
          <w:p w14:paraId="4DA64AC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现有项目</w:t>
            </w:r>
            <w:r>
              <w:rPr>
                <w:rFonts w:hint="default" w:ascii="Times New Roman" w:hAnsi="Times New Roman" w:eastAsia="宋体" w:cs="Times New Roman"/>
                <w:b w:val="0"/>
                <w:color w:val="auto"/>
                <w:kern w:val="2"/>
                <w:sz w:val="21"/>
                <w:szCs w:val="22"/>
                <w:lang w:val="en-US" w:eastAsia="zh-CN" w:bidi="ar-SA"/>
              </w:rPr>
              <w:t>工程组成</w:t>
            </w:r>
          </w:p>
        </w:tc>
      </w:tr>
      <w:tr w14:paraId="0D3F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restart"/>
            <w:tcBorders>
              <w:tl2br w:val="nil"/>
              <w:tr2bl w:val="nil"/>
            </w:tcBorders>
            <w:vAlign w:val="center"/>
          </w:tcPr>
          <w:p w14:paraId="7F27A4B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主体工程</w:t>
            </w:r>
          </w:p>
        </w:tc>
        <w:tc>
          <w:tcPr>
            <w:tcW w:w="802" w:type="pct"/>
            <w:tcBorders>
              <w:tl2br w:val="nil"/>
              <w:tr2bl w:val="nil"/>
            </w:tcBorders>
            <w:vAlign w:val="center"/>
          </w:tcPr>
          <w:p w14:paraId="62D2F1C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破碎区</w:t>
            </w:r>
          </w:p>
        </w:tc>
        <w:tc>
          <w:tcPr>
            <w:tcW w:w="3806" w:type="pct"/>
            <w:gridSpan w:val="2"/>
            <w:tcBorders>
              <w:tl2br w:val="nil"/>
              <w:tr2bl w:val="nil"/>
            </w:tcBorders>
            <w:vAlign w:val="center"/>
          </w:tcPr>
          <w:p w14:paraId="646CA2BD">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破碎区设置在室外，封闭结构，设置2台破碎机，为磁选前期预处理，分别为粗破、细破。</w:t>
            </w:r>
          </w:p>
        </w:tc>
      </w:tr>
      <w:tr w14:paraId="641F2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7812893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699B2A2A">
            <w:pPr>
              <w:widowControl w:val="0"/>
              <w:spacing w:line="240" w:lineRule="auto"/>
              <w:ind w:firstLine="0" w:firstLineChars="0"/>
              <w:jc w:val="center"/>
              <w:rPr>
                <w:rFonts w:hint="default"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选矿车间</w:t>
            </w:r>
          </w:p>
        </w:tc>
        <w:tc>
          <w:tcPr>
            <w:tcW w:w="3806" w:type="pct"/>
            <w:gridSpan w:val="2"/>
            <w:tcBorders>
              <w:tl2br w:val="nil"/>
              <w:tr2bl w:val="nil"/>
            </w:tcBorders>
            <w:vAlign w:val="center"/>
          </w:tcPr>
          <w:p w14:paraId="3C43175B">
            <w:pPr>
              <w:widowControl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cs="Times New Roman"/>
                <w:color w:val="000000"/>
                <w:kern w:val="2"/>
                <w:sz w:val="21"/>
                <w:szCs w:val="21"/>
                <w:vertAlign w:val="baseline"/>
                <w:lang w:val="en-US" w:eastAsia="zh-CN" w:bidi="ar-SA"/>
              </w:rPr>
              <w:t>占地面积约300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color w:val="000000"/>
                <w:kern w:val="2"/>
                <w:sz w:val="21"/>
                <w:szCs w:val="21"/>
                <w:vertAlign w:val="baseline"/>
                <w:lang w:val="en-US" w:eastAsia="zh-CN" w:bidi="ar-SA"/>
              </w:rPr>
              <w:t>建筑面积约300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为钢结构，车间内设置磁选生产线。</w:t>
            </w:r>
          </w:p>
        </w:tc>
      </w:tr>
      <w:tr w14:paraId="31E94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5184E25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3A05625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eastAsia="宋体" w:cs="Times New Roman"/>
                <w:b w:val="0"/>
                <w:color w:val="auto"/>
                <w:kern w:val="2"/>
                <w:sz w:val="21"/>
                <w:szCs w:val="22"/>
                <w:lang w:val="en-US" w:eastAsia="zh-CN" w:bidi="ar-SA"/>
              </w:rPr>
              <w:t>尾矿库</w:t>
            </w:r>
          </w:p>
        </w:tc>
        <w:tc>
          <w:tcPr>
            <w:tcW w:w="3806" w:type="pct"/>
            <w:gridSpan w:val="2"/>
            <w:tcBorders>
              <w:tl2br w:val="nil"/>
              <w:tr2bl w:val="nil"/>
            </w:tcBorders>
            <w:vAlign w:val="center"/>
          </w:tcPr>
          <w:p w14:paraId="53F8D22D">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eastAsia="宋体" w:cs="Times New Roman"/>
                <w:b w:val="0"/>
                <w:color w:val="auto"/>
                <w:kern w:val="2"/>
                <w:sz w:val="21"/>
                <w:szCs w:val="22"/>
                <w:lang w:val="en-US" w:eastAsia="zh-CN" w:bidi="ar-SA"/>
              </w:rPr>
              <w:t>已关闭，</w:t>
            </w:r>
            <w:r>
              <w:rPr>
                <w:rFonts w:hint="eastAsia" w:cs="Times New Roman"/>
                <w:b w:val="0"/>
                <w:color w:val="auto"/>
                <w:kern w:val="2"/>
                <w:sz w:val="21"/>
                <w:szCs w:val="22"/>
                <w:lang w:val="en-US" w:eastAsia="zh-CN" w:bidi="ar-SA"/>
              </w:rPr>
              <w:t>尾矿排放方式变更为干排，变更情况已在原环评验收中说明，并验收通过，取得专家意见。</w:t>
            </w:r>
          </w:p>
        </w:tc>
      </w:tr>
      <w:tr w14:paraId="5A95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18BEA8A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008B0DB9">
            <w:pPr>
              <w:widowControl w:val="0"/>
              <w:spacing w:line="240" w:lineRule="auto"/>
              <w:ind w:firstLine="0" w:firstLineChars="0"/>
              <w:jc w:val="center"/>
              <w:rPr>
                <w:rFonts w:hint="eastAsia" w:eastAsia="宋体" w:cs="Times New Roman"/>
                <w:b w:val="0"/>
                <w:color w:val="auto"/>
                <w:kern w:val="2"/>
                <w:sz w:val="21"/>
                <w:szCs w:val="22"/>
                <w:lang w:val="en-US" w:eastAsia="zh-CN" w:bidi="ar-SA"/>
              </w:rPr>
            </w:pPr>
            <w:r>
              <w:rPr>
                <w:rFonts w:hint="eastAsia" w:eastAsia="宋体" w:cs="Times New Roman"/>
                <w:b w:val="0"/>
                <w:color w:val="auto"/>
                <w:kern w:val="2"/>
                <w:sz w:val="21"/>
                <w:szCs w:val="22"/>
                <w:lang w:val="en-US" w:eastAsia="zh-CN" w:bidi="ar-SA"/>
              </w:rPr>
              <w:t>干排车间</w:t>
            </w:r>
          </w:p>
        </w:tc>
        <w:tc>
          <w:tcPr>
            <w:tcW w:w="3806" w:type="pct"/>
            <w:gridSpan w:val="2"/>
            <w:tcBorders>
              <w:tl2br w:val="nil"/>
              <w:tr2bl w:val="nil"/>
            </w:tcBorders>
            <w:vAlign w:val="center"/>
          </w:tcPr>
          <w:p w14:paraId="4EC4B9D2">
            <w:pPr>
              <w:widowControl w:val="0"/>
              <w:spacing w:line="240" w:lineRule="auto"/>
              <w:jc w:val="center"/>
              <w:rPr>
                <w:rFonts w:hint="default" w:eastAsia="宋体" w:cs="Times New Roman"/>
                <w:b w:val="0"/>
                <w:color w:val="auto"/>
                <w:kern w:val="2"/>
                <w:sz w:val="21"/>
                <w:szCs w:val="22"/>
                <w:lang w:val="en-US" w:eastAsia="zh-CN" w:bidi="ar-SA"/>
              </w:rPr>
            </w:pPr>
            <w:r>
              <w:rPr>
                <w:rFonts w:hint="eastAsia" w:cs="Times New Roman"/>
                <w:color w:val="000000"/>
                <w:kern w:val="2"/>
                <w:sz w:val="21"/>
                <w:szCs w:val="21"/>
                <w:vertAlign w:val="baseline"/>
                <w:lang w:val="en-US" w:eastAsia="zh-CN" w:bidi="ar-SA"/>
              </w:rPr>
              <w:t>占地面积约240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color w:val="000000"/>
                <w:kern w:val="2"/>
                <w:sz w:val="21"/>
                <w:szCs w:val="21"/>
                <w:vertAlign w:val="baseline"/>
                <w:lang w:val="en-US" w:eastAsia="zh-CN" w:bidi="ar-SA"/>
              </w:rPr>
              <w:t>建筑面积约240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为钢结构，车间内设置一套干排系统，并将压滤后的尾矿暂存于该车间内。</w:t>
            </w:r>
          </w:p>
        </w:tc>
      </w:tr>
      <w:tr w14:paraId="27AEA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restart"/>
            <w:tcBorders>
              <w:tl2br w:val="nil"/>
              <w:tr2bl w:val="nil"/>
            </w:tcBorders>
            <w:vAlign w:val="center"/>
          </w:tcPr>
          <w:p w14:paraId="000F0E9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辅助工程</w:t>
            </w:r>
          </w:p>
        </w:tc>
        <w:tc>
          <w:tcPr>
            <w:tcW w:w="802" w:type="pct"/>
            <w:tcBorders>
              <w:tl2br w:val="nil"/>
              <w:tr2bl w:val="nil"/>
            </w:tcBorders>
            <w:vAlign w:val="center"/>
          </w:tcPr>
          <w:p w14:paraId="283A71F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办公室</w:t>
            </w:r>
          </w:p>
        </w:tc>
        <w:tc>
          <w:tcPr>
            <w:tcW w:w="3806" w:type="pct"/>
            <w:gridSpan w:val="2"/>
            <w:tcBorders>
              <w:tl2br w:val="nil"/>
              <w:tr2bl w:val="nil"/>
            </w:tcBorders>
            <w:vAlign w:val="center"/>
          </w:tcPr>
          <w:p w14:paraId="6A7BCBFC">
            <w:pPr>
              <w:widowControl w:val="0"/>
              <w:spacing w:line="240" w:lineRule="auto"/>
              <w:jc w:val="center"/>
              <w:rPr>
                <w:rFonts w:hint="eastAsia"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2层，</w:t>
            </w:r>
            <w:r>
              <w:rPr>
                <w:rFonts w:hint="default" w:ascii="Times New Roman" w:hAnsi="Times New Roman" w:eastAsia="宋体" w:cs="Times New Roman"/>
                <w:b w:val="0"/>
                <w:color w:val="auto"/>
                <w:kern w:val="2"/>
                <w:sz w:val="21"/>
                <w:szCs w:val="22"/>
                <w:lang w:val="en-US" w:eastAsia="zh-CN" w:bidi="ar-SA"/>
              </w:rPr>
              <w:t>占地面积</w:t>
            </w:r>
            <w:r>
              <w:rPr>
                <w:rFonts w:hint="eastAsia" w:cs="Times New Roman"/>
                <w:b w:val="0"/>
                <w:color w:val="auto"/>
                <w:kern w:val="2"/>
                <w:sz w:val="21"/>
                <w:szCs w:val="22"/>
                <w:lang w:val="en-US" w:eastAsia="zh-CN" w:bidi="ar-SA"/>
              </w:rPr>
              <w:t>约170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建筑面积约340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位于生产区北侧，与生产区分开布局，用于</w:t>
            </w:r>
            <w:r>
              <w:rPr>
                <w:color w:val="000000" w:themeColor="text1"/>
                <w:szCs w:val="21"/>
                <w14:textFill>
                  <w14:solidFill>
                    <w14:schemeClr w14:val="tx1"/>
                  </w14:solidFill>
                </w14:textFill>
              </w:rPr>
              <w:t>办公行政、职工休息等</w:t>
            </w:r>
            <w:r>
              <w:rPr>
                <w:rFonts w:hint="eastAsia"/>
                <w:color w:val="000000" w:themeColor="text1"/>
                <w:szCs w:val="21"/>
                <w:lang w:eastAsia="zh-CN"/>
                <w14:textFill>
                  <w14:solidFill>
                    <w14:schemeClr w14:val="tx1"/>
                  </w14:solidFill>
                </w14:textFill>
              </w:rPr>
              <w:t>。</w:t>
            </w:r>
          </w:p>
        </w:tc>
      </w:tr>
      <w:tr w14:paraId="0CA9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841B01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5833F2BD">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机修车间</w:t>
            </w:r>
          </w:p>
        </w:tc>
        <w:tc>
          <w:tcPr>
            <w:tcW w:w="3806" w:type="pct"/>
            <w:gridSpan w:val="2"/>
            <w:tcBorders>
              <w:tl2br w:val="nil"/>
              <w:tr2bl w:val="nil"/>
            </w:tcBorders>
            <w:vAlign w:val="center"/>
          </w:tcPr>
          <w:p w14:paraId="0F1B28F3">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color w:val="000000"/>
                <w:kern w:val="2"/>
                <w:sz w:val="21"/>
                <w:szCs w:val="21"/>
                <w:vertAlign w:val="baseline"/>
                <w:lang w:val="en-US" w:eastAsia="zh-CN" w:bidi="ar-SA"/>
              </w:rPr>
              <w:t>占地面积30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color w:val="000000"/>
                <w:kern w:val="2"/>
                <w:sz w:val="21"/>
                <w:szCs w:val="21"/>
                <w:vertAlign w:val="baseline"/>
                <w:lang w:val="en-US" w:eastAsia="zh-CN" w:bidi="ar-SA"/>
              </w:rPr>
              <w:t>30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color w:val="000000" w:themeColor="text1"/>
                <w:szCs w:val="21"/>
                <w:lang w:eastAsia="zh-CN"/>
                <w14:textFill>
                  <w14:solidFill>
                    <w14:schemeClr w14:val="tx1"/>
                  </w14:solidFill>
                </w14:textFill>
              </w:rPr>
              <w:t>。</w:t>
            </w:r>
          </w:p>
        </w:tc>
      </w:tr>
      <w:tr w14:paraId="780C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5CA5B67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41F1C38E">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化验室</w:t>
            </w:r>
          </w:p>
        </w:tc>
        <w:tc>
          <w:tcPr>
            <w:tcW w:w="3806" w:type="pct"/>
            <w:gridSpan w:val="2"/>
            <w:tcBorders>
              <w:tl2br w:val="nil"/>
              <w:tr2bl w:val="nil"/>
            </w:tcBorders>
            <w:vAlign w:val="center"/>
          </w:tcPr>
          <w:p w14:paraId="4587E0F5">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color w:val="000000"/>
                <w:kern w:val="2"/>
                <w:sz w:val="21"/>
                <w:szCs w:val="21"/>
                <w:vertAlign w:val="baseline"/>
                <w:lang w:val="en-US" w:eastAsia="zh-CN" w:bidi="ar-SA"/>
              </w:rPr>
              <w:t>占地面积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30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30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ascii="宋体" w:hAnsi="宋体" w:eastAsia="宋体" w:cs="宋体"/>
                <w:color w:val="000000"/>
                <w:kern w:val="0"/>
                <w:sz w:val="21"/>
                <w:szCs w:val="21"/>
                <w:lang w:val="en-US" w:eastAsia="zh-CN" w:bidi="ar"/>
              </w:rPr>
              <w:t>主要承担原料、产品的检验工作。</w:t>
            </w:r>
          </w:p>
        </w:tc>
      </w:tr>
      <w:tr w14:paraId="38B7E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5A1968E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55434C99">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配电室</w:t>
            </w:r>
          </w:p>
        </w:tc>
        <w:tc>
          <w:tcPr>
            <w:tcW w:w="3806" w:type="pct"/>
            <w:gridSpan w:val="2"/>
            <w:tcBorders>
              <w:tl2br w:val="nil"/>
              <w:tr2bl w:val="nil"/>
            </w:tcBorders>
            <w:vAlign w:val="center"/>
          </w:tcPr>
          <w:p w14:paraId="42B48BC0">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b w:val="0"/>
                <w:color w:val="auto"/>
                <w:kern w:val="2"/>
                <w:sz w:val="21"/>
                <w:szCs w:val="22"/>
                <w:lang w:val="en-US" w:eastAsia="zh-CN" w:bidi="ar-SA"/>
              </w:rPr>
              <w:t>约</w:t>
            </w:r>
            <w:r>
              <w:rPr>
                <w:rFonts w:hint="eastAsia" w:ascii="Times New Roman" w:hAnsi="Times New Roman" w:eastAsia="宋体" w:cs="Times New Roman"/>
                <w:color w:val="000000"/>
                <w:kern w:val="2"/>
                <w:sz w:val="21"/>
                <w:szCs w:val="21"/>
                <w:vertAlign w:val="baseline"/>
                <w:lang w:val="en-US" w:eastAsia="zh-CN" w:bidi="ar-SA"/>
              </w:rPr>
              <w:t>25m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，设置变压器</w:t>
            </w:r>
            <w:r>
              <w:rPr>
                <w:rFonts w:hint="eastAsia" w:cs="Times New Roman"/>
                <w:b w:val="0"/>
                <w:color w:val="auto"/>
                <w:kern w:val="2"/>
                <w:sz w:val="21"/>
                <w:szCs w:val="22"/>
                <w:lang w:val="en-US" w:eastAsia="zh-CN" w:bidi="ar-SA"/>
              </w:rPr>
              <w:t>。</w:t>
            </w:r>
          </w:p>
        </w:tc>
      </w:tr>
      <w:tr w14:paraId="0191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restart"/>
            <w:tcBorders>
              <w:tl2br w:val="nil"/>
              <w:tr2bl w:val="nil"/>
            </w:tcBorders>
            <w:vAlign w:val="center"/>
          </w:tcPr>
          <w:p w14:paraId="4AD52F2F">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储运工程</w:t>
            </w:r>
          </w:p>
        </w:tc>
        <w:tc>
          <w:tcPr>
            <w:tcW w:w="802" w:type="pct"/>
            <w:tcBorders>
              <w:tl2br w:val="nil"/>
              <w:tr2bl w:val="nil"/>
            </w:tcBorders>
            <w:vAlign w:val="center"/>
          </w:tcPr>
          <w:p w14:paraId="5B872CBC">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color w:val="000000"/>
                <w:kern w:val="0"/>
                <w:sz w:val="21"/>
                <w:szCs w:val="21"/>
                <w:lang w:val="en-US" w:eastAsia="zh-CN" w:bidi="ar"/>
              </w:rPr>
              <w:t>产品</w:t>
            </w:r>
            <w:r>
              <w:rPr>
                <w:rFonts w:hint="eastAsia" w:eastAsia="宋体" w:cs="Times New Roman"/>
                <w:color w:val="000000"/>
                <w:kern w:val="0"/>
                <w:sz w:val="21"/>
                <w:szCs w:val="21"/>
                <w:lang w:val="en-US" w:eastAsia="zh-CN" w:bidi="ar"/>
              </w:rPr>
              <w:t>库房</w:t>
            </w:r>
          </w:p>
        </w:tc>
        <w:tc>
          <w:tcPr>
            <w:tcW w:w="3806" w:type="pct"/>
            <w:gridSpan w:val="2"/>
            <w:tcBorders>
              <w:tl2br w:val="nil"/>
              <w:tr2bl w:val="nil"/>
            </w:tcBorders>
            <w:vAlign w:val="center"/>
          </w:tcPr>
          <w:p w14:paraId="2149DF79">
            <w:pPr>
              <w:keepNext w:val="0"/>
              <w:keepLines w:val="0"/>
              <w:widowControl/>
              <w:suppressLineNumbers w:val="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color w:val="000000"/>
                <w:kern w:val="2"/>
                <w:sz w:val="21"/>
                <w:szCs w:val="21"/>
                <w:vertAlign w:val="baseline"/>
                <w:lang w:val="en-US" w:eastAsia="zh-CN" w:bidi="ar-SA"/>
              </w:rPr>
              <w:t>占地面积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2</w:t>
            </w:r>
            <w:r>
              <w:rPr>
                <w:rFonts w:hint="eastAsia" w:ascii="Times New Roman" w:hAnsi="Times New Roman" w:eastAsia="宋体" w:cs="Times New Roman"/>
                <w:color w:val="000000"/>
                <w:kern w:val="2"/>
                <w:sz w:val="21"/>
                <w:szCs w:val="21"/>
                <w:vertAlign w:val="baseline"/>
                <w:lang w:val="en-US" w:eastAsia="zh-CN" w:bidi="ar-SA"/>
              </w:rPr>
              <w:t>00m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2</w:t>
            </w:r>
            <w:r>
              <w:rPr>
                <w:rFonts w:hint="eastAsia" w:ascii="Times New Roman" w:hAnsi="Times New Roman" w:eastAsia="宋体" w:cs="Times New Roman"/>
                <w:color w:val="000000"/>
                <w:kern w:val="2"/>
                <w:sz w:val="21"/>
                <w:szCs w:val="21"/>
                <w:vertAlign w:val="baseline"/>
                <w:lang w:val="en-US" w:eastAsia="zh-CN" w:bidi="ar-SA"/>
              </w:rPr>
              <w:t>00m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为钢结构，全封闭式。</w:t>
            </w:r>
          </w:p>
        </w:tc>
      </w:tr>
      <w:tr w14:paraId="7E990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7999D7E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40C430DE">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w:t>
            </w:r>
          </w:p>
        </w:tc>
        <w:tc>
          <w:tcPr>
            <w:tcW w:w="3806" w:type="pct"/>
            <w:gridSpan w:val="2"/>
            <w:tcBorders>
              <w:tl2br w:val="nil"/>
              <w:tr2bl w:val="nil"/>
            </w:tcBorders>
            <w:vAlign w:val="center"/>
          </w:tcPr>
          <w:p w14:paraId="4F51331A">
            <w:pPr>
              <w:keepNext w:val="0"/>
              <w:keepLines w:val="0"/>
              <w:widowControl/>
              <w:suppressLineNumbers w:val="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color w:val="000000"/>
                <w:kern w:val="2"/>
                <w:sz w:val="21"/>
                <w:szCs w:val="21"/>
                <w:vertAlign w:val="baseline"/>
                <w:lang w:val="en-US" w:eastAsia="zh-CN" w:bidi="ar-SA"/>
              </w:rPr>
              <w:t>占地</w:t>
            </w:r>
            <w:r>
              <w:rPr>
                <w:rFonts w:hint="eastAsia" w:ascii="Times New Roman" w:hAnsi="Times New Roman" w:eastAsia="宋体" w:cs="Times New Roman"/>
                <w:color w:val="000000"/>
                <w:kern w:val="2"/>
                <w:sz w:val="21"/>
                <w:szCs w:val="21"/>
                <w:vertAlign w:val="baseline"/>
                <w:lang w:val="en-US" w:eastAsia="zh-CN" w:bidi="ar-SA"/>
              </w:rPr>
              <w:t>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10</w:t>
            </w:r>
            <w:r>
              <w:rPr>
                <w:rFonts w:hint="eastAsia" w:ascii="Times New Roman" w:hAnsi="Times New Roman" w:eastAsia="宋体" w:cs="Times New Roman"/>
                <w:color w:val="000000"/>
                <w:kern w:val="2"/>
                <w:sz w:val="21"/>
                <w:szCs w:val="21"/>
                <w:vertAlign w:val="baseline"/>
                <w:lang w:val="en-US" w:eastAsia="zh-CN" w:bidi="ar-SA"/>
              </w:rPr>
              <w:t>00m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位于破碎区、选矿车间南侧。</w:t>
            </w:r>
          </w:p>
        </w:tc>
      </w:tr>
      <w:tr w14:paraId="7C62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0B240CA">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312924D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b w:val="0"/>
                <w:color w:val="auto"/>
                <w:kern w:val="2"/>
                <w:sz w:val="21"/>
                <w:szCs w:val="22"/>
                <w:lang w:val="en-US" w:eastAsia="zh-CN" w:bidi="ar-SA"/>
              </w:rPr>
              <w:t>干排</w:t>
            </w:r>
            <w:r>
              <w:rPr>
                <w:rFonts w:hint="default" w:ascii="Times New Roman" w:hAnsi="Times New Roman" w:eastAsia="宋体" w:cs="Times New Roman"/>
                <w:b w:val="0"/>
                <w:color w:val="auto"/>
                <w:kern w:val="2"/>
                <w:sz w:val="21"/>
                <w:szCs w:val="22"/>
                <w:lang w:val="en-US" w:eastAsia="zh-CN" w:bidi="ar-SA"/>
              </w:rPr>
              <w:t>尾矿</w:t>
            </w:r>
            <w:r>
              <w:rPr>
                <w:rFonts w:hint="eastAsia" w:cs="Times New Roman"/>
                <w:b w:val="0"/>
                <w:color w:val="auto"/>
                <w:kern w:val="2"/>
                <w:sz w:val="21"/>
                <w:szCs w:val="22"/>
                <w:lang w:val="en-US" w:eastAsia="zh-CN" w:bidi="ar-SA"/>
              </w:rPr>
              <w:t>贮存</w:t>
            </w:r>
          </w:p>
        </w:tc>
        <w:tc>
          <w:tcPr>
            <w:tcW w:w="3806" w:type="pct"/>
            <w:gridSpan w:val="2"/>
            <w:tcBorders>
              <w:tl2br w:val="nil"/>
              <w:tr2bl w:val="nil"/>
            </w:tcBorders>
            <w:vAlign w:val="center"/>
          </w:tcPr>
          <w:p w14:paraId="4E12A52B">
            <w:pPr>
              <w:widowControl w:val="0"/>
              <w:spacing w:line="240" w:lineRule="auto"/>
              <w:jc w:val="center"/>
              <w:rPr>
                <w:rFonts w:hint="default" w:ascii="Times New Roman" w:hAnsi="Times New Roman" w:eastAsia="宋体" w:cs="Times New Roman"/>
                <w:b w:val="0"/>
                <w:color w:val="auto"/>
                <w:kern w:val="2"/>
                <w:sz w:val="21"/>
                <w:szCs w:val="20"/>
                <w:highlight w:val="none"/>
                <w:vertAlign w:val="superscript"/>
                <w:lang w:val="en-US" w:eastAsia="zh-CN" w:bidi="ar-SA"/>
              </w:rPr>
            </w:pPr>
            <w:r>
              <w:rPr>
                <w:rFonts w:hint="eastAsia" w:cs="Times New Roman"/>
                <w:b w:val="0"/>
                <w:color w:val="auto"/>
                <w:kern w:val="2"/>
                <w:sz w:val="21"/>
                <w:szCs w:val="20"/>
                <w:highlight w:val="none"/>
                <w:lang w:val="en-US" w:eastAsia="zh-CN" w:bidi="ar-SA"/>
              </w:rPr>
              <w:t>干排尾矿暂存域干排车间内，干排车间为全封闭式彩钢结构。</w:t>
            </w:r>
          </w:p>
        </w:tc>
      </w:tr>
      <w:tr w14:paraId="2DC7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restart"/>
            <w:tcBorders>
              <w:tl2br w:val="nil"/>
              <w:tr2bl w:val="nil"/>
            </w:tcBorders>
            <w:vAlign w:val="center"/>
          </w:tcPr>
          <w:p w14:paraId="5227F06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公用工程</w:t>
            </w:r>
          </w:p>
        </w:tc>
        <w:tc>
          <w:tcPr>
            <w:tcW w:w="802" w:type="pct"/>
            <w:tcBorders>
              <w:tl2br w:val="nil"/>
              <w:tr2bl w:val="nil"/>
            </w:tcBorders>
            <w:vAlign w:val="center"/>
          </w:tcPr>
          <w:p w14:paraId="1E9E3DF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供水</w:t>
            </w:r>
          </w:p>
        </w:tc>
        <w:tc>
          <w:tcPr>
            <w:tcW w:w="3806" w:type="pct"/>
            <w:gridSpan w:val="2"/>
            <w:tcBorders>
              <w:tl2br w:val="nil"/>
              <w:tr2bl w:val="nil"/>
            </w:tcBorders>
            <w:vAlign w:val="center"/>
          </w:tcPr>
          <w:p w14:paraId="4FCC1DD6">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厂区利用原企业自备水井供给</w:t>
            </w:r>
            <w:r>
              <w:rPr>
                <w:rFonts w:hint="eastAsia" w:cs="Times New Roman"/>
                <w:color w:val="000000"/>
                <w:kern w:val="0"/>
                <w:sz w:val="21"/>
                <w:szCs w:val="21"/>
                <w:lang w:val="en-US" w:eastAsia="zh-CN" w:bidi="ar"/>
              </w:rPr>
              <w:t>。</w:t>
            </w:r>
          </w:p>
        </w:tc>
      </w:tr>
      <w:tr w14:paraId="626F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426A4E5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109F62C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排水</w:t>
            </w:r>
          </w:p>
        </w:tc>
        <w:tc>
          <w:tcPr>
            <w:tcW w:w="3806" w:type="pct"/>
            <w:gridSpan w:val="2"/>
            <w:tcBorders>
              <w:tl2br w:val="nil"/>
              <w:tr2bl w:val="nil"/>
            </w:tcBorders>
            <w:vAlign w:val="center"/>
          </w:tcPr>
          <w:p w14:paraId="2C6E2BED">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本项目生产废水</w:t>
            </w:r>
            <w:r>
              <w:rPr>
                <w:rFonts w:hint="eastAsia" w:cs="Times New Roman"/>
                <w:color w:val="000000"/>
                <w:kern w:val="0"/>
                <w:sz w:val="21"/>
                <w:szCs w:val="21"/>
                <w:lang w:val="en-US" w:eastAsia="zh-CN" w:bidi="ar"/>
              </w:rPr>
              <w:t>全部回用；</w:t>
            </w:r>
            <w:r>
              <w:rPr>
                <w:rFonts w:hint="eastAsia" w:ascii="Times New Roman" w:hAnsi="Times New Roman" w:eastAsia="宋体" w:cs="Times New Roman"/>
                <w:color w:val="000000"/>
                <w:kern w:val="0"/>
                <w:sz w:val="21"/>
                <w:szCs w:val="21"/>
                <w:lang w:val="en-US" w:eastAsia="zh-CN" w:bidi="ar"/>
              </w:rPr>
              <w:t>生活污水排入旱厕，定期清掏。</w:t>
            </w:r>
          </w:p>
        </w:tc>
      </w:tr>
      <w:tr w14:paraId="2859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5149C86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7097FA1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供电</w:t>
            </w:r>
          </w:p>
        </w:tc>
        <w:tc>
          <w:tcPr>
            <w:tcW w:w="3806" w:type="pct"/>
            <w:gridSpan w:val="2"/>
            <w:tcBorders>
              <w:tl2br w:val="nil"/>
              <w:tr2bl w:val="nil"/>
            </w:tcBorders>
            <w:vAlign w:val="center"/>
          </w:tcPr>
          <w:p w14:paraId="5481F7AE">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color w:val="000000" w:themeColor="text1"/>
                <w14:textFill>
                  <w14:solidFill>
                    <w14:schemeClr w14:val="tx1"/>
                  </w14:solidFill>
                </w14:textFill>
              </w:rPr>
              <w:t>项目区供电引自</w:t>
            </w:r>
            <w:r>
              <w:rPr>
                <w:rFonts w:hint="eastAsia"/>
                <w:color w:val="000000" w:themeColor="text1"/>
                <w:lang w:val="en-US" w:eastAsia="zh-CN"/>
                <w14:textFill>
                  <w14:solidFill>
                    <w14:schemeClr w14:val="tx1"/>
                  </w14:solidFill>
                </w14:textFill>
              </w:rPr>
              <w:t>当地电网，厂内设置变压器。</w:t>
            </w:r>
          </w:p>
        </w:tc>
      </w:tr>
      <w:tr w14:paraId="0901A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2D38B3C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397F5FB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供热</w:t>
            </w:r>
          </w:p>
        </w:tc>
        <w:tc>
          <w:tcPr>
            <w:tcW w:w="3806" w:type="pct"/>
            <w:gridSpan w:val="2"/>
            <w:tcBorders>
              <w:tl2br w:val="nil"/>
              <w:tr2bl w:val="nil"/>
            </w:tcBorders>
            <w:vAlign w:val="center"/>
          </w:tcPr>
          <w:p w14:paraId="4524BA78">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项目办公</w:t>
            </w:r>
            <w:r>
              <w:rPr>
                <w:rFonts w:hint="eastAsia" w:cs="Times New Roman"/>
                <w:b w:val="0"/>
                <w:color w:val="auto"/>
                <w:kern w:val="2"/>
                <w:sz w:val="21"/>
                <w:szCs w:val="20"/>
                <w:lang w:val="en-US" w:eastAsia="zh-CN" w:bidi="ar-SA"/>
              </w:rPr>
              <w:t>室冬季采用电供暖。</w:t>
            </w:r>
          </w:p>
        </w:tc>
      </w:tr>
      <w:tr w14:paraId="7AD1A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restart"/>
            <w:tcBorders>
              <w:tl2br w:val="nil"/>
              <w:tr2bl w:val="nil"/>
            </w:tcBorders>
            <w:vAlign w:val="center"/>
          </w:tcPr>
          <w:p w14:paraId="348743F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环保工程</w:t>
            </w:r>
          </w:p>
        </w:tc>
        <w:tc>
          <w:tcPr>
            <w:tcW w:w="802" w:type="pct"/>
            <w:vMerge w:val="restart"/>
            <w:tcBorders>
              <w:tl2br w:val="nil"/>
              <w:tr2bl w:val="nil"/>
            </w:tcBorders>
            <w:vAlign w:val="center"/>
          </w:tcPr>
          <w:p w14:paraId="28F99EFF">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废水</w:t>
            </w:r>
          </w:p>
        </w:tc>
        <w:tc>
          <w:tcPr>
            <w:tcW w:w="1129" w:type="pct"/>
            <w:tcBorders>
              <w:tl2br w:val="nil"/>
              <w:tr2bl w:val="nil"/>
            </w:tcBorders>
            <w:vAlign w:val="center"/>
          </w:tcPr>
          <w:p w14:paraId="247C5CB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选矿废水</w:t>
            </w:r>
          </w:p>
        </w:tc>
        <w:tc>
          <w:tcPr>
            <w:tcW w:w="2676" w:type="pct"/>
            <w:tcBorders>
              <w:tl2br w:val="nil"/>
              <w:tr2bl w:val="nil"/>
            </w:tcBorders>
            <w:vAlign w:val="center"/>
          </w:tcPr>
          <w:p w14:paraId="5A18BCB5">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2"/>
                <w:lang w:val="en-US" w:eastAsia="zh-CN" w:bidi="ar-SA"/>
              </w:rPr>
              <w:t>选矿废水经泵打入循环水池（</w:t>
            </w:r>
            <w:r>
              <w:rPr>
                <w:rFonts w:hint="eastAsia" w:cs="Times New Roman"/>
                <w:b w:val="0"/>
                <w:color w:val="auto"/>
                <w:kern w:val="2"/>
                <w:sz w:val="21"/>
                <w:szCs w:val="22"/>
                <w:highlight w:val="none"/>
                <w:lang w:val="en-US" w:eastAsia="zh-CN" w:bidi="ar-SA"/>
              </w:rPr>
              <w:t>2座，单个容积为1000m</w:t>
            </w:r>
            <w:r>
              <w:rPr>
                <w:rFonts w:hint="eastAsia" w:cs="Times New Roman"/>
                <w:b w:val="0"/>
                <w:color w:val="auto"/>
                <w:kern w:val="2"/>
                <w:sz w:val="21"/>
                <w:szCs w:val="22"/>
                <w:highlight w:val="none"/>
                <w:vertAlign w:val="superscript"/>
                <w:lang w:val="en-US" w:eastAsia="zh-CN" w:bidi="ar-SA"/>
              </w:rPr>
              <w:t>3</w:t>
            </w:r>
            <w:r>
              <w:rPr>
                <w:rFonts w:hint="eastAsia" w:cs="Times New Roman"/>
                <w:b w:val="0"/>
                <w:color w:val="auto"/>
                <w:kern w:val="2"/>
                <w:sz w:val="21"/>
                <w:szCs w:val="22"/>
                <w:lang w:val="en-US" w:eastAsia="zh-CN" w:bidi="ar-SA"/>
              </w:rPr>
              <w:t>）回用于选矿工艺</w:t>
            </w:r>
            <w:r>
              <w:rPr>
                <w:rFonts w:hint="eastAsia" w:cs="Times New Roman"/>
                <w:b w:val="0"/>
                <w:color w:val="auto"/>
                <w:kern w:val="2"/>
                <w:sz w:val="21"/>
                <w:szCs w:val="22"/>
                <w:highlight w:val="none"/>
                <w:lang w:val="en-US" w:eastAsia="zh-CN" w:bidi="ar-SA"/>
              </w:rPr>
              <w:t>，不外排。</w:t>
            </w:r>
          </w:p>
        </w:tc>
      </w:tr>
      <w:tr w14:paraId="5211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59E19DA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2E963D1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187C9BC9">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生活污水</w:t>
            </w:r>
          </w:p>
        </w:tc>
        <w:tc>
          <w:tcPr>
            <w:tcW w:w="2676" w:type="pct"/>
            <w:tcBorders>
              <w:tl2br w:val="nil"/>
              <w:tr2bl w:val="nil"/>
            </w:tcBorders>
            <w:vAlign w:val="center"/>
          </w:tcPr>
          <w:p w14:paraId="4208C8D6">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排入防渗旱厕，定期清掏。</w:t>
            </w:r>
          </w:p>
        </w:tc>
      </w:tr>
      <w:tr w14:paraId="60A72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24F828B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restart"/>
            <w:tcBorders>
              <w:tl2br w:val="nil"/>
              <w:tr2bl w:val="nil"/>
            </w:tcBorders>
            <w:vAlign w:val="center"/>
          </w:tcPr>
          <w:p w14:paraId="238B603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废气</w:t>
            </w:r>
          </w:p>
        </w:tc>
        <w:tc>
          <w:tcPr>
            <w:tcW w:w="1129" w:type="pct"/>
            <w:tcBorders>
              <w:tl2br w:val="nil"/>
              <w:tr2bl w:val="nil"/>
            </w:tcBorders>
            <w:vAlign w:val="center"/>
          </w:tcPr>
          <w:p w14:paraId="6990BDC0">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①破碎区</w:t>
            </w:r>
          </w:p>
        </w:tc>
        <w:tc>
          <w:tcPr>
            <w:tcW w:w="2676" w:type="pct"/>
            <w:tcBorders>
              <w:tl2br w:val="nil"/>
              <w:tr2bl w:val="nil"/>
            </w:tcBorders>
            <w:vAlign w:val="center"/>
          </w:tcPr>
          <w:p w14:paraId="2AA40D78">
            <w:pPr>
              <w:widowControl w:val="0"/>
              <w:spacing w:line="240" w:lineRule="auto"/>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采用</w:t>
            </w:r>
            <w:r>
              <w:rPr>
                <w:rFonts w:hint="default" w:ascii="Times New Roman" w:hAnsi="Times New Roman" w:eastAsia="宋体" w:cs="Times New Roman"/>
                <w:b w:val="0"/>
                <w:color w:val="auto"/>
                <w:kern w:val="2"/>
                <w:sz w:val="21"/>
                <w:szCs w:val="20"/>
                <w:lang w:val="en-US" w:eastAsia="zh-CN" w:bidi="ar-SA"/>
              </w:rPr>
              <w:t>布袋除尘器</w:t>
            </w:r>
            <w:r>
              <w:rPr>
                <w:rFonts w:hint="eastAsia" w:cs="Times New Roman"/>
                <w:b w:val="0"/>
                <w:color w:val="auto"/>
                <w:kern w:val="2"/>
                <w:sz w:val="21"/>
                <w:szCs w:val="20"/>
                <w:lang w:val="en-US" w:eastAsia="zh-CN" w:bidi="ar-SA"/>
              </w:rPr>
              <w:t>（TA001）</w:t>
            </w:r>
            <w:r>
              <w:rPr>
                <w:rFonts w:hint="default" w:ascii="Times New Roman" w:hAnsi="Times New Roman" w:eastAsia="宋体" w:cs="Times New Roman"/>
                <w:b w:val="0"/>
                <w:color w:val="auto"/>
                <w:kern w:val="2"/>
                <w:sz w:val="21"/>
                <w:szCs w:val="20"/>
                <w:lang w:val="en-US" w:eastAsia="zh-CN" w:bidi="ar-SA"/>
              </w:rPr>
              <w:t>处理后通过</w:t>
            </w:r>
            <w:r>
              <w:rPr>
                <w:rFonts w:hint="eastAsia" w:cs="Times New Roman"/>
                <w:b w:val="0"/>
                <w:color w:val="auto"/>
                <w:kern w:val="2"/>
                <w:sz w:val="21"/>
                <w:szCs w:val="20"/>
                <w:lang w:val="en-US" w:eastAsia="zh-CN" w:bidi="ar-SA"/>
              </w:rPr>
              <w:t>1</w:t>
            </w:r>
            <w:r>
              <w:rPr>
                <w:rFonts w:hint="default" w:ascii="Times New Roman" w:hAnsi="Times New Roman" w:eastAsia="宋体" w:cs="Times New Roman"/>
                <w:b w:val="0"/>
                <w:color w:val="auto"/>
                <w:kern w:val="2"/>
                <w:sz w:val="21"/>
                <w:szCs w:val="20"/>
                <w:lang w:val="en-US" w:eastAsia="zh-CN" w:bidi="ar-SA"/>
              </w:rPr>
              <w:t>根</w:t>
            </w:r>
            <w:r>
              <w:rPr>
                <w:rFonts w:hint="eastAsia" w:cs="Times New Roman"/>
                <w:b w:val="0"/>
                <w:color w:val="auto"/>
                <w:kern w:val="2"/>
                <w:sz w:val="21"/>
                <w:szCs w:val="20"/>
                <w:lang w:val="en-US" w:eastAsia="zh-CN" w:bidi="ar-SA"/>
              </w:rPr>
              <w:t>15m高</w:t>
            </w:r>
            <w:r>
              <w:rPr>
                <w:rFonts w:hint="default" w:ascii="Times New Roman" w:hAnsi="Times New Roman" w:eastAsia="宋体" w:cs="Times New Roman"/>
                <w:b w:val="0"/>
                <w:color w:val="auto"/>
                <w:kern w:val="2"/>
                <w:sz w:val="21"/>
                <w:szCs w:val="20"/>
                <w:lang w:val="en-US" w:eastAsia="zh-CN" w:bidi="ar-SA"/>
              </w:rPr>
              <w:t>排气筒</w:t>
            </w:r>
            <w:r>
              <w:rPr>
                <w:rFonts w:hint="eastAsia" w:cs="Times New Roman"/>
                <w:b w:val="0"/>
                <w:color w:val="auto"/>
                <w:kern w:val="2"/>
                <w:sz w:val="21"/>
                <w:szCs w:val="20"/>
                <w:lang w:val="en-US" w:eastAsia="zh-CN" w:bidi="ar-SA"/>
              </w:rPr>
              <w:t>（DA001）有组织排放。</w:t>
            </w:r>
          </w:p>
        </w:tc>
      </w:tr>
      <w:tr w14:paraId="6157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4D421A4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3473332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7BD64F70">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①</w:t>
            </w:r>
            <w:r>
              <w:rPr>
                <w:rFonts w:hint="eastAsia" w:eastAsia="宋体" w:cs="Times New Roman"/>
                <w:b w:val="0"/>
                <w:color w:val="auto"/>
                <w:kern w:val="2"/>
                <w:sz w:val="21"/>
                <w:szCs w:val="20"/>
                <w:lang w:val="en-US" w:eastAsia="zh-CN" w:bidi="ar-SA"/>
              </w:rPr>
              <w:t>球磨、磁选</w:t>
            </w:r>
            <w:r>
              <w:rPr>
                <w:rFonts w:hint="eastAsia" w:cs="Times New Roman"/>
                <w:b w:val="0"/>
                <w:color w:val="auto"/>
                <w:kern w:val="2"/>
                <w:sz w:val="21"/>
                <w:szCs w:val="20"/>
                <w:lang w:val="en-US" w:eastAsia="zh-CN" w:bidi="ar-SA"/>
              </w:rPr>
              <w:t>粉尘</w:t>
            </w:r>
          </w:p>
        </w:tc>
        <w:tc>
          <w:tcPr>
            <w:tcW w:w="2676" w:type="pct"/>
            <w:tcBorders>
              <w:tl2br w:val="nil"/>
              <w:tr2bl w:val="nil"/>
            </w:tcBorders>
            <w:vAlign w:val="center"/>
          </w:tcPr>
          <w:p w14:paraId="4EEAC19E">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采用</w:t>
            </w:r>
            <w:r>
              <w:rPr>
                <w:rFonts w:hint="default" w:ascii="Times New Roman" w:hAnsi="Times New Roman" w:eastAsia="宋体" w:cs="Times New Roman"/>
                <w:b w:val="0"/>
                <w:color w:val="auto"/>
                <w:kern w:val="2"/>
                <w:sz w:val="21"/>
                <w:szCs w:val="20"/>
                <w:lang w:val="en-US" w:eastAsia="zh-CN" w:bidi="ar-SA"/>
              </w:rPr>
              <w:t>布袋除尘器</w:t>
            </w:r>
            <w:r>
              <w:rPr>
                <w:rFonts w:hint="eastAsia" w:cs="Times New Roman"/>
                <w:b w:val="0"/>
                <w:color w:val="auto"/>
                <w:kern w:val="2"/>
                <w:sz w:val="21"/>
                <w:szCs w:val="20"/>
                <w:lang w:val="en-US" w:eastAsia="zh-CN" w:bidi="ar-SA"/>
              </w:rPr>
              <w:t>（TA001）</w:t>
            </w:r>
            <w:r>
              <w:rPr>
                <w:rFonts w:hint="default" w:ascii="Times New Roman" w:hAnsi="Times New Roman" w:eastAsia="宋体" w:cs="Times New Roman"/>
                <w:b w:val="0"/>
                <w:color w:val="auto"/>
                <w:kern w:val="2"/>
                <w:sz w:val="21"/>
                <w:szCs w:val="20"/>
                <w:lang w:val="en-US" w:eastAsia="zh-CN" w:bidi="ar-SA"/>
              </w:rPr>
              <w:t>处理后通过</w:t>
            </w:r>
            <w:r>
              <w:rPr>
                <w:rFonts w:hint="eastAsia" w:cs="Times New Roman"/>
                <w:b w:val="0"/>
                <w:color w:val="auto"/>
                <w:kern w:val="2"/>
                <w:sz w:val="21"/>
                <w:szCs w:val="20"/>
                <w:lang w:val="en-US" w:eastAsia="zh-CN" w:bidi="ar-SA"/>
              </w:rPr>
              <w:t>1</w:t>
            </w:r>
            <w:r>
              <w:rPr>
                <w:rFonts w:hint="default" w:ascii="Times New Roman" w:hAnsi="Times New Roman" w:eastAsia="宋体" w:cs="Times New Roman"/>
                <w:b w:val="0"/>
                <w:color w:val="auto"/>
                <w:kern w:val="2"/>
                <w:sz w:val="21"/>
                <w:szCs w:val="20"/>
                <w:lang w:val="en-US" w:eastAsia="zh-CN" w:bidi="ar-SA"/>
              </w:rPr>
              <w:t>根</w:t>
            </w:r>
            <w:r>
              <w:rPr>
                <w:rFonts w:hint="eastAsia" w:cs="Times New Roman"/>
                <w:b w:val="0"/>
                <w:color w:val="auto"/>
                <w:kern w:val="2"/>
                <w:sz w:val="21"/>
                <w:szCs w:val="20"/>
                <w:lang w:val="en-US" w:eastAsia="zh-CN" w:bidi="ar-SA"/>
              </w:rPr>
              <w:t>15m高</w:t>
            </w:r>
            <w:r>
              <w:rPr>
                <w:rFonts w:hint="default" w:ascii="Times New Roman" w:hAnsi="Times New Roman" w:eastAsia="宋体" w:cs="Times New Roman"/>
                <w:b w:val="0"/>
                <w:color w:val="auto"/>
                <w:kern w:val="2"/>
                <w:sz w:val="21"/>
                <w:szCs w:val="20"/>
                <w:lang w:val="en-US" w:eastAsia="zh-CN" w:bidi="ar-SA"/>
              </w:rPr>
              <w:t>排气筒</w:t>
            </w:r>
            <w:r>
              <w:rPr>
                <w:rFonts w:hint="eastAsia" w:cs="Times New Roman"/>
                <w:b w:val="0"/>
                <w:color w:val="auto"/>
                <w:kern w:val="2"/>
                <w:sz w:val="21"/>
                <w:szCs w:val="20"/>
                <w:lang w:val="en-US" w:eastAsia="zh-CN" w:bidi="ar-SA"/>
              </w:rPr>
              <w:t>（DA001）有组织排放。</w:t>
            </w:r>
          </w:p>
        </w:tc>
      </w:tr>
      <w:tr w14:paraId="36E32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2FFDA431">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170D5C6E">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581C3D6D">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②皮带输送粉尘</w:t>
            </w:r>
          </w:p>
        </w:tc>
        <w:tc>
          <w:tcPr>
            <w:tcW w:w="2676" w:type="pct"/>
            <w:tcBorders>
              <w:tl2br w:val="nil"/>
              <w:tr2bl w:val="nil"/>
            </w:tcBorders>
            <w:vAlign w:val="center"/>
          </w:tcPr>
          <w:p w14:paraId="049D2F68">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输送过程全密闭。</w:t>
            </w:r>
          </w:p>
        </w:tc>
      </w:tr>
      <w:tr w14:paraId="1158D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6542A8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1A99552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1858566A">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③道路</w:t>
            </w:r>
            <w:r>
              <w:rPr>
                <w:rFonts w:hint="eastAsia" w:ascii="Times New Roman" w:hAnsi="Times New Roman" w:eastAsia="宋体" w:cs="Times New Roman"/>
                <w:b w:val="0"/>
                <w:color w:val="auto"/>
                <w:kern w:val="2"/>
                <w:sz w:val="21"/>
                <w:szCs w:val="20"/>
                <w:lang w:val="en-US" w:eastAsia="zh-CN" w:bidi="ar-SA"/>
              </w:rPr>
              <w:t>运输</w:t>
            </w:r>
            <w:r>
              <w:rPr>
                <w:rFonts w:hint="eastAsia" w:cs="Times New Roman"/>
                <w:b w:val="0"/>
                <w:color w:val="auto"/>
                <w:kern w:val="2"/>
                <w:sz w:val="21"/>
                <w:szCs w:val="20"/>
                <w:lang w:val="en-US" w:eastAsia="zh-CN" w:bidi="ar-SA"/>
              </w:rPr>
              <w:t>粉尘</w:t>
            </w:r>
          </w:p>
        </w:tc>
        <w:tc>
          <w:tcPr>
            <w:tcW w:w="2676" w:type="pct"/>
            <w:tcBorders>
              <w:tl2br w:val="nil"/>
              <w:tr2bl w:val="nil"/>
            </w:tcBorders>
            <w:vAlign w:val="center"/>
          </w:tcPr>
          <w:p w14:paraId="31157F18">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车辆采用苫布遮盖、道路洒水降尘。</w:t>
            </w:r>
          </w:p>
        </w:tc>
      </w:tr>
      <w:tr w14:paraId="4AC6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7BF3AB7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4A9FFAF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0DBE828E">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color w:val="000000"/>
                <w:kern w:val="0"/>
                <w:sz w:val="21"/>
                <w:szCs w:val="21"/>
                <w:lang w:val="en-US" w:eastAsia="zh-CN" w:bidi="ar"/>
              </w:rPr>
              <w:t>④</w:t>
            </w: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、中间料堆场装卸扬尘</w:t>
            </w:r>
          </w:p>
        </w:tc>
        <w:tc>
          <w:tcPr>
            <w:tcW w:w="2676" w:type="pct"/>
            <w:tcBorders>
              <w:tl2br w:val="nil"/>
              <w:tr2bl w:val="nil"/>
            </w:tcBorders>
            <w:vAlign w:val="center"/>
          </w:tcPr>
          <w:p w14:paraId="5755D1FD">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olor w:val="000000" w:themeColor="text1"/>
                <w:szCs w:val="20"/>
                <w:lang w:val="en-US" w:eastAsia="zh-CN"/>
                <w14:textFill>
                  <w14:solidFill>
                    <w14:schemeClr w14:val="tx1"/>
                  </w14:solidFill>
                </w14:textFill>
              </w:rPr>
              <w:t>采取</w:t>
            </w:r>
            <w:r>
              <w:rPr>
                <w:rFonts w:hint="eastAsia"/>
                <w:color w:val="000000" w:themeColor="text1"/>
                <w:szCs w:val="20"/>
                <w14:textFill>
                  <w14:solidFill>
                    <w14:schemeClr w14:val="tx1"/>
                  </w14:solidFill>
                </w14:textFill>
              </w:rPr>
              <w:t>洒水抑尘</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降低装卸高度、苫布苫盖等措施。</w:t>
            </w:r>
          </w:p>
        </w:tc>
      </w:tr>
      <w:tr w14:paraId="20417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0D0A3F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3FA2AEB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02018026">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⑤成品</w:t>
            </w:r>
            <w:r>
              <w:rPr>
                <w:rFonts w:hint="eastAsia" w:eastAsia="宋体" w:cs="Times New Roman"/>
                <w:b w:val="0"/>
                <w:color w:val="auto"/>
                <w:kern w:val="2"/>
                <w:sz w:val="21"/>
                <w:szCs w:val="20"/>
                <w:lang w:val="en-US" w:eastAsia="zh-CN" w:bidi="ar-SA"/>
              </w:rPr>
              <w:t>库房</w:t>
            </w:r>
            <w:r>
              <w:rPr>
                <w:rFonts w:hint="eastAsia" w:cs="Times New Roman"/>
                <w:b w:val="0"/>
                <w:color w:val="auto"/>
                <w:kern w:val="2"/>
                <w:sz w:val="21"/>
                <w:szCs w:val="20"/>
                <w:lang w:val="en-US" w:eastAsia="zh-CN" w:bidi="ar-SA"/>
              </w:rPr>
              <w:t>装卸扬尘</w:t>
            </w:r>
          </w:p>
        </w:tc>
        <w:tc>
          <w:tcPr>
            <w:tcW w:w="2676" w:type="pct"/>
            <w:tcBorders>
              <w:tl2br w:val="nil"/>
              <w:tr2bl w:val="nil"/>
            </w:tcBorders>
            <w:vAlign w:val="center"/>
          </w:tcPr>
          <w:p w14:paraId="34026734">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库房全封闭。</w:t>
            </w:r>
          </w:p>
        </w:tc>
      </w:tr>
      <w:tr w14:paraId="3532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4588098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3FABDDC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3404C80F">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⑥尾矿暂存扬尘</w:t>
            </w:r>
          </w:p>
        </w:tc>
        <w:tc>
          <w:tcPr>
            <w:tcW w:w="2676" w:type="pct"/>
            <w:tcBorders>
              <w:tl2br w:val="nil"/>
              <w:tr2bl w:val="nil"/>
            </w:tcBorders>
            <w:vAlign w:val="center"/>
          </w:tcPr>
          <w:p w14:paraId="6B590BCD">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干排尾矿暂存于干排车间内，干排车间为全封闭结构，并</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、降低装卸高度等。</w:t>
            </w:r>
          </w:p>
        </w:tc>
      </w:tr>
      <w:tr w14:paraId="1AE5F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5068201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tcBorders>
              <w:tl2br w:val="nil"/>
              <w:tr2bl w:val="nil"/>
            </w:tcBorders>
            <w:vAlign w:val="center"/>
          </w:tcPr>
          <w:p w14:paraId="2AC514C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噪声</w:t>
            </w:r>
          </w:p>
        </w:tc>
        <w:tc>
          <w:tcPr>
            <w:tcW w:w="1129" w:type="pct"/>
            <w:tcBorders>
              <w:tl2br w:val="nil"/>
              <w:tr2bl w:val="nil"/>
            </w:tcBorders>
            <w:vAlign w:val="center"/>
          </w:tcPr>
          <w:p w14:paraId="64B36E43">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产噪设备</w:t>
            </w:r>
          </w:p>
        </w:tc>
        <w:tc>
          <w:tcPr>
            <w:tcW w:w="2676" w:type="pct"/>
            <w:tcBorders>
              <w:tl2br w:val="nil"/>
              <w:tr2bl w:val="nil"/>
            </w:tcBorders>
            <w:vAlign w:val="center"/>
          </w:tcPr>
          <w:p w14:paraId="387CAAC3">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采取隔声、减振等降噪措施。</w:t>
            </w:r>
          </w:p>
        </w:tc>
      </w:tr>
      <w:tr w14:paraId="27E6B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013037E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restart"/>
            <w:tcBorders>
              <w:tl2br w:val="nil"/>
              <w:tr2bl w:val="nil"/>
            </w:tcBorders>
            <w:vAlign w:val="center"/>
          </w:tcPr>
          <w:p w14:paraId="115452C4">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固体</w:t>
            </w:r>
          </w:p>
          <w:p w14:paraId="33E5316C">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废物</w:t>
            </w:r>
          </w:p>
        </w:tc>
        <w:tc>
          <w:tcPr>
            <w:tcW w:w="1129" w:type="pct"/>
            <w:tcBorders>
              <w:tl2br w:val="nil"/>
              <w:tr2bl w:val="nil"/>
            </w:tcBorders>
            <w:vAlign w:val="center"/>
          </w:tcPr>
          <w:p w14:paraId="64DEA8CD">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①</w:t>
            </w:r>
            <w:r>
              <w:rPr>
                <w:rFonts w:hint="eastAsia" w:ascii="Times New Roman" w:hAnsi="Times New Roman" w:eastAsia="宋体" w:cs="Times New Roman"/>
                <w:b w:val="0"/>
                <w:color w:val="auto"/>
                <w:kern w:val="2"/>
                <w:sz w:val="21"/>
                <w:szCs w:val="20"/>
                <w:lang w:val="en-US" w:eastAsia="zh-CN" w:bidi="ar-SA"/>
              </w:rPr>
              <w:t>干排</w:t>
            </w:r>
            <w:r>
              <w:rPr>
                <w:rFonts w:hint="default" w:ascii="Times New Roman" w:hAnsi="Times New Roman" w:eastAsia="宋体" w:cs="Times New Roman"/>
                <w:b w:val="0"/>
                <w:color w:val="auto"/>
                <w:kern w:val="2"/>
                <w:sz w:val="21"/>
                <w:szCs w:val="20"/>
                <w:lang w:val="en-US" w:eastAsia="zh-CN" w:bidi="ar-SA"/>
              </w:rPr>
              <w:t>尾</w:t>
            </w:r>
            <w:r>
              <w:rPr>
                <w:rFonts w:hint="eastAsia" w:cs="Times New Roman"/>
                <w:b w:val="0"/>
                <w:color w:val="auto"/>
                <w:kern w:val="2"/>
                <w:sz w:val="21"/>
                <w:szCs w:val="20"/>
                <w:lang w:val="en-US" w:eastAsia="zh-CN" w:bidi="ar-SA"/>
              </w:rPr>
              <w:t>矿</w:t>
            </w:r>
          </w:p>
        </w:tc>
        <w:tc>
          <w:tcPr>
            <w:tcW w:w="2676" w:type="pct"/>
            <w:tcBorders>
              <w:tl2br w:val="nil"/>
              <w:tr2bl w:val="nil"/>
            </w:tcBorders>
            <w:vAlign w:val="center"/>
          </w:tcPr>
          <w:p w14:paraId="115289AA">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b w:val="0"/>
                <w:color w:val="auto"/>
                <w:kern w:val="2"/>
                <w:sz w:val="21"/>
                <w:szCs w:val="20"/>
                <w:lang w:val="en-US" w:eastAsia="zh-CN" w:bidi="ar-SA"/>
              </w:rPr>
              <w:t>干排尾矿</w:t>
            </w:r>
            <w:r>
              <w:rPr>
                <w:rFonts w:hint="eastAsia" w:cs="Times New Roman"/>
                <w:b w:val="0"/>
                <w:color w:val="auto"/>
                <w:kern w:val="2"/>
                <w:sz w:val="21"/>
                <w:szCs w:val="20"/>
                <w:lang w:val="en-US" w:eastAsia="zh-CN" w:bidi="ar-SA"/>
              </w:rPr>
              <w:t>暂存于干排车间内</w:t>
            </w:r>
            <w:r>
              <w:rPr>
                <w:rFonts w:hint="default" w:ascii="Times New Roman" w:hAnsi="Times New Roman" w:eastAsia="宋体" w:cs="Times New Roman"/>
                <w:b w:val="0"/>
                <w:color w:val="auto"/>
                <w:kern w:val="2"/>
                <w:sz w:val="21"/>
                <w:szCs w:val="20"/>
                <w:lang w:val="en-US" w:eastAsia="zh-CN" w:bidi="ar-SA"/>
              </w:rPr>
              <w:t>，</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外运</w:t>
            </w:r>
            <w:r>
              <w:rPr>
                <w:rFonts w:hint="eastAsia" w:eastAsia="宋体" w:cs="Times New Roman"/>
                <w:b w:val="0"/>
                <w:color w:val="auto"/>
                <w:kern w:val="2"/>
                <w:sz w:val="21"/>
                <w:szCs w:val="20"/>
                <w:lang w:val="en-US" w:eastAsia="zh-CN" w:bidi="ar-SA"/>
              </w:rPr>
              <w:t>综合利用。</w:t>
            </w:r>
          </w:p>
        </w:tc>
      </w:tr>
      <w:tr w14:paraId="69EBB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BB928EA">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6FEC27A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36BF18FD">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②除尘灰</w:t>
            </w:r>
          </w:p>
        </w:tc>
        <w:tc>
          <w:tcPr>
            <w:tcW w:w="2676" w:type="pct"/>
            <w:tcBorders>
              <w:tl2br w:val="nil"/>
              <w:tr2bl w:val="nil"/>
            </w:tcBorders>
            <w:vAlign w:val="center"/>
          </w:tcPr>
          <w:p w14:paraId="59276F76">
            <w:pPr>
              <w:widowControl w:val="0"/>
              <w:spacing w:line="240" w:lineRule="auto"/>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除尘灰收集后返回工艺，不外排。</w:t>
            </w:r>
          </w:p>
        </w:tc>
      </w:tr>
      <w:tr w14:paraId="1AF8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0010FC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719C710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06E22F8B">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③</w:t>
            </w:r>
            <w:r>
              <w:rPr>
                <w:rFonts w:hint="default" w:ascii="Times New Roman" w:hAnsi="Times New Roman" w:eastAsia="宋体" w:cs="Times New Roman"/>
                <w:b w:val="0"/>
                <w:color w:val="auto"/>
                <w:kern w:val="2"/>
                <w:sz w:val="21"/>
                <w:szCs w:val="20"/>
                <w:lang w:val="en-US" w:eastAsia="zh-CN" w:bidi="ar-SA"/>
              </w:rPr>
              <w:t>废机油</w:t>
            </w:r>
          </w:p>
        </w:tc>
        <w:tc>
          <w:tcPr>
            <w:tcW w:w="2676" w:type="pct"/>
            <w:tcBorders>
              <w:tl2br w:val="nil"/>
              <w:tr2bl w:val="nil"/>
            </w:tcBorders>
            <w:vAlign w:val="center"/>
          </w:tcPr>
          <w:p w14:paraId="77040E29">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暂存于危废贮存点，委托有资质的单位处理。</w:t>
            </w:r>
          </w:p>
        </w:tc>
      </w:tr>
      <w:tr w14:paraId="48D25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657A9E2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1CEC068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42BB531B">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④废机油桶</w:t>
            </w:r>
          </w:p>
        </w:tc>
        <w:tc>
          <w:tcPr>
            <w:tcW w:w="2676" w:type="pct"/>
            <w:tcBorders>
              <w:tl2br w:val="nil"/>
              <w:tr2bl w:val="nil"/>
            </w:tcBorders>
            <w:vAlign w:val="center"/>
          </w:tcPr>
          <w:p w14:paraId="54725448">
            <w:pPr>
              <w:widowControl w:val="0"/>
              <w:spacing w:line="240" w:lineRule="auto"/>
              <w:jc w:val="center"/>
              <w:rPr>
                <w:rFonts w:hint="eastAsia"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暂存于危废贮存点，委托有资质的单位处理。</w:t>
            </w:r>
          </w:p>
        </w:tc>
      </w:tr>
      <w:tr w14:paraId="5C1C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1" w:type="pct"/>
            <w:vMerge w:val="continue"/>
            <w:tcBorders>
              <w:tl2br w:val="nil"/>
              <w:tr2bl w:val="nil"/>
            </w:tcBorders>
            <w:vAlign w:val="center"/>
          </w:tcPr>
          <w:p w14:paraId="48BCF2C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802" w:type="pct"/>
            <w:vMerge w:val="continue"/>
            <w:tcBorders>
              <w:tl2br w:val="nil"/>
              <w:tr2bl w:val="nil"/>
            </w:tcBorders>
            <w:vAlign w:val="center"/>
          </w:tcPr>
          <w:p w14:paraId="47BC2B4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1129" w:type="pct"/>
            <w:tcBorders>
              <w:tl2br w:val="nil"/>
              <w:tr2bl w:val="nil"/>
            </w:tcBorders>
            <w:vAlign w:val="center"/>
          </w:tcPr>
          <w:p w14:paraId="0BBDFF32">
            <w:pPr>
              <w:widowControl w:val="0"/>
              <w:spacing w:line="240" w:lineRule="auto"/>
              <w:ind w:firstLine="0" w:firstLineChars="0"/>
              <w:jc w:val="center"/>
              <w:rPr>
                <w:rFonts w:hint="eastAsia"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⑤</w:t>
            </w:r>
            <w:r>
              <w:rPr>
                <w:rFonts w:hint="default" w:ascii="Times New Roman" w:hAnsi="Times New Roman" w:eastAsia="宋体" w:cs="Times New Roman"/>
                <w:b w:val="0"/>
                <w:color w:val="auto"/>
                <w:kern w:val="2"/>
                <w:sz w:val="21"/>
                <w:szCs w:val="20"/>
                <w:lang w:val="en-US" w:eastAsia="zh-CN" w:bidi="ar-SA"/>
              </w:rPr>
              <w:t>生活垃圾</w:t>
            </w:r>
          </w:p>
        </w:tc>
        <w:tc>
          <w:tcPr>
            <w:tcW w:w="2676" w:type="pct"/>
            <w:tcBorders>
              <w:tl2br w:val="nil"/>
              <w:tr2bl w:val="nil"/>
            </w:tcBorders>
            <w:vAlign w:val="center"/>
          </w:tcPr>
          <w:p w14:paraId="23B68BB9">
            <w:pPr>
              <w:widowControl w:val="0"/>
              <w:spacing w:line="240" w:lineRule="auto"/>
              <w:jc w:val="center"/>
              <w:rPr>
                <w:rFonts w:hint="eastAsia"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设置垃圾桶，定期由环卫部门处理。</w:t>
            </w:r>
          </w:p>
        </w:tc>
      </w:tr>
    </w:tbl>
    <w:p w14:paraId="0561F9E7">
      <w:pPr>
        <w:pStyle w:val="5"/>
        <w:keepNext/>
        <w:keepLines/>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3.1.2主要设备组成</w:t>
      </w:r>
    </w:p>
    <w:p w14:paraId="5BF3E382">
      <w:pPr>
        <w:widowControl/>
        <w:spacing w:line="360" w:lineRule="auto"/>
        <w:ind w:firstLine="480" w:firstLineChars="200"/>
        <w:rPr>
          <w:rFonts w:hAnsi="宋体"/>
          <w:bCs/>
          <w:color w:val="auto"/>
          <w:sz w:val="24"/>
        </w:rPr>
      </w:pPr>
      <w:r>
        <w:rPr>
          <w:rFonts w:hint="eastAsia" w:hAnsi="宋体"/>
          <w:bCs/>
          <w:color w:val="auto"/>
          <w:sz w:val="24"/>
          <w:lang w:val="en-US" w:eastAsia="zh-CN"/>
        </w:rPr>
        <w:t>现有项目</w:t>
      </w:r>
      <w:r>
        <w:rPr>
          <w:rFonts w:hAnsi="宋体"/>
          <w:bCs/>
          <w:color w:val="auto"/>
          <w:sz w:val="24"/>
        </w:rPr>
        <w:t>主要设备情况见表</w:t>
      </w:r>
      <w:r>
        <w:rPr>
          <w:rFonts w:hint="eastAsia" w:hAnsi="宋体"/>
          <w:bCs/>
          <w:color w:val="auto"/>
          <w:sz w:val="24"/>
          <w:lang w:val="en-US" w:eastAsia="zh-CN"/>
        </w:rPr>
        <w:t>3.1-2</w:t>
      </w:r>
      <w:r>
        <w:rPr>
          <w:rFonts w:hAnsi="宋体"/>
          <w:bCs/>
          <w:color w:val="auto"/>
          <w:sz w:val="24"/>
        </w:rPr>
        <w:t>。</w:t>
      </w:r>
    </w:p>
    <w:p w14:paraId="54E911E3">
      <w:pPr>
        <w:spacing w:line="360" w:lineRule="auto"/>
        <w:jc w:val="center"/>
        <w:rPr>
          <w:rFonts w:hint="eastAsia"/>
          <w:b/>
          <w:color w:val="auto"/>
          <w:sz w:val="24"/>
          <w:szCs w:val="24"/>
        </w:rPr>
      </w:pPr>
      <w:r>
        <w:rPr>
          <w:rFonts w:hint="eastAsia"/>
          <w:b/>
          <w:color w:val="auto"/>
          <w:sz w:val="24"/>
          <w:szCs w:val="24"/>
        </w:rPr>
        <w:t>表</w:t>
      </w:r>
      <w:r>
        <w:rPr>
          <w:rFonts w:hint="eastAsia"/>
          <w:b/>
          <w:color w:val="auto"/>
          <w:sz w:val="24"/>
          <w:szCs w:val="24"/>
          <w:lang w:val="en-US" w:eastAsia="zh-CN"/>
        </w:rPr>
        <w:t xml:space="preserve">3.1-2  </w:t>
      </w:r>
      <w:r>
        <w:rPr>
          <w:rFonts w:hint="eastAsia"/>
          <w:b/>
          <w:color w:val="auto"/>
          <w:sz w:val="24"/>
          <w:szCs w:val="24"/>
        </w:rPr>
        <w:t xml:space="preserve">  </w:t>
      </w:r>
      <w:r>
        <w:rPr>
          <w:rFonts w:hint="eastAsia"/>
          <w:b/>
          <w:color w:val="auto"/>
          <w:sz w:val="24"/>
          <w:szCs w:val="24"/>
          <w:lang w:val="en-US" w:eastAsia="zh-CN"/>
        </w:rPr>
        <w:t>现有</w:t>
      </w:r>
      <w:r>
        <w:rPr>
          <w:rFonts w:hint="eastAsia"/>
          <w:b/>
          <w:color w:val="auto"/>
          <w:sz w:val="24"/>
          <w:szCs w:val="24"/>
          <w:lang w:eastAsia="zh-CN"/>
        </w:rPr>
        <w:t>项目主要生产</w:t>
      </w:r>
      <w:r>
        <w:rPr>
          <w:rFonts w:hint="eastAsia"/>
          <w:b/>
          <w:color w:val="auto"/>
          <w:sz w:val="24"/>
          <w:szCs w:val="24"/>
        </w:rPr>
        <w:t>设备情况</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719"/>
        <w:gridCol w:w="2499"/>
        <w:gridCol w:w="2500"/>
      </w:tblGrid>
      <w:tr w14:paraId="107FB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86" w:hRule="atLeast"/>
          <w:jc w:val="center"/>
        </w:trPr>
        <w:tc>
          <w:tcPr>
            <w:tcW w:w="573" w:type="pct"/>
            <w:noWrap w:val="0"/>
            <w:vAlign w:val="center"/>
          </w:tcPr>
          <w:p w14:paraId="0AC9C6A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kern w:val="2"/>
                <w:sz w:val="21"/>
                <w:szCs w:val="21"/>
                <w:lang w:val="en-US" w:eastAsia="zh-CN" w:bidi="ar-SA"/>
              </w:rPr>
            </w:pPr>
            <w:bookmarkStart w:id="36" w:name="_Toc27685"/>
            <w:r>
              <w:rPr>
                <w:rFonts w:hint="eastAsia"/>
                <w:b/>
                <w:bCs/>
                <w:color w:val="000000"/>
                <w:sz w:val="21"/>
                <w:szCs w:val="21"/>
                <w:lang w:val="en-US" w:eastAsia="zh-CN"/>
              </w:rPr>
              <w:t>序号</w:t>
            </w:r>
          </w:p>
        </w:tc>
        <w:tc>
          <w:tcPr>
            <w:tcW w:w="1559" w:type="pct"/>
            <w:noWrap w:val="0"/>
            <w:vAlign w:val="center"/>
          </w:tcPr>
          <w:p w14:paraId="0AD1F5DD">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lang w:val="en-US" w:eastAsia="zh-CN"/>
              </w:rPr>
            </w:pPr>
            <w:r>
              <w:rPr>
                <w:rFonts w:hint="eastAsia"/>
                <w:b/>
                <w:bCs/>
                <w:color w:val="000000"/>
                <w:sz w:val="21"/>
                <w:szCs w:val="21"/>
                <w:lang w:val="en-US" w:eastAsia="zh-CN"/>
              </w:rPr>
              <w:t>设备名称</w:t>
            </w:r>
          </w:p>
        </w:tc>
        <w:tc>
          <w:tcPr>
            <w:tcW w:w="1433" w:type="pct"/>
            <w:noWrap w:val="0"/>
            <w:vAlign w:val="center"/>
          </w:tcPr>
          <w:p w14:paraId="15BB190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lang w:val="en-US" w:eastAsia="zh-CN"/>
              </w:rPr>
            </w:pPr>
            <w:r>
              <w:rPr>
                <w:rFonts w:hint="eastAsia"/>
                <w:b/>
                <w:bCs/>
                <w:color w:val="000000"/>
                <w:sz w:val="21"/>
                <w:szCs w:val="21"/>
                <w:lang w:val="en-US" w:eastAsia="zh-CN"/>
              </w:rPr>
              <w:t>设备型号</w:t>
            </w:r>
          </w:p>
        </w:tc>
        <w:tc>
          <w:tcPr>
            <w:tcW w:w="1433" w:type="pct"/>
            <w:noWrap w:val="0"/>
            <w:vAlign w:val="center"/>
          </w:tcPr>
          <w:p w14:paraId="259D3B6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color w:val="000000"/>
                <w:sz w:val="21"/>
                <w:szCs w:val="21"/>
                <w:lang w:val="en-US" w:eastAsia="zh-CN"/>
              </w:rPr>
            </w:pPr>
            <w:r>
              <w:rPr>
                <w:rFonts w:hint="eastAsia"/>
                <w:b/>
                <w:bCs/>
                <w:color w:val="000000"/>
                <w:sz w:val="21"/>
                <w:szCs w:val="21"/>
                <w:lang w:val="en-US" w:eastAsia="zh-CN"/>
              </w:rPr>
              <w:t>数量</w:t>
            </w:r>
          </w:p>
        </w:tc>
      </w:tr>
      <w:tr w14:paraId="2D10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jc w:val="center"/>
        </w:trPr>
        <w:tc>
          <w:tcPr>
            <w:tcW w:w="573" w:type="pct"/>
            <w:noWrap w:val="0"/>
            <w:vAlign w:val="center"/>
          </w:tcPr>
          <w:p w14:paraId="3082FC81">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w:t>
            </w:r>
          </w:p>
        </w:tc>
        <w:tc>
          <w:tcPr>
            <w:tcW w:w="1559" w:type="pct"/>
            <w:noWrap w:val="0"/>
            <w:vAlign w:val="center"/>
          </w:tcPr>
          <w:p w14:paraId="721871C8">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振动筛</w:t>
            </w:r>
          </w:p>
        </w:tc>
        <w:tc>
          <w:tcPr>
            <w:tcW w:w="1433" w:type="pct"/>
            <w:noWrap w:val="0"/>
            <w:vAlign w:val="center"/>
          </w:tcPr>
          <w:p w14:paraId="2B12C652">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ZD1224</w:t>
            </w:r>
          </w:p>
        </w:tc>
        <w:tc>
          <w:tcPr>
            <w:tcW w:w="1433" w:type="pct"/>
            <w:noWrap w:val="0"/>
            <w:vAlign w:val="center"/>
          </w:tcPr>
          <w:p w14:paraId="22DBDFBD">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olor w:val="auto"/>
                <w:kern w:val="2"/>
                <w:sz w:val="21"/>
                <w:szCs w:val="21"/>
                <w:lang w:val="en-US" w:eastAsia="zh-CN" w:bidi="ar-SA"/>
              </w:rPr>
            </w:pPr>
            <w:r>
              <w:rPr>
                <w:rFonts w:hint="eastAsia" w:ascii="Times New Roman" w:hAnsi="Times New Roman" w:eastAsia="宋体"/>
                <w:color w:val="auto"/>
                <w:kern w:val="2"/>
                <w:sz w:val="21"/>
                <w:szCs w:val="21"/>
                <w:lang w:val="en-US" w:eastAsia="zh-CN" w:bidi="ar-SA"/>
              </w:rPr>
              <w:t>2台</w:t>
            </w:r>
          </w:p>
        </w:tc>
      </w:tr>
      <w:tr w14:paraId="5496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17E029F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2</w:t>
            </w:r>
          </w:p>
        </w:tc>
        <w:tc>
          <w:tcPr>
            <w:tcW w:w="1559" w:type="pct"/>
            <w:noWrap w:val="0"/>
            <w:vAlign w:val="center"/>
          </w:tcPr>
          <w:p w14:paraId="27425C6B">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波纹挡料皮带机</w:t>
            </w:r>
          </w:p>
        </w:tc>
        <w:tc>
          <w:tcPr>
            <w:tcW w:w="1433" w:type="pct"/>
            <w:noWrap w:val="0"/>
            <w:vAlign w:val="center"/>
          </w:tcPr>
          <w:p w14:paraId="5A3FF2EE">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433" w:type="pct"/>
            <w:noWrap w:val="0"/>
            <w:vAlign w:val="center"/>
          </w:tcPr>
          <w:p w14:paraId="060AD2C2">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739D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14B26003">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3</w:t>
            </w:r>
          </w:p>
        </w:tc>
        <w:tc>
          <w:tcPr>
            <w:tcW w:w="1559" w:type="pct"/>
            <w:noWrap w:val="0"/>
            <w:vAlign w:val="center"/>
          </w:tcPr>
          <w:p w14:paraId="7B876F95">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高频振动细筛</w:t>
            </w:r>
          </w:p>
        </w:tc>
        <w:tc>
          <w:tcPr>
            <w:tcW w:w="1433" w:type="pct"/>
            <w:noWrap w:val="0"/>
            <w:vAlign w:val="center"/>
          </w:tcPr>
          <w:p w14:paraId="2EC6810D">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433" w:type="pct"/>
            <w:noWrap w:val="0"/>
            <w:vAlign w:val="center"/>
          </w:tcPr>
          <w:p w14:paraId="511266AC">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25台</w:t>
            </w:r>
          </w:p>
        </w:tc>
      </w:tr>
      <w:tr w14:paraId="33B2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1D3377F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4</w:t>
            </w:r>
          </w:p>
        </w:tc>
        <w:tc>
          <w:tcPr>
            <w:tcW w:w="1559" w:type="pct"/>
            <w:noWrap w:val="0"/>
            <w:vAlign w:val="center"/>
          </w:tcPr>
          <w:p w14:paraId="4666722B">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永磁脱水磁选机</w:t>
            </w:r>
          </w:p>
        </w:tc>
        <w:tc>
          <w:tcPr>
            <w:tcW w:w="1433" w:type="pct"/>
            <w:noWrap w:val="0"/>
            <w:vAlign w:val="center"/>
          </w:tcPr>
          <w:p w14:paraId="3F13A5CF">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CTB1030</w:t>
            </w:r>
          </w:p>
        </w:tc>
        <w:tc>
          <w:tcPr>
            <w:tcW w:w="1433" w:type="pct"/>
            <w:noWrap w:val="0"/>
            <w:vAlign w:val="center"/>
          </w:tcPr>
          <w:p w14:paraId="4BB4D852">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3台</w:t>
            </w:r>
          </w:p>
        </w:tc>
      </w:tr>
      <w:tr w14:paraId="02A76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4F1D8BA6">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5</w:t>
            </w:r>
          </w:p>
        </w:tc>
        <w:tc>
          <w:tcPr>
            <w:tcW w:w="1559" w:type="pct"/>
            <w:noWrap w:val="0"/>
            <w:vAlign w:val="center"/>
          </w:tcPr>
          <w:p w14:paraId="5638D3BA">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永磁磁选机</w:t>
            </w:r>
          </w:p>
        </w:tc>
        <w:tc>
          <w:tcPr>
            <w:tcW w:w="1433" w:type="pct"/>
            <w:noWrap w:val="0"/>
            <w:vAlign w:val="center"/>
          </w:tcPr>
          <w:p w14:paraId="6DB70345">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XCTB1024</w:t>
            </w:r>
          </w:p>
        </w:tc>
        <w:tc>
          <w:tcPr>
            <w:tcW w:w="1433" w:type="pct"/>
            <w:noWrap w:val="0"/>
            <w:vAlign w:val="center"/>
          </w:tcPr>
          <w:p w14:paraId="372BD69C">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6台</w:t>
            </w:r>
          </w:p>
        </w:tc>
      </w:tr>
      <w:tr w14:paraId="629C6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2341731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6</w:t>
            </w:r>
          </w:p>
        </w:tc>
        <w:tc>
          <w:tcPr>
            <w:tcW w:w="1559" w:type="pct"/>
            <w:noWrap w:val="0"/>
            <w:vAlign w:val="center"/>
          </w:tcPr>
          <w:p w14:paraId="0416EB77">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盘式真空过滤机</w:t>
            </w:r>
          </w:p>
        </w:tc>
        <w:tc>
          <w:tcPr>
            <w:tcW w:w="1433" w:type="pct"/>
            <w:noWrap w:val="0"/>
            <w:vAlign w:val="center"/>
          </w:tcPr>
          <w:p w14:paraId="644B5FC2">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ZPG-72</w:t>
            </w:r>
          </w:p>
        </w:tc>
        <w:tc>
          <w:tcPr>
            <w:tcW w:w="1433" w:type="pct"/>
            <w:noWrap w:val="0"/>
            <w:vAlign w:val="center"/>
          </w:tcPr>
          <w:p w14:paraId="6CE445FC">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5A4B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65C14C5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7</w:t>
            </w:r>
          </w:p>
        </w:tc>
        <w:tc>
          <w:tcPr>
            <w:tcW w:w="1559" w:type="pct"/>
            <w:noWrap w:val="0"/>
            <w:vAlign w:val="center"/>
          </w:tcPr>
          <w:p w14:paraId="17827CF1">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变径型磁聚机</w:t>
            </w:r>
          </w:p>
        </w:tc>
        <w:tc>
          <w:tcPr>
            <w:tcW w:w="1433" w:type="pct"/>
            <w:noWrap w:val="0"/>
            <w:vAlign w:val="center"/>
          </w:tcPr>
          <w:p w14:paraId="2E6D97B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433" w:type="pct"/>
            <w:noWrap w:val="0"/>
            <w:vAlign w:val="center"/>
          </w:tcPr>
          <w:p w14:paraId="04330B32">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2台</w:t>
            </w:r>
          </w:p>
        </w:tc>
      </w:tr>
      <w:tr w14:paraId="275C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4C6F796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8</w:t>
            </w:r>
          </w:p>
        </w:tc>
        <w:tc>
          <w:tcPr>
            <w:tcW w:w="1559" w:type="pct"/>
            <w:noWrap w:val="0"/>
            <w:vAlign w:val="center"/>
          </w:tcPr>
          <w:p w14:paraId="29CEF3EA">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溢流型球磨机</w:t>
            </w:r>
          </w:p>
        </w:tc>
        <w:tc>
          <w:tcPr>
            <w:tcW w:w="1433" w:type="pct"/>
            <w:noWrap w:val="0"/>
            <w:vAlign w:val="center"/>
          </w:tcPr>
          <w:p w14:paraId="3E9A1971">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1830mm*4500mm</w:t>
            </w:r>
          </w:p>
        </w:tc>
        <w:tc>
          <w:tcPr>
            <w:tcW w:w="1433" w:type="pct"/>
            <w:noWrap w:val="0"/>
            <w:vAlign w:val="center"/>
          </w:tcPr>
          <w:p w14:paraId="0E561127">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348E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25C3A0E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9</w:t>
            </w:r>
          </w:p>
        </w:tc>
        <w:tc>
          <w:tcPr>
            <w:tcW w:w="1559" w:type="pct"/>
            <w:noWrap w:val="0"/>
            <w:vAlign w:val="center"/>
          </w:tcPr>
          <w:p w14:paraId="15FB3F2D">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color w:val="000000"/>
                <w:kern w:val="2"/>
                <w:sz w:val="21"/>
                <w:szCs w:val="21"/>
                <w:lang w:val="en-US" w:eastAsia="zh-CN" w:bidi="ar-SA"/>
              </w:rPr>
            </w:pPr>
            <w:r>
              <w:rPr>
                <w:rFonts w:hint="eastAsia"/>
                <w:color w:val="000000"/>
                <w:kern w:val="2"/>
                <w:sz w:val="21"/>
                <w:szCs w:val="21"/>
                <w:lang w:val="en-US" w:eastAsia="zh-CN" w:bidi="ar-SA"/>
              </w:rPr>
              <w:t>风槽</w:t>
            </w:r>
          </w:p>
        </w:tc>
        <w:tc>
          <w:tcPr>
            <w:tcW w:w="1433" w:type="pct"/>
            <w:noWrap w:val="0"/>
            <w:vAlign w:val="center"/>
          </w:tcPr>
          <w:p w14:paraId="1D447BE6">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1500mm*5700mm</w:t>
            </w:r>
          </w:p>
        </w:tc>
        <w:tc>
          <w:tcPr>
            <w:tcW w:w="1433" w:type="pct"/>
            <w:noWrap w:val="0"/>
            <w:vAlign w:val="center"/>
          </w:tcPr>
          <w:p w14:paraId="58C4C06A">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2"/>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4E8F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3A8A02CC">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10</w:t>
            </w:r>
          </w:p>
        </w:tc>
        <w:tc>
          <w:tcPr>
            <w:tcW w:w="1559" w:type="pct"/>
            <w:noWrap w:val="0"/>
            <w:vAlign w:val="center"/>
          </w:tcPr>
          <w:p w14:paraId="0265CF29">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槽式给矿机</w:t>
            </w:r>
          </w:p>
        </w:tc>
        <w:tc>
          <w:tcPr>
            <w:tcW w:w="1433" w:type="pct"/>
            <w:noWrap w:val="0"/>
            <w:vAlign w:val="center"/>
          </w:tcPr>
          <w:p w14:paraId="0B85678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G25</w:t>
            </w:r>
          </w:p>
        </w:tc>
        <w:tc>
          <w:tcPr>
            <w:tcW w:w="1433" w:type="pct"/>
            <w:noWrap w:val="0"/>
            <w:vAlign w:val="center"/>
          </w:tcPr>
          <w:p w14:paraId="5D841DFF">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2台</w:t>
            </w:r>
          </w:p>
        </w:tc>
      </w:tr>
      <w:tr w14:paraId="278A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2B86FD7A">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11</w:t>
            </w:r>
          </w:p>
        </w:tc>
        <w:tc>
          <w:tcPr>
            <w:tcW w:w="1559" w:type="pct"/>
            <w:noWrap w:val="0"/>
            <w:vAlign w:val="center"/>
          </w:tcPr>
          <w:p w14:paraId="1A5DE101">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箱式压滤机</w:t>
            </w:r>
          </w:p>
        </w:tc>
        <w:tc>
          <w:tcPr>
            <w:tcW w:w="1433" w:type="pct"/>
            <w:noWrap w:val="0"/>
            <w:vAlign w:val="center"/>
          </w:tcPr>
          <w:p w14:paraId="5658F8B5">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X2400/150-U</w:t>
            </w:r>
          </w:p>
        </w:tc>
        <w:tc>
          <w:tcPr>
            <w:tcW w:w="1433" w:type="pct"/>
            <w:noWrap w:val="0"/>
            <w:vAlign w:val="center"/>
          </w:tcPr>
          <w:p w14:paraId="49EC4A4C">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4EBA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2CC750A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12</w:t>
            </w:r>
          </w:p>
        </w:tc>
        <w:tc>
          <w:tcPr>
            <w:tcW w:w="1559" w:type="pct"/>
            <w:noWrap w:val="0"/>
            <w:vAlign w:val="center"/>
          </w:tcPr>
          <w:p w14:paraId="7704D3A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离心泵</w:t>
            </w:r>
          </w:p>
        </w:tc>
        <w:tc>
          <w:tcPr>
            <w:tcW w:w="1433" w:type="pct"/>
            <w:noWrap w:val="0"/>
            <w:vAlign w:val="center"/>
          </w:tcPr>
          <w:p w14:paraId="70AD2FBF">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SH-10</w:t>
            </w:r>
          </w:p>
        </w:tc>
        <w:tc>
          <w:tcPr>
            <w:tcW w:w="1433" w:type="pct"/>
            <w:noWrap w:val="0"/>
            <w:vAlign w:val="center"/>
          </w:tcPr>
          <w:p w14:paraId="5A3D82E3">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2台</w:t>
            </w:r>
          </w:p>
        </w:tc>
      </w:tr>
      <w:tr w14:paraId="5658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3D87F220">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13</w:t>
            </w:r>
          </w:p>
        </w:tc>
        <w:tc>
          <w:tcPr>
            <w:tcW w:w="1559" w:type="pct"/>
            <w:noWrap w:val="0"/>
            <w:vAlign w:val="center"/>
          </w:tcPr>
          <w:p w14:paraId="5FDE9534">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渣浆泵</w:t>
            </w:r>
          </w:p>
        </w:tc>
        <w:tc>
          <w:tcPr>
            <w:tcW w:w="1433" w:type="pct"/>
            <w:noWrap w:val="0"/>
            <w:vAlign w:val="center"/>
          </w:tcPr>
          <w:p w14:paraId="479C0904">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100ZJ-I-A46</w:t>
            </w:r>
          </w:p>
        </w:tc>
        <w:tc>
          <w:tcPr>
            <w:tcW w:w="1433" w:type="pct"/>
            <w:noWrap w:val="0"/>
            <w:vAlign w:val="center"/>
          </w:tcPr>
          <w:p w14:paraId="647CDAE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3台</w:t>
            </w:r>
          </w:p>
        </w:tc>
      </w:tr>
      <w:tr w14:paraId="647D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6312260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14</w:t>
            </w:r>
          </w:p>
        </w:tc>
        <w:tc>
          <w:tcPr>
            <w:tcW w:w="1559" w:type="pct"/>
            <w:noWrap w:val="0"/>
            <w:vAlign w:val="center"/>
          </w:tcPr>
          <w:p w14:paraId="21BA67EB">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装载机</w:t>
            </w:r>
          </w:p>
        </w:tc>
        <w:tc>
          <w:tcPr>
            <w:tcW w:w="1433" w:type="pct"/>
            <w:noWrap w:val="0"/>
            <w:vAlign w:val="center"/>
          </w:tcPr>
          <w:p w14:paraId="0FF0113E">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1433" w:type="pct"/>
            <w:noWrap w:val="0"/>
            <w:vAlign w:val="center"/>
          </w:tcPr>
          <w:p w14:paraId="0C3FF778">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05E7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697384D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15</w:t>
            </w:r>
          </w:p>
        </w:tc>
        <w:tc>
          <w:tcPr>
            <w:tcW w:w="1559" w:type="pct"/>
            <w:noWrap w:val="0"/>
            <w:vAlign w:val="center"/>
          </w:tcPr>
          <w:p w14:paraId="12466956">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翻斗车</w:t>
            </w:r>
          </w:p>
        </w:tc>
        <w:tc>
          <w:tcPr>
            <w:tcW w:w="1433" w:type="pct"/>
            <w:noWrap w:val="0"/>
            <w:vAlign w:val="center"/>
          </w:tcPr>
          <w:p w14:paraId="58D51506">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15t</w:t>
            </w:r>
          </w:p>
        </w:tc>
        <w:tc>
          <w:tcPr>
            <w:tcW w:w="1433" w:type="pct"/>
            <w:noWrap w:val="0"/>
            <w:vAlign w:val="center"/>
          </w:tcPr>
          <w:p w14:paraId="2CFF65F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1台</w:t>
            </w:r>
          </w:p>
        </w:tc>
      </w:tr>
      <w:tr w14:paraId="1FC6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573" w:type="pct"/>
            <w:noWrap w:val="0"/>
            <w:vAlign w:val="center"/>
          </w:tcPr>
          <w:p w14:paraId="40717B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color w:val="000000"/>
                <w:kern w:val="2"/>
                <w:sz w:val="21"/>
                <w:szCs w:val="21"/>
                <w:lang w:val="en-US" w:eastAsia="zh-CN" w:bidi="ar-SA"/>
              </w:rPr>
            </w:pPr>
            <w:r>
              <w:rPr>
                <w:rFonts w:hint="eastAsia"/>
                <w:color w:val="000000"/>
                <w:sz w:val="21"/>
                <w:szCs w:val="21"/>
                <w:lang w:val="en-US" w:eastAsia="zh-CN"/>
              </w:rPr>
              <w:t>16</w:t>
            </w:r>
          </w:p>
        </w:tc>
        <w:tc>
          <w:tcPr>
            <w:tcW w:w="1559" w:type="pct"/>
            <w:noWrap w:val="0"/>
            <w:vAlign w:val="center"/>
          </w:tcPr>
          <w:p w14:paraId="5A24616A">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color w:val="auto"/>
                <w:kern w:val="0"/>
                <w:sz w:val="21"/>
                <w:szCs w:val="21"/>
                <w:lang w:val="en-US" w:eastAsia="zh-CN" w:bidi="ar-SA"/>
              </w:rPr>
            </w:pPr>
            <w:r>
              <w:rPr>
                <w:rFonts w:hint="eastAsia" w:ascii="Times New Roman" w:hAnsi="Times New Roman"/>
                <w:color w:val="auto"/>
                <w:kern w:val="0"/>
                <w:sz w:val="21"/>
                <w:szCs w:val="21"/>
                <w:lang w:val="en-US" w:eastAsia="zh-CN" w:bidi="ar-SA"/>
              </w:rPr>
              <w:t>电子秤</w:t>
            </w:r>
          </w:p>
        </w:tc>
        <w:tc>
          <w:tcPr>
            <w:tcW w:w="1433" w:type="pct"/>
            <w:noWrap w:val="0"/>
            <w:vAlign w:val="center"/>
          </w:tcPr>
          <w:p w14:paraId="5BF2D2D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100t</w:t>
            </w:r>
          </w:p>
        </w:tc>
        <w:tc>
          <w:tcPr>
            <w:tcW w:w="1433" w:type="pct"/>
            <w:noWrap w:val="0"/>
            <w:vAlign w:val="center"/>
          </w:tcPr>
          <w:p w14:paraId="32221833">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color w:val="auto"/>
                <w:kern w:val="0"/>
                <w:sz w:val="21"/>
                <w:szCs w:val="21"/>
                <w:lang w:val="en-US" w:eastAsia="zh-CN" w:bidi="ar-SA"/>
              </w:rPr>
            </w:pPr>
            <w:r>
              <w:rPr>
                <w:rFonts w:hint="eastAsia" w:ascii="Times New Roman" w:hAnsi="Times New Roman"/>
                <w:color w:val="auto"/>
                <w:kern w:val="2"/>
                <w:sz w:val="21"/>
                <w:szCs w:val="21"/>
                <w:lang w:val="en-US" w:eastAsia="zh-CN" w:bidi="ar-SA"/>
              </w:rPr>
              <w:t>1台</w:t>
            </w:r>
          </w:p>
        </w:tc>
      </w:tr>
    </w:tbl>
    <w:p w14:paraId="0515A4C1">
      <w:pPr>
        <w:pStyle w:val="5"/>
        <w:bidi w:val="0"/>
        <w:spacing w:line="240" w:lineRule="auto"/>
        <w:rPr>
          <w:rFonts w:hint="eastAsia"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工作制度与劳动定员</w:t>
      </w:r>
    </w:p>
    <w:p w14:paraId="6EAC1CCD">
      <w:pPr>
        <w:pStyle w:val="177"/>
        <w:ind w:firstLine="480"/>
        <w:jc w:val="both"/>
        <w:rPr>
          <w:rFonts w:hint="eastAsia" w:ascii="Times New Roman" w:eastAsia="宋体"/>
          <w:color w:val="auto"/>
          <w:lang w:val="en-US" w:eastAsia="zh-CN"/>
        </w:rPr>
      </w:pPr>
      <w:r>
        <w:rPr>
          <w:rFonts w:hint="eastAsia" w:ascii="Times New Roman"/>
          <w:color w:val="auto"/>
          <w:highlight w:val="none"/>
          <w:lang w:val="en-US" w:eastAsia="zh-CN"/>
        </w:rPr>
        <w:t>企业现有员工50人，全年工作300天，每天三班制，每班工作时间8小时。</w:t>
      </w:r>
    </w:p>
    <w:p w14:paraId="3ECA9B2E">
      <w:pPr>
        <w:pStyle w:val="5"/>
        <w:bidi w:val="0"/>
        <w:spacing w:line="240" w:lineRule="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4</w:t>
      </w:r>
      <w:r>
        <w:rPr>
          <w:rFonts w:hint="eastAsia" w:ascii="Times New Roman" w:hAnsi="Times New Roman" w:eastAsia="宋体" w:cs="Times New Roman"/>
          <w:sz w:val="24"/>
          <w:szCs w:val="24"/>
          <w:lang w:val="en-US" w:eastAsia="zh-CN"/>
        </w:rPr>
        <w:t>主要原材料及能源消耗情况</w:t>
      </w:r>
      <w:bookmarkEnd w:id="36"/>
    </w:p>
    <w:p w14:paraId="3717D5B7">
      <w:pPr>
        <w:spacing w:line="360" w:lineRule="auto"/>
        <w:jc w:val="center"/>
        <w:rPr>
          <w:rFonts w:hint="eastAsia"/>
          <w:b/>
          <w:color w:val="auto"/>
          <w:sz w:val="24"/>
          <w:szCs w:val="24"/>
        </w:rPr>
      </w:pPr>
    </w:p>
    <w:p w14:paraId="2954B5D4">
      <w:pPr>
        <w:spacing w:line="360" w:lineRule="auto"/>
        <w:jc w:val="center"/>
        <w:rPr>
          <w:rFonts w:hint="eastAsia"/>
          <w:b/>
          <w:color w:val="auto"/>
          <w:sz w:val="24"/>
          <w:szCs w:val="24"/>
        </w:rPr>
      </w:pPr>
    </w:p>
    <w:p w14:paraId="6644018B">
      <w:pPr>
        <w:spacing w:line="360" w:lineRule="auto"/>
        <w:jc w:val="center"/>
        <w:rPr>
          <w:rFonts w:hint="eastAsia"/>
          <w:b/>
          <w:color w:val="auto"/>
          <w:sz w:val="24"/>
          <w:szCs w:val="24"/>
        </w:rPr>
      </w:pPr>
    </w:p>
    <w:p w14:paraId="22E2EB6B">
      <w:pPr>
        <w:spacing w:line="360" w:lineRule="auto"/>
        <w:jc w:val="center"/>
        <w:rPr>
          <w:rFonts w:hint="eastAsia" w:eastAsia="宋体"/>
          <w:b/>
          <w:color w:val="auto"/>
          <w:sz w:val="24"/>
          <w:szCs w:val="24"/>
          <w:lang w:val="en-US" w:eastAsia="zh-CN"/>
        </w:rPr>
      </w:pPr>
      <w:r>
        <w:rPr>
          <w:rFonts w:hint="eastAsia"/>
          <w:b/>
          <w:color w:val="auto"/>
          <w:sz w:val="24"/>
          <w:szCs w:val="24"/>
        </w:rPr>
        <w:t>表</w:t>
      </w:r>
      <w:r>
        <w:rPr>
          <w:rFonts w:hint="eastAsia"/>
          <w:b/>
          <w:color w:val="auto"/>
          <w:sz w:val="24"/>
          <w:szCs w:val="24"/>
          <w:lang w:val="en-US" w:eastAsia="zh-CN"/>
        </w:rPr>
        <w:t xml:space="preserve">3.1-3 </w:t>
      </w:r>
      <w:r>
        <w:rPr>
          <w:rFonts w:hint="eastAsia"/>
          <w:b/>
          <w:color w:val="auto"/>
          <w:sz w:val="24"/>
          <w:szCs w:val="24"/>
        </w:rPr>
        <w:t xml:space="preserve">   </w:t>
      </w:r>
      <w:r>
        <w:rPr>
          <w:rFonts w:hint="eastAsia"/>
          <w:b/>
          <w:color w:val="auto"/>
          <w:sz w:val="24"/>
          <w:szCs w:val="24"/>
          <w:lang w:val="en-US" w:eastAsia="zh-CN"/>
        </w:rPr>
        <w:t>现有</w:t>
      </w:r>
      <w:r>
        <w:rPr>
          <w:rFonts w:hint="eastAsia"/>
          <w:b/>
          <w:color w:val="auto"/>
          <w:sz w:val="24"/>
          <w:szCs w:val="24"/>
          <w:lang w:eastAsia="zh-CN"/>
        </w:rPr>
        <w:t>项目</w:t>
      </w:r>
      <w:r>
        <w:rPr>
          <w:rFonts w:hint="eastAsia"/>
          <w:b/>
          <w:color w:val="auto"/>
          <w:sz w:val="24"/>
          <w:szCs w:val="24"/>
        </w:rPr>
        <w:t>原材料</w:t>
      </w:r>
      <w:r>
        <w:rPr>
          <w:rFonts w:hint="eastAsia"/>
          <w:b/>
          <w:color w:val="auto"/>
          <w:sz w:val="24"/>
          <w:szCs w:val="24"/>
          <w:lang w:val="en-US" w:eastAsia="zh-CN"/>
        </w:rPr>
        <w:t>及能源</w:t>
      </w:r>
      <w:r>
        <w:rPr>
          <w:rFonts w:hint="eastAsia"/>
          <w:b/>
          <w:color w:val="auto"/>
          <w:sz w:val="24"/>
          <w:szCs w:val="24"/>
        </w:rPr>
        <w:t>消耗</w:t>
      </w:r>
      <w:r>
        <w:rPr>
          <w:rFonts w:hint="eastAsia"/>
          <w:b/>
          <w:color w:val="auto"/>
          <w:sz w:val="24"/>
          <w:szCs w:val="24"/>
          <w:lang w:val="en-US" w:eastAsia="zh-CN"/>
        </w:rPr>
        <w:t>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8"/>
        <w:gridCol w:w="1667"/>
        <w:gridCol w:w="1932"/>
        <w:gridCol w:w="1884"/>
        <w:gridCol w:w="1886"/>
      </w:tblGrid>
      <w:tr w14:paraId="6B4C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73" w:type="pct"/>
            <w:tcBorders>
              <w:tl2br w:val="nil"/>
              <w:tr2bl w:val="nil"/>
            </w:tcBorders>
            <w:noWrap w:val="0"/>
            <w:vAlign w:val="center"/>
          </w:tcPr>
          <w:p w14:paraId="19853424">
            <w:pPr>
              <w:jc w:val="center"/>
              <w:rPr>
                <w:rFonts w:hint="default" w:ascii="Times New Roman" w:hAnsi="Times New Roman"/>
                <w:b/>
                <w:bCs/>
                <w:color w:val="000000"/>
                <w:kern w:val="2"/>
                <w:sz w:val="21"/>
                <w:szCs w:val="24"/>
                <w:lang w:val="en-US" w:eastAsia="zh-CN" w:bidi="ar-SA"/>
              </w:rPr>
            </w:pPr>
            <w:r>
              <w:rPr>
                <w:rFonts w:hint="eastAsia" w:ascii="Times New Roman" w:hAnsi="Times New Roman"/>
                <w:b/>
                <w:bCs/>
                <w:color w:val="000000"/>
                <w:kern w:val="2"/>
                <w:sz w:val="21"/>
                <w:szCs w:val="24"/>
                <w:lang w:val="en-US" w:eastAsia="zh-CN" w:bidi="ar-SA"/>
              </w:rPr>
              <w:t>类别</w:t>
            </w:r>
          </w:p>
        </w:tc>
        <w:tc>
          <w:tcPr>
            <w:tcW w:w="956" w:type="pct"/>
            <w:tcBorders>
              <w:tl2br w:val="nil"/>
              <w:tr2bl w:val="nil"/>
            </w:tcBorders>
            <w:noWrap w:val="0"/>
            <w:vAlign w:val="center"/>
          </w:tcPr>
          <w:p w14:paraId="3ECAED90">
            <w:pPr>
              <w:jc w:val="center"/>
              <w:rPr>
                <w:rFonts w:hint="eastAsia" w:ascii="Times New Roman" w:hAnsi="Times New Roman"/>
                <w:b/>
                <w:bCs/>
                <w:color w:val="000000"/>
                <w:kern w:val="2"/>
                <w:sz w:val="21"/>
                <w:szCs w:val="24"/>
                <w:lang w:val="en-US" w:eastAsia="zh-CN" w:bidi="ar-SA"/>
              </w:rPr>
            </w:pPr>
            <w:r>
              <w:rPr>
                <w:rFonts w:hint="eastAsia" w:ascii="Times New Roman" w:hAnsi="Times New Roman"/>
                <w:b/>
                <w:bCs/>
                <w:color w:val="000000"/>
                <w:kern w:val="2"/>
                <w:sz w:val="21"/>
                <w:szCs w:val="24"/>
                <w:lang w:val="en-US" w:eastAsia="zh-CN" w:bidi="ar-SA"/>
              </w:rPr>
              <w:t>名称</w:t>
            </w:r>
          </w:p>
        </w:tc>
        <w:tc>
          <w:tcPr>
            <w:tcW w:w="1108" w:type="pct"/>
            <w:tcBorders>
              <w:tl2br w:val="nil"/>
              <w:tr2bl w:val="nil"/>
            </w:tcBorders>
            <w:noWrap w:val="0"/>
            <w:vAlign w:val="center"/>
          </w:tcPr>
          <w:p w14:paraId="01B14A8A">
            <w:pPr>
              <w:jc w:val="center"/>
              <w:rPr>
                <w:rFonts w:hint="default" w:ascii="Times New Roman" w:hAnsi="Times New Roman"/>
                <w:b/>
                <w:bCs/>
                <w:color w:val="000000"/>
                <w:kern w:val="2"/>
                <w:sz w:val="21"/>
                <w:szCs w:val="24"/>
                <w:lang w:val="en-US" w:eastAsia="zh-CN" w:bidi="ar-SA"/>
              </w:rPr>
            </w:pPr>
            <w:r>
              <w:rPr>
                <w:rFonts w:hint="eastAsia" w:ascii="Times New Roman" w:hAnsi="Times New Roman"/>
                <w:b/>
                <w:bCs/>
                <w:color w:val="000000"/>
                <w:kern w:val="2"/>
                <w:sz w:val="21"/>
                <w:szCs w:val="24"/>
                <w:lang w:val="en-US" w:eastAsia="zh-CN" w:bidi="ar-SA"/>
              </w:rPr>
              <w:t>单位</w:t>
            </w:r>
          </w:p>
        </w:tc>
        <w:tc>
          <w:tcPr>
            <w:tcW w:w="1080" w:type="pct"/>
            <w:tcBorders>
              <w:tl2br w:val="nil"/>
              <w:tr2bl w:val="nil"/>
            </w:tcBorders>
            <w:noWrap w:val="0"/>
            <w:vAlign w:val="center"/>
          </w:tcPr>
          <w:p w14:paraId="0643FC17">
            <w:pPr>
              <w:jc w:val="center"/>
              <w:rPr>
                <w:rFonts w:hint="default" w:ascii="Times New Roman" w:hAnsi="Times New Roman"/>
                <w:b/>
                <w:bCs/>
                <w:color w:val="000000"/>
                <w:kern w:val="2"/>
                <w:sz w:val="21"/>
                <w:szCs w:val="24"/>
                <w:lang w:val="en-US" w:eastAsia="zh-CN" w:bidi="ar-SA"/>
              </w:rPr>
            </w:pPr>
            <w:r>
              <w:rPr>
                <w:rFonts w:hint="eastAsia"/>
                <w:b/>
                <w:bCs/>
                <w:color w:val="000000"/>
                <w:kern w:val="2"/>
                <w:sz w:val="21"/>
                <w:szCs w:val="24"/>
                <w:lang w:val="en-US" w:eastAsia="zh-CN" w:bidi="ar-SA"/>
              </w:rPr>
              <w:t>年用量</w:t>
            </w:r>
          </w:p>
        </w:tc>
        <w:tc>
          <w:tcPr>
            <w:tcW w:w="1081" w:type="pct"/>
            <w:tcBorders>
              <w:tl2br w:val="nil"/>
              <w:tr2bl w:val="nil"/>
            </w:tcBorders>
            <w:noWrap w:val="0"/>
            <w:vAlign w:val="center"/>
          </w:tcPr>
          <w:p w14:paraId="7C1D9A3C">
            <w:pPr>
              <w:jc w:val="center"/>
              <w:rPr>
                <w:rFonts w:hint="default"/>
                <w:b/>
                <w:bCs/>
                <w:color w:val="000000"/>
                <w:kern w:val="2"/>
                <w:sz w:val="21"/>
                <w:szCs w:val="24"/>
                <w:lang w:val="en-US" w:eastAsia="zh-CN" w:bidi="ar-SA"/>
              </w:rPr>
            </w:pPr>
            <w:r>
              <w:rPr>
                <w:rFonts w:hint="eastAsia"/>
                <w:b/>
                <w:bCs/>
                <w:color w:val="000000"/>
                <w:kern w:val="2"/>
                <w:sz w:val="21"/>
                <w:szCs w:val="24"/>
                <w:lang w:val="en-US" w:eastAsia="zh-CN" w:bidi="ar-SA"/>
              </w:rPr>
              <w:t>来源</w:t>
            </w:r>
          </w:p>
        </w:tc>
      </w:tr>
      <w:tr w14:paraId="4268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73" w:type="pct"/>
            <w:tcBorders>
              <w:tl2br w:val="nil"/>
              <w:tr2bl w:val="nil"/>
            </w:tcBorders>
            <w:noWrap w:val="0"/>
            <w:vAlign w:val="center"/>
          </w:tcPr>
          <w:p w14:paraId="5A081D78">
            <w:pPr>
              <w:pStyle w:val="1441"/>
              <w:spacing w:line="240" w:lineRule="auto"/>
              <w:ind w:firstLine="0" w:firstLineChars="0"/>
              <w:jc w:val="center"/>
              <w:rPr>
                <w:rFonts w:hint="default" w:ascii="Times New Roman" w:hAnsi="Times New Roman"/>
                <w:color w:val="000000"/>
                <w:kern w:val="2"/>
                <w:sz w:val="21"/>
                <w:szCs w:val="24"/>
                <w:lang w:val="en-US" w:eastAsia="zh-CN" w:bidi="ar-SA"/>
              </w:rPr>
            </w:pPr>
            <w:r>
              <w:rPr>
                <w:rFonts w:hint="eastAsia" w:ascii="Times New Roman" w:hAnsi="Times New Roman"/>
                <w:color w:val="000000"/>
                <w:kern w:val="2"/>
                <w:sz w:val="21"/>
                <w:szCs w:val="24"/>
                <w:lang w:val="en-US" w:eastAsia="zh-CN" w:bidi="ar-SA"/>
              </w:rPr>
              <w:t>原料</w:t>
            </w:r>
          </w:p>
        </w:tc>
        <w:tc>
          <w:tcPr>
            <w:tcW w:w="956" w:type="pct"/>
            <w:tcBorders>
              <w:tl2br w:val="nil"/>
              <w:tr2bl w:val="nil"/>
            </w:tcBorders>
            <w:noWrap w:val="0"/>
            <w:vAlign w:val="center"/>
          </w:tcPr>
          <w:p w14:paraId="3F9DE11B">
            <w:pPr>
              <w:pStyle w:val="1441"/>
              <w:spacing w:line="240" w:lineRule="auto"/>
              <w:ind w:firstLine="0" w:firstLineChars="0"/>
              <w:jc w:val="center"/>
              <w:rPr>
                <w:rFonts w:hint="default" w:ascii="Times New Roman" w:hAnsi="Times New Roman"/>
                <w:color w:val="000000"/>
                <w:kern w:val="2"/>
                <w:sz w:val="21"/>
                <w:szCs w:val="24"/>
                <w:lang w:val="en-US" w:eastAsia="zh-CN" w:bidi="ar-SA"/>
              </w:rPr>
            </w:pPr>
            <w:r>
              <w:rPr>
                <w:rFonts w:hint="eastAsia" w:ascii="Times New Roman" w:hAnsi="Times New Roman"/>
                <w:color w:val="000000"/>
                <w:kern w:val="2"/>
                <w:sz w:val="21"/>
                <w:szCs w:val="24"/>
                <w:lang w:val="en-US" w:eastAsia="zh-CN" w:bidi="ar-SA"/>
              </w:rPr>
              <w:t>粗铁粉</w:t>
            </w:r>
          </w:p>
        </w:tc>
        <w:tc>
          <w:tcPr>
            <w:tcW w:w="1108" w:type="pct"/>
            <w:tcBorders>
              <w:tl2br w:val="nil"/>
              <w:tr2bl w:val="nil"/>
            </w:tcBorders>
            <w:noWrap w:val="0"/>
            <w:vAlign w:val="center"/>
          </w:tcPr>
          <w:p w14:paraId="54F2AD14">
            <w:pPr>
              <w:pStyle w:val="1441"/>
              <w:spacing w:line="240" w:lineRule="auto"/>
              <w:ind w:firstLine="0" w:firstLineChars="0"/>
              <w:jc w:val="center"/>
              <w:rPr>
                <w:rFonts w:hint="eastAsia" w:ascii="Times New Roman" w:hAnsi="Times New Roman"/>
                <w:color w:val="000000"/>
                <w:kern w:val="2"/>
                <w:sz w:val="21"/>
                <w:szCs w:val="24"/>
                <w:lang w:val="en-US" w:eastAsia="zh-CN" w:bidi="ar-SA"/>
              </w:rPr>
            </w:pPr>
            <w:r>
              <w:rPr>
                <w:rFonts w:hint="eastAsia" w:ascii="Times New Roman" w:hAnsi="Times New Roman"/>
                <w:color w:val="000000"/>
                <w:kern w:val="2"/>
                <w:sz w:val="21"/>
                <w:szCs w:val="24"/>
                <w:lang w:val="en-US" w:eastAsia="zh-CN" w:bidi="ar-SA"/>
              </w:rPr>
              <w:t>t/a</w:t>
            </w:r>
          </w:p>
        </w:tc>
        <w:tc>
          <w:tcPr>
            <w:tcW w:w="1080" w:type="pct"/>
            <w:tcBorders>
              <w:tl2br w:val="nil"/>
              <w:tr2bl w:val="nil"/>
            </w:tcBorders>
            <w:noWrap w:val="0"/>
            <w:vAlign w:val="center"/>
          </w:tcPr>
          <w:p w14:paraId="2ACB4FD0">
            <w:pPr>
              <w:jc w:val="center"/>
              <w:rPr>
                <w:rFonts w:hint="default" w:ascii="Times New Roman" w:hAnsi="Times New Roman"/>
                <w:color w:val="000000"/>
                <w:kern w:val="2"/>
                <w:sz w:val="21"/>
                <w:szCs w:val="24"/>
                <w:lang w:val="en-US" w:eastAsia="zh-CN" w:bidi="ar-SA"/>
              </w:rPr>
            </w:pPr>
            <w:r>
              <w:rPr>
                <w:rFonts w:hint="eastAsia" w:ascii="Times New Roman" w:hAnsi="Times New Roman"/>
                <w:color w:val="000000"/>
                <w:kern w:val="2"/>
                <w:sz w:val="21"/>
                <w:szCs w:val="24"/>
                <w:lang w:val="en-US" w:eastAsia="zh-CN" w:bidi="ar-SA"/>
              </w:rPr>
              <w:t>400000</w:t>
            </w:r>
          </w:p>
        </w:tc>
        <w:tc>
          <w:tcPr>
            <w:tcW w:w="1081" w:type="pct"/>
            <w:tcBorders>
              <w:tl2br w:val="nil"/>
              <w:tr2bl w:val="nil"/>
            </w:tcBorders>
            <w:noWrap w:val="0"/>
            <w:vAlign w:val="center"/>
          </w:tcPr>
          <w:p w14:paraId="737E149C">
            <w:pPr>
              <w:jc w:val="center"/>
              <w:rPr>
                <w:rFonts w:hint="default" w:ascii="Times New Roman" w:hAnsi="Times New Roman"/>
                <w:color w:val="000000"/>
                <w:kern w:val="2"/>
                <w:sz w:val="21"/>
                <w:szCs w:val="24"/>
                <w:lang w:val="en-US" w:eastAsia="zh-CN" w:bidi="ar-SA"/>
              </w:rPr>
            </w:pPr>
            <w:r>
              <w:rPr>
                <w:rFonts w:hint="eastAsia"/>
                <w:color w:val="000000"/>
                <w:kern w:val="2"/>
                <w:sz w:val="21"/>
                <w:szCs w:val="24"/>
                <w:lang w:val="en-US" w:eastAsia="zh-CN" w:bidi="ar-SA"/>
              </w:rPr>
              <w:t>附近矿山</w:t>
            </w:r>
          </w:p>
        </w:tc>
      </w:tr>
      <w:tr w14:paraId="6FB30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pct"/>
            <w:vMerge w:val="restart"/>
            <w:tcBorders>
              <w:tl2br w:val="nil"/>
              <w:tr2bl w:val="nil"/>
            </w:tcBorders>
            <w:noWrap w:val="0"/>
            <w:vAlign w:val="center"/>
          </w:tcPr>
          <w:p w14:paraId="5BFD1B95">
            <w:pPr>
              <w:pStyle w:val="1441"/>
              <w:spacing w:line="240" w:lineRule="auto"/>
              <w:ind w:firstLine="0" w:firstLineChars="0"/>
              <w:jc w:val="center"/>
              <w:rPr>
                <w:rFonts w:hint="default" w:ascii="Times New Roman" w:hAnsi="Times New Roman" w:cs="宋体"/>
                <w:color w:val="000000"/>
                <w:kern w:val="2"/>
                <w:sz w:val="21"/>
                <w:szCs w:val="24"/>
                <w:lang w:val="en-US" w:eastAsia="zh-CN" w:bidi="ar-SA"/>
              </w:rPr>
            </w:pPr>
            <w:r>
              <w:rPr>
                <w:rFonts w:hint="eastAsia" w:ascii="Times New Roman" w:hAnsi="Times New Roman"/>
                <w:color w:val="000000"/>
                <w:kern w:val="2"/>
                <w:sz w:val="21"/>
                <w:szCs w:val="24"/>
                <w:lang w:val="en-US" w:eastAsia="zh-CN" w:bidi="ar-SA"/>
              </w:rPr>
              <w:t>能源</w:t>
            </w:r>
          </w:p>
        </w:tc>
        <w:tc>
          <w:tcPr>
            <w:tcW w:w="956" w:type="pct"/>
            <w:tcBorders>
              <w:tl2br w:val="nil"/>
              <w:tr2bl w:val="nil"/>
            </w:tcBorders>
            <w:noWrap w:val="0"/>
            <w:vAlign w:val="center"/>
          </w:tcPr>
          <w:p w14:paraId="31D2B9B5">
            <w:pPr>
              <w:pStyle w:val="1441"/>
              <w:spacing w:line="240" w:lineRule="auto"/>
              <w:ind w:firstLine="0" w:firstLineChars="0"/>
              <w:jc w:val="center"/>
              <w:rPr>
                <w:rFonts w:hint="default" w:ascii="Times New Roman" w:hAnsi="Times New Roman" w:cs="宋体"/>
                <w:color w:val="000000"/>
                <w:kern w:val="2"/>
                <w:sz w:val="21"/>
                <w:szCs w:val="24"/>
                <w:lang w:val="en-US" w:eastAsia="zh-CN" w:bidi="ar-SA"/>
              </w:rPr>
            </w:pPr>
            <w:r>
              <w:rPr>
                <w:rFonts w:hint="eastAsia" w:ascii="Times New Roman" w:hAnsi="Times New Roman" w:cs="宋体"/>
                <w:color w:val="000000"/>
                <w:kern w:val="2"/>
                <w:sz w:val="21"/>
                <w:szCs w:val="24"/>
                <w:lang w:val="en-US" w:eastAsia="zh-CN" w:bidi="ar-SA"/>
              </w:rPr>
              <w:t>电</w:t>
            </w:r>
          </w:p>
        </w:tc>
        <w:tc>
          <w:tcPr>
            <w:tcW w:w="1108" w:type="pct"/>
            <w:tcBorders>
              <w:tl2br w:val="nil"/>
              <w:tr2bl w:val="nil"/>
            </w:tcBorders>
            <w:noWrap w:val="0"/>
            <w:vAlign w:val="center"/>
          </w:tcPr>
          <w:p w14:paraId="182F887F">
            <w:pPr>
              <w:pStyle w:val="1441"/>
              <w:spacing w:line="240" w:lineRule="auto"/>
              <w:ind w:firstLine="0" w:firstLineChars="0"/>
              <w:jc w:val="center"/>
              <w:rPr>
                <w:rFonts w:hint="default" w:ascii="Times New Roman" w:hAnsi="Times New Roman" w:cs="宋体"/>
                <w:color w:val="000000"/>
                <w:kern w:val="2"/>
                <w:sz w:val="21"/>
                <w:szCs w:val="24"/>
                <w:lang w:val="en-US" w:eastAsia="zh-CN" w:bidi="ar-SA"/>
              </w:rPr>
            </w:pPr>
            <w:r>
              <w:rPr>
                <w:rFonts w:hint="eastAsia" w:ascii="Times New Roman" w:hAnsi="Times New Roman"/>
                <w:color w:val="000000"/>
                <w:kern w:val="2"/>
                <w:sz w:val="21"/>
                <w:szCs w:val="24"/>
                <w:lang w:val="en-US" w:eastAsia="zh-CN" w:bidi="ar-SA"/>
              </w:rPr>
              <w:t>万kWh/a</w:t>
            </w:r>
          </w:p>
        </w:tc>
        <w:tc>
          <w:tcPr>
            <w:tcW w:w="1080" w:type="pct"/>
            <w:tcBorders>
              <w:tl2br w:val="nil"/>
              <w:tr2bl w:val="nil"/>
            </w:tcBorders>
            <w:noWrap w:val="0"/>
            <w:vAlign w:val="center"/>
          </w:tcPr>
          <w:p w14:paraId="1CBADC09">
            <w:pPr>
              <w:jc w:val="center"/>
              <w:rPr>
                <w:rFonts w:hint="default" w:ascii="Times New Roman" w:hAnsi="Times New Roman"/>
                <w:color w:val="000000"/>
                <w:kern w:val="2"/>
                <w:sz w:val="21"/>
                <w:szCs w:val="24"/>
                <w:lang w:val="en-US" w:eastAsia="zh-CN" w:bidi="ar-SA"/>
              </w:rPr>
            </w:pPr>
            <w:r>
              <w:rPr>
                <w:rFonts w:hint="eastAsia" w:ascii="Times New Roman" w:hAnsi="Times New Roman"/>
                <w:color w:val="000000"/>
                <w:kern w:val="2"/>
                <w:sz w:val="21"/>
                <w:szCs w:val="24"/>
                <w:lang w:val="en-US" w:eastAsia="zh-CN" w:bidi="ar-SA"/>
              </w:rPr>
              <w:t>180.00</w:t>
            </w:r>
          </w:p>
        </w:tc>
        <w:tc>
          <w:tcPr>
            <w:tcW w:w="1081" w:type="pct"/>
            <w:tcBorders>
              <w:tl2br w:val="nil"/>
              <w:tr2bl w:val="nil"/>
            </w:tcBorders>
            <w:noWrap w:val="0"/>
            <w:vAlign w:val="center"/>
          </w:tcPr>
          <w:p w14:paraId="2BBF310D">
            <w:pPr>
              <w:jc w:val="center"/>
              <w:rPr>
                <w:rFonts w:hint="default" w:ascii="Times New Roman" w:hAnsi="Times New Roman"/>
                <w:color w:val="000000"/>
                <w:kern w:val="2"/>
                <w:sz w:val="21"/>
                <w:szCs w:val="24"/>
                <w:lang w:val="en-US" w:eastAsia="zh-CN" w:bidi="ar-SA"/>
              </w:rPr>
            </w:pPr>
            <w:r>
              <w:rPr>
                <w:rFonts w:hint="eastAsia"/>
                <w:color w:val="000000"/>
                <w:kern w:val="2"/>
                <w:sz w:val="21"/>
                <w:szCs w:val="24"/>
                <w:lang w:val="en-US" w:eastAsia="zh-CN" w:bidi="ar-SA"/>
              </w:rPr>
              <w:t>当地电网</w:t>
            </w:r>
          </w:p>
        </w:tc>
      </w:tr>
      <w:tr w14:paraId="48775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pct"/>
            <w:vMerge w:val="continue"/>
            <w:tcBorders>
              <w:tl2br w:val="nil"/>
              <w:tr2bl w:val="nil"/>
            </w:tcBorders>
            <w:noWrap w:val="0"/>
            <w:vAlign w:val="center"/>
          </w:tcPr>
          <w:p w14:paraId="607BCA94">
            <w:pPr>
              <w:pStyle w:val="1441"/>
              <w:spacing w:line="240" w:lineRule="auto"/>
              <w:ind w:firstLine="0" w:firstLineChars="0"/>
              <w:jc w:val="center"/>
              <w:rPr>
                <w:rFonts w:hint="eastAsia" w:ascii="Times New Roman" w:hAnsi="Times New Roman"/>
                <w:color w:val="000000"/>
                <w:kern w:val="2"/>
                <w:sz w:val="21"/>
                <w:szCs w:val="24"/>
                <w:lang w:val="en-US" w:eastAsia="zh-CN" w:bidi="ar-SA"/>
              </w:rPr>
            </w:pPr>
          </w:p>
        </w:tc>
        <w:tc>
          <w:tcPr>
            <w:tcW w:w="956" w:type="pct"/>
            <w:tcBorders>
              <w:tl2br w:val="nil"/>
              <w:tr2bl w:val="nil"/>
            </w:tcBorders>
            <w:noWrap w:val="0"/>
            <w:vAlign w:val="center"/>
          </w:tcPr>
          <w:p w14:paraId="01FAACAE">
            <w:pPr>
              <w:pStyle w:val="1441"/>
              <w:spacing w:line="240" w:lineRule="auto"/>
              <w:ind w:firstLine="0" w:firstLineChars="0"/>
              <w:jc w:val="center"/>
              <w:rPr>
                <w:rFonts w:hint="eastAsia" w:ascii="Times New Roman" w:hAnsi="Times New Roman" w:cs="宋体"/>
                <w:color w:val="000000"/>
                <w:kern w:val="2"/>
                <w:sz w:val="21"/>
                <w:szCs w:val="24"/>
                <w:lang w:val="en-US" w:eastAsia="zh-CN" w:bidi="ar-SA"/>
              </w:rPr>
            </w:pPr>
            <w:r>
              <w:rPr>
                <w:rFonts w:hint="eastAsia" w:ascii="Times New Roman" w:hAnsi="Times New Roman" w:cs="宋体"/>
                <w:color w:val="000000"/>
                <w:kern w:val="2"/>
                <w:sz w:val="21"/>
                <w:szCs w:val="24"/>
                <w:lang w:val="en-US" w:eastAsia="zh-CN" w:bidi="ar-SA"/>
              </w:rPr>
              <w:t>水</w:t>
            </w:r>
          </w:p>
        </w:tc>
        <w:tc>
          <w:tcPr>
            <w:tcW w:w="1108" w:type="pct"/>
            <w:tcBorders>
              <w:tl2br w:val="nil"/>
              <w:tr2bl w:val="nil"/>
            </w:tcBorders>
            <w:noWrap w:val="0"/>
            <w:vAlign w:val="center"/>
          </w:tcPr>
          <w:p w14:paraId="45ED4193">
            <w:pPr>
              <w:pStyle w:val="1441"/>
              <w:spacing w:line="240" w:lineRule="auto"/>
              <w:ind w:firstLine="0" w:firstLineChars="0"/>
              <w:jc w:val="center"/>
              <w:rPr>
                <w:rFonts w:hint="eastAsia" w:ascii="Times New Roman" w:hAnsi="Times New Roman" w:cs="宋体"/>
                <w:color w:val="000000"/>
                <w:kern w:val="2"/>
                <w:sz w:val="21"/>
                <w:szCs w:val="24"/>
                <w:lang w:val="en-US" w:eastAsia="zh-CN" w:bidi="ar-SA"/>
              </w:rPr>
            </w:pPr>
            <w:r>
              <w:rPr>
                <w:rFonts w:hint="eastAsia" w:ascii="Times New Roman" w:hAnsi="Times New Roman" w:cs="宋体"/>
                <w:color w:val="000000"/>
                <w:kern w:val="2"/>
                <w:sz w:val="21"/>
                <w:szCs w:val="24"/>
                <w:lang w:val="en-US" w:eastAsia="zh-CN" w:bidi="ar-SA"/>
              </w:rPr>
              <w:t>t/a</w:t>
            </w:r>
          </w:p>
        </w:tc>
        <w:tc>
          <w:tcPr>
            <w:tcW w:w="1080" w:type="pct"/>
            <w:tcBorders>
              <w:tl2br w:val="nil"/>
              <w:tr2bl w:val="nil"/>
            </w:tcBorders>
            <w:noWrap w:val="0"/>
            <w:vAlign w:val="center"/>
          </w:tcPr>
          <w:p w14:paraId="4E7CD7CD">
            <w:pPr>
              <w:jc w:val="center"/>
              <w:rPr>
                <w:rFonts w:hint="default" w:ascii="Times New Roman" w:hAnsi="Times New Roman"/>
                <w:color w:val="000000"/>
                <w:kern w:val="2"/>
                <w:sz w:val="21"/>
                <w:szCs w:val="24"/>
                <w:lang w:val="en-US" w:eastAsia="zh-CN" w:bidi="ar-SA"/>
              </w:rPr>
            </w:pPr>
            <w:r>
              <w:rPr>
                <w:rFonts w:hint="eastAsia" w:ascii="Times New Roman" w:hAnsi="Times New Roman"/>
                <w:color w:val="000000"/>
                <w:kern w:val="2"/>
                <w:sz w:val="21"/>
                <w:szCs w:val="24"/>
                <w:lang w:val="en-US" w:eastAsia="zh-CN" w:bidi="ar-SA"/>
              </w:rPr>
              <w:t>3666.7</w:t>
            </w:r>
          </w:p>
        </w:tc>
        <w:tc>
          <w:tcPr>
            <w:tcW w:w="1081" w:type="pct"/>
            <w:tcBorders>
              <w:tl2br w:val="nil"/>
              <w:tr2bl w:val="nil"/>
            </w:tcBorders>
            <w:noWrap w:val="0"/>
            <w:vAlign w:val="center"/>
          </w:tcPr>
          <w:p w14:paraId="202330C4">
            <w:pPr>
              <w:jc w:val="center"/>
              <w:rPr>
                <w:rFonts w:hint="default" w:ascii="Times New Roman" w:hAnsi="Times New Roman"/>
                <w:color w:val="000000"/>
                <w:kern w:val="2"/>
                <w:sz w:val="21"/>
                <w:szCs w:val="24"/>
                <w:lang w:val="en-US" w:eastAsia="zh-CN" w:bidi="ar-SA"/>
              </w:rPr>
            </w:pPr>
            <w:r>
              <w:rPr>
                <w:rFonts w:hint="eastAsia"/>
                <w:color w:val="000000"/>
                <w:kern w:val="2"/>
                <w:sz w:val="21"/>
                <w:szCs w:val="24"/>
                <w:lang w:val="en-US" w:eastAsia="zh-CN" w:bidi="ar-SA"/>
              </w:rPr>
              <w:t>水井</w:t>
            </w:r>
          </w:p>
        </w:tc>
      </w:tr>
    </w:tbl>
    <w:p w14:paraId="678042E8">
      <w:pPr>
        <w:pStyle w:val="5"/>
        <w:bidi w:val="0"/>
        <w:spacing w:line="240" w:lineRule="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1</w:t>
      </w:r>
      <w:r>
        <w:rPr>
          <w:rFonts w:hint="eastAsia" w:ascii="Times New Roman" w:hAnsi="Times New Roman" w:eastAsia="宋体" w:cs="Times New Roman"/>
          <w:sz w:val="24"/>
          <w:szCs w:val="24"/>
          <w:lang w:val="en-US" w:eastAsia="zh-CN"/>
        </w:rPr>
        <w:t>.</w:t>
      </w:r>
      <w:r>
        <w:rPr>
          <w:rFonts w:hint="eastAsia" w:cs="Times New Roman"/>
          <w:sz w:val="24"/>
          <w:szCs w:val="24"/>
          <w:lang w:val="en-US" w:eastAsia="zh-CN"/>
        </w:rPr>
        <w:t>5</w:t>
      </w:r>
      <w:r>
        <w:rPr>
          <w:rFonts w:hint="eastAsia" w:eastAsia="宋体" w:cs="Times New Roman"/>
          <w:sz w:val="24"/>
          <w:szCs w:val="24"/>
          <w:lang w:val="en-US" w:eastAsia="zh-CN"/>
        </w:rPr>
        <w:t>现有项目产品方案</w:t>
      </w:r>
    </w:p>
    <w:p w14:paraId="796C983D">
      <w:pPr>
        <w:spacing w:line="360" w:lineRule="auto"/>
        <w:ind w:firstLine="482" w:firstLineChars="200"/>
        <w:jc w:val="right"/>
        <w:rPr>
          <w:rFonts w:hint="eastAsia" w:ascii="Times New Roman" w:hAnsi="宋体" w:eastAsia="宋体" w:cs="Times New Roman"/>
          <w:b/>
          <w:bCs w:val="0"/>
          <w:color w:val="000000"/>
          <w:szCs w:val="21"/>
          <w:lang w:val="en-US" w:eastAsia="zh-CN"/>
        </w:rPr>
      </w:pPr>
      <w:r>
        <w:rPr>
          <w:rFonts w:ascii="Times New Roman" w:hAnsi="宋体" w:eastAsia="宋体" w:cs="Times New Roman"/>
          <w:b/>
          <w:bCs w:val="0"/>
          <w:color w:val="000000"/>
          <w:sz w:val="24"/>
          <w:szCs w:val="24"/>
        </w:rPr>
        <w:t>表</w:t>
      </w:r>
      <w:r>
        <w:rPr>
          <w:rFonts w:hint="eastAsia" w:hAnsi="宋体" w:cs="Times New Roman"/>
          <w:b/>
          <w:bCs w:val="0"/>
          <w:color w:val="000000"/>
          <w:sz w:val="24"/>
          <w:szCs w:val="24"/>
          <w:lang w:val="en-US" w:eastAsia="zh-CN"/>
        </w:rPr>
        <w:t>3.1-4</w:t>
      </w:r>
      <w:r>
        <w:rPr>
          <w:rFonts w:hint="eastAsia" w:ascii="Times New Roman" w:hAnsi="宋体" w:eastAsia="宋体" w:cs="Times New Roman"/>
          <w:b/>
          <w:bCs w:val="0"/>
          <w:color w:val="000000"/>
          <w:sz w:val="24"/>
          <w:szCs w:val="24"/>
          <w:lang w:val="en-US" w:eastAsia="zh-CN"/>
        </w:rPr>
        <w:t xml:space="preserve">   </w:t>
      </w:r>
      <w:r>
        <w:rPr>
          <w:rFonts w:hint="eastAsia" w:hAnsi="宋体" w:cs="Times New Roman"/>
          <w:b/>
          <w:bCs w:val="0"/>
          <w:color w:val="000000"/>
          <w:sz w:val="24"/>
          <w:szCs w:val="24"/>
          <w:lang w:val="en-US" w:eastAsia="zh-CN"/>
        </w:rPr>
        <w:t>产品方案</w:t>
      </w:r>
      <w:r>
        <w:rPr>
          <w:rFonts w:hint="eastAsia" w:ascii="Times New Roman" w:hAnsi="宋体" w:eastAsia="宋体" w:cs="Times New Roman"/>
          <w:b/>
          <w:bCs w:val="0"/>
          <w:color w:val="000000"/>
          <w:sz w:val="24"/>
          <w:szCs w:val="24"/>
          <w:lang w:val="en-US" w:eastAsia="zh-CN"/>
        </w:rPr>
        <w:t xml:space="preserve">  </w:t>
      </w:r>
      <w:r>
        <w:rPr>
          <w:rFonts w:hint="eastAsia" w:ascii="Times New Roman" w:hAnsi="宋体" w:eastAsia="宋体" w:cs="Times New Roman"/>
          <w:b/>
          <w:bCs w:val="0"/>
          <w:color w:val="000000"/>
          <w:szCs w:val="21"/>
          <w:lang w:val="en-US" w:eastAsia="zh-CN"/>
        </w:rPr>
        <w:t xml:space="preserve">                      </w:t>
      </w:r>
      <w:r>
        <w:rPr>
          <w:rFonts w:hint="eastAsia" w:ascii="Times New Roman" w:hAnsi="宋体" w:eastAsia="宋体" w:cs="Times New Roman"/>
          <w:b/>
          <w:bCs w:val="0"/>
          <w:color w:val="000000"/>
          <w:sz w:val="24"/>
          <w:szCs w:val="24"/>
        </w:rPr>
        <w:t>单位：t</w:t>
      </w:r>
      <w:r>
        <w:rPr>
          <w:rFonts w:ascii="Times New Roman" w:hAnsi="宋体" w:eastAsia="宋体" w:cs="Times New Roman"/>
          <w:b/>
          <w:bCs w:val="0"/>
          <w:color w:val="000000"/>
          <w:sz w:val="24"/>
          <w:szCs w:val="24"/>
        </w:rPr>
        <w:t>/</w:t>
      </w:r>
      <w:r>
        <w:rPr>
          <w:rFonts w:hint="eastAsia" w:ascii="Times New Roman" w:hAnsi="宋体" w:eastAsia="宋体" w:cs="Times New Roman"/>
          <w:b/>
          <w:bCs w:val="0"/>
          <w:color w:val="000000"/>
          <w:sz w:val="24"/>
          <w:szCs w:val="24"/>
          <w:lang w:val="en-US" w:eastAsia="zh-CN"/>
        </w:rPr>
        <w:t>a</w:t>
      </w:r>
    </w:p>
    <w:tbl>
      <w:tblPr>
        <w:tblStyle w:val="7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0"/>
        <w:gridCol w:w="4360"/>
      </w:tblGrid>
      <w:tr w14:paraId="04D9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14:paraId="3D26CE11">
            <w:pPr>
              <w:pStyle w:val="3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产品</w:t>
            </w:r>
          </w:p>
        </w:tc>
        <w:tc>
          <w:tcPr>
            <w:tcW w:w="2500" w:type="pct"/>
            <w:tcBorders>
              <w:tl2br w:val="nil"/>
              <w:tr2bl w:val="nil"/>
            </w:tcBorders>
            <w:noWrap w:val="0"/>
            <w:vAlign w:val="top"/>
          </w:tcPr>
          <w:p w14:paraId="4C05524B">
            <w:pPr>
              <w:pStyle w:val="3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用量</w:t>
            </w:r>
          </w:p>
        </w:tc>
      </w:tr>
      <w:tr w14:paraId="61F5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14:paraId="7781E1D5">
            <w:pPr>
              <w:pStyle w:val="3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铁精粉</w:t>
            </w:r>
          </w:p>
        </w:tc>
        <w:tc>
          <w:tcPr>
            <w:tcW w:w="2500" w:type="pct"/>
            <w:tcBorders>
              <w:tl2br w:val="nil"/>
              <w:tr2bl w:val="nil"/>
            </w:tcBorders>
            <w:noWrap w:val="0"/>
            <w:vAlign w:val="top"/>
          </w:tcPr>
          <w:p w14:paraId="4E562C21">
            <w:pPr>
              <w:pStyle w:val="3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3</w:t>
            </w:r>
            <w:r>
              <w:rPr>
                <w:rFonts w:hint="eastAsia" w:cs="Times New Roman"/>
                <w:color w:val="000000"/>
                <w:sz w:val="21"/>
                <w:szCs w:val="21"/>
                <w:vertAlign w:val="baseline"/>
                <w:lang w:val="en-US" w:eastAsia="zh-CN"/>
              </w:rPr>
              <w:t>0万</w:t>
            </w:r>
          </w:p>
        </w:tc>
      </w:tr>
      <w:tr w14:paraId="48079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tcBorders>
              <w:tl2br w:val="nil"/>
              <w:tr2bl w:val="nil"/>
            </w:tcBorders>
            <w:noWrap w:val="0"/>
            <w:vAlign w:val="top"/>
          </w:tcPr>
          <w:p w14:paraId="019F129D">
            <w:pPr>
              <w:pStyle w:val="3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尾矿</w:t>
            </w:r>
          </w:p>
        </w:tc>
        <w:tc>
          <w:tcPr>
            <w:tcW w:w="2500" w:type="pct"/>
            <w:tcBorders>
              <w:tl2br w:val="nil"/>
              <w:tr2bl w:val="nil"/>
            </w:tcBorders>
            <w:noWrap w:val="0"/>
            <w:vAlign w:val="top"/>
          </w:tcPr>
          <w:p w14:paraId="47A1A4A3">
            <w:pPr>
              <w:pStyle w:val="32"/>
              <w:keepNext w:val="0"/>
              <w:keepLines w:val="0"/>
              <w:pageBreakBefore w:val="0"/>
              <w:widowControl w:val="0"/>
              <w:kinsoku/>
              <w:wordWrap/>
              <w:overflowPunct/>
              <w:topLinePunct w:val="0"/>
              <w:autoSpaceDE/>
              <w:autoSpaceDN/>
              <w:bidi w:val="0"/>
              <w:adjustRightInd w:val="0"/>
              <w:snapToGrid/>
              <w:ind w:left="0" w:leftChars="0" w:firstLine="0" w:firstLineChars="0"/>
              <w:jc w:val="center"/>
              <w:textAlignment w:val="baseline"/>
              <w:rPr>
                <w:rFonts w:hint="default" w:ascii="Times New Roman" w:hAnsi="Times New Roman" w:eastAsia="宋体" w:cs="Times New Roman"/>
                <w:color w:val="000000"/>
                <w:sz w:val="21"/>
                <w:szCs w:val="21"/>
                <w:vertAlign w:val="baseline"/>
                <w:lang w:val="en-US" w:eastAsia="zh-CN"/>
              </w:rPr>
            </w:pPr>
            <w:r>
              <w:rPr>
                <w:rFonts w:hint="eastAsia" w:ascii="Times New Roman" w:hAnsi="Times New Roman" w:eastAsia="宋体" w:cs="Times New Roman"/>
                <w:color w:val="000000"/>
                <w:sz w:val="21"/>
                <w:szCs w:val="21"/>
                <w:vertAlign w:val="baseline"/>
                <w:lang w:val="en-US" w:eastAsia="zh-CN"/>
              </w:rPr>
              <w:t>10</w:t>
            </w:r>
            <w:r>
              <w:rPr>
                <w:rFonts w:hint="eastAsia" w:cs="Times New Roman"/>
                <w:color w:val="000000"/>
                <w:sz w:val="21"/>
                <w:szCs w:val="21"/>
                <w:vertAlign w:val="baseline"/>
                <w:lang w:val="en-US" w:eastAsia="zh-CN"/>
              </w:rPr>
              <w:t>万</w:t>
            </w:r>
          </w:p>
        </w:tc>
      </w:tr>
    </w:tbl>
    <w:p w14:paraId="1A3BF804">
      <w:pPr>
        <w:pStyle w:val="5"/>
        <w:bidi w:val="0"/>
        <w:spacing w:line="240" w:lineRule="auto"/>
        <w:rPr>
          <w:rFonts w:hint="eastAsia" w:ascii="Times New Roman" w:hAnsi="Times New Roman" w:eastAsia="宋体" w:cs="Times New Roman"/>
          <w:sz w:val="24"/>
          <w:szCs w:val="24"/>
          <w:lang w:val="en-US" w:eastAsia="zh-CN"/>
        </w:rPr>
      </w:pPr>
      <w:bookmarkStart w:id="37" w:name="_Toc5183"/>
      <w:r>
        <w:rPr>
          <w:rFonts w:hint="eastAsia" w:ascii="Times New Roman" w:hAnsi="Times New Roman" w:eastAsia="宋体" w:cs="Times New Roman"/>
          <w:sz w:val="24"/>
          <w:szCs w:val="24"/>
          <w:lang w:val="en-US" w:eastAsia="zh-CN"/>
        </w:rPr>
        <w:t>3.</w:t>
      </w:r>
      <w:r>
        <w:rPr>
          <w:rFonts w:hint="eastAsia" w:cs="Times New Roman"/>
          <w:sz w:val="24"/>
          <w:szCs w:val="24"/>
          <w:lang w:val="en-US" w:eastAsia="zh-CN"/>
        </w:rPr>
        <w:t>1.6</w:t>
      </w:r>
      <w:r>
        <w:rPr>
          <w:rFonts w:hint="eastAsia" w:ascii="Times New Roman" w:hAnsi="Times New Roman" w:eastAsia="宋体" w:cs="Times New Roman"/>
          <w:sz w:val="24"/>
          <w:szCs w:val="24"/>
          <w:lang w:val="en-US" w:eastAsia="zh-CN"/>
        </w:rPr>
        <w:t>现状厂区平面布置</w:t>
      </w:r>
      <w:bookmarkEnd w:id="37"/>
    </w:p>
    <w:p w14:paraId="3685150B">
      <w:pPr>
        <w:widowControl/>
        <w:spacing w:line="360" w:lineRule="auto"/>
        <w:ind w:firstLine="480" w:firstLineChars="200"/>
        <w:rPr>
          <w:rFonts w:hAnsi="宋体"/>
          <w:bCs/>
          <w:color w:val="auto"/>
          <w:sz w:val="24"/>
        </w:rPr>
      </w:pPr>
      <w:r>
        <w:rPr>
          <w:rFonts w:hint="eastAsia" w:cs="Times New Roman"/>
          <w:color w:val="auto"/>
          <w:kern w:val="2"/>
          <w:sz w:val="24"/>
          <w:szCs w:val="20"/>
          <w:lang w:val="en-US" w:eastAsia="zh-CN" w:bidi="ar-SA"/>
        </w:rPr>
        <w:t>企业</w:t>
      </w:r>
      <w:r>
        <w:rPr>
          <w:rFonts w:hint="eastAsia" w:eastAsia="宋体" w:cs="Times New Roman"/>
          <w:color w:val="auto"/>
          <w:kern w:val="2"/>
          <w:sz w:val="24"/>
          <w:szCs w:val="20"/>
          <w:lang w:val="en-US" w:eastAsia="zh-CN" w:bidi="ar-SA"/>
        </w:rPr>
        <w:t>生产区平面布局呈矩形状，由南向北依次为破碎区、选矿区，干排车间位于选矿区东侧，各生产设施布局紧凑合理。办公生活区位于生产区北侧，与生产区独立设置，厂区内布局合理</w:t>
      </w:r>
      <w:r>
        <w:rPr>
          <w:rFonts w:hAnsi="宋体"/>
          <w:bCs/>
          <w:color w:val="auto"/>
          <w:sz w:val="24"/>
        </w:rPr>
        <w:t>。</w:t>
      </w:r>
    </w:p>
    <w:p w14:paraId="548735D2">
      <w:pPr>
        <w:pStyle w:val="5"/>
        <w:bidi w:val="0"/>
        <w:spacing w:line="240" w:lineRule="auto"/>
        <w:rPr>
          <w:rFonts w:hint="eastAsia"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7选矿</w:t>
      </w:r>
      <w:r>
        <w:rPr>
          <w:rFonts w:hint="eastAsia" w:ascii="Times New Roman" w:hAnsi="Times New Roman" w:eastAsia="宋体" w:cs="Times New Roman"/>
          <w:sz w:val="24"/>
          <w:szCs w:val="24"/>
          <w:lang w:val="en-US" w:eastAsia="zh-CN"/>
        </w:rPr>
        <w:t>工艺流程</w:t>
      </w:r>
    </w:p>
    <w:p w14:paraId="64478A53">
      <w:pPr>
        <w:pStyle w:val="95"/>
        <w:keepNext w:val="0"/>
        <w:keepLines w:val="0"/>
        <w:pageBreakBefore w:val="0"/>
        <w:numPr>
          <w:ilvl w:val="0"/>
          <w:numId w:val="0"/>
        </w:numPr>
        <w:kinsoku/>
        <w:overflowPunct/>
        <w:topLinePunct w:val="0"/>
        <w:autoSpaceDE/>
        <w:autoSpaceDN/>
        <w:bidi w:val="0"/>
        <w:adjustRightInd/>
        <w:spacing w:line="360" w:lineRule="auto"/>
        <w:ind w:left="0" w:leftChars="0" w:firstLine="480" w:firstLineChars="200"/>
        <w:rPr>
          <w:rFonts w:hint="eastAsia"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现有项目采用一段磨矿、阶段选矿的工艺流程。</w:t>
      </w:r>
    </w:p>
    <w:p w14:paraId="255ED325">
      <w:pPr>
        <w:pStyle w:val="95"/>
        <w:keepNext w:val="0"/>
        <w:keepLines w:val="0"/>
        <w:pageBreakBefore w:val="0"/>
        <w:numPr>
          <w:ilvl w:val="0"/>
          <w:numId w:val="0"/>
        </w:numPr>
        <w:kinsoku/>
        <w:overflowPunct/>
        <w:topLinePunct w:val="0"/>
        <w:autoSpaceDE/>
        <w:autoSpaceDN/>
        <w:bidi w:val="0"/>
        <w:adjustRightInd/>
        <w:spacing w:line="360" w:lineRule="auto"/>
        <w:ind w:left="0" w:leftChars="0" w:firstLine="480" w:firstLineChars="200"/>
        <w:jc w:val="left"/>
        <w:rPr>
          <w:rFonts w:hint="eastAsia" w:ascii="Times New Roman" w:hAnsi="Times New Roman" w:eastAsia="宋体" w:cs="Times New Roman"/>
          <w:color w:val="auto"/>
          <w:highlight w:val="none"/>
          <w:lang w:val="en-US" w:eastAsia="zh-CN"/>
        </w:rPr>
      </w:pPr>
      <w:r>
        <w:rPr>
          <w:rFonts w:hint="eastAsia" w:cs="Times New Roman"/>
          <w:color w:val="auto"/>
          <w:kern w:val="2"/>
          <w:sz w:val="24"/>
          <w:szCs w:val="22"/>
          <w:highlight w:val="none"/>
          <w:lang w:val="en-US" w:eastAsia="zh-CN" w:bidi="ar-SA"/>
        </w:rPr>
        <w:t xml:space="preserve">粗铁粉用汽运方式送到选厂的原材料堆放场，粗铁粉通过皮带输送机送入球磨，由球磨机对粗铁粉研磨，经过球磨机研磨后再一次磁选，然后进入高频筛筛分，符合粒度的细矿粉直接进入二次磁选和三次磁选，不合格粒度再返回球磨，然后再进行磁选，磁选机产出铁精粉，送到铁粉池，最后进入成品堆放场，而剩余的尾矿则由泵打至干排车间进行压滤干排，干排尾矿暂存于干排车间，压滤水回用于选矿工序。工艺流程图如下。   </w:t>
      </w:r>
      <w:r>
        <w:rPr>
          <w:rFonts w:hint="eastAsia" w:ascii="Times New Roman" w:hAnsi="Times New Roman" w:eastAsia="宋体" w:cs="Times New Roman"/>
          <w:color w:val="auto"/>
          <w:highlight w:val="none"/>
          <w:lang w:val="en-US" w:eastAsia="zh-CN"/>
        </w:rPr>
        <w:drawing>
          <wp:inline distT="0" distB="0" distL="114300" distR="114300">
            <wp:extent cx="5473700" cy="6322695"/>
            <wp:effectExtent l="9525" t="9525" r="22225" b="11430"/>
            <wp:docPr id="208" name="图片 16" descr="695e26469929d335cb2e8bad672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6" descr="695e26469929d335cb2e8bad6727429"/>
                    <pic:cNvPicPr>
                      <a:picLocks noChangeAspect="1"/>
                    </pic:cNvPicPr>
                  </pic:nvPicPr>
                  <pic:blipFill>
                    <a:blip r:embed="rId36"/>
                    <a:stretch>
                      <a:fillRect/>
                    </a:stretch>
                  </pic:blipFill>
                  <pic:spPr>
                    <a:xfrm>
                      <a:off x="0" y="0"/>
                      <a:ext cx="5473700" cy="632269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1B323BF3">
      <w:pPr>
        <w:pStyle w:val="95"/>
        <w:keepNext w:val="0"/>
        <w:keepLines w:val="0"/>
        <w:pageBreakBefore w:val="0"/>
        <w:numPr>
          <w:ilvl w:val="0"/>
          <w:numId w:val="0"/>
        </w:numPr>
        <w:kinsoku/>
        <w:overflowPunct/>
        <w:topLinePunct w:val="0"/>
        <w:autoSpaceDE/>
        <w:autoSpaceDN/>
        <w:bidi w:val="0"/>
        <w:adjustRightInd/>
        <w:spacing w:line="360" w:lineRule="auto"/>
        <w:ind w:left="0" w:leftChars="0" w:firstLine="482" w:firstLineChars="200"/>
        <w:jc w:val="center"/>
        <w:rPr>
          <w:rFonts w:hint="eastAsia" w:cs="Times New Roman"/>
          <w:b/>
          <w:bCs/>
          <w:color w:val="auto"/>
          <w:kern w:val="2"/>
          <w:sz w:val="24"/>
          <w:szCs w:val="22"/>
          <w:highlight w:val="none"/>
          <w:lang w:val="en-US" w:eastAsia="zh-CN" w:bidi="ar-SA"/>
        </w:rPr>
      </w:pPr>
      <w:r>
        <w:rPr>
          <w:rFonts w:hint="eastAsia" w:cs="Times New Roman"/>
          <w:b/>
          <w:bCs/>
          <w:color w:val="auto"/>
          <w:kern w:val="2"/>
          <w:sz w:val="24"/>
          <w:szCs w:val="22"/>
          <w:highlight w:val="none"/>
          <w:lang w:val="en-US" w:eastAsia="zh-CN" w:bidi="ar-SA"/>
        </w:rPr>
        <w:t>图3.1-1 现有项目工艺流程及排污节点图</w:t>
      </w:r>
    </w:p>
    <w:p w14:paraId="512A3CB5">
      <w:pPr>
        <w:spacing w:line="360" w:lineRule="auto"/>
        <w:ind w:firstLine="482"/>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3.1-5</w:t>
      </w:r>
      <w:r>
        <w:rPr>
          <w:rFonts w:hint="eastAsia" w:ascii="Times New Roman" w:hAnsi="Times New Roman" w:eastAsia="宋体" w:cs="Times New Roman"/>
          <w:b/>
          <w:color w:val="auto"/>
          <w:kern w:val="2"/>
          <w:sz w:val="24"/>
          <w:szCs w:val="24"/>
          <w:lang w:val="en-US" w:eastAsia="zh-CN" w:bidi="ar-SA"/>
        </w:rPr>
        <w:t xml:space="preserve">    选矿生产过程产污环节一览表</w:t>
      </w:r>
    </w:p>
    <w:tbl>
      <w:tblPr>
        <w:tblStyle w:val="75"/>
        <w:tblW w:w="8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1521"/>
        <w:gridCol w:w="1336"/>
        <w:gridCol w:w="1196"/>
        <w:gridCol w:w="2887"/>
        <w:gridCol w:w="1095"/>
      </w:tblGrid>
      <w:tr w14:paraId="2E10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324" w:type="dxa"/>
            <w:gridSpan w:val="2"/>
            <w:noWrap w:val="0"/>
            <w:vAlign w:val="center"/>
          </w:tcPr>
          <w:p w14:paraId="7C985D26">
            <w:pPr>
              <w:jc w:val="center"/>
              <w:rPr>
                <w:rFonts w:hint="default" w:ascii="Times New Roman" w:hAnsi="Times New Roman" w:cs="Times New Roman"/>
                <w:b/>
                <w:color w:val="000000"/>
                <w:szCs w:val="21"/>
              </w:rPr>
            </w:pPr>
            <w:bookmarkStart w:id="38" w:name="_Toc476780232"/>
            <w:bookmarkEnd w:id="38"/>
            <w:r>
              <w:rPr>
                <w:rFonts w:hint="default" w:ascii="Times New Roman" w:hAnsi="Times New Roman" w:cs="Times New Roman"/>
                <w:b/>
                <w:color w:val="000000"/>
                <w:szCs w:val="21"/>
              </w:rPr>
              <w:t>生产设备/排放源</w:t>
            </w:r>
          </w:p>
        </w:tc>
        <w:tc>
          <w:tcPr>
            <w:tcW w:w="1336" w:type="dxa"/>
            <w:noWrap w:val="0"/>
            <w:vAlign w:val="center"/>
          </w:tcPr>
          <w:p w14:paraId="07E8D8C0">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主要</w:t>
            </w:r>
          </w:p>
          <w:p w14:paraId="7EFE79FB">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污染物</w:t>
            </w:r>
          </w:p>
        </w:tc>
        <w:tc>
          <w:tcPr>
            <w:tcW w:w="1196" w:type="dxa"/>
            <w:noWrap w:val="0"/>
            <w:vAlign w:val="center"/>
          </w:tcPr>
          <w:p w14:paraId="6E03B546">
            <w:pPr>
              <w:jc w:val="center"/>
              <w:rPr>
                <w:rFonts w:hint="eastAsia" w:ascii="Times New Roman" w:hAnsi="Times New Roman" w:eastAsia="宋体" w:cs="Times New Roman"/>
                <w:b/>
                <w:color w:val="000000"/>
                <w:szCs w:val="21"/>
                <w:lang w:eastAsia="zh-CN"/>
              </w:rPr>
            </w:pPr>
            <w:r>
              <w:rPr>
                <w:rFonts w:hint="default" w:ascii="Times New Roman" w:hAnsi="Times New Roman" w:cs="Times New Roman"/>
                <w:b/>
                <w:color w:val="000000"/>
                <w:szCs w:val="21"/>
              </w:rPr>
              <w:t>排放</w:t>
            </w:r>
            <w:r>
              <w:rPr>
                <w:rFonts w:hint="eastAsia" w:cs="Times New Roman"/>
                <w:b/>
                <w:color w:val="000000"/>
                <w:szCs w:val="21"/>
                <w:lang w:val="en-US" w:eastAsia="zh-CN"/>
              </w:rPr>
              <w:t>方式</w:t>
            </w:r>
          </w:p>
        </w:tc>
        <w:tc>
          <w:tcPr>
            <w:tcW w:w="2887" w:type="dxa"/>
            <w:noWrap w:val="0"/>
            <w:vAlign w:val="center"/>
          </w:tcPr>
          <w:p w14:paraId="6B80212F">
            <w:pPr>
              <w:jc w:val="center"/>
              <w:rPr>
                <w:rFonts w:hint="default" w:ascii="Times New Roman" w:hAnsi="Times New Roman" w:cs="Times New Roman"/>
                <w:b/>
                <w:color w:val="000000"/>
                <w:kern w:val="2"/>
                <w:sz w:val="21"/>
                <w:szCs w:val="21"/>
                <w:lang w:val="en-US" w:eastAsia="zh-CN" w:bidi="ar-SA"/>
              </w:rPr>
            </w:pPr>
            <w:r>
              <w:rPr>
                <w:rFonts w:hint="default" w:ascii="Times New Roman" w:hAnsi="Times New Roman" w:cs="Times New Roman"/>
                <w:b/>
                <w:color w:val="000000"/>
                <w:szCs w:val="21"/>
              </w:rPr>
              <w:t>治理设施/处理处置方式</w:t>
            </w:r>
          </w:p>
        </w:tc>
        <w:tc>
          <w:tcPr>
            <w:tcW w:w="1095" w:type="dxa"/>
            <w:noWrap w:val="0"/>
            <w:vAlign w:val="center"/>
          </w:tcPr>
          <w:p w14:paraId="578AA038">
            <w:pPr>
              <w:jc w:val="center"/>
              <w:rPr>
                <w:rFonts w:hint="default" w:ascii="Times New Roman" w:hAnsi="Times New Roman" w:cs="Times New Roman"/>
                <w:b/>
                <w:color w:val="000000"/>
                <w:szCs w:val="21"/>
              </w:rPr>
            </w:pPr>
            <w:r>
              <w:rPr>
                <w:rFonts w:hint="default" w:ascii="Times New Roman" w:hAnsi="Times New Roman" w:cs="Times New Roman"/>
                <w:b/>
                <w:color w:val="000000"/>
                <w:szCs w:val="21"/>
              </w:rPr>
              <w:t>去向</w:t>
            </w:r>
          </w:p>
        </w:tc>
      </w:tr>
      <w:tr w14:paraId="53AA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3" w:type="dxa"/>
            <w:vMerge w:val="restart"/>
            <w:noWrap w:val="0"/>
            <w:vAlign w:val="center"/>
          </w:tcPr>
          <w:p w14:paraId="382EDF80">
            <w:pPr>
              <w:jc w:val="center"/>
              <w:rPr>
                <w:rFonts w:hint="eastAsia" w:ascii="Times New Roman" w:hAnsi="Times New Roman" w:eastAsia="宋体" w:cs="Times New Roman"/>
                <w:color w:val="FF0000"/>
                <w:szCs w:val="21"/>
                <w:lang w:val="en-US" w:eastAsia="zh-CN"/>
              </w:rPr>
            </w:pPr>
            <w:r>
              <w:rPr>
                <w:rFonts w:hint="eastAsia" w:ascii="Times New Roman" w:hAnsi="Times New Roman" w:cs="Times New Roman"/>
                <w:color w:val="000000"/>
                <w:szCs w:val="21"/>
                <w:lang w:val="en-US" w:eastAsia="zh-CN"/>
              </w:rPr>
              <w:t>废气</w:t>
            </w:r>
          </w:p>
        </w:tc>
        <w:tc>
          <w:tcPr>
            <w:tcW w:w="1521" w:type="dxa"/>
            <w:noWrap w:val="0"/>
            <w:vAlign w:val="center"/>
          </w:tcPr>
          <w:p w14:paraId="1D072B3B">
            <w:pPr>
              <w:widowControl w:val="0"/>
              <w:spacing w:line="240" w:lineRule="auto"/>
              <w:ind w:firstLine="0" w:firstLineChars="0"/>
              <w:jc w:val="center"/>
              <w:rPr>
                <w:rFonts w:hint="default"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破碎区</w:t>
            </w:r>
          </w:p>
        </w:tc>
        <w:tc>
          <w:tcPr>
            <w:tcW w:w="1336" w:type="dxa"/>
            <w:noWrap w:val="0"/>
            <w:vAlign w:val="center"/>
          </w:tcPr>
          <w:p w14:paraId="70A3B0AA">
            <w:pPr>
              <w:jc w:val="center"/>
              <w:rPr>
                <w:rFonts w:hint="default" w:ascii="Times New Roman" w:hAnsi="Times New Roman" w:cs="Times New Roman"/>
                <w:color w:val="000000"/>
                <w:kern w:val="0"/>
                <w:szCs w:val="21"/>
              </w:rPr>
            </w:pPr>
            <w:r>
              <w:rPr>
                <w:rFonts w:hint="default" w:ascii="Times New Roman" w:hAnsi="Times New Roman" w:cs="Times New Roman"/>
                <w:color w:val="000000"/>
                <w:kern w:val="0"/>
                <w:szCs w:val="21"/>
              </w:rPr>
              <w:t>颗粒物</w:t>
            </w:r>
          </w:p>
        </w:tc>
        <w:tc>
          <w:tcPr>
            <w:tcW w:w="1196" w:type="dxa"/>
            <w:noWrap w:val="0"/>
            <w:vAlign w:val="center"/>
          </w:tcPr>
          <w:p w14:paraId="7CC7A06B">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有组织</w:t>
            </w:r>
          </w:p>
        </w:tc>
        <w:tc>
          <w:tcPr>
            <w:tcW w:w="2887" w:type="dxa"/>
            <w:noWrap w:val="0"/>
            <w:vAlign w:val="center"/>
          </w:tcPr>
          <w:p w14:paraId="17C50181">
            <w:pPr>
              <w:widowControl w:val="0"/>
              <w:spacing w:line="240" w:lineRule="auto"/>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采用</w:t>
            </w:r>
            <w:r>
              <w:rPr>
                <w:rFonts w:hint="default" w:ascii="Times New Roman" w:hAnsi="Times New Roman" w:eastAsia="宋体" w:cs="Times New Roman"/>
                <w:b w:val="0"/>
                <w:color w:val="auto"/>
                <w:kern w:val="2"/>
                <w:sz w:val="21"/>
                <w:szCs w:val="20"/>
                <w:lang w:val="en-US" w:eastAsia="zh-CN" w:bidi="ar-SA"/>
              </w:rPr>
              <w:t>布袋除尘器</w:t>
            </w:r>
            <w:r>
              <w:rPr>
                <w:rFonts w:hint="eastAsia" w:cs="Times New Roman"/>
                <w:b w:val="0"/>
                <w:color w:val="auto"/>
                <w:kern w:val="2"/>
                <w:sz w:val="21"/>
                <w:szCs w:val="20"/>
                <w:lang w:val="en-US" w:eastAsia="zh-CN" w:bidi="ar-SA"/>
              </w:rPr>
              <w:t>（TA001）</w:t>
            </w:r>
            <w:r>
              <w:rPr>
                <w:rFonts w:hint="default" w:ascii="Times New Roman" w:hAnsi="Times New Roman" w:eastAsia="宋体" w:cs="Times New Roman"/>
                <w:b w:val="0"/>
                <w:color w:val="auto"/>
                <w:kern w:val="2"/>
                <w:sz w:val="21"/>
                <w:szCs w:val="20"/>
                <w:lang w:val="en-US" w:eastAsia="zh-CN" w:bidi="ar-SA"/>
              </w:rPr>
              <w:t>处理后通过</w:t>
            </w:r>
            <w:r>
              <w:rPr>
                <w:rFonts w:hint="eastAsia" w:cs="Times New Roman"/>
                <w:b w:val="0"/>
                <w:color w:val="auto"/>
                <w:kern w:val="2"/>
                <w:sz w:val="21"/>
                <w:szCs w:val="20"/>
                <w:lang w:val="en-US" w:eastAsia="zh-CN" w:bidi="ar-SA"/>
              </w:rPr>
              <w:t>1</w:t>
            </w:r>
            <w:r>
              <w:rPr>
                <w:rFonts w:hint="default" w:ascii="Times New Roman" w:hAnsi="Times New Roman" w:eastAsia="宋体" w:cs="Times New Roman"/>
                <w:b w:val="0"/>
                <w:color w:val="auto"/>
                <w:kern w:val="2"/>
                <w:sz w:val="21"/>
                <w:szCs w:val="20"/>
                <w:lang w:val="en-US" w:eastAsia="zh-CN" w:bidi="ar-SA"/>
              </w:rPr>
              <w:t>根</w:t>
            </w:r>
            <w:r>
              <w:rPr>
                <w:rFonts w:hint="eastAsia" w:cs="Times New Roman"/>
                <w:b w:val="0"/>
                <w:color w:val="auto"/>
                <w:kern w:val="2"/>
                <w:sz w:val="21"/>
                <w:szCs w:val="20"/>
                <w:lang w:val="en-US" w:eastAsia="zh-CN" w:bidi="ar-SA"/>
              </w:rPr>
              <w:t>15m高</w:t>
            </w:r>
            <w:r>
              <w:rPr>
                <w:rFonts w:hint="default" w:ascii="Times New Roman" w:hAnsi="Times New Roman" w:eastAsia="宋体" w:cs="Times New Roman"/>
                <w:b w:val="0"/>
                <w:color w:val="auto"/>
                <w:kern w:val="2"/>
                <w:sz w:val="21"/>
                <w:szCs w:val="20"/>
                <w:lang w:val="en-US" w:eastAsia="zh-CN" w:bidi="ar-SA"/>
              </w:rPr>
              <w:t>排气筒</w:t>
            </w:r>
            <w:r>
              <w:rPr>
                <w:rFonts w:hint="eastAsia" w:cs="Times New Roman"/>
                <w:b w:val="0"/>
                <w:color w:val="auto"/>
                <w:kern w:val="2"/>
                <w:sz w:val="21"/>
                <w:szCs w:val="20"/>
                <w:lang w:val="en-US" w:eastAsia="zh-CN" w:bidi="ar-SA"/>
              </w:rPr>
              <w:t>（DA001）有组织排放。</w:t>
            </w:r>
          </w:p>
        </w:tc>
        <w:tc>
          <w:tcPr>
            <w:tcW w:w="1095" w:type="dxa"/>
            <w:vMerge w:val="restart"/>
            <w:noWrap w:val="0"/>
            <w:vAlign w:val="center"/>
          </w:tcPr>
          <w:p w14:paraId="5DA80541">
            <w:pPr>
              <w:jc w:val="center"/>
              <w:rPr>
                <w:rFonts w:hint="default" w:ascii="Times New Roman" w:hAnsi="Times New Roman" w:cs="Times New Roman"/>
                <w:color w:val="FF0000"/>
                <w:lang w:val="en-US" w:eastAsia="zh-CN"/>
              </w:rPr>
            </w:pPr>
            <w:r>
              <w:rPr>
                <w:rFonts w:hint="eastAsia" w:ascii="Times New Roman" w:hAnsi="Times New Roman" w:cs="Times New Roman"/>
                <w:color w:val="000000"/>
                <w:lang w:val="en-US" w:eastAsia="zh-CN"/>
              </w:rPr>
              <w:t>大气环境</w:t>
            </w:r>
          </w:p>
        </w:tc>
      </w:tr>
      <w:tr w14:paraId="7940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03" w:type="dxa"/>
            <w:vMerge w:val="continue"/>
            <w:noWrap w:val="0"/>
            <w:vAlign w:val="center"/>
          </w:tcPr>
          <w:p w14:paraId="3FCCFDF9">
            <w:pPr>
              <w:jc w:val="center"/>
              <w:rPr>
                <w:rFonts w:hint="eastAsia" w:ascii="Times New Roman" w:hAnsi="Times New Roman" w:eastAsia="宋体" w:cs="Times New Roman"/>
                <w:color w:val="FF0000"/>
                <w:szCs w:val="21"/>
                <w:lang w:val="en-US" w:eastAsia="zh-CN"/>
              </w:rPr>
            </w:pPr>
          </w:p>
        </w:tc>
        <w:tc>
          <w:tcPr>
            <w:tcW w:w="1521" w:type="dxa"/>
            <w:noWrap w:val="0"/>
            <w:vAlign w:val="center"/>
          </w:tcPr>
          <w:p w14:paraId="4060E481">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eastAsia="宋体" w:cs="Times New Roman"/>
                <w:b w:val="0"/>
                <w:color w:val="auto"/>
                <w:kern w:val="2"/>
                <w:sz w:val="21"/>
                <w:szCs w:val="20"/>
                <w:lang w:val="en-US" w:eastAsia="zh-CN" w:bidi="ar-SA"/>
              </w:rPr>
              <w:t>球磨、磁选</w:t>
            </w:r>
          </w:p>
        </w:tc>
        <w:tc>
          <w:tcPr>
            <w:tcW w:w="1336" w:type="dxa"/>
            <w:noWrap w:val="0"/>
            <w:vAlign w:val="center"/>
          </w:tcPr>
          <w:p w14:paraId="707665F4">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kern w:val="0"/>
                <w:szCs w:val="21"/>
              </w:rPr>
              <w:t>颗粒物</w:t>
            </w:r>
          </w:p>
        </w:tc>
        <w:tc>
          <w:tcPr>
            <w:tcW w:w="1196" w:type="dxa"/>
            <w:noWrap w:val="0"/>
            <w:vAlign w:val="center"/>
          </w:tcPr>
          <w:p w14:paraId="26FE5C7A">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有组织</w:t>
            </w:r>
          </w:p>
        </w:tc>
        <w:tc>
          <w:tcPr>
            <w:tcW w:w="2887" w:type="dxa"/>
            <w:noWrap w:val="0"/>
            <w:vAlign w:val="center"/>
          </w:tcPr>
          <w:p w14:paraId="1BEBBA9F">
            <w:pPr>
              <w:widowControl w:val="0"/>
              <w:spacing w:line="240" w:lineRule="auto"/>
              <w:jc w:val="center"/>
              <w:rPr>
                <w:rFonts w:hint="default" w:ascii="Times New Roman" w:hAnsi="Times New Roman" w:eastAsia="宋体" w:cs="Times New Roman"/>
                <w:color w:val="FF0000"/>
                <w:kern w:val="2"/>
                <w:sz w:val="21"/>
                <w:szCs w:val="21"/>
                <w:lang w:val="en-US" w:eastAsia="zh-CN" w:bidi="ar-SA"/>
              </w:rPr>
            </w:pPr>
            <w:r>
              <w:rPr>
                <w:rFonts w:hint="eastAsia" w:cs="Times New Roman"/>
                <w:b w:val="0"/>
                <w:color w:val="auto"/>
                <w:kern w:val="2"/>
                <w:sz w:val="21"/>
                <w:szCs w:val="20"/>
                <w:lang w:val="en-US" w:eastAsia="zh-CN" w:bidi="ar-SA"/>
              </w:rPr>
              <w:t>采用</w:t>
            </w:r>
            <w:r>
              <w:rPr>
                <w:rFonts w:hint="default" w:ascii="Times New Roman" w:hAnsi="Times New Roman" w:eastAsia="宋体" w:cs="Times New Roman"/>
                <w:b w:val="0"/>
                <w:color w:val="auto"/>
                <w:kern w:val="2"/>
                <w:sz w:val="21"/>
                <w:szCs w:val="20"/>
                <w:lang w:val="en-US" w:eastAsia="zh-CN" w:bidi="ar-SA"/>
              </w:rPr>
              <w:t>布袋除尘器</w:t>
            </w:r>
            <w:r>
              <w:rPr>
                <w:rFonts w:hint="eastAsia" w:cs="Times New Roman"/>
                <w:b w:val="0"/>
                <w:color w:val="auto"/>
                <w:kern w:val="2"/>
                <w:sz w:val="21"/>
                <w:szCs w:val="20"/>
                <w:lang w:val="en-US" w:eastAsia="zh-CN" w:bidi="ar-SA"/>
              </w:rPr>
              <w:t>（TA002）</w:t>
            </w:r>
            <w:r>
              <w:rPr>
                <w:rFonts w:hint="default" w:ascii="Times New Roman" w:hAnsi="Times New Roman" w:eastAsia="宋体" w:cs="Times New Roman"/>
                <w:b w:val="0"/>
                <w:color w:val="auto"/>
                <w:kern w:val="2"/>
                <w:sz w:val="21"/>
                <w:szCs w:val="20"/>
                <w:lang w:val="en-US" w:eastAsia="zh-CN" w:bidi="ar-SA"/>
              </w:rPr>
              <w:t>处理后通过</w:t>
            </w:r>
            <w:r>
              <w:rPr>
                <w:rFonts w:hint="eastAsia" w:cs="Times New Roman"/>
                <w:b w:val="0"/>
                <w:color w:val="auto"/>
                <w:kern w:val="2"/>
                <w:sz w:val="21"/>
                <w:szCs w:val="20"/>
                <w:lang w:val="en-US" w:eastAsia="zh-CN" w:bidi="ar-SA"/>
              </w:rPr>
              <w:t>1</w:t>
            </w:r>
            <w:r>
              <w:rPr>
                <w:rFonts w:hint="default" w:ascii="Times New Roman" w:hAnsi="Times New Roman" w:eastAsia="宋体" w:cs="Times New Roman"/>
                <w:b w:val="0"/>
                <w:color w:val="auto"/>
                <w:kern w:val="2"/>
                <w:sz w:val="21"/>
                <w:szCs w:val="20"/>
                <w:lang w:val="en-US" w:eastAsia="zh-CN" w:bidi="ar-SA"/>
              </w:rPr>
              <w:t>根</w:t>
            </w:r>
            <w:r>
              <w:rPr>
                <w:rFonts w:hint="eastAsia" w:cs="Times New Roman"/>
                <w:b w:val="0"/>
                <w:color w:val="auto"/>
                <w:kern w:val="2"/>
                <w:sz w:val="21"/>
                <w:szCs w:val="20"/>
                <w:lang w:val="en-US" w:eastAsia="zh-CN" w:bidi="ar-SA"/>
              </w:rPr>
              <w:t>15m高</w:t>
            </w:r>
            <w:r>
              <w:rPr>
                <w:rFonts w:hint="default" w:ascii="Times New Roman" w:hAnsi="Times New Roman" w:eastAsia="宋体" w:cs="Times New Roman"/>
                <w:b w:val="0"/>
                <w:color w:val="auto"/>
                <w:kern w:val="2"/>
                <w:sz w:val="21"/>
                <w:szCs w:val="20"/>
                <w:lang w:val="en-US" w:eastAsia="zh-CN" w:bidi="ar-SA"/>
              </w:rPr>
              <w:t>排气筒</w:t>
            </w:r>
            <w:r>
              <w:rPr>
                <w:rFonts w:hint="eastAsia" w:cs="Times New Roman"/>
                <w:b w:val="0"/>
                <w:color w:val="auto"/>
                <w:kern w:val="2"/>
                <w:sz w:val="21"/>
                <w:szCs w:val="20"/>
                <w:lang w:val="en-US" w:eastAsia="zh-CN" w:bidi="ar-SA"/>
              </w:rPr>
              <w:t>（DA002）有组织排放。</w:t>
            </w:r>
          </w:p>
        </w:tc>
        <w:tc>
          <w:tcPr>
            <w:tcW w:w="1095" w:type="dxa"/>
            <w:vMerge w:val="continue"/>
            <w:noWrap w:val="0"/>
            <w:vAlign w:val="center"/>
          </w:tcPr>
          <w:p w14:paraId="38513C9D">
            <w:pPr>
              <w:jc w:val="center"/>
              <w:rPr>
                <w:rFonts w:hint="default" w:ascii="Times New Roman" w:hAnsi="Times New Roman" w:cs="Times New Roman"/>
                <w:color w:val="FF0000"/>
                <w:lang w:val="en-US" w:eastAsia="zh-CN"/>
              </w:rPr>
            </w:pPr>
          </w:p>
        </w:tc>
      </w:tr>
      <w:tr w14:paraId="6CB9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Merge w:val="continue"/>
            <w:noWrap w:val="0"/>
            <w:vAlign w:val="center"/>
          </w:tcPr>
          <w:p w14:paraId="1EB4DD4A">
            <w:pPr>
              <w:jc w:val="center"/>
              <w:rPr>
                <w:rFonts w:hint="default" w:ascii="Times New Roman" w:hAnsi="Times New Roman" w:cs="Times New Roman"/>
                <w:color w:val="FF0000"/>
                <w:szCs w:val="21"/>
              </w:rPr>
            </w:pPr>
          </w:p>
        </w:tc>
        <w:tc>
          <w:tcPr>
            <w:tcW w:w="1521" w:type="dxa"/>
            <w:noWrap w:val="0"/>
            <w:vAlign w:val="center"/>
          </w:tcPr>
          <w:p w14:paraId="4F38FF5D">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b w:val="0"/>
                <w:color w:val="auto"/>
                <w:kern w:val="2"/>
                <w:sz w:val="21"/>
                <w:szCs w:val="20"/>
                <w:lang w:val="en-US" w:eastAsia="zh-CN" w:bidi="ar-SA"/>
              </w:rPr>
              <w:t>皮带输送</w:t>
            </w:r>
          </w:p>
        </w:tc>
        <w:tc>
          <w:tcPr>
            <w:tcW w:w="1336" w:type="dxa"/>
            <w:noWrap w:val="0"/>
            <w:vAlign w:val="center"/>
          </w:tcPr>
          <w:p w14:paraId="5DE210A3">
            <w:pPr>
              <w:jc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cs="Times New Roman"/>
                <w:color w:val="000000"/>
                <w:kern w:val="0"/>
                <w:szCs w:val="21"/>
                <w:lang w:val="en-US" w:eastAsia="zh-CN"/>
              </w:rPr>
              <w:t>颗粒物</w:t>
            </w:r>
          </w:p>
        </w:tc>
        <w:tc>
          <w:tcPr>
            <w:tcW w:w="1196" w:type="dxa"/>
            <w:noWrap w:val="0"/>
            <w:vAlign w:val="center"/>
          </w:tcPr>
          <w:p w14:paraId="51E84C5C">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color w:val="000000"/>
                <w:szCs w:val="21"/>
                <w:lang w:val="en-US" w:eastAsia="zh-CN"/>
              </w:rPr>
              <w:t>无组织</w:t>
            </w:r>
          </w:p>
        </w:tc>
        <w:tc>
          <w:tcPr>
            <w:tcW w:w="2887" w:type="dxa"/>
            <w:noWrap w:val="0"/>
            <w:vAlign w:val="center"/>
          </w:tcPr>
          <w:p w14:paraId="0D82C798">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SA"/>
              </w:rPr>
            </w:pPr>
            <w:r>
              <w:rPr>
                <w:rFonts w:hint="eastAsia" w:cs="Times New Roman"/>
                <w:b w:val="0"/>
                <w:color w:val="auto"/>
                <w:kern w:val="2"/>
                <w:sz w:val="21"/>
                <w:szCs w:val="20"/>
                <w:lang w:val="en-US" w:eastAsia="zh-CN" w:bidi="ar-SA"/>
              </w:rPr>
              <w:t>输送过程全密闭。</w:t>
            </w:r>
          </w:p>
        </w:tc>
        <w:tc>
          <w:tcPr>
            <w:tcW w:w="1095" w:type="dxa"/>
            <w:vMerge w:val="continue"/>
            <w:noWrap w:val="0"/>
            <w:vAlign w:val="center"/>
          </w:tcPr>
          <w:p w14:paraId="0D9F1F32">
            <w:pPr>
              <w:jc w:val="center"/>
              <w:rPr>
                <w:rFonts w:hint="default" w:ascii="Times New Roman" w:hAnsi="Times New Roman" w:cs="Times New Roman"/>
                <w:color w:val="FF0000"/>
                <w:lang w:val="en-US" w:eastAsia="zh-CN"/>
              </w:rPr>
            </w:pPr>
          </w:p>
        </w:tc>
      </w:tr>
      <w:tr w14:paraId="78DC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Merge w:val="continue"/>
            <w:noWrap w:val="0"/>
            <w:vAlign w:val="center"/>
          </w:tcPr>
          <w:p w14:paraId="287F9D05">
            <w:pPr>
              <w:jc w:val="center"/>
              <w:rPr>
                <w:rFonts w:hint="default" w:ascii="Times New Roman" w:hAnsi="Times New Roman" w:cs="Times New Roman"/>
                <w:color w:val="FF0000"/>
                <w:szCs w:val="21"/>
              </w:rPr>
            </w:pPr>
          </w:p>
        </w:tc>
        <w:tc>
          <w:tcPr>
            <w:tcW w:w="1521" w:type="dxa"/>
            <w:noWrap w:val="0"/>
            <w:vAlign w:val="center"/>
          </w:tcPr>
          <w:p w14:paraId="26F8A83E">
            <w:pPr>
              <w:widowControl w:val="0"/>
              <w:spacing w:line="240" w:lineRule="auto"/>
              <w:ind w:firstLine="0" w:firstLineChars="0"/>
              <w:jc w:val="center"/>
              <w:rPr>
                <w:rFonts w:hint="default" w:hAnsi="宋体" w:eastAsia="宋体"/>
                <w:color w:val="000000"/>
                <w:szCs w:val="21"/>
                <w:lang w:val="en-US" w:eastAsia="zh-CN"/>
              </w:rPr>
            </w:pPr>
            <w:r>
              <w:rPr>
                <w:rFonts w:hint="eastAsia" w:cs="Times New Roman"/>
                <w:b w:val="0"/>
                <w:color w:val="auto"/>
                <w:kern w:val="2"/>
                <w:sz w:val="21"/>
                <w:szCs w:val="20"/>
                <w:lang w:val="en-US" w:eastAsia="zh-CN" w:bidi="ar-SA"/>
              </w:rPr>
              <w:t>道路</w:t>
            </w:r>
            <w:r>
              <w:rPr>
                <w:rFonts w:hint="eastAsia" w:ascii="Times New Roman" w:hAnsi="Times New Roman" w:eastAsia="宋体" w:cs="Times New Roman"/>
                <w:b w:val="0"/>
                <w:color w:val="auto"/>
                <w:kern w:val="2"/>
                <w:sz w:val="21"/>
                <w:szCs w:val="20"/>
                <w:lang w:val="en-US" w:eastAsia="zh-CN" w:bidi="ar-SA"/>
              </w:rPr>
              <w:t>运输</w:t>
            </w:r>
          </w:p>
        </w:tc>
        <w:tc>
          <w:tcPr>
            <w:tcW w:w="1336" w:type="dxa"/>
            <w:noWrap w:val="0"/>
            <w:vAlign w:val="center"/>
          </w:tcPr>
          <w:p w14:paraId="685343F3">
            <w:pPr>
              <w:jc w:val="center"/>
              <w:rPr>
                <w:rFonts w:hint="default"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颗粒物</w:t>
            </w:r>
          </w:p>
        </w:tc>
        <w:tc>
          <w:tcPr>
            <w:tcW w:w="1196" w:type="dxa"/>
            <w:noWrap w:val="0"/>
            <w:vAlign w:val="center"/>
          </w:tcPr>
          <w:p w14:paraId="71CCB782">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无组织</w:t>
            </w:r>
          </w:p>
        </w:tc>
        <w:tc>
          <w:tcPr>
            <w:tcW w:w="2887" w:type="dxa"/>
            <w:noWrap w:val="0"/>
            <w:vAlign w:val="center"/>
          </w:tcPr>
          <w:p w14:paraId="17ACA2CC">
            <w:pPr>
              <w:widowControl w:val="0"/>
              <w:spacing w:line="240" w:lineRule="auto"/>
              <w:ind w:firstLine="0" w:firstLineChars="0"/>
              <w:jc w:val="center"/>
              <w:rPr>
                <w:rFonts w:hint="default"/>
                <w:color w:val="000000"/>
                <w:szCs w:val="21"/>
                <w:lang w:val="en-US" w:eastAsia="zh-CN"/>
              </w:rPr>
            </w:pPr>
            <w:r>
              <w:rPr>
                <w:rFonts w:hint="eastAsia" w:cs="Times New Roman"/>
                <w:b w:val="0"/>
                <w:color w:val="auto"/>
                <w:kern w:val="2"/>
                <w:sz w:val="21"/>
                <w:szCs w:val="20"/>
                <w:lang w:val="en-US" w:eastAsia="zh-CN" w:bidi="ar-SA"/>
              </w:rPr>
              <w:t>车辆采用苫布遮盖、道路洒水降尘。</w:t>
            </w:r>
          </w:p>
        </w:tc>
        <w:tc>
          <w:tcPr>
            <w:tcW w:w="1095" w:type="dxa"/>
            <w:vMerge w:val="continue"/>
            <w:noWrap w:val="0"/>
            <w:vAlign w:val="center"/>
          </w:tcPr>
          <w:p w14:paraId="371C0803">
            <w:pPr>
              <w:jc w:val="center"/>
              <w:rPr>
                <w:rFonts w:hint="default" w:ascii="Times New Roman" w:hAnsi="Times New Roman" w:cs="Times New Roman"/>
                <w:color w:val="FF0000"/>
                <w:lang w:val="en-US" w:eastAsia="zh-CN"/>
              </w:rPr>
            </w:pPr>
          </w:p>
        </w:tc>
      </w:tr>
      <w:tr w14:paraId="124E8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Merge w:val="continue"/>
            <w:noWrap w:val="0"/>
            <w:vAlign w:val="center"/>
          </w:tcPr>
          <w:p w14:paraId="677F7DA3">
            <w:pPr>
              <w:jc w:val="center"/>
              <w:rPr>
                <w:rFonts w:hint="default" w:ascii="Times New Roman" w:hAnsi="Times New Roman" w:cs="Times New Roman"/>
                <w:color w:val="FF0000"/>
                <w:szCs w:val="21"/>
              </w:rPr>
            </w:pPr>
          </w:p>
        </w:tc>
        <w:tc>
          <w:tcPr>
            <w:tcW w:w="1521" w:type="dxa"/>
            <w:noWrap w:val="0"/>
            <w:vAlign w:val="center"/>
          </w:tcPr>
          <w:p w14:paraId="1F658A8D">
            <w:pPr>
              <w:widowControl w:val="0"/>
              <w:spacing w:line="240" w:lineRule="auto"/>
              <w:ind w:firstLine="0" w:firstLineChars="0"/>
              <w:jc w:val="center"/>
              <w:rPr>
                <w:rFonts w:hint="default" w:hAnsi="宋体" w:eastAsia="宋体"/>
                <w:color w:val="000000"/>
                <w:szCs w:val="21"/>
                <w:lang w:val="en-US" w:eastAsia="zh-CN"/>
              </w:rPr>
            </w:pP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、中间料堆场装卸</w:t>
            </w:r>
          </w:p>
        </w:tc>
        <w:tc>
          <w:tcPr>
            <w:tcW w:w="1336" w:type="dxa"/>
            <w:noWrap w:val="0"/>
            <w:vAlign w:val="center"/>
          </w:tcPr>
          <w:p w14:paraId="0EDFAF25">
            <w:pPr>
              <w:jc w:val="center"/>
              <w:rPr>
                <w:rFonts w:hint="eastAsia"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颗粒物</w:t>
            </w:r>
          </w:p>
        </w:tc>
        <w:tc>
          <w:tcPr>
            <w:tcW w:w="1196" w:type="dxa"/>
            <w:noWrap w:val="0"/>
            <w:vAlign w:val="center"/>
          </w:tcPr>
          <w:p w14:paraId="2D09A09E">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无组织</w:t>
            </w:r>
          </w:p>
        </w:tc>
        <w:tc>
          <w:tcPr>
            <w:tcW w:w="2887" w:type="dxa"/>
            <w:noWrap w:val="0"/>
            <w:vAlign w:val="center"/>
          </w:tcPr>
          <w:p w14:paraId="4365E1F4">
            <w:pPr>
              <w:widowControl w:val="0"/>
              <w:spacing w:line="240" w:lineRule="auto"/>
              <w:ind w:firstLine="0" w:firstLineChars="0"/>
              <w:jc w:val="center"/>
              <w:rPr>
                <w:rFonts w:hint="eastAsia"/>
                <w:color w:val="000000"/>
                <w:szCs w:val="21"/>
                <w:lang w:val="en-US" w:eastAsia="zh-CN"/>
              </w:rPr>
            </w:pPr>
            <w:r>
              <w:rPr>
                <w:rFonts w:hint="eastAsia"/>
                <w:color w:val="000000" w:themeColor="text1"/>
                <w:szCs w:val="20"/>
                <w:lang w:val="en-US" w:eastAsia="zh-CN"/>
                <w14:textFill>
                  <w14:solidFill>
                    <w14:schemeClr w14:val="tx1"/>
                  </w14:solidFill>
                </w14:textFill>
              </w:rPr>
              <w:t>采取</w:t>
            </w:r>
            <w:r>
              <w:rPr>
                <w:rFonts w:hint="eastAsia"/>
                <w:color w:val="000000" w:themeColor="text1"/>
                <w:szCs w:val="20"/>
                <w14:textFill>
                  <w14:solidFill>
                    <w14:schemeClr w14:val="tx1"/>
                  </w14:solidFill>
                </w14:textFill>
              </w:rPr>
              <w:t>洒水抑尘</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降低装卸高度、苫布苫盖等措施。</w:t>
            </w:r>
          </w:p>
        </w:tc>
        <w:tc>
          <w:tcPr>
            <w:tcW w:w="1095" w:type="dxa"/>
            <w:vMerge w:val="continue"/>
            <w:noWrap w:val="0"/>
            <w:vAlign w:val="center"/>
          </w:tcPr>
          <w:p w14:paraId="216D5D47">
            <w:pPr>
              <w:jc w:val="center"/>
              <w:rPr>
                <w:rFonts w:hint="default" w:ascii="Times New Roman" w:hAnsi="Times New Roman" w:cs="Times New Roman"/>
                <w:color w:val="FF0000"/>
                <w:lang w:val="en-US" w:eastAsia="zh-CN"/>
              </w:rPr>
            </w:pPr>
          </w:p>
        </w:tc>
      </w:tr>
      <w:tr w14:paraId="0C41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Merge w:val="continue"/>
            <w:noWrap w:val="0"/>
            <w:vAlign w:val="center"/>
          </w:tcPr>
          <w:p w14:paraId="05BA66B1">
            <w:pPr>
              <w:jc w:val="center"/>
              <w:rPr>
                <w:rFonts w:hint="default" w:ascii="Times New Roman" w:hAnsi="Times New Roman" w:cs="Times New Roman"/>
                <w:color w:val="FF0000"/>
                <w:szCs w:val="21"/>
              </w:rPr>
            </w:pPr>
          </w:p>
        </w:tc>
        <w:tc>
          <w:tcPr>
            <w:tcW w:w="1521" w:type="dxa"/>
            <w:noWrap w:val="0"/>
            <w:vAlign w:val="center"/>
          </w:tcPr>
          <w:p w14:paraId="419D49A5">
            <w:pPr>
              <w:widowControl w:val="0"/>
              <w:spacing w:line="240" w:lineRule="auto"/>
              <w:ind w:firstLine="0" w:firstLineChars="0"/>
              <w:jc w:val="center"/>
              <w:rPr>
                <w:rFonts w:hint="eastAsia" w:hAnsi="宋体" w:eastAsia="宋体"/>
                <w:color w:val="000000"/>
                <w:szCs w:val="21"/>
                <w:lang w:val="en-US" w:eastAsia="zh-CN"/>
              </w:rPr>
            </w:pPr>
            <w:r>
              <w:rPr>
                <w:rFonts w:hint="eastAsia" w:cs="Times New Roman"/>
                <w:b w:val="0"/>
                <w:color w:val="auto"/>
                <w:kern w:val="2"/>
                <w:sz w:val="21"/>
                <w:szCs w:val="20"/>
                <w:lang w:val="en-US" w:eastAsia="zh-CN" w:bidi="ar-SA"/>
              </w:rPr>
              <w:t>成品</w:t>
            </w:r>
            <w:r>
              <w:rPr>
                <w:rFonts w:hint="eastAsia" w:eastAsia="宋体" w:cs="Times New Roman"/>
                <w:b w:val="0"/>
                <w:color w:val="auto"/>
                <w:kern w:val="2"/>
                <w:sz w:val="21"/>
                <w:szCs w:val="20"/>
                <w:lang w:val="en-US" w:eastAsia="zh-CN" w:bidi="ar-SA"/>
              </w:rPr>
              <w:t>库房</w:t>
            </w:r>
            <w:r>
              <w:rPr>
                <w:rFonts w:hint="eastAsia" w:cs="Times New Roman"/>
                <w:b w:val="0"/>
                <w:color w:val="auto"/>
                <w:kern w:val="2"/>
                <w:sz w:val="21"/>
                <w:szCs w:val="20"/>
                <w:lang w:val="en-US" w:eastAsia="zh-CN" w:bidi="ar-SA"/>
              </w:rPr>
              <w:t>装卸</w:t>
            </w:r>
          </w:p>
        </w:tc>
        <w:tc>
          <w:tcPr>
            <w:tcW w:w="1336" w:type="dxa"/>
            <w:noWrap w:val="0"/>
            <w:vAlign w:val="center"/>
          </w:tcPr>
          <w:p w14:paraId="19D01AE9">
            <w:pPr>
              <w:jc w:val="center"/>
              <w:rPr>
                <w:rFonts w:hint="eastAsia"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颗粒物</w:t>
            </w:r>
          </w:p>
        </w:tc>
        <w:tc>
          <w:tcPr>
            <w:tcW w:w="1196" w:type="dxa"/>
            <w:noWrap w:val="0"/>
            <w:vAlign w:val="center"/>
          </w:tcPr>
          <w:p w14:paraId="2A505FD3">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无组织</w:t>
            </w:r>
          </w:p>
        </w:tc>
        <w:tc>
          <w:tcPr>
            <w:tcW w:w="2887" w:type="dxa"/>
            <w:noWrap w:val="0"/>
            <w:vAlign w:val="center"/>
          </w:tcPr>
          <w:p w14:paraId="456467B9">
            <w:pPr>
              <w:widowControl w:val="0"/>
              <w:spacing w:line="240" w:lineRule="auto"/>
              <w:ind w:firstLine="0" w:firstLineChars="0"/>
              <w:jc w:val="center"/>
              <w:rPr>
                <w:rFonts w:hint="eastAsia"/>
                <w:color w:val="000000"/>
                <w:szCs w:val="21"/>
                <w:lang w:val="en-US" w:eastAsia="zh-CN"/>
              </w:rPr>
            </w:pPr>
            <w:r>
              <w:rPr>
                <w:rFonts w:hint="eastAsia" w:cs="Times New Roman"/>
                <w:b w:val="0"/>
                <w:color w:val="auto"/>
                <w:kern w:val="2"/>
                <w:sz w:val="21"/>
                <w:szCs w:val="20"/>
                <w:lang w:val="en-US" w:eastAsia="zh-CN" w:bidi="ar-SA"/>
              </w:rPr>
              <w:t>库房全封闭。</w:t>
            </w:r>
          </w:p>
        </w:tc>
        <w:tc>
          <w:tcPr>
            <w:tcW w:w="1095" w:type="dxa"/>
            <w:vMerge w:val="continue"/>
            <w:noWrap w:val="0"/>
            <w:vAlign w:val="center"/>
          </w:tcPr>
          <w:p w14:paraId="6DAAD168">
            <w:pPr>
              <w:jc w:val="center"/>
              <w:rPr>
                <w:rFonts w:hint="default" w:ascii="Times New Roman" w:hAnsi="Times New Roman" w:cs="Times New Roman"/>
                <w:color w:val="FF0000"/>
                <w:lang w:val="en-US" w:eastAsia="zh-CN"/>
              </w:rPr>
            </w:pPr>
          </w:p>
        </w:tc>
      </w:tr>
      <w:tr w14:paraId="36E0C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3" w:type="dxa"/>
            <w:vMerge w:val="continue"/>
            <w:noWrap w:val="0"/>
            <w:vAlign w:val="center"/>
          </w:tcPr>
          <w:p w14:paraId="32AE7004">
            <w:pPr>
              <w:jc w:val="center"/>
              <w:rPr>
                <w:rFonts w:hint="default" w:ascii="Times New Roman" w:hAnsi="Times New Roman" w:cs="Times New Roman"/>
                <w:color w:val="FF0000"/>
                <w:szCs w:val="21"/>
              </w:rPr>
            </w:pPr>
          </w:p>
        </w:tc>
        <w:tc>
          <w:tcPr>
            <w:tcW w:w="1521" w:type="dxa"/>
            <w:noWrap w:val="0"/>
            <w:vAlign w:val="center"/>
          </w:tcPr>
          <w:p w14:paraId="7DA15352">
            <w:pPr>
              <w:widowControl w:val="0"/>
              <w:spacing w:line="240" w:lineRule="auto"/>
              <w:ind w:firstLine="0" w:firstLineChars="0"/>
              <w:jc w:val="center"/>
              <w:rPr>
                <w:rFonts w:hint="eastAsia" w:hAnsi="宋体" w:eastAsia="宋体"/>
                <w:color w:val="000000"/>
                <w:szCs w:val="21"/>
                <w:lang w:val="en-US" w:eastAsia="zh-CN"/>
              </w:rPr>
            </w:pPr>
            <w:r>
              <w:rPr>
                <w:rFonts w:hint="eastAsia" w:cs="Times New Roman"/>
                <w:b w:val="0"/>
                <w:color w:val="auto"/>
                <w:kern w:val="2"/>
                <w:sz w:val="21"/>
                <w:szCs w:val="20"/>
                <w:lang w:val="en-US" w:eastAsia="zh-CN" w:bidi="ar-SA"/>
              </w:rPr>
              <w:t>尾矿暂存</w:t>
            </w:r>
          </w:p>
        </w:tc>
        <w:tc>
          <w:tcPr>
            <w:tcW w:w="1336" w:type="dxa"/>
            <w:noWrap w:val="0"/>
            <w:vAlign w:val="center"/>
          </w:tcPr>
          <w:p w14:paraId="77EC5986">
            <w:pPr>
              <w:jc w:val="center"/>
              <w:rPr>
                <w:rFonts w:hint="eastAsia" w:ascii="Times New Roman" w:hAnsi="Times New Roman" w:cs="Times New Roman"/>
                <w:color w:val="000000"/>
                <w:kern w:val="0"/>
                <w:szCs w:val="21"/>
                <w:lang w:val="en-US" w:eastAsia="zh-CN"/>
              </w:rPr>
            </w:pPr>
            <w:r>
              <w:rPr>
                <w:rFonts w:hint="eastAsia" w:ascii="Times New Roman" w:hAnsi="Times New Roman" w:cs="Times New Roman"/>
                <w:color w:val="000000"/>
                <w:kern w:val="0"/>
                <w:szCs w:val="21"/>
                <w:lang w:val="en-US" w:eastAsia="zh-CN"/>
              </w:rPr>
              <w:t>颗粒物</w:t>
            </w:r>
          </w:p>
        </w:tc>
        <w:tc>
          <w:tcPr>
            <w:tcW w:w="1196" w:type="dxa"/>
            <w:noWrap w:val="0"/>
            <w:vAlign w:val="center"/>
          </w:tcPr>
          <w:p w14:paraId="4E80C691">
            <w:pPr>
              <w:jc w:val="center"/>
              <w:rPr>
                <w:rFonts w:hint="default" w:ascii="Times New Roman" w:hAnsi="Times New Roman" w:cs="Times New Roman"/>
                <w:color w:val="000000"/>
                <w:szCs w:val="21"/>
                <w:lang w:val="en-US" w:eastAsia="zh-CN"/>
              </w:rPr>
            </w:pPr>
            <w:r>
              <w:rPr>
                <w:rFonts w:hint="default" w:ascii="Times New Roman" w:hAnsi="Times New Roman" w:cs="Times New Roman"/>
                <w:color w:val="000000"/>
                <w:szCs w:val="21"/>
                <w:lang w:val="en-US" w:eastAsia="zh-CN"/>
              </w:rPr>
              <w:t>无组织</w:t>
            </w:r>
          </w:p>
        </w:tc>
        <w:tc>
          <w:tcPr>
            <w:tcW w:w="2887" w:type="dxa"/>
            <w:noWrap w:val="0"/>
            <w:vAlign w:val="center"/>
          </w:tcPr>
          <w:p w14:paraId="486847DA">
            <w:pPr>
              <w:widowControl w:val="0"/>
              <w:spacing w:line="240" w:lineRule="auto"/>
              <w:ind w:firstLine="0" w:firstLineChars="0"/>
              <w:jc w:val="center"/>
              <w:rPr>
                <w:rFonts w:hint="eastAsia"/>
                <w:color w:val="000000"/>
                <w:szCs w:val="21"/>
                <w:lang w:val="en-US" w:eastAsia="zh-CN"/>
              </w:rPr>
            </w:pPr>
            <w:r>
              <w:rPr>
                <w:rFonts w:hint="eastAsia" w:cs="Times New Roman"/>
                <w:b w:val="0"/>
                <w:color w:val="auto"/>
                <w:kern w:val="2"/>
                <w:sz w:val="21"/>
                <w:szCs w:val="20"/>
                <w:lang w:val="en-US" w:eastAsia="zh-CN" w:bidi="ar-SA"/>
              </w:rPr>
              <w:t>干排尾矿暂存于干排车间内，干排车间为全封闭结构，并</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、降低装卸高度等。</w:t>
            </w:r>
          </w:p>
        </w:tc>
        <w:tc>
          <w:tcPr>
            <w:tcW w:w="1095" w:type="dxa"/>
            <w:vMerge w:val="continue"/>
            <w:noWrap w:val="0"/>
            <w:vAlign w:val="center"/>
          </w:tcPr>
          <w:p w14:paraId="40062B3E">
            <w:pPr>
              <w:jc w:val="center"/>
              <w:rPr>
                <w:rFonts w:hint="default" w:ascii="Times New Roman" w:hAnsi="Times New Roman" w:cs="Times New Roman"/>
                <w:color w:val="FF0000"/>
                <w:lang w:val="en-US" w:eastAsia="zh-CN"/>
              </w:rPr>
            </w:pPr>
          </w:p>
        </w:tc>
      </w:tr>
      <w:tr w14:paraId="4DB93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noWrap w:val="0"/>
            <w:vAlign w:val="center"/>
          </w:tcPr>
          <w:p w14:paraId="5C9F2BF0">
            <w:pPr>
              <w:jc w:val="center"/>
              <w:rPr>
                <w:rFonts w:hint="eastAsia" w:ascii="Times New Roman" w:hAnsi="Times New Roman" w:eastAsia="宋体" w:cs="Times New Roman"/>
                <w:color w:val="000000"/>
                <w:szCs w:val="21"/>
                <w:lang w:val="en-US" w:eastAsia="zh-CN"/>
              </w:rPr>
            </w:pPr>
            <w:r>
              <w:rPr>
                <w:rFonts w:hint="eastAsia" w:cs="Times New Roman"/>
                <w:color w:val="000000"/>
                <w:szCs w:val="21"/>
                <w:lang w:val="en-US" w:eastAsia="zh-CN"/>
              </w:rPr>
              <w:t>废水</w:t>
            </w:r>
          </w:p>
        </w:tc>
        <w:tc>
          <w:tcPr>
            <w:tcW w:w="1521" w:type="dxa"/>
            <w:noWrap w:val="0"/>
            <w:vAlign w:val="center"/>
          </w:tcPr>
          <w:p w14:paraId="277E4A59">
            <w:pPr>
              <w:widowControl w:val="0"/>
              <w:spacing w:line="240" w:lineRule="auto"/>
              <w:ind w:firstLine="0" w:firstLineChars="0"/>
              <w:jc w:val="center"/>
              <w:rPr>
                <w:rFonts w:hint="eastAsia" w:cs="Times New Roman"/>
                <w:color w:val="000000"/>
                <w:szCs w:val="21"/>
                <w:lang w:val="en-US" w:eastAsia="zh-CN"/>
              </w:rPr>
            </w:pPr>
            <w:r>
              <w:rPr>
                <w:rFonts w:hint="default" w:ascii="Times New Roman" w:hAnsi="Times New Roman" w:eastAsia="宋体" w:cs="Times New Roman"/>
                <w:b w:val="0"/>
                <w:color w:val="auto"/>
                <w:kern w:val="2"/>
                <w:sz w:val="21"/>
                <w:szCs w:val="20"/>
                <w:lang w:val="en-US" w:eastAsia="zh-CN" w:bidi="ar-SA"/>
              </w:rPr>
              <w:t>选矿废水</w:t>
            </w:r>
          </w:p>
        </w:tc>
        <w:tc>
          <w:tcPr>
            <w:tcW w:w="1336" w:type="dxa"/>
            <w:noWrap w:val="0"/>
            <w:vAlign w:val="center"/>
          </w:tcPr>
          <w:p w14:paraId="0236539E">
            <w:pPr>
              <w:jc w:val="center"/>
              <w:rPr>
                <w:rFonts w:hint="default" w:cs="Times New Roman"/>
                <w:color w:val="000000"/>
                <w:szCs w:val="21"/>
                <w:lang w:val="en-US" w:eastAsia="zh-CN"/>
              </w:rPr>
            </w:pPr>
            <w:r>
              <w:rPr>
                <w:rFonts w:hint="eastAsia" w:cs="Times New Roman"/>
                <w:color w:val="000000"/>
                <w:szCs w:val="21"/>
                <w:lang w:val="en-US" w:eastAsia="zh-CN"/>
              </w:rPr>
              <w:t>SS、石油类、氨氮等</w:t>
            </w:r>
          </w:p>
        </w:tc>
        <w:tc>
          <w:tcPr>
            <w:tcW w:w="1196" w:type="dxa"/>
            <w:noWrap w:val="0"/>
            <w:vAlign w:val="center"/>
          </w:tcPr>
          <w:p w14:paraId="20046FCC">
            <w:pPr>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不外排</w:t>
            </w:r>
          </w:p>
        </w:tc>
        <w:tc>
          <w:tcPr>
            <w:tcW w:w="2887" w:type="dxa"/>
            <w:noWrap w:val="0"/>
            <w:vAlign w:val="center"/>
          </w:tcPr>
          <w:p w14:paraId="6B6D389D">
            <w:pPr>
              <w:widowControl w:val="0"/>
              <w:spacing w:line="240" w:lineRule="auto"/>
              <w:jc w:val="center"/>
              <w:rPr>
                <w:rFonts w:hint="default" w:ascii="Times New Roman" w:hAnsi="Times New Roman" w:cs="Times New Roman"/>
                <w:color w:val="000000"/>
                <w:szCs w:val="21"/>
              </w:rPr>
            </w:pPr>
            <w:r>
              <w:rPr>
                <w:rFonts w:hint="eastAsia" w:cs="Times New Roman"/>
                <w:b w:val="0"/>
                <w:color w:val="auto"/>
                <w:kern w:val="2"/>
                <w:sz w:val="21"/>
                <w:szCs w:val="22"/>
                <w:lang w:val="en-US" w:eastAsia="zh-CN" w:bidi="ar-SA"/>
              </w:rPr>
              <w:t>选矿废水经泵打入循环水池（</w:t>
            </w:r>
            <w:r>
              <w:rPr>
                <w:rFonts w:hint="eastAsia" w:cs="Times New Roman"/>
                <w:b w:val="0"/>
                <w:color w:val="auto"/>
                <w:kern w:val="2"/>
                <w:sz w:val="21"/>
                <w:szCs w:val="22"/>
                <w:highlight w:val="none"/>
                <w:lang w:val="en-US" w:eastAsia="zh-CN" w:bidi="ar-SA"/>
              </w:rPr>
              <w:t>2座，单个容积为1000m</w:t>
            </w:r>
            <w:r>
              <w:rPr>
                <w:rFonts w:hint="eastAsia" w:cs="Times New Roman"/>
                <w:b w:val="0"/>
                <w:color w:val="auto"/>
                <w:kern w:val="2"/>
                <w:sz w:val="21"/>
                <w:szCs w:val="22"/>
                <w:highlight w:val="none"/>
                <w:vertAlign w:val="superscript"/>
                <w:lang w:val="en-US" w:eastAsia="zh-CN" w:bidi="ar-SA"/>
              </w:rPr>
              <w:t>2</w:t>
            </w:r>
            <w:r>
              <w:rPr>
                <w:rFonts w:hint="eastAsia" w:cs="Times New Roman"/>
                <w:b w:val="0"/>
                <w:color w:val="auto"/>
                <w:kern w:val="2"/>
                <w:sz w:val="21"/>
                <w:szCs w:val="22"/>
                <w:lang w:val="en-US" w:eastAsia="zh-CN" w:bidi="ar-SA"/>
              </w:rPr>
              <w:t>）回用于选矿工艺</w:t>
            </w:r>
            <w:r>
              <w:rPr>
                <w:rFonts w:hint="eastAsia" w:cs="Times New Roman"/>
                <w:b w:val="0"/>
                <w:color w:val="auto"/>
                <w:kern w:val="2"/>
                <w:sz w:val="21"/>
                <w:szCs w:val="22"/>
                <w:highlight w:val="none"/>
                <w:lang w:val="en-US" w:eastAsia="zh-CN" w:bidi="ar-SA"/>
              </w:rPr>
              <w:t>，不外排。</w:t>
            </w:r>
          </w:p>
        </w:tc>
        <w:tc>
          <w:tcPr>
            <w:tcW w:w="1095" w:type="dxa"/>
            <w:noWrap w:val="0"/>
            <w:vAlign w:val="center"/>
          </w:tcPr>
          <w:p w14:paraId="3B64ED31">
            <w:pPr>
              <w:jc w:val="center"/>
              <w:rPr>
                <w:rFonts w:hint="default" w:cs="Times New Roman"/>
                <w:color w:val="000000"/>
                <w:szCs w:val="21"/>
                <w:lang w:val="en-US" w:eastAsia="zh-CN"/>
              </w:rPr>
            </w:pPr>
            <w:r>
              <w:rPr>
                <w:rFonts w:hint="eastAsia" w:cs="Times New Roman"/>
                <w:color w:val="000000"/>
                <w:szCs w:val="21"/>
                <w:lang w:val="en-US" w:eastAsia="zh-CN"/>
              </w:rPr>
              <w:t>回用</w:t>
            </w:r>
          </w:p>
        </w:tc>
      </w:tr>
      <w:tr w14:paraId="2956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noWrap w:val="0"/>
            <w:vAlign w:val="center"/>
          </w:tcPr>
          <w:p w14:paraId="65377C30">
            <w:pPr>
              <w:jc w:val="center"/>
              <w:rPr>
                <w:rFonts w:hint="eastAsia" w:cs="Times New Roman"/>
                <w:color w:val="000000"/>
                <w:szCs w:val="21"/>
                <w:lang w:val="en-US" w:eastAsia="zh-CN"/>
              </w:rPr>
            </w:pPr>
          </w:p>
        </w:tc>
        <w:tc>
          <w:tcPr>
            <w:tcW w:w="1521" w:type="dxa"/>
            <w:noWrap w:val="0"/>
            <w:vAlign w:val="center"/>
          </w:tcPr>
          <w:p w14:paraId="3BBA1799">
            <w:pPr>
              <w:widowControl w:val="0"/>
              <w:spacing w:line="240" w:lineRule="auto"/>
              <w:ind w:firstLine="0" w:firstLineChars="0"/>
              <w:jc w:val="center"/>
              <w:rPr>
                <w:rFonts w:hint="eastAsia" w:cs="Times New Roman"/>
                <w:color w:val="000000"/>
                <w:szCs w:val="21"/>
                <w:lang w:val="en-US" w:eastAsia="zh-CN"/>
              </w:rPr>
            </w:pPr>
            <w:r>
              <w:rPr>
                <w:rFonts w:hint="default" w:ascii="Times New Roman" w:hAnsi="Times New Roman" w:eastAsia="宋体" w:cs="Times New Roman"/>
                <w:b w:val="0"/>
                <w:color w:val="auto"/>
                <w:kern w:val="2"/>
                <w:sz w:val="21"/>
                <w:szCs w:val="20"/>
                <w:lang w:val="en-US" w:eastAsia="zh-CN" w:bidi="ar-SA"/>
              </w:rPr>
              <w:t>生活污水</w:t>
            </w:r>
          </w:p>
        </w:tc>
        <w:tc>
          <w:tcPr>
            <w:tcW w:w="1336" w:type="dxa"/>
            <w:noWrap w:val="0"/>
            <w:vAlign w:val="center"/>
          </w:tcPr>
          <w:p w14:paraId="5480982D">
            <w:pPr>
              <w:jc w:val="center"/>
              <w:rPr>
                <w:rFonts w:hint="eastAsia" w:cs="Times New Roman"/>
                <w:color w:val="000000"/>
                <w:szCs w:val="21"/>
                <w:lang w:val="en-US" w:eastAsia="zh-CN"/>
              </w:rPr>
            </w:pPr>
            <w:r>
              <w:rPr>
                <w:rFonts w:hint="eastAsia" w:cs="Times New Roman"/>
                <w:color w:val="000000"/>
                <w:szCs w:val="21"/>
                <w:lang w:val="en-US" w:eastAsia="zh-CN"/>
              </w:rPr>
              <w:t>SS、氨氮等</w:t>
            </w:r>
          </w:p>
        </w:tc>
        <w:tc>
          <w:tcPr>
            <w:tcW w:w="1196" w:type="dxa"/>
            <w:noWrap w:val="0"/>
            <w:vAlign w:val="center"/>
          </w:tcPr>
          <w:p w14:paraId="586594D0">
            <w:pPr>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不外排</w:t>
            </w:r>
          </w:p>
        </w:tc>
        <w:tc>
          <w:tcPr>
            <w:tcW w:w="2887" w:type="dxa"/>
            <w:noWrap w:val="0"/>
            <w:vAlign w:val="center"/>
          </w:tcPr>
          <w:p w14:paraId="50F3235C">
            <w:pPr>
              <w:widowControl w:val="0"/>
              <w:spacing w:line="240" w:lineRule="auto"/>
              <w:jc w:val="center"/>
              <w:rPr>
                <w:rFonts w:hint="default" w:ascii="Times New Roman" w:hAnsi="Times New Roman" w:cs="Times New Roman"/>
                <w:color w:val="000000"/>
                <w:szCs w:val="21"/>
              </w:rPr>
            </w:pPr>
            <w:r>
              <w:rPr>
                <w:rFonts w:hint="default" w:ascii="Times New Roman" w:hAnsi="Times New Roman" w:eastAsia="宋体" w:cs="Times New Roman"/>
                <w:b w:val="0"/>
                <w:color w:val="auto"/>
                <w:kern w:val="2"/>
                <w:sz w:val="21"/>
                <w:szCs w:val="20"/>
                <w:lang w:val="en-US" w:eastAsia="zh-CN" w:bidi="ar-SA"/>
              </w:rPr>
              <w:t>排入防渗旱厕，定期清掏。</w:t>
            </w:r>
          </w:p>
        </w:tc>
        <w:tc>
          <w:tcPr>
            <w:tcW w:w="1095" w:type="dxa"/>
            <w:noWrap w:val="0"/>
            <w:vAlign w:val="center"/>
          </w:tcPr>
          <w:p w14:paraId="057809FF">
            <w:pPr>
              <w:jc w:val="center"/>
              <w:rPr>
                <w:rFonts w:hint="default" w:cs="Times New Roman"/>
                <w:color w:val="000000"/>
                <w:szCs w:val="21"/>
                <w:lang w:val="en-US" w:eastAsia="zh-CN"/>
              </w:rPr>
            </w:pPr>
            <w:r>
              <w:rPr>
                <w:rFonts w:hint="eastAsia" w:cs="Times New Roman"/>
                <w:color w:val="000000"/>
                <w:szCs w:val="21"/>
                <w:lang w:val="en-US" w:eastAsia="zh-CN"/>
              </w:rPr>
              <w:t>清掏，不外排</w:t>
            </w:r>
          </w:p>
        </w:tc>
      </w:tr>
      <w:tr w14:paraId="1180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noWrap w:val="0"/>
            <w:vAlign w:val="center"/>
          </w:tcPr>
          <w:p w14:paraId="2887F06B">
            <w:pPr>
              <w:jc w:val="center"/>
              <w:rPr>
                <w:rFonts w:hint="default" w:ascii="Times New Roman" w:hAnsi="Times New Roman" w:cs="Times New Roman"/>
                <w:color w:val="000000"/>
                <w:szCs w:val="21"/>
              </w:rPr>
            </w:pPr>
            <w:r>
              <w:rPr>
                <w:rFonts w:hint="default" w:ascii="Times New Roman" w:hAnsi="Times New Roman" w:cs="Times New Roman"/>
                <w:color w:val="000000"/>
                <w:szCs w:val="21"/>
              </w:rPr>
              <w:t>噪声</w:t>
            </w:r>
          </w:p>
        </w:tc>
        <w:tc>
          <w:tcPr>
            <w:tcW w:w="1521" w:type="dxa"/>
            <w:noWrap w:val="0"/>
            <w:vAlign w:val="center"/>
          </w:tcPr>
          <w:p w14:paraId="5A1836E9">
            <w:pPr>
              <w:jc w:val="center"/>
              <w:rPr>
                <w:rFonts w:hint="eastAsia" w:ascii="Times New Roman" w:hAnsi="Times New Roman" w:eastAsia="宋体" w:cs="Times New Roman"/>
                <w:color w:val="000000"/>
                <w:szCs w:val="21"/>
                <w:lang w:eastAsia="zh-CN"/>
              </w:rPr>
            </w:pPr>
            <w:r>
              <w:rPr>
                <w:rFonts w:hint="eastAsia" w:cs="Times New Roman"/>
                <w:color w:val="000000"/>
                <w:szCs w:val="21"/>
                <w:lang w:val="en-US" w:eastAsia="zh-CN"/>
              </w:rPr>
              <w:t>产噪</w:t>
            </w:r>
            <w:r>
              <w:rPr>
                <w:rFonts w:hint="eastAsia" w:ascii="Times New Roman" w:hAnsi="Times New Roman" w:cs="Times New Roman"/>
                <w:color w:val="000000"/>
                <w:szCs w:val="21"/>
                <w:lang w:val="en-US" w:eastAsia="zh-CN"/>
              </w:rPr>
              <w:t>设备</w:t>
            </w:r>
          </w:p>
        </w:tc>
        <w:tc>
          <w:tcPr>
            <w:tcW w:w="1336" w:type="dxa"/>
            <w:noWrap w:val="0"/>
            <w:vAlign w:val="center"/>
          </w:tcPr>
          <w:p w14:paraId="68C27FFA">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Leq（A）</w:t>
            </w:r>
          </w:p>
        </w:tc>
        <w:tc>
          <w:tcPr>
            <w:tcW w:w="1196" w:type="dxa"/>
            <w:noWrap w:val="0"/>
            <w:vAlign w:val="center"/>
          </w:tcPr>
          <w:p w14:paraId="12DC896D">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lang w:val="en-US" w:eastAsia="zh-CN"/>
              </w:rPr>
              <w:t>/</w:t>
            </w:r>
          </w:p>
        </w:tc>
        <w:tc>
          <w:tcPr>
            <w:tcW w:w="2887" w:type="dxa"/>
            <w:noWrap w:val="0"/>
            <w:vAlign w:val="center"/>
          </w:tcPr>
          <w:p w14:paraId="40A0C339">
            <w:pPr>
              <w:jc w:val="center"/>
              <w:rPr>
                <w:rFonts w:hint="default" w:ascii="Times New Roman" w:hAnsi="Times New Roman" w:eastAsia="宋体" w:cs="Times New Roman"/>
                <w:color w:val="000000"/>
                <w:szCs w:val="21"/>
                <w:lang w:val="en-US" w:eastAsia="zh-CN"/>
              </w:rPr>
            </w:pPr>
            <w:r>
              <w:rPr>
                <w:rFonts w:hint="default" w:ascii="Times New Roman" w:hAnsi="Times New Roman" w:cs="Times New Roman"/>
                <w:color w:val="000000"/>
                <w:szCs w:val="21"/>
              </w:rPr>
              <w:t>减振、隔声、距离衰减</w:t>
            </w:r>
            <w:r>
              <w:rPr>
                <w:rFonts w:hint="eastAsia" w:cs="Times New Roman"/>
                <w:color w:val="000000"/>
                <w:szCs w:val="21"/>
                <w:lang w:val="en-US" w:eastAsia="zh-CN"/>
              </w:rPr>
              <w:t xml:space="preserve">等措施 </w:t>
            </w:r>
          </w:p>
        </w:tc>
        <w:tc>
          <w:tcPr>
            <w:tcW w:w="1095" w:type="dxa"/>
            <w:noWrap w:val="0"/>
            <w:vAlign w:val="center"/>
          </w:tcPr>
          <w:p w14:paraId="0B73180F">
            <w:pPr>
              <w:jc w:val="center"/>
              <w:rPr>
                <w:rFonts w:hint="default" w:ascii="Times New Roman" w:hAnsi="Times New Roman" w:eastAsia="宋体" w:cs="Times New Roman"/>
                <w:color w:val="000000"/>
                <w:szCs w:val="21"/>
                <w:lang w:val="en-US" w:eastAsia="zh-CN"/>
              </w:rPr>
            </w:pPr>
            <w:r>
              <w:rPr>
                <w:rFonts w:hint="eastAsia" w:cs="Times New Roman"/>
                <w:color w:val="000000"/>
                <w:szCs w:val="21"/>
                <w:lang w:val="en-US" w:eastAsia="zh-CN"/>
              </w:rPr>
              <w:t>外环境</w:t>
            </w:r>
          </w:p>
        </w:tc>
      </w:tr>
      <w:tr w14:paraId="5D56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restart"/>
            <w:noWrap w:val="0"/>
            <w:vAlign w:val="center"/>
          </w:tcPr>
          <w:p w14:paraId="1D5955FE">
            <w:pPr>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固废</w:t>
            </w:r>
          </w:p>
        </w:tc>
        <w:tc>
          <w:tcPr>
            <w:tcW w:w="1521" w:type="dxa"/>
            <w:noWrap w:val="0"/>
            <w:vAlign w:val="center"/>
          </w:tcPr>
          <w:p w14:paraId="3F0697A8">
            <w:pPr>
              <w:jc w:val="center"/>
              <w:rPr>
                <w:rFonts w:hint="default" w:hAnsi="宋体" w:eastAsia="宋体"/>
                <w:color w:val="000000"/>
                <w:kern w:val="2"/>
                <w:sz w:val="21"/>
                <w:lang w:val="en-US" w:eastAsia="zh-CN" w:bidi="ar-SA"/>
              </w:rPr>
            </w:pPr>
            <w:r>
              <w:rPr>
                <w:rFonts w:hint="eastAsia" w:hAnsi="宋体"/>
                <w:color w:val="000000"/>
                <w:lang w:val="en-US" w:eastAsia="zh-CN"/>
              </w:rPr>
              <w:t>选矿过程</w:t>
            </w:r>
          </w:p>
        </w:tc>
        <w:tc>
          <w:tcPr>
            <w:tcW w:w="1336" w:type="dxa"/>
            <w:noWrap w:val="0"/>
            <w:vAlign w:val="center"/>
          </w:tcPr>
          <w:p w14:paraId="4AF7A73A">
            <w:pPr>
              <w:widowControl w:val="0"/>
              <w:spacing w:line="240" w:lineRule="auto"/>
              <w:ind w:firstLine="0" w:firstLineChars="0"/>
              <w:jc w:val="center"/>
              <w:rPr>
                <w:rFonts w:hint="default" w:ascii="Times New Roman" w:hAnsi="Times New Roman" w:eastAsia="宋体" w:cs="Times New Roman"/>
                <w:color w:val="000000"/>
                <w:kern w:val="2"/>
                <w:sz w:val="21"/>
                <w:szCs w:val="21"/>
                <w:lang w:val="en-US" w:eastAsia="zh-CN" w:bidi="ar"/>
              </w:rPr>
            </w:pPr>
            <w:r>
              <w:rPr>
                <w:rFonts w:hint="eastAsia" w:ascii="Times New Roman" w:hAnsi="Times New Roman" w:eastAsia="宋体" w:cs="Times New Roman"/>
                <w:b w:val="0"/>
                <w:color w:val="auto"/>
                <w:kern w:val="2"/>
                <w:sz w:val="21"/>
                <w:szCs w:val="20"/>
                <w:lang w:val="en-US" w:eastAsia="zh-CN" w:bidi="ar-SA"/>
              </w:rPr>
              <w:t>干排</w:t>
            </w:r>
            <w:r>
              <w:rPr>
                <w:rFonts w:hint="default" w:ascii="Times New Roman" w:hAnsi="Times New Roman" w:eastAsia="宋体" w:cs="Times New Roman"/>
                <w:b w:val="0"/>
                <w:color w:val="auto"/>
                <w:kern w:val="2"/>
                <w:sz w:val="21"/>
                <w:szCs w:val="20"/>
                <w:lang w:val="en-US" w:eastAsia="zh-CN" w:bidi="ar-SA"/>
              </w:rPr>
              <w:t>尾</w:t>
            </w:r>
            <w:r>
              <w:rPr>
                <w:rFonts w:hint="eastAsia" w:cs="Times New Roman"/>
                <w:b w:val="0"/>
                <w:color w:val="auto"/>
                <w:kern w:val="2"/>
                <w:sz w:val="21"/>
                <w:szCs w:val="20"/>
                <w:lang w:val="en-US" w:eastAsia="zh-CN" w:bidi="ar-SA"/>
              </w:rPr>
              <w:t>矿</w:t>
            </w:r>
          </w:p>
        </w:tc>
        <w:tc>
          <w:tcPr>
            <w:tcW w:w="1196" w:type="dxa"/>
            <w:noWrap w:val="0"/>
            <w:vAlign w:val="center"/>
          </w:tcPr>
          <w:p w14:paraId="4285ECFB">
            <w:pPr>
              <w:jc w:val="center"/>
              <w:rPr>
                <w:rFonts w:hint="default" w:ascii="Times New Roman" w:hAnsi="Times New Roman" w:cs="Times New Roman"/>
                <w:color w:val="000000"/>
                <w:kern w:val="2"/>
                <w:sz w:val="21"/>
                <w:szCs w:val="21"/>
                <w:lang w:val="en-US" w:eastAsia="zh-CN" w:bidi="ar-SA"/>
              </w:rPr>
            </w:pPr>
            <w:r>
              <w:rPr>
                <w:rFonts w:hint="eastAsia" w:cs="Times New Roman"/>
                <w:color w:val="000000"/>
                <w:szCs w:val="21"/>
                <w:lang w:val="en-US" w:eastAsia="zh-CN"/>
              </w:rPr>
              <w:t>不外排</w:t>
            </w:r>
          </w:p>
        </w:tc>
        <w:tc>
          <w:tcPr>
            <w:tcW w:w="2887" w:type="dxa"/>
            <w:noWrap w:val="0"/>
            <w:vAlign w:val="center"/>
          </w:tcPr>
          <w:p w14:paraId="39B98195">
            <w:pPr>
              <w:jc w:val="center"/>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暂存在成品库房，定期出售</w:t>
            </w:r>
          </w:p>
        </w:tc>
        <w:tc>
          <w:tcPr>
            <w:tcW w:w="1095" w:type="dxa"/>
            <w:vMerge w:val="restart"/>
            <w:noWrap w:val="0"/>
            <w:vAlign w:val="center"/>
          </w:tcPr>
          <w:p w14:paraId="2ABA44C3">
            <w:pPr>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合理处置，综合利用</w:t>
            </w:r>
          </w:p>
        </w:tc>
      </w:tr>
      <w:tr w14:paraId="475F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noWrap w:val="0"/>
            <w:vAlign w:val="center"/>
          </w:tcPr>
          <w:p w14:paraId="4C852C7E">
            <w:pPr>
              <w:jc w:val="center"/>
              <w:rPr>
                <w:rFonts w:hint="default" w:ascii="Times New Roman" w:hAnsi="Times New Roman" w:cs="Times New Roman"/>
                <w:color w:val="000000"/>
                <w:szCs w:val="21"/>
              </w:rPr>
            </w:pPr>
          </w:p>
        </w:tc>
        <w:tc>
          <w:tcPr>
            <w:tcW w:w="1521" w:type="dxa"/>
            <w:noWrap w:val="0"/>
            <w:vAlign w:val="center"/>
          </w:tcPr>
          <w:p w14:paraId="262A7BD3">
            <w:pPr>
              <w:jc w:val="center"/>
              <w:rPr>
                <w:rFonts w:hint="default" w:hAnsi="宋体"/>
                <w:color w:val="000000"/>
                <w:lang w:val="en-US" w:eastAsia="zh-CN"/>
              </w:rPr>
            </w:pPr>
            <w:r>
              <w:rPr>
                <w:rFonts w:hint="eastAsia" w:hAnsi="宋体"/>
                <w:color w:val="000000"/>
                <w:lang w:val="en-US" w:eastAsia="zh-CN"/>
              </w:rPr>
              <w:t>除尘过程</w:t>
            </w:r>
          </w:p>
        </w:tc>
        <w:tc>
          <w:tcPr>
            <w:tcW w:w="1336" w:type="dxa"/>
            <w:noWrap w:val="0"/>
            <w:vAlign w:val="center"/>
          </w:tcPr>
          <w:p w14:paraId="2653B23B">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
              </w:rPr>
            </w:pPr>
            <w:r>
              <w:rPr>
                <w:rFonts w:hint="eastAsia" w:cs="Times New Roman"/>
                <w:b w:val="0"/>
                <w:color w:val="auto"/>
                <w:kern w:val="2"/>
                <w:sz w:val="21"/>
                <w:szCs w:val="20"/>
                <w:lang w:val="en-US" w:eastAsia="zh-CN" w:bidi="ar-SA"/>
              </w:rPr>
              <w:t>除尘灰</w:t>
            </w:r>
          </w:p>
        </w:tc>
        <w:tc>
          <w:tcPr>
            <w:tcW w:w="1196" w:type="dxa"/>
            <w:noWrap w:val="0"/>
            <w:vAlign w:val="center"/>
          </w:tcPr>
          <w:p w14:paraId="20F4E05F">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不外排</w:t>
            </w:r>
          </w:p>
        </w:tc>
        <w:tc>
          <w:tcPr>
            <w:tcW w:w="2887" w:type="dxa"/>
            <w:noWrap w:val="0"/>
            <w:vAlign w:val="center"/>
          </w:tcPr>
          <w:p w14:paraId="3DDECE4A">
            <w:pPr>
              <w:widowControl w:val="0"/>
              <w:spacing w:line="240" w:lineRule="auto"/>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b w:val="0"/>
                <w:color w:val="auto"/>
                <w:kern w:val="2"/>
                <w:sz w:val="21"/>
                <w:szCs w:val="20"/>
                <w:lang w:val="en-US" w:eastAsia="zh-CN" w:bidi="ar-SA"/>
              </w:rPr>
              <w:t>干排尾矿输</w:t>
            </w:r>
            <w:r>
              <w:rPr>
                <w:rFonts w:hint="eastAsia" w:cs="Times New Roman"/>
                <w:b w:val="0"/>
                <w:color w:val="auto"/>
                <w:kern w:val="2"/>
                <w:sz w:val="21"/>
                <w:szCs w:val="20"/>
                <w:lang w:val="en-US" w:eastAsia="zh-CN" w:bidi="ar-SA"/>
              </w:rPr>
              <w:t>暂存于干排车间内</w:t>
            </w:r>
            <w:r>
              <w:rPr>
                <w:rFonts w:hint="default" w:ascii="Times New Roman" w:hAnsi="Times New Roman" w:eastAsia="宋体" w:cs="Times New Roman"/>
                <w:b w:val="0"/>
                <w:color w:val="auto"/>
                <w:kern w:val="2"/>
                <w:sz w:val="21"/>
                <w:szCs w:val="20"/>
                <w:lang w:val="en-US" w:eastAsia="zh-CN" w:bidi="ar-SA"/>
              </w:rPr>
              <w:t>，</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外运</w:t>
            </w:r>
            <w:r>
              <w:rPr>
                <w:rFonts w:hint="eastAsia" w:eastAsia="宋体" w:cs="Times New Roman"/>
                <w:b w:val="0"/>
                <w:color w:val="auto"/>
                <w:kern w:val="2"/>
                <w:sz w:val="21"/>
                <w:szCs w:val="20"/>
                <w:lang w:val="en-US" w:eastAsia="zh-CN" w:bidi="ar-SA"/>
              </w:rPr>
              <w:t>综合利用。</w:t>
            </w:r>
          </w:p>
        </w:tc>
        <w:tc>
          <w:tcPr>
            <w:tcW w:w="1095" w:type="dxa"/>
            <w:vMerge w:val="continue"/>
            <w:noWrap w:val="0"/>
            <w:vAlign w:val="center"/>
          </w:tcPr>
          <w:p w14:paraId="213E73BE">
            <w:pPr>
              <w:jc w:val="center"/>
              <w:rPr>
                <w:rFonts w:hint="default" w:ascii="Times New Roman" w:hAnsi="Times New Roman" w:cs="Times New Roman"/>
                <w:color w:val="000000"/>
                <w:szCs w:val="21"/>
                <w:lang w:val="en-US" w:eastAsia="zh-CN"/>
              </w:rPr>
            </w:pPr>
          </w:p>
        </w:tc>
      </w:tr>
      <w:tr w14:paraId="6A1E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noWrap w:val="0"/>
            <w:vAlign w:val="center"/>
          </w:tcPr>
          <w:p w14:paraId="60BBDEF0">
            <w:pPr>
              <w:jc w:val="center"/>
              <w:rPr>
                <w:rFonts w:hint="default" w:ascii="Times New Roman" w:hAnsi="Times New Roman" w:cs="Times New Roman"/>
                <w:color w:val="000000"/>
                <w:szCs w:val="21"/>
              </w:rPr>
            </w:pPr>
          </w:p>
        </w:tc>
        <w:tc>
          <w:tcPr>
            <w:tcW w:w="1521" w:type="dxa"/>
            <w:noWrap w:val="0"/>
            <w:vAlign w:val="center"/>
          </w:tcPr>
          <w:p w14:paraId="222982DF">
            <w:pPr>
              <w:jc w:val="center"/>
              <w:rPr>
                <w:rFonts w:hint="default" w:hAnsi="宋体"/>
                <w:color w:val="000000"/>
                <w:lang w:val="en-US" w:eastAsia="zh-CN"/>
              </w:rPr>
            </w:pPr>
            <w:r>
              <w:rPr>
                <w:rFonts w:hint="eastAsia" w:hAnsi="宋体"/>
                <w:color w:val="000000"/>
                <w:lang w:val="en-US" w:eastAsia="zh-CN"/>
              </w:rPr>
              <w:t>设备保养</w:t>
            </w:r>
          </w:p>
        </w:tc>
        <w:tc>
          <w:tcPr>
            <w:tcW w:w="1336" w:type="dxa"/>
            <w:noWrap w:val="0"/>
            <w:vAlign w:val="center"/>
          </w:tcPr>
          <w:p w14:paraId="77688066">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b w:val="0"/>
                <w:color w:val="auto"/>
                <w:kern w:val="2"/>
                <w:sz w:val="21"/>
                <w:szCs w:val="20"/>
                <w:lang w:val="en-US" w:eastAsia="zh-CN" w:bidi="ar-SA"/>
              </w:rPr>
              <w:t>废机油</w:t>
            </w:r>
          </w:p>
        </w:tc>
        <w:tc>
          <w:tcPr>
            <w:tcW w:w="1196" w:type="dxa"/>
            <w:noWrap w:val="0"/>
            <w:vAlign w:val="center"/>
          </w:tcPr>
          <w:p w14:paraId="1DC7D06B">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不外排</w:t>
            </w:r>
          </w:p>
        </w:tc>
        <w:tc>
          <w:tcPr>
            <w:tcW w:w="2887" w:type="dxa"/>
            <w:noWrap w:val="0"/>
            <w:vAlign w:val="center"/>
          </w:tcPr>
          <w:p w14:paraId="53E00A02">
            <w:pPr>
              <w:widowControl w:val="0"/>
              <w:spacing w:line="240" w:lineRule="auto"/>
              <w:jc w:val="center"/>
              <w:rPr>
                <w:rFonts w:hint="eastAsia" w:ascii="Times New Roman" w:hAnsi="Times New Roman" w:eastAsia="宋体" w:cs="Times New Roman"/>
                <w:color w:val="000000"/>
                <w:szCs w:val="21"/>
                <w:lang w:val="en-US" w:eastAsia="zh-CN"/>
              </w:rPr>
            </w:pPr>
            <w:r>
              <w:rPr>
                <w:rFonts w:hint="eastAsia" w:cs="Times New Roman"/>
                <w:b w:val="0"/>
                <w:color w:val="auto"/>
                <w:kern w:val="2"/>
                <w:sz w:val="21"/>
                <w:szCs w:val="20"/>
                <w:lang w:val="en-US" w:eastAsia="zh-CN" w:bidi="ar-SA"/>
              </w:rPr>
              <w:t>除尘灰收集后返回工艺，不外排。</w:t>
            </w:r>
          </w:p>
        </w:tc>
        <w:tc>
          <w:tcPr>
            <w:tcW w:w="1095" w:type="dxa"/>
            <w:vMerge w:val="continue"/>
            <w:noWrap w:val="0"/>
            <w:vAlign w:val="center"/>
          </w:tcPr>
          <w:p w14:paraId="19800669">
            <w:pPr>
              <w:jc w:val="center"/>
              <w:rPr>
                <w:rFonts w:hint="default" w:ascii="Times New Roman" w:hAnsi="Times New Roman" w:cs="Times New Roman"/>
                <w:color w:val="000000"/>
                <w:szCs w:val="21"/>
                <w:lang w:val="en-US" w:eastAsia="zh-CN"/>
              </w:rPr>
            </w:pPr>
          </w:p>
        </w:tc>
      </w:tr>
      <w:tr w14:paraId="5C67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noWrap w:val="0"/>
            <w:vAlign w:val="center"/>
          </w:tcPr>
          <w:p w14:paraId="654B560D">
            <w:pPr>
              <w:jc w:val="center"/>
              <w:rPr>
                <w:rFonts w:hint="default" w:ascii="Times New Roman" w:hAnsi="Times New Roman" w:cs="Times New Roman"/>
                <w:color w:val="000000"/>
                <w:szCs w:val="21"/>
              </w:rPr>
            </w:pPr>
          </w:p>
        </w:tc>
        <w:tc>
          <w:tcPr>
            <w:tcW w:w="1521" w:type="dxa"/>
            <w:noWrap w:val="0"/>
            <w:vAlign w:val="center"/>
          </w:tcPr>
          <w:p w14:paraId="3A5B6EED">
            <w:pPr>
              <w:jc w:val="center"/>
              <w:rPr>
                <w:rFonts w:hint="default" w:hAnsi="宋体"/>
                <w:color w:val="000000"/>
                <w:lang w:val="en-US" w:eastAsia="zh-CN"/>
              </w:rPr>
            </w:pPr>
            <w:r>
              <w:rPr>
                <w:rFonts w:hint="eastAsia" w:hAnsi="宋体"/>
                <w:color w:val="000000"/>
                <w:lang w:val="en-US" w:eastAsia="zh-CN"/>
              </w:rPr>
              <w:t>设备包装</w:t>
            </w:r>
          </w:p>
        </w:tc>
        <w:tc>
          <w:tcPr>
            <w:tcW w:w="1336" w:type="dxa"/>
            <w:noWrap w:val="0"/>
            <w:vAlign w:val="center"/>
          </w:tcPr>
          <w:p w14:paraId="1E12C685">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
              </w:rPr>
            </w:pPr>
            <w:r>
              <w:rPr>
                <w:rFonts w:hint="eastAsia" w:cs="Times New Roman"/>
                <w:b w:val="0"/>
                <w:color w:val="auto"/>
                <w:kern w:val="2"/>
                <w:sz w:val="21"/>
                <w:szCs w:val="20"/>
                <w:lang w:val="en-US" w:eastAsia="zh-CN" w:bidi="ar-SA"/>
              </w:rPr>
              <w:t>废机油桶</w:t>
            </w:r>
          </w:p>
        </w:tc>
        <w:tc>
          <w:tcPr>
            <w:tcW w:w="1196" w:type="dxa"/>
            <w:noWrap w:val="0"/>
            <w:vAlign w:val="center"/>
          </w:tcPr>
          <w:p w14:paraId="1D2CD51B">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不外排</w:t>
            </w:r>
          </w:p>
        </w:tc>
        <w:tc>
          <w:tcPr>
            <w:tcW w:w="2887" w:type="dxa"/>
            <w:noWrap w:val="0"/>
            <w:vAlign w:val="center"/>
          </w:tcPr>
          <w:p w14:paraId="305166AD">
            <w:pPr>
              <w:widowControl w:val="0"/>
              <w:spacing w:line="240" w:lineRule="auto"/>
              <w:jc w:val="center"/>
              <w:rPr>
                <w:rFonts w:hint="eastAsia" w:ascii="Times New Roman" w:hAnsi="Times New Roman" w:eastAsia="宋体" w:cs="Times New Roman"/>
                <w:color w:val="000000"/>
                <w:szCs w:val="21"/>
                <w:lang w:val="en-US" w:eastAsia="zh-CN"/>
              </w:rPr>
            </w:pPr>
            <w:r>
              <w:rPr>
                <w:rFonts w:hint="eastAsia" w:cs="Times New Roman"/>
                <w:b w:val="0"/>
                <w:color w:val="auto"/>
                <w:kern w:val="2"/>
                <w:sz w:val="21"/>
                <w:szCs w:val="20"/>
                <w:lang w:val="en-US" w:eastAsia="zh-CN" w:bidi="ar-SA"/>
              </w:rPr>
              <w:t>暂存于危废贮存点，委托有资质的单位处理。</w:t>
            </w:r>
          </w:p>
        </w:tc>
        <w:tc>
          <w:tcPr>
            <w:tcW w:w="1095" w:type="dxa"/>
            <w:vMerge w:val="continue"/>
            <w:noWrap w:val="0"/>
            <w:vAlign w:val="center"/>
          </w:tcPr>
          <w:p w14:paraId="1C0B4627">
            <w:pPr>
              <w:jc w:val="center"/>
              <w:rPr>
                <w:rFonts w:hint="default" w:ascii="Times New Roman" w:hAnsi="Times New Roman" w:cs="Times New Roman"/>
                <w:color w:val="000000"/>
                <w:szCs w:val="21"/>
                <w:lang w:val="en-US" w:eastAsia="zh-CN"/>
              </w:rPr>
            </w:pPr>
          </w:p>
        </w:tc>
      </w:tr>
      <w:tr w14:paraId="58D30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3" w:type="dxa"/>
            <w:vMerge w:val="continue"/>
            <w:noWrap w:val="0"/>
            <w:vAlign w:val="center"/>
          </w:tcPr>
          <w:p w14:paraId="4BDF6A0A">
            <w:pPr>
              <w:jc w:val="center"/>
              <w:rPr>
                <w:rFonts w:hint="default" w:ascii="Times New Roman" w:hAnsi="Times New Roman" w:cs="Times New Roman"/>
                <w:color w:val="000000"/>
                <w:szCs w:val="21"/>
              </w:rPr>
            </w:pPr>
          </w:p>
        </w:tc>
        <w:tc>
          <w:tcPr>
            <w:tcW w:w="1521" w:type="dxa"/>
            <w:noWrap w:val="0"/>
            <w:vAlign w:val="center"/>
          </w:tcPr>
          <w:p w14:paraId="62D2D7EF">
            <w:pPr>
              <w:jc w:val="center"/>
              <w:rPr>
                <w:rFonts w:hint="default" w:hAnsi="宋体"/>
                <w:color w:val="000000"/>
                <w:lang w:val="en-US" w:eastAsia="zh-CN"/>
              </w:rPr>
            </w:pPr>
            <w:r>
              <w:rPr>
                <w:rFonts w:hint="eastAsia" w:hAnsi="宋体"/>
                <w:color w:val="000000"/>
                <w:lang w:val="en-US" w:eastAsia="zh-CN"/>
              </w:rPr>
              <w:t>员工生活</w:t>
            </w:r>
          </w:p>
        </w:tc>
        <w:tc>
          <w:tcPr>
            <w:tcW w:w="1336" w:type="dxa"/>
            <w:noWrap w:val="0"/>
            <w:vAlign w:val="center"/>
          </w:tcPr>
          <w:p w14:paraId="15142C18">
            <w:pPr>
              <w:widowControl w:val="0"/>
              <w:spacing w:line="240" w:lineRule="auto"/>
              <w:ind w:firstLine="0" w:firstLineChars="0"/>
              <w:jc w:val="center"/>
              <w:rPr>
                <w:rFonts w:hint="eastAsia" w:ascii="Times New Roman" w:hAnsi="Times New Roman" w:eastAsia="宋体" w:cs="Times New Roman"/>
                <w:color w:val="000000"/>
                <w:kern w:val="2"/>
                <w:sz w:val="21"/>
                <w:szCs w:val="21"/>
                <w:lang w:val="en-US" w:eastAsia="zh-CN" w:bidi="ar"/>
              </w:rPr>
            </w:pPr>
            <w:r>
              <w:rPr>
                <w:rFonts w:hint="default" w:ascii="Times New Roman" w:hAnsi="Times New Roman" w:eastAsia="宋体" w:cs="Times New Roman"/>
                <w:b w:val="0"/>
                <w:color w:val="auto"/>
                <w:kern w:val="2"/>
                <w:sz w:val="21"/>
                <w:szCs w:val="20"/>
                <w:lang w:val="en-US" w:eastAsia="zh-CN" w:bidi="ar-SA"/>
              </w:rPr>
              <w:t>生活垃圾</w:t>
            </w:r>
          </w:p>
        </w:tc>
        <w:tc>
          <w:tcPr>
            <w:tcW w:w="1196" w:type="dxa"/>
            <w:noWrap w:val="0"/>
            <w:vAlign w:val="center"/>
          </w:tcPr>
          <w:p w14:paraId="15A7B88B">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Cs w:val="21"/>
                <w:lang w:val="en-US" w:eastAsia="zh-CN"/>
              </w:rPr>
              <w:t>不外排</w:t>
            </w:r>
          </w:p>
        </w:tc>
        <w:tc>
          <w:tcPr>
            <w:tcW w:w="2887" w:type="dxa"/>
            <w:noWrap w:val="0"/>
            <w:vAlign w:val="center"/>
          </w:tcPr>
          <w:p w14:paraId="6EF7EEF3">
            <w:pPr>
              <w:widowControl w:val="0"/>
              <w:spacing w:line="240" w:lineRule="auto"/>
              <w:jc w:val="center"/>
              <w:rPr>
                <w:rFonts w:hint="eastAsia" w:ascii="Times New Roman" w:hAnsi="Times New Roman" w:eastAsia="宋体" w:cs="Times New Roman"/>
                <w:color w:val="000000"/>
                <w:szCs w:val="21"/>
                <w:lang w:val="en-US" w:eastAsia="zh-CN"/>
              </w:rPr>
            </w:pPr>
            <w:r>
              <w:rPr>
                <w:rFonts w:hint="eastAsia" w:cs="Times New Roman"/>
                <w:b w:val="0"/>
                <w:color w:val="auto"/>
                <w:kern w:val="2"/>
                <w:sz w:val="21"/>
                <w:szCs w:val="20"/>
                <w:lang w:val="en-US" w:eastAsia="zh-CN" w:bidi="ar-SA"/>
              </w:rPr>
              <w:t>暂存于危废贮存点，委托有资质的单位处理。</w:t>
            </w:r>
          </w:p>
        </w:tc>
        <w:tc>
          <w:tcPr>
            <w:tcW w:w="1095" w:type="dxa"/>
            <w:vMerge w:val="continue"/>
            <w:noWrap w:val="0"/>
            <w:vAlign w:val="center"/>
          </w:tcPr>
          <w:p w14:paraId="7B5B43D5">
            <w:pPr>
              <w:jc w:val="center"/>
              <w:rPr>
                <w:rFonts w:hint="default" w:ascii="Times New Roman" w:hAnsi="Times New Roman" w:cs="Times New Roman"/>
                <w:color w:val="000000"/>
                <w:szCs w:val="21"/>
                <w:lang w:val="en-US" w:eastAsia="zh-CN"/>
              </w:rPr>
            </w:pPr>
          </w:p>
        </w:tc>
      </w:tr>
    </w:tbl>
    <w:p w14:paraId="2D66F3A9">
      <w:pPr>
        <w:pStyle w:val="5"/>
        <w:bidi w:val="0"/>
        <w:spacing w:line="240" w:lineRule="auto"/>
        <w:rPr>
          <w:rFonts w:hint="eastAsia" w:cs="Times New Roman"/>
          <w:sz w:val="24"/>
          <w:szCs w:val="24"/>
          <w:lang w:val="en-US" w:eastAsia="zh-CN"/>
        </w:rPr>
      </w:pP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8公用工程</w:t>
      </w:r>
    </w:p>
    <w:p w14:paraId="5602BA60">
      <w:pPr>
        <w:numPr>
          <w:ilvl w:val="0"/>
          <w:numId w:val="5"/>
        </w:numPr>
        <w:bidi w:val="0"/>
        <w:spacing w:line="360" w:lineRule="auto"/>
        <w:rPr>
          <w:rFonts w:hint="eastAsia"/>
          <w:b/>
          <w:bCs/>
          <w:lang w:val="en-US" w:eastAsia="zh-CN"/>
        </w:rPr>
      </w:pPr>
      <w:r>
        <w:rPr>
          <w:rFonts w:hint="eastAsia"/>
          <w:b/>
          <w:bCs/>
          <w:lang w:val="en-US" w:eastAsia="zh-CN"/>
        </w:rPr>
        <w:t>给排水</w:t>
      </w:r>
    </w:p>
    <w:p w14:paraId="0452B197">
      <w:pPr>
        <w:pStyle w:val="3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rFonts w:hint="eastAsia" w:ascii="Times New Roman" w:hAnsi="Times New Roman"/>
          <w:color w:val="000000"/>
          <w:sz w:val="24"/>
          <w:szCs w:val="24"/>
          <w:lang w:val="en-US" w:eastAsia="zh-CN"/>
        </w:rPr>
      </w:pPr>
      <w:r>
        <w:rPr>
          <w:rFonts w:hint="eastAsia"/>
          <w:color w:val="000000"/>
          <w:sz w:val="24"/>
          <w:szCs w:val="24"/>
          <w:lang w:val="en-US" w:eastAsia="zh-CN"/>
        </w:rPr>
        <w:t>现有项目</w:t>
      </w:r>
      <w:r>
        <w:rPr>
          <w:rFonts w:hint="eastAsia" w:ascii="Times New Roman" w:hAnsi="Times New Roman"/>
          <w:color w:val="000000"/>
          <w:sz w:val="24"/>
          <w:szCs w:val="24"/>
          <w:lang w:val="en-US" w:eastAsia="zh-CN"/>
        </w:rPr>
        <w:t>生产用水</w:t>
      </w:r>
      <w:r>
        <w:rPr>
          <w:rFonts w:hint="eastAsia"/>
          <w:color w:val="000000"/>
          <w:sz w:val="24"/>
          <w:szCs w:val="24"/>
          <w:lang w:val="en-US" w:eastAsia="zh-CN"/>
        </w:rPr>
        <w:t>量</w:t>
      </w:r>
      <w:r>
        <w:rPr>
          <w:rFonts w:hint="eastAsia" w:ascii="Times New Roman" w:hAnsi="Times New Roman"/>
          <w:color w:val="000000"/>
          <w:sz w:val="24"/>
          <w:szCs w:val="24"/>
          <w:lang w:val="en-US" w:eastAsia="zh-CN"/>
        </w:rPr>
        <w:t>为110t/a，在使用过程中蒸发损耗，不会产生废水。</w:t>
      </w:r>
      <w:r>
        <w:rPr>
          <w:rFonts w:hint="eastAsia"/>
          <w:color w:val="000000"/>
          <w:sz w:val="24"/>
          <w:szCs w:val="24"/>
          <w:lang w:val="en-US" w:eastAsia="zh-CN"/>
        </w:rPr>
        <w:t>企业现有员工50人，生活用水量为</w:t>
      </w:r>
      <w:r>
        <w:rPr>
          <w:rFonts w:hint="eastAsia" w:ascii="Times New Roman" w:hAnsi="Times New Roman"/>
          <w:color w:val="000000"/>
          <w:sz w:val="24"/>
          <w:szCs w:val="24"/>
          <w:lang w:val="en-US" w:eastAsia="zh-CN"/>
        </w:rPr>
        <w:t>180t/a</w:t>
      </w:r>
      <w:r>
        <w:rPr>
          <w:rFonts w:hint="eastAsia"/>
          <w:color w:val="000000"/>
          <w:sz w:val="24"/>
          <w:szCs w:val="24"/>
          <w:lang w:val="en-US" w:eastAsia="zh-CN"/>
        </w:rPr>
        <w:t>，生活污水产生量为144</w:t>
      </w:r>
      <w:r>
        <w:rPr>
          <w:rFonts w:hint="eastAsia" w:ascii="Times New Roman" w:hAnsi="Times New Roman"/>
          <w:color w:val="000000"/>
          <w:sz w:val="24"/>
          <w:szCs w:val="24"/>
          <w:lang w:val="en-US" w:eastAsia="zh-CN"/>
        </w:rPr>
        <w:t>t/a</w:t>
      </w:r>
      <w:r>
        <w:rPr>
          <w:rFonts w:hint="eastAsia"/>
          <w:color w:val="000000"/>
          <w:sz w:val="24"/>
          <w:szCs w:val="24"/>
          <w:lang w:val="en-US" w:eastAsia="zh-CN"/>
        </w:rPr>
        <w:t>，排入防渗旱厕后定期清掏，不外排。</w:t>
      </w:r>
    </w:p>
    <w:p w14:paraId="432AD655">
      <w:pPr>
        <w:pStyle w:val="3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rFonts w:hint="eastAsia" w:ascii="Times New Roman" w:hAnsi="Times New Roman" w:eastAsia="宋体"/>
          <w:color w:val="000000"/>
          <w:sz w:val="24"/>
          <w:szCs w:val="24"/>
          <w:lang w:val="en-US" w:eastAsia="zh-CN"/>
        </w:rPr>
      </w:pPr>
      <w:r>
        <w:rPr>
          <w:rFonts w:hint="eastAsia" w:ascii="Times New Roman" w:hAnsi="Times New Roman"/>
          <w:color w:val="000000"/>
          <w:sz w:val="24"/>
          <w:szCs w:val="24"/>
        </w:rPr>
        <w:t>水平衡见</w:t>
      </w:r>
      <w:r>
        <w:rPr>
          <w:rFonts w:hint="eastAsia"/>
          <w:color w:val="000000"/>
          <w:sz w:val="24"/>
          <w:szCs w:val="24"/>
          <w:lang w:val="en-US" w:eastAsia="zh-CN"/>
        </w:rPr>
        <w:t>下</w:t>
      </w:r>
      <w:r>
        <w:rPr>
          <w:rFonts w:hint="eastAsia" w:ascii="Times New Roman" w:hAnsi="Times New Roman"/>
          <w:color w:val="000000"/>
          <w:sz w:val="24"/>
          <w:szCs w:val="24"/>
        </w:rPr>
        <w:t>表，水平衡图见</w:t>
      </w:r>
      <w:r>
        <w:rPr>
          <w:rFonts w:hint="eastAsia"/>
          <w:color w:val="000000"/>
          <w:sz w:val="24"/>
          <w:szCs w:val="24"/>
          <w:lang w:val="en-US" w:eastAsia="zh-CN"/>
        </w:rPr>
        <w:t>下图</w:t>
      </w:r>
      <w:r>
        <w:rPr>
          <w:rFonts w:hint="eastAsia" w:ascii="Times New Roman" w:hAnsi="Times New Roman"/>
          <w:color w:val="000000"/>
          <w:sz w:val="24"/>
          <w:szCs w:val="24"/>
          <w:lang w:eastAsia="zh-CN"/>
        </w:rPr>
        <w:t>。</w:t>
      </w:r>
    </w:p>
    <w:p w14:paraId="209B22A8">
      <w:pPr>
        <w:spacing w:line="360" w:lineRule="auto"/>
        <w:ind w:firstLine="482" w:firstLineChars="200"/>
        <w:jc w:val="center"/>
        <w:rPr>
          <w:rFonts w:hint="eastAsia" w:hAnsi="宋体" w:eastAsia="宋体"/>
          <w:b/>
          <w:bCs w:val="0"/>
          <w:color w:val="000000"/>
          <w:sz w:val="24"/>
          <w:szCs w:val="24"/>
          <w:lang w:eastAsia="zh-CN"/>
        </w:rPr>
      </w:pPr>
      <w:r>
        <w:rPr>
          <w:rFonts w:hAnsi="宋体"/>
          <w:b/>
          <w:bCs w:val="0"/>
          <w:color w:val="000000"/>
          <w:sz w:val="24"/>
          <w:szCs w:val="24"/>
        </w:rPr>
        <w:t>表</w:t>
      </w:r>
      <w:r>
        <w:rPr>
          <w:rFonts w:hint="eastAsia"/>
          <w:b/>
          <w:bCs w:val="0"/>
          <w:color w:val="000000"/>
          <w:sz w:val="24"/>
          <w:szCs w:val="24"/>
          <w:lang w:val="en-US" w:eastAsia="zh-CN"/>
        </w:rPr>
        <w:t xml:space="preserve">3.1-6   </w:t>
      </w:r>
      <w:r>
        <w:rPr>
          <w:rFonts w:hint="eastAsia" w:hAnsi="宋体"/>
          <w:b/>
          <w:bCs w:val="0"/>
          <w:color w:val="000000"/>
          <w:sz w:val="24"/>
          <w:szCs w:val="24"/>
        </w:rPr>
        <w:t>水平衡</w:t>
      </w:r>
      <w:r>
        <w:rPr>
          <w:rFonts w:hAnsi="宋体"/>
          <w:b/>
          <w:bCs w:val="0"/>
          <w:color w:val="000000"/>
          <w:sz w:val="24"/>
          <w:szCs w:val="24"/>
        </w:rPr>
        <w:t>一览表</w:t>
      </w:r>
      <w:r>
        <w:rPr>
          <w:rFonts w:hint="eastAsia" w:hAnsi="宋体"/>
          <w:b/>
          <w:bCs w:val="0"/>
          <w:color w:val="000000"/>
          <w:sz w:val="24"/>
          <w:szCs w:val="24"/>
          <w:lang w:val="en-US" w:eastAsia="zh-CN"/>
        </w:rPr>
        <w:t xml:space="preserve">   </w:t>
      </w:r>
      <w:r>
        <w:rPr>
          <w:rFonts w:hint="eastAsia" w:hAnsi="宋体"/>
          <w:b/>
          <w:bCs w:val="0"/>
          <w:color w:val="000000"/>
          <w:sz w:val="24"/>
          <w:szCs w:val="24"/>
        </w:rPr>
        <w:t>单位：t</w:t>
      </w:r>
      <w:r>
        <w:rPr>
          <w:rFonts w:hAnsi="宋体"/>
          <w:b/>
          <w:bCs w:val="0"/>
          <w:color w:val="000000"/>
          <w:sz w:val="24"/>
          <w:szCs w:val="24"/>
        </w:rPr>
        <w:t>/</w:t>
      </w:r>
      <w:r>
        <w:rPr>
          <w:rFonts w:hint="eastAsia" w:hAnsi="宋体"/>
          <w:b/>
          <w:bCs w:val="0"/>
          <w:color w:val="000000"/>
          <w:sz w:val="24"/>
          <w:szCs w:val="24"/>
          <w:lang w:val="en-US" w:eastAsia="zh-CN"/>
        </w:rPr>
        <w:t>a</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682"/>
        <w:gridCol w:w="1830"/>
        <w:gridCol w:w="1575"/>
        <w:gridCol w:w="1325"/>
      </w:tblGrid>
      <w:tr w14:paraId="12C5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vMerge w:val="restart"/>
            <w:tcBorders>
              <w:tl2br w:val="nil"/>
              <w:tr2bl w:val="nil"/>
            </w:tcBorders>
            <w:noWrap w:val="0"/>
            <w:vAlign w:val="center"/>
          </w:tcPr>
          <w:p w14:paraId="2BC5F450">
            <w:pPr>
              <w:jc w:val="center"/>
              <w:rPr>
                <w:b/>
                <w:color w:val="000000"/>
                <w:szCs w:val="21"/>
              </w:rPr>
            </w:pPr>
            <w:r>
              <w:rPr>
                <w:rFonts w:hAnsi="宋体"/>
                <w:b/>
                <w:color w:val="000000"/>
                <w:szCs w:val="21"/>
              </w:rPr>
              <w:t>工段或设备</w:t>
            </w:r>
          </w:p>
        </w:tc>
        <w:tc>
          <w:tcPr>
            <w:tcW w:w="1682" w:type="dxa"/>
            <w:vMerge w:val="restart"/>
            <w:tcBorders>
              <w:tl2br w:val="nil"/>
              <w:tr2bl w:val="nil"/>
            </w:tcBorders>
            <w:noWrap w:val="0"/>
            <w:vAlign w:val="center"/>
          </w:tcPr>
          <w:p w14:paraId="62E47EAA">
            <w:pPr>
              <w:jc w:val="center"/>
              <w:rPr>
                <w:rFonts w:hint="eastAsia"/>
                <w:b/>
                <w:color w:val="000000"/>
                <w:szCs w:val="21"/>
              </w:rPr>
            </w:pPr>
            <w:r>
              <w:rPr>
                <w:rFonts w:hAnsi="宋体"/>
                <w:b/>
                <w:color w:val="000000"/>
                <w:szCs w:val="21"/>
              </w:rPr>
              <w:t>用水</w:t>
            </w:r>
            <w:r>
              <w:rPr>
                <w:rFonts w:hint="eastAsia" w:hAnsi="宋体"/>
                <w:b/>
                <w:color w:val="000000"/>
                <w:szCs w:val="21"/>
              </w:rPr>
              <w:t>量</w:t>
            </w:r>
          </w:p>
        </w:tc>
        <w:tc>
          <w:tcPr>
            <w:tcW w:w="4730" w:type="dxa"/>
            <w:gridSpan w:val="3"/>
            <w:tcBorders>
              <w:tl2br w:val="nil"/>
              <w:tr2bl w:val="nil"/>
            </w:tcBorders>
            <w:noWrap w:val="0"/>
            <w:vAlign w:val="center"/>
          </w:tcPr>
          <w:p w14:paraId="252AADF7">
            <w:pPr>
              <w:jc w:val="center"/>
              <w:rPr>
                <w:rFonts w:hint="default" w:eastAsia="宋体"/>
                <w:b/>
                <w:color w:val="000000"/>
                <w:szCs w:val="21"/>
                <w:lang w:val="en-US" w:eastAsia="zh-CN"/>
              </w:rPr>
            </w:pPr>
            <w:r>
              <w:rPr>
                <w:rFonts w:hint="eastAsia" w:hAnsi="宋体"/>
                <w:b/>
                <w:color w:val="000000"/>
                <w:szCs w:val="21"/>
                <w:lang w:val="en-US" w:eastAsia="zh-CN"/>
              </w:rPr>
              <w:t>废水产生情况</w:t>
            </w:r>
          </w:p>
        </w:tc>
      </w:tr>
      <w:tr w14:paraId="2882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vMerge w:val="continue"/>
            <w:tcBorders>
              <w:tl2br w:val="nil"/>
              <w:tr2bl w:val="nil"/>
            </w:tcBorders>
            <w:noWrap w:val="0"/>
            <w:vAlign w:val="center"/>
          </w:tcPr>
          <w:p w14:paraId="2FE0CB53">
            <w:pPr>
              <w:jc w:val="center"/>
              <w:rPr>
                <w:b/>
                <w:color w:val="000000"/>
                <w:szCs w:val="21"/>
              </w:rPr>
            </w:pPr>
          </w:p>
        </w:tc>
        <w:tc>
          <w:tcPr>
            <w:tcW w:w="1682" w:type="dxa"/>
            <w:vMerge w:val="continue"/>
            <w:tcBorders>
              <w:tl2br w:val="nil"/>
              <w:tr2bl w:val="nil"/>
            </w:tcBorders>
            <w:noWrap w:val="0"/>
            <w:vAlign w:val="center"/>
          </w:tcPr>
          <w:p w14:paraId="3B557A92">
            <w:pPr>
              <w:jc w:val="center"/>
              <w:rPr>
                <w:b/>
                <w:color w:val="000000"/>
                <w:szCs w:val="21"/>
              </w:rPr>
            </w:pPr>
          </w:p>
        </w:tc>
        <w:tc>
          <w:tcPr>
            <w:tcW w:w="1830" w:type="dxa"/>
            <w:tcBorders>
              <w:tl2br w:val="nil"/>
              <w:tr2bl w:val="nil"/>
            </w:tcBorders>
            <w:noWrap w:val="0"/>
            <w:vAlign w:val="center"/>
          </w:tcPr>
          <w:p w14:paraId="45761590">
            <w:pPr>
              <w:jc w:val="center"/>
              <w:rPr>
                <w:b/>
                <w:color w:val="000000"/>
                <w:szCs w:val="21"/>
              </w:rPr>
            </w:pPr>
            <w:r>
              <w:rPr>
                <w:rFonts w:hAnsi="宋体"/>
                <w:b/>
                <w:color w:val="000000"/>
                <w:szCs w:val="21"/>
              </w:rPr>
              <w:t>损耗</w:t>
            </w:r>
          </w:p>
        </w:tc>
        <w:tc>
          <w:tcPr>
            <w:tcW w:w="1575" w:type="dxa"/>
            <w:tcBorders>
              <w:tl2br w:val="nil"/>
              <w:tr2bl w:val="nil"/>
            </w:tcBorders>
            <w:noWrap w:val="0"/>
            <w:vAlign w:val="center"/>
          </w:tcPr>
          <w:p w14:paraId="4900F212">
            <w:pPr>
              <w:jc w:val="center"/>
              <w:rPr>
                <w:rFonts w:hint="default" w:eastAsia="宋体"/>
                <w:b/>
                <w:color w:val="000000"/>
                <w:szCs w:val="21"/>
                <w:lang w:val="en-US" w:eastAsia="zh-CN"/>
              </w:rPr>
            </w:pPr>
            <w:r>
              <w:rPr>
                <w:rFonts w:hint="eastAsia" w:hAnsi="宋体"/>
                <w:b/>
                <w:color w:val="000000"/>
                <w:szCs w:val="21"/>
                <w:lang w:val="en-US" w:eastAsia="zh-CN"/>
              </w:rPr>
              <w:t>废水产生量</w:t>
            </w:r>
          </w:p>
        </w:tc>
        <w:tc>
          <w:tcPr>
            <w:tcW w:w="1325" w:type="dxa"/>
            <w:tcBorders>
              <w:tl2br w:val="nil"/>
              <w:tr2bl w:val="nil"/>
            </w:tcBorders>
            <w:noWrap w:val="0"/>
            <w:vAlign w:val="center"/>
          </w:tcPr>
          <w:p w14:paraId="5D3668C3">
            <w:pPr>
              <w:jc w:val="center"/>
              <w:rPr>
                <w:rFonts w:hint="eastAsia"/>
                <w:b/>
                <w:color w:val="000000"/>
                <w:szCs w:val="21"/>
              </w:rPr>
            </w:pPr>
            <w:r>
              <w:rPr>
                <w:rFonts w:hint="eastAsia"/>
                <w:b/>
                <w:color w:val="000000"/>
                <w:szCs w:val="21"/>
              </w:rPr>
              <w:t>循环</w:t>
            </w:r>
          </w:p>
        </w:tc>
      </w:tr>
      <w:tr w14:paraId="1D89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tcBorders>
              <w:tl2br w:val="nil"/>
              <w:tr2bl w:val="nil"/>
            </w:tcBorders>
            <w:noWrap w:val="0"/>
            <w:vAlign w:val="center"/>
          </w:tcPr>
          <w:p w14:paraId="3DCE6A07">
            <w:pPr>
              <w:pStyle w:val="1441"/>
              <w:spacing w:line="240" w:lineRule="auto"/>
              <w:ind w:firstLine="0" w:firstLineChars="0"/>
              <w:jc w:val="center"/>
              <w:rPr>
                <w:rFonts w:hint="eastAsia" w:cs="宋体"/>
                <w:color w:val="000000"/>
                <w:kern w:val="0"/>
                <w:sz w:val="21"/>
                <w:szCs w:val="21"/>
                <w:lang w:val="en-US" w:eastAsia="zh-CN" w:bidi="ar-SA"/>
              </w:rPr>
            </w:pPr>
            <w:r>
              <w:rPr>
                <w:rFonts w:hint="eastAsia"/>
                <w:color w:val="000000"/>
                <w:sz w:val="21"/>
                <w:szCs w:val="21"/>
              </w:rPr>
              <w:t>生活用水</w:t>
            </w:r>
          </w:p>
        </w:tc>
        <w:tc>
          <w:tcPr>
            <w:tcW w:w="1682" w:type="dxa"/>
            <w:tcBorders>
              <w:tl2br w:val="nil"/>
              <w:tr2bl w:val="nil"/>
            </w:tcBorders>
            <w:noWrap w:val="0"/>
            <w:vAlign w:val="center"/>
          </w:tcPr>
          <w:p w14:paraId="53516DCD">
            <w:pPr>
              <w:jc w:val="center"/>
              <w:rPr>
                <w:rFonts w:hint="default" w:hAnsi="宋体" w:eastAsia="宋体"/>
                <w:color w:val="000000"/>
                <w:kern w:val="2"/>
                <w:sz w:val="21"/>
                <w:szCs w:val="21"/>
                <w:lang w:val="en-US" w:eastAsia="zh-CN" w:bidi="ar-SA"/>
              </w:rPr>
            </w:pPr>
            <w:r>
              <w:rPr>
                <w:rFonts w:hint="eastAsia" w:hAnsi="宋体" w:eastAsia="宋体"/>
                <w:color w:val="000000"/>
                <w:kern w:val="2"/>
                <w:sz w:val="21"/>
                <w:szCs w:val="21"/>
                <w:lang w:val="en-US" w:eastAsia="zh-CN" w:bidi="ar-SA"/>
              </w:rPr>
              <w:t>180</w:t>
            </w:r>
          </w:p>
        </w:tc>
        <w:tc>
          <w:tcPr>
            <w:tcW w:w="1830" w:type="dxa"/>
            <w:tcBorders>
              <w:tl2br w:val="nil"/>
              <w:tr2bl w:val="nil"/>
            </w:tcBorders>
            <w:noWrap w:val="0"/>
            <w:vAlign w:val="center"/>
          </w:tcPr>
          <w:p w14:paraId="7ADF769A">
            <w:pPr>
              <w:jc w:val="center"/>
              <w:rPr>
                <w:rFonts w:hint="default" w:hAnsi="宋体" w:eastAsia="宋体"/>
                <w:color w:val="000000"/>
                <w:kern w:val="2"/>
                <w:sz w:val="21"/>
                <w:szCs w:val="21"/>
                <w:lang w:val="en-US" w:eastAsia="zh-CN" w:bidi="ar-SA"/>
              </w:rPr>
            </w:pPr>
            <w:r>
              <w:rPr>
                <w:rFonts w:hint="eastAsia" w:hAnsi="宋体" w:eastAsia="宋体"/>
                <w:color w:val="000000"/>
                <w:kern w:val="2"/>
                <w:sz w:val="21"/>
                <w:szCs w:val="21"/>
                <w:lang w:val="en-US" w:eastAsia="zh-CN" w:bidi="ar-SA"/>
              </w:rPr>
              <w:t>36</w:t>
            </w:r>
          </w:p>
        </w:tc>
        <w:tc>
          <w:tcPr>
            <w:tcW w:w="1575" w:type="dxa"/>
            <w:tcBorders>
              <w:tl2br w:val="nil"/>
              <w:tr2bl w:val="nil"/>
            </w:tcBorders>
            <w:noWrap w:val="0"/>
            <w:vAlign w:val="center"/>
          </w:tcPr>
          <w:p w14:paraId="5DF5DB2C">
            <w:pPr>
              <w:jc w:val="center"/>
              <w:rPr>
                <w:rFonts w:hint="default" w:hAnsi="宋体" w:eastAsia="宋体"/>
                <w:color w:val="000000"/>
                <w:kern w:val="2"/>
                <w:sz w:val="21"/>
                <w:szCs w:val="21"/>
                <w:lang w:val="en-US" w:eastAsia="zh-CN" w:bidi="ar-SA"/>
              </w:rPr>
            </w:pPr>
            <w:r>
              <w:rPr>
                <w:rFonts w:hint="eastAsia" w:hAnsi="宋体" w:eastAsia="宋体"/>
                <w:color w:val="000000"/>
                <w:kern w:val="2"/>
                <w:sz w:val="21"/>
                <w:szCs w:val="21"/>
                <w:lang w:val="en-US" w:eastAsia="zh-CN" w:bidi="ar-SA"/>
              </w:rPr>
              <w:t>144</w:t>
            </w:r>
          </w:p>
        </w:tc>
        <w:tc>
          <w:tcPr>
            <w:tcW w:w="1325" w:type="dxa"/>
            <w:tcBorders>
              <w:tl2br w:val="nil"/>
              <w:tr2bl w:val="nil"/>
            </w:tcBorders>
            <w:noWrap w:val="0"/>
            <w:vAlign w:val="center"/>
          </w:tcPr>
          <w:p w14:paraId="2D592CB8">
            <w:pPr>
              <w:jc w:val="center"/>
              <w:rPr>
                <w:rFonts w:hint="eastAsia" w:hAnsi="宋体"/>
                <w:color w:val="000000"/>
                <w:kern w:val="2"/>
                <w:sz w:val="21"/>
                <w:szCs w:val="21"/>
                <w:lang w:val="en-US" w:eastAsia="zh-CN" w:bidi="ar-SA"/>
              </w:rPr>
            </w:pPr>
            <w:r>
              <w:rPr>
                <w:rFonts w:hint="eastAsia" w:hAnsi="宋体"/>
                <w:color w:val="000000"/>
                <w:szCs w:val="21"/>
              </w:rPr>
              <w:t>0</w:t>
            </w:r>
          </w:p>
        </w:tc>
      </w:tr>
      <w:tr w14:paraId="1A21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tcBorders>
              <w:tl2br w:val="nil"/>
              <w:tr2bl w:val="nil"/>
            </w:tcBorders>
            <w:noWrap w:val="0"/>
            <w:vAlign w:val="center"/>
          </w:tcPr>
          <w:p w14:paraId="13A413B3">
            <w:pPr>
              <w:pStyle w:val="1441"/>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生产用水</w:t>
            </w:r>
          </w:p>
        </w:tc>
        <w:tc>
          <w:tcPr>
            <w:tcW w:w="1682" w:type="dxa"/>
            <w:tcBorders>
              <w:tl2br w:val="nil"/>
              <w:tr2bl w:val="nil"/>
            </w:tcBorders>
            <w:noWrap w:val="0"/>
            <w:vAlign w:val="center"/>
          </w:tcPr>
          <w:p w14:paraId="24A76AD1">
            <w:pPr>
              <w:jc w:val="center"/>
              <w:rPr>
                <w:rFonts w:hint="default" w:hAnsi="宋体"/>
                <w:color w:val="000000"/>
                <w:szCs w:val="21"/>
                <w:lang w:val="en-US" w:eastAsia="zh-CN"/>
              </w:rPr>
            </w:pPr>
            <w:r>
              <w:rPr>
                <w:rFonts w:hint="eastAsia" w:hAnsi="宋体"/>
                <w:color w:val="000000"/>
                <w:szCs w:val="21"/>
                <w:lang w:val="en-US" w:eastAsia="zh-CN"/>
              </w:rPr>
              <w:t>110</w:t>
            </w:r>
          </w:p>
        </w:tc>
        <w:tc>
          <w:tcPr>
            <w:tcW w:w="1830" w:type="dxa"/>
            <w:tcBorders>
              <w:tl2br w:val="nil"/>
              <w:tr2bl w:val="nil"/>
            </w:tcBorders>
            <w:noWrap w:val="0"/>
            <w:vAlign w:val="center"/>
          </w:tcPr>
          <w:p w14:paraId="0D2C6E0C">
            <w:pPr>
              <w:jc w:val="center"/>
              <w:rPr>
                <w:rFonts w:hint="default" w:hAnsi="宋体"/>
                <w:color w:val="000000"/>
                <w:szCs w:val="21"/>
                <w:lang w:val="en-US" w:eastAsia="zh-CN"/>
              </w:rPr>
            </w:pPr>
            <w:r>
              <w:rPr>
                <w:rFonts w:hint="eastAsia" w:hAnsi="宋体"/>
                <w:color w:val="000000"/>
                <w:szCs w:val="21"/>
                <w:lang w:val="en-US" w:eastAsia="zh-CN"/>
              </w:rPr>
              <w:t>110</w:t>
            </w:r>
          </w:p>
        </w:tc>
        <w:tc>
          <w:tcPr>
            <w:tcW w:w="1575" w:type="dxa"/>
            <w:tcBorders>
              <w:tl2br w:val="nil"/>
              <w:tr2bl w:val="nil"/>
            </w:tcBorders>
            <w:noWrap w:val="0"/>
            <w:vAlign w:val="center"/>
          </w:tcPr>
          <w:p w14:paraId="093F9705">
            <w:pPr>
              <w:jc w:val="center"/>
              <w:rPr>
                <w:rFonts w:hint="default" w:hAnsi="宋体" w:eastAsia="宋体"/>
                <w:color w:val="000000"/>
                <w:szCs w:val="21"/>
                <w:lang w:val="en-US" w:eastAsia="zh-CN"/>
              </w:rPr>
            </w:pPr>
            <w:r>
              <w:rPr>
                <w:rFonts w:hint="eastAsia" w:hAnsi="宋体" w:eastAsia="宋体"/>
                <w:color w:val="000000"/>
                <w:szCs w:val="21"/>
                <w:lang w:val="en-US" w:eastAsia="zh-CN"/>
              </w:rPr>
              <w:t>0</w:t>
            </w:r>
          </w:p>
        </w:tc>
        <w:tc>
          <w:tcPr>
            <w:tcW w:w="1325" w:type="dxa"/>
            <w:tcBorders>
              <w:tl2br w:val="nil"/>
              <w:tr2bl w:val="nil"/>
            </w:tcBorders>
            <w:noWrap w:val="0"/>
            <w:vAlign w:val="center"/>
          </w:tcPr>
          <w:p w14:paraId="72765AD9">
            <w:pPr>
              <w:jc w:val="center"/>
              <w:rPr>
                <w:rFonts w:hint="eastAsia" w:hAnsi="宋体" w:eastAsia="宋体"/>
                <w:color w:val="000000"/>
                <w:szCs w:val="21"/>
                <w:lang w:val="en-US" w:eastAsia="zh-CN"/>
              </w:rPr>
            </w:pPr>
            <w:r>
              <w:rPr>
                <w:rFonts w:hint="eastAsia" w:hAnsi="宋体"/>
                <w:color w:val="000000"/>
                <w:szCs w:val="21"/>
                <w:lang w:val="en-US" w:eastAsia="zh-CN"/>
              </w:rPr>
              <w:t>0</w:t>
            </w:r>
          </w:p>
        </w:tc>
      </w:tr>
    </w:tbl>
    <w:p w14:paraId="19196925">
      <w:pPr>
        <w:pStyle w:val="32"/>
        <w:ind w:firstLine="0"/>
        <w:rPr>
          <w:rFonts w:hint="eastAsia" w:ascii="Times New Roman" w:hAnsi="Times New Roman"/>
          <w:b/>
          <w:color w:val="000000"/>
          <w:sz w:val="21"/>
          <w:szCs w:val="21"/>
        </w:rPr>
      </w:pPr>
      <w:r>
        <w:rPr>
          <w:rFonts w:hint="default" w:ascii="Times New Roman" w:hAnsi="Times New Roman" w:cs="Times New Roman"/>
          <w:b/>
          <w:color w:val="000000"/>
          <w:sz w:val="21"/>
          <w:szCs w:val="21"/>
        </w:rPr>
        <mc:AlternateContent>
          <mc:Choice Requires="wpc">
            <w:drawing>
              <wp:anchor distT="0" distB="0" distL="114300" distR="114300" simplePos="0" relativeHeight="251672576" behindDoc="0" locked="0" layoutInCell="1" allowOverlap="1">
                <wp:simplePos x="0" y="0"/>
                <wp:positionH relativeFrom="column">
                  <wp:posOffset>252095</wp:posOffset>
                </wp:positionH>
                <wp:positionV relativeFrom="paragraph">
                  <wp:posOffset>156210</wp:posOffset>
                </wp:positionV>
                <wp:extent cx="5323205" cy="1568450"/>
                <wp:effectExtent l="0" t="0" r="0" b="12065"/>
                <wp:wrapNone/>
                <wp:docPr id="23" name="画布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圆角矩形 5"/>
                        <wps:cNvSpPr/>
                        <wps:spPr>
                          <a:xfrm>
                            <a:off x="1786890" y="437684"/>
                            <a:ext cx="796290" cy="22741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474303E1">
                              <w:pPr>
                                <w:jc w:val="center"/>
                              </w:pPr>
                              <w:r>
                                <w:rPr>
                                  <w:rFonts w:hint="eastAsia"/>
                                </w:rPr>
                                <w:t>生活用水</w:t>
                              </w:r>
                            </w:p>
                          </w:txbxContent>
                        </wps:txbx>
                        <wps:bodyPr lIns="0" tIns="0" rIns="0" bIns="0" upright="1"/>
                      </wps:wsp>
                      <wps:wsp>
                        <wps:cNvPr id="6" name="直接连接符 6"/>
                        <wps:cNvCnPr/>
                        <wps:spPr>
                          <a:xfrm>
                            <a:off x="1147445" y="549487"/>
                            <a:ext cx="626745" cy="635"/>
                          </a:xfrm>
                          <a:prstGeom prst="line">
                            <a:avLst/>
                          </a:prstGeom>
                          <a:ln w="9525" cap="flat" cmpd="sng">
                            <a:solidFill>
                              <a:srgbClr val="000000"/>
                            </a:solidFill>
                            <a:prstDash val="solid"/>
                            <a:headEnd type="none" w="med" len="med"/>
                            <a:tailEnd type="triangle" w="med" len="med"/>
                          </a:ln>
                        </wps:spPr>
                        <wps:bodyPr upright="1"/>
                      </wps:wsp>
                      <wps:wsp>
                        <wps:cNvPr id="7" name="圆角矩形 7"/>
                        <wps:cNvSpPr/>
                        <wps:spPr>
                          <a:xfrm>
                            <a:off x="565785" y="1018934"/>
                            <a:ext cx="548640" cy="226783"/>
                          </a:xfrm>
                          <a:prstGeom prst="roundRect">
                            <a:avLst>
                              <a:gd name="adj" fmla="val 16667"/>
                            </a:avLst>
                          </a:prstGeom>
                          <a:noFill/>
                          <a:ln>
                            <a:noFill/>
                          </a:ln>
                        </wps:spPr>
                        <wps:txbx>
                          <w:txbxContent>
                            <w:p w14:paraId="25DFDF8E">
                              <w:pPr>
                                <w:jc w:val="center"/>
                                <w:rPr>
                                  <w:rFonts w:hint="default" w:eastAsia="宋体"/>
                                  <w:lang w:val="en-US" w:eastAsia="zh-CN"/>
                                </w:rPr>
                              </w:pPr>
                              <w:r>
                                <w:rPr>
                                  <w:rFonts w:hint="eastAsia"/>
                                  <w:lang w:val="en-US" w:eastAsia="zh-CN"/>
                                </w:rPr>
                                <w:t>290</w:t>
                              </w:r>
                            </w:p>
                          </w:txbxContent>
                        </wps:txbx>
                        <wps:bodyPr lIns="0" tIns="0" rIns="0" bIns="0" upright="1"/>
                      </wps:wsp>
                      <wps:wsp>
                        <wps:cNvPr id="8" name="圆角矩形 8"/>
                        <wps:cNvSpPr/>
                        <wps:spPr>
                          <a:xfrm>
                            <a:off x="1273175" y="329057"/>
                            <a:ext cx="478790" cy="236311"/>
                          </a:xfrm>
                          <a:prstGeom prst="roundRect">
                            <a:avLst>
                              <a:gd name="adj" fmla="val 16667"/>
                            </a:avLst>
                          </a:prstGeom>
                          <a:noFill/>
                          <a:ln>
                            <a:noFill/>
                          </a:ln>
                        </wps:spPr>
                        <wps:txbx>
                          <w:txbxContent>
                            <w:p w14:paraId="1D900BDA">
                              <w:pPr>
                                <w:jc w:val="center"/>
                                <w:rPr>
                                  <w:rFonts w:hint="default" w:eastAsia="宋体"/>
                                  <w:lang w:val="en-US" w:eastAsia="zh-CN"/>
                                </w:rPr>
                              </w:pPr>
                              <w:r>
                                <w:rPr>
                                  <w:rFonts w:hint="eastAsia" w:eastAsia="宋体"/>
                                  <w:lang w:val="en-US" w:eastAsia="zh-CN"/>
                                </w:rPr>
                                <w:t>180</w:t>
                              </w:r>
                            </w:p>
                          </w:txbxContent>
                        </wps:txbx>
                        <wps:bodyPr lIns="0" tIns="0" rIns="0" bIns="0" upright="1"/>
                      </wps:wsp>
                      <wps:wsp>
                        <wps:cNvPr id="9" name="直接连接符 9"/>
                        <wps:cNvCnPr/>
                        <wps:spPr>
                          <a:xfrm>
                            <a:off x="1153795" y="558381"/>
                            <a:ext cx="635" cy="898237"/>
                          </a:xfrm>
                          <a:prstGeom prst="line">
                            <a:avLst/>
                          </a:prstGeom>
                          <a:ln w="9525" cap="flat" cmpd="sng">
                            <a:solidFill>
                              <a:srgbClr val="000000"/>
                            </a:solidFill>
                            <a:prstDash val="solid"/>
                            <a:headEnd type="none" w="med" len="med"/>
                            <a:tailEnd type="none" w="med" len="med"/>
                          </a:ln>
                        </wps:spPr>
                        <wps:bodyPr upright="1"/>
                      </wps:wsp>
                      <wps:wsp>
                        <wps:cNvPr id="10" name="圆角矩形 10"/>
                        <wps:cNvSpPr/>
                        <wps:spPr>
                          <a:xfrm>
                            <a:off x="29210" y="1133913"/>
                            <a:ext cx="523240" cy="226783"/>
                          </a:xfrm>
                          <a:prstGeom prst="roundRect">
                            <a:avLst>
                              <a:gd name="adj" fmla="val 16667"/>
                            </a:avLst>
                          </a:prstGeom>
                          <a:noFill/>
                          <a:ln>
                            <a:noFill/>
                          </a:ln>
                        </wps:spPr>
                        <wps:txbx>
                          <w:txbxContent>
                            <w:p w14:paraId="7563E46F">
                              <w:pPr>
                                <w:jc w:val="center"/>
                              </w:pPr>
                              <w:r>
                                <w:rPr>
                                  <w:rFonts w:hint="eastAsia"/>
                                </w:rPr>
                                <w:t>新鲜水</w:t>
                              </w:r>
                            </w:p>
                          </w:txbxContent>
                        </wps:txbx>
                        <wps:bodyPr lIns="0" tIns="0" rIns="0" bIns="0" upright="1"/>
                      </wps:wsp>
                      <wps:wsp>
                        <wps:cNvPr id="11" name="任意多边形 11"/>
                        <wps:cNvSpPr/>
                        <wps:spPr>
                          <a:xfrm>
                            <a:off x="2148840" y="208361"/>
                            <a:ext cx="330200" cy="249651"/>
                          </a:xfrm>
                          <a:custGeom>
                            <a:avLst/>
                            <a:gdLst/>
                            <a:ahLst/>
                            <a:cxnLst/>
                            <a:pathLst>
                              <a:path w="600" h="549">
                                <a:moveTo>
                                  <a:pt x="0" y="549"/>
                                </a:moveTo>
                                <a:cubicBezTo>
                                  <a:pt x="141" y="356"/>
                                  <a:pt x="283" y="163"/>
                                  <a:pt x="340" y="130"/>
                                </a:cubicBezTo>
                                <a:cubicBezTo>
                                  <a:pt x="397" y="97"/>
                                  <a:pt x="297" y="372"/>
                                  <a:pt x="340" y="350"/>
                                </a:cubicBezTo>
                                <a:cubicBezTo>
                                  <a:pt x="383" y="328"/>
                                  <a:pt x="553" y="71"/>
                                  <a:pt x="600" y="0"/>
                                </a:cubicBezTo>
                              </a:path>
                            </a:pathLst>
                          </a:custGeom>
                          <a:noFill/>
                          <a:ln w="9525" cap="flat" cmpd="sng">
                            <a:solidFill>
                              <a:srgbClr val="000000"/>
                            </a:solidFill>
                            <a:prstDash val="solid"/>
                            <a:headEnd type="none" w="med" len="med"/>
                            <a:tailEnd type="triangle" w="med" len="med"/>
                          </a:ln>
                        </wps:spPr>
                        <wps:bodyPr upright="1"/>
                      </wps:wsp>
                      <wps:wsp>
                        <wps:cNvPr id="12" name="圆角矩形 12"/>
                        <wps:cNvSpPr/>
                        <wps:spPr>
                          <a:xfrm>
                            <a:off x="2077085" y="0"/>
                            <a:ext cx="803275" cy="226783"/>
                          </a:xfrm>
                          <a:prstGeom prst="roundRect">
                            <a:avLst>
                              <a:gd name="adj" fmla="val 16667"/>
                            </a:avLst>
                          </a:prstGeom>
                          <a:noFill/>
                          <a:ln>
                            <a:noFill/>
                          </a:ln>
                        </wps:spPr>
                        <wps:txbx>
                          <w:txbxContent>
                            <w:p w14:paraId="0D780F52">
                              <w:pPr>
                                <w:jc w:val="center"/>
                                <w:rPr>
                                  <w:rFonts w:hint="default" w:eastAsia="宋体"/>
                                  <w:lang w:val="en-US" w:eastAsia="zh-CN"/>
                                </w:rPr>
                              </w:pPr>
                              <w:r>
                                <w:rPr>
                                  <w:rFonts w:hint="eastAsia"/>
                                </w:rPr>
                                <w:t>损耗量</w:t>
                              </w:r>
                              <w:r>
                                <w:rPr>
                                  <w:rFonts w:hint="eastAsia"/>
                                  <w:lang w:val="en-US" w:eastAsia="zh-CN"/>
                                </w:rPr>
                                <w:t>36</w:t>
                              </w:r>
                            </w:p>
                          </w:txbxContent>
                        </wps:txbx>
                        <wps:bodyPr lIns="0" tIns="0" rIns="0" bIns="0" upright="1"/>
                      </wps:wsp>
                      <wps:wsp>
                        <wps:cNvPr id="13" name="直接连接符 13"/>
                        <wps:cNvCnPr/>
                        <wps:spPr>
                          <a:xfrm>
                            <a:off x="565150" y="1227929"/>
                            <a:ext cx="571500" cy="635"/>
                          </a:xfrm>
                          <a:prstGeom prst="line">
                            <a:avLst/>
                          </a:prstGeom>
                          <a:ln w="9525" cap="flat" cmpd="sng">
                            <a:solidFill>
                              <a:srgbClr val="000000"/>
                            </a:solidFill>
                            <a:prstDash val="solid"/>
                            <a:headEnd type="none" w="med" len="med"/>
                            <a:tailEnd type="triangle" w="med" len="med"/>
                          </a:ln>
                        </wps:spPr>
                        <wps:bodyPr upright="1"/>
                      </wps:wsp>
                      <wps:wsp>
                        <wps:cNvPr id="14" name="圆角矩形 14"/>
                        <wps:cNvSpPr/>
                        <wps:spPr>
                          <a:xfrm>
                            <a:off x="3489325" y="457377"/>
                            <a:ext cx="1350010" cy="282684"/>
                          </a:xfrm>
                          <a:prstGeom prst="roundRect">
                            <a:avLst>
                              <a:gd name="adj" fmla="val 16667"/>
                            </a:avLst>
                          </a:prstGeom>
                          <a:noFill/>
                          <a:ln>
                            <a:noFill/>
                          </a:ln>
                        </wps:spPr>
                        <wps:txbx>
                          <w:txbxContent>
                            <w:p w14:paraId="685B74F7">
                              <w:pPr>
                                <w:jc w:val="center"/>
                                <w:rPr>
                                  <w:rFonts w:hint="default" w:eastAsia="宋体"/>
                                  <w:lang w:val="en-US" w:eastAsia="zh-CN"/>
                                </w:rPr>
                              </w:pPr>
                              <w:r>
                                <w:rPr>
                                  <w:rFonts w:hint="eastAsia"/>
                                  <w:lang w:val="en-US" w:eastAsia="zh-CN"/>
                                </w:rPr>
                                <w:t>排入旱厕，定期清掏</w:t>
                              </w:r>
                            </w:p>
                          </w:txbxContent>
                        </wps:txbx>
                        <wps:bodyPr lIns="0" tIns="0" rIns="0" bIns="0" upright="1"/>
                      </wps:wsp>
                      <wps:wsp>
                        <wps:cNvPr id="15" name="圆角矩形 15"/>
                        <wps:cNvSpPr/>
                        <wps:spPr>
                          <a:xfrm>
                            <a:off x="2820035" y="367807"/>
                            <a:ext cx="459740" cy="226783"/>
                          </a:xfrm>
                          <a:prstGeom prst="roundRect">
                            <a:avLst>
                              <a:gd name="adj" fmla="val 16667"/>
                            </a:avLst>
                          </a:prstGeom>
                          <a:noFill/>
                          <a:ln>
                            <a:noFill/>
                          </a:ln>
                        </wps:spPr>
                        <wps:txbx>
                          <w:txbxContent>
                            <w:p w14:paraId="2B8F312C">
                              <w:pPr>
                                <w:jc w:val="center"/>
                                <w:rPr>
                                  <w:rFonts w:hint="default" w:eastAsia="宋体"/>
                                  <w:lang w:val="en-US" w:eastAsia="zh-CN"/>
                                </w:rPr>
                              </w:pPr>
                              <w:r>
                                <w:rPr>
                                  <w:rFonts w:hint="eastAsia"/>
                                  <w:lang w:val="en-US" w:eastAsia="zh-CN"/>
                                </w:rPr>
                                <w:t>144</w:t>
                              </w:r>
                            </w:p>
                          </w:txbxContent>
                        </wps:txbx>
                        <wps:bodyPr lIns="0" tIns="0" rIns="0" bIns="0" upright="1"/>
                      </wps:wsp>
                      <wps:wsp>
                        <wps:cNvPr id="16" name="直接箭头连接符 16"/>
                        <wps:cNvCnPr/>
                        <wps:spPr>
                          <a:xfrm>
                            <a:off x="2581910" y="560286"/>
                            <a:ext cx="897890" cy="635"/>
                          </a:xfrm>
                          <a:prstGeom prst="straightConnector1">
                            <a:avLst/>
                          </a:prstGeom>
                          <a:ln w="9525" cap="flat" cmpd="sng">
                            <a:solidFill>
                              <a:srgbClr val="000000"/>
                            </a:solidFill>
                            <a:prstDash val="solid"/>
                            <a:headEnd type="none" w="med" len="med"/>
                            <a:tailEnd type="triangle" w="med" len="med"/>
                          </a:ln>
                        </wps:spPr>
                        <wps:bodyPr/>
                      </wps:wsp>
                      <wps:wsp>
                        <wps:cNvPr id="17" name="圆角矩形 17"/>
                        <wps:cNvSpPr/>
                        <wps:spPr>
                          <a:xfrm>
                            <a:off x="1261745" y="1248893"/>
                            <a:ext cx="478790" cy="226783"/>
                          </a:xfrm>
                          <a:prstGeom prst="roundRect">
                            <a:avLst>
                              <a:gd name="adj" fmla="val 16667"/>
                            </a:avLst>
                          </a:prstGeom>
                          <a:noFill/>
                          <a:ln>
                            <a:noFill/>
                          </a:ln>
                        </wps:spPr>
                        <wps:txbx>
                          <w:txbxContent>
                            <w:p w14:paraId="5BD56841">
                              <w:pPr>
                                <w:jc w:val="center"/>
                                <w:rPr>
                                  <w:rFonts w:hint="default" w:eastAsia="宋体"/>
                                  <w:lang w:val="en-US" w:eastAsia="zh-CN"/>
                                </w:rPr>
                              </w:pPr>
                              <w:r>
                                <w:rPr>
                                  <w:rFonts w:hint="eastAsia"/>
                                  <w:bCs/>
                                  <w:szCs w:val="21"/>
                                  <w:lang w:val="en-US" w:eastAsia="zh-CN"/>
                                </w:rPr>
                                <w:t>110</w:t>
                              </w:r>
                            </w:p>
                          </w:txbxContent>
                        </wps:txbx>
                        <wps:bodyPr lIns="0" tIns="0" rIns="0" bIns="0" upright="1"/>
                      </wps:wsp>
                      <wpg:wgp>
                        <wpg:cNvPr id="20" name="组合 20"/>
                        <wpg:cNvGrpSpPr/>
                        <wpg:grpSpPr>
                          <a:xfrm>
                            <a:off x="1790700" y="1107868"/>
                            <a:ext cx="908050" cy="465000"/>
                            <a:chOff x="3690" y="2014"/>
                            <a:chExt cx="1430" cy="732"/>
                          </a:xfrm>
                        </wpg:grpSpPr>
                        <wps:wsp>
                          <wps:cNvPr id="18" name="圆角矩形 18"/>
                          <wps:cNvSpPr/>
                          <wps:spPr>
                            <a:xfrm>
                              <a:off x="3690" y="2390"/>
                              <a:ext cx="1431" cy="35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0CD1EAC">
                                <w:pPr>
                                  <w:jc w:val="center"/>
                                </w:pPr>
                                <w:r>
                                  <w:rPr>
                                    <w:rFonts w:hint="eastAsia"/>
                                    <w:bCs/>
                                    <w:szCs w:val="21"/>
                                    <w:lang w:val="en-US" w:eastAsia="zh-CN"/>
                                  </w:rPr>
                                  <w:t>生产</w:t>
                                </w:r>
                                <w:r>
                                  <w:rPr>
                                    <w:rFonts w:hint="eastAsia"/>
                                  </w:rPr>
                                  <w:t>用水</w:t>
                                </w:r>
                              </w:p>
                            </w:txbxContent>
                          </wps:txbx>
                          <wps:bodyPr lIns="0" tIns="0" rIns="0" bIns="0" upright="1"/>
                        </wps:wsp>
                        <wps:wsp>
                          <wps:cNvPr id="19" name="任意多边形 19"/>
                          <wps:cNvSpPr/>
                          <wps:spPr>
                            <a:xfrm>
                              <a:off x="4395" y="2014"/>
                              <a:ext cx="520" cy="393"/>
                            </a:xfrm>
                            <a:custGeom>
                              <a:avLst/>
                              <a:gdLst/>
                              <a:ahLst/>
                              <a:cxnLst/>
                              <a:pathLst>
                                <a:path w="600" h="549">
                                  <a:moveTo>
                                    <a:pt x="0" y="549"/>
                                  </a:moveTo>
                                  <a:cubicBezTo>
                                    <a:pt x="141" y="356"/>
                                    <a:pt x="283" y="163"/>
                                    <a:pt x="340" y="130"/>
                                  </a:cubicBezTo>
                                  <a:cubicBezTo>
                                    <a:pt x="397" y="97"/>
                                    <a:pt x="297" y="372"/>
                                    <a:pt x="340" y="350"/>
                                  </a:cubicBezTo>
                                  <a:cubicBezTo>
                                    <a:pt x="383" y="328"/>
                                    <a:pt x="553" y="71"/>
                                    <a:pt x="600" y="0"/>
                                  </a:cubicBezTo>
                                </a:path>
                              </a:pathLst>
                            </a:custGeom>
                            <a:noFill/>
                            <a:ln w="9525" cap="flat" cmpd="sng">
                              <a:solidFill>
                                <a:srgbClr val="000000"/>
                              </a:solidFill>
                              <a:prstDash val="solid"/>
                              <a:headEnd type="none" w="med" len="med"/>
                              <a:tailEnd type="triangle" w="med" len="med"/>
                            </a:ln>
                          </wps:spPr>
                          <wps:bodyPr upright="1"/>
                        </wps:wsp>
                      </wpg:wgp>
                      <wps:wsp>
                        <wps:cNvPr id="21" name="圆角矩形 21"/>
                        <wps:cNvSpPr/>
                        <wps:spPr>
                          <a:xfrm>
                            <a:off x="2162810" y="879180"/>
                            <a:ext cx="869315" cy="226147"/>
                          </a:xfrm>
                          <a:prstGeom prst="roundRect">
                            <a:avLst>
                              <a:gd name="adj" fmla="val 16667"/>
                            </a:avLst>
                          </a:prstGeom>
                          <a:noFill/>
                          <a:ln>
                            <a:noFill/>
                          </a:ln>
                        </wps:spPr>
                        <wps:txbx>
                          <w:txbxContent>
                            <w:p w14:paraId="2D0691E0">
                              <w:pPr>
                                <w:jc w:val="center"/>
                                <w:rPr>
                                  <w:rFonts w:hint="default" w:eastAsia="宋体"/>
                                  <w:lang w:val="en-US" w:eastAsia="zh-CN"/>
                                </w:rPr>
                              </w:pPr>
                              <w:r>
                                <w:rPr>
                                  <w:rFonts w:hint="eastAsia"/>
                                </w:rPr>
                                <w:t>损耗量</w:t>
                              </w:r>
                              <w:r>
                                <w:rPr>
                                  <w:rFonts w:hint="eastAsia"/>
                                  <w:lang w:val="en-US" w:eastAsia="zh-CN"/>
                                </w:rPr>
                                <w:t>110</w:t>
                              </w:r>
                            </w:p>
                          </w:txbxContent>
                        </wps:txbx>
                        <wps:bodyPr lIns="0" tIns="0" rIns="0" bIns="0" upright="1"/>
                      </wps:wsp>
                      <wps:wsp>
                        <wps:cNvPr id="22" name="直接连接符 22"/>
                        <wps:cNvCnPr/>
                        <wps:spPr>
                          <a:xfrm flipV="1">
                            <a:off x="1164590" y="1466147"/>
                            <a:ext cx="616585" cy="635"/>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9.85pt;margin-top:12.3pt;height:123.5pt;width:419.15pt;z-index:251672576;mso-width-relative:page;mso-height-relative:page;" coordsize="5323205,1568450" editas="canvas" o:gfxdata="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">
                <o:lock v:ext="edit" aspectratio="f"/>
                <v:shape id="_x0000_s1026" o:spid="_x0000_s1026" style="position:absolute;left:0;top:0;height:1568450;width:5323205;" filled="f" stroked="f" coordsize="21600,21600" o:gfxdata="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">
                  <v:fill on="f" focussize="0,0"/>
                  <v:stroke on="f"/>
                  <v:imagedata o:title=""/>
                  <o:lock v:ext="edit" aspectratio="t"/>
                </v:shape>
                <v:roundrect id="_x0000_s1026" o:spid="_x0000_s1026" o:spt="2" style="position:absolute;left:1786890;top:437684;height:227418;width:796290;" fillcolor="#FFFFFF" filled="t" stroked="t" coordsize="21600,21600" arcsize="0.166666666666667" o:gfxdata="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3o3RxdwAAAAJAQAADwAAAAAAAAABACAAAAAiAAAA&#10;ZHJzL2Rvd25yZXYueG1sUEsBAhQAFAAAAAgAh07iQNqPN+U8AgAAhAQAAA4AAAAAAAAAAQAgAAAA&#10;KwEAAGRycy9lMm9Eb2MueG1sUEsFBgAAAAAGAAYAWQEAANkFAAAAAA==&#10;">
                  <v:fill on="t" focussize="0,0"/>
                  <v:stroke color="#000000" joinstyle="round"/>
                  <v:imagedata o:title=""/>
                  <o:lock v:ext="edit" aspectratio="f"/>
                  <v:textbox inset="0mm,0mm,0mm,0mm">
                    <w:txbxContent>
                      <w:p w14:paraId="474303E1">
                        <w:pPr>
                          <w:jc w:val="center"/>
                        </w:pPr>
                        <w:r>
                          <w:rPr>
                            <w:rFonts w:hint="eastAsia"/>
                          </w:rPr>
                          <w:t>生活用水</w:t>
                        </w:r>
                      </w:p>
                    </w:txbxContent>
                  </v:textbox>
                </v:roundrect>
                <v:line id="_x0000_s1026" o:spid="_x0000_s1026" o:spt="20" style="position:absolute;left:1147445;top:549487;height:635;width:626745;" filled="f" stroked="t" coordsize="21600,21600" o:gfxdata="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tNyR/aAAAACQEAAA8AAAAAAAAAAQAgAAAA&#10;IgAAAGRycy9kb3ducmV2LnhtbFBLAQIUABQAAAAIAIdO4kC9wqmyCQIAAPQDAAAOAAAAAAAAAAEA&#10;IAAAACkBAABkcnMvZTJvRG9jLnhtbFBLBQYAAAAABgAGAFkBAACkBQAAAAA=&#10;">
                  <v:fill on="f" focussize="0,0"/>
                  <v:stroke color="#000000" joinstyle="round" endarrow="block"/>
                  <v:imagedata o:title=""/>
                  <o:lock v:ext="edit" aspectratio="f"/>
                </v:line>
                <v:roundrect id="_x0000_s1026" o:spid="_x0000_s1026" o:spt="2" style="position:absolute;left:565785;top:1018934;height:226783;width:548640;"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Gl3OfZAAAA&#10;CQEAAA8AAAAAAAAAAQAgAAAAIgAAAGRycy9kb3ducmV2LnhtbFBLAQIUABQAAAAIAIdO4kDi+Xyx&#10;4wEAAKYDAAAOAAAAAAAAAAEAIAAAACgBAABkcnMvZTJvRG9jLnhtbFBLBQYAAAAABgAGAFkBAAB9&#10;BQAAAAA=&#10;">
                  <v:fill on="f" focussize="0,0"/>
                  <v:stroke on="f"/>
                  <v:imagedata o:title=""/>
                  <o:lock v:ext="edit" aspectratio="f"/>
                  <v:textbox inset="0mm,0mm,0mm,0mm">
                    <w:txbxContent>
                      <w:p w14:paraId="25DFDF8E">
                        <w:pPr>
                          <w:jc w:val="center"/>
                          <w:rPr>
                            <w:rFonts w:hint="default" w:eastAsia="宋体"/>
                            <w:lang w:val="en-US" w:eastAsia="zh-CN"/>
                          </w:rPr>
                        </w:pPr>
                        <w:r>
                          <w:rPr>
                            <w:rFonts w:hint="eastAsia"/>
                            <w:lang w:val="en-US" w:eastAsia="zh-CN"/>
                          </w:rPr>
                          <w:t>290</w:t>
                        </w:r>
                      </w:p>
                    </w:txbxContent>
                  </v:textbox>
                </v:roundrect>
                <v:roundrect id="_x0000_s1026" o:spid="_x0000_s1026" o:spt="2" style="position:absolute;left:1273175;top:329057;height:236311;width:478790;"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Gl3OfZAAAA&#10;CQEAAA8AAAAAAAAAAQAgAAAAIgAAAGRycy9kb3ducmV2LnhtbFBLAQIUABQAAAAIAIdO4kCt1D8s&#10;4wEAAKYDAAAOAAAAAAAAAAEAIAAAACgBAABkcnMvZTJvRG9jLnhtbFBLBQYAAAAABgAGAFkBAAB9&#10;BQAAAAA=&#10;">
                  <v:fill on="f" focussize="0,0"/>
                  <v:stroke on="f"/>
                  <v:imagedata o:title=""/>
                  <o:lock v:ext="edit" aspectratio="f"/>
                  <v:textbox inset="0mm,0mm,0mm,0mm">
                    <w:txbxContent>
                      <w:p w14:paraId="1D900BDA">
                        <w:pPr>
                          <w:jc w:val="center"/>
                          <w:rPr>
                            <w:rFonts w:hint="default" w:eastAsia="宋体"/>
                            <w:lang w:val="en-US" w:eastAsia="zh-CN"/>
                          </w:rPr>
                        </w:pPr>
                        <w:r>
                          <w:rPr>
                            <w:rFonts w:hint="eastAsia" w:eastAsia="宋体"/>
                            <w:lang w:val="en-US" w:eastAsia="zh-CN"/>
                          </w:rPr>
                          <w:t>180</w:t>
                        </w:r>
                      </w:p>
                    </w:txbxContent>
                  </v:textbox>
                </v:roundrect>
                <v:line id="_x0000_s1026" o:spid="_x0000_s1026" o:spt="20" style="position:absolute;left:1153795;top:558381;height:898237;width:635;" filled="f" stroked="t" coordsize="21600,21600" o:gfxdata="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lQ3ZtgAAAAJAQAADwAAAAAAAAABACAAAAAiAAAAZHJzL2Rv&#10;d25yZXYueG1sUEsBAhQAFAAAAAgAh07iQGUeNNYBAgAA8AMAAA4AAAAAAAAAAQAgAAAAJwEAAGRy&#10;cy9lMm9Eb2MueG1sUEsFBgAAAAAGAAYAWQEAAJoFAAAAAA==&#10;">
                  <v:fill on="f" focussize="0,0"/>
                  <v:stroke color="#000000" joinstyle="round"/>
                  <v:imagedata o:title=""/>
                  <o:lock v:ext="edit" aspectratio="f"/>
                </v:line>
                <v:roundrect id="_x0000_s1026" o:spid="_x0000_s1026" o:spt="2" style="position:absolute;left:29210;top:1133913;height:226783;width:523240;"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EaXc59kAAAAJ&#10;AQAADwAAAAAAAAABACAAAAAiAAAAZHJzL2Rvd25yZXYueG1sUEsBAhQAFAAAAAgAh07iQO+aZs3i&#10;AQAApwMAAA4AAAAAAAAAAQAgAAAAKAEAAGRycy9lMm9Eb2MueG1sUEsFBgAAAAAGAAYAWQEAAHwF&#10;AAAAAA==&#10;">
                  <v:fill on="f" focussize="0,0"/>
                  <v:stroke on="f"/>
                  <v:imagedata o:title=""/>
                  <o:lock v:ext="edit" aspectratio="f"/>
                  <v:textbox inset="0mm,0mm,0mm,0mm">
                    <w:txbxContent>
                      <w:p w14:paraId="7563E46F">
                        <w:pPr>
                          <w:jc w:val="center"/>
                        </w:pPr>
                        <w:r>
                          <w:rPr>
                            <w:rFonts w:hint="eastAsia"/>
                          </w:rPr>
                          <w:t>新鲜水</w:t>
                        </w:r>
                      </w:p>
                    </w:txbxContent>
                  </v:textbox>
                </v:roundrect>
                <v:shape id="_x0000_s1026" o:spid="_x0000_s1026" o:spt="100" style="position:absolute;left:2148840;top:208361;height:249651;width:330200;" filled="f" stroked="t" coordsize="600,549" o:gfxdata="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B9agkdgAAAAJAQAADwAAAAAAAAABACAAAAAiAAAAZHJzL2Rvd25yZXYueG1sUEsBAhQA&#10;FAAAAAgAh07iQOWnoVWdAgAAmwUAAA4AAAAAAAAAAQAgAAAAJwEAAGRycy9lMm9Eb2MueG1sUEsF&#10;BgAAAAAGAAYAWQEAADYGAAAAAA==&#10;" path="m0,549c141,356,283,163,340,130c397,97,297,372,340,350c383,328,553,71,600,0e">
                  <v:fill on="f" focussize="0,0"/>
                  <v:stroke color="#000000" joinstyle="round" endarrow="block"/>
                  <v:imagedata o:title=""/>
                  <o:lock v:ext="edit" aspectratio="f"/>
                </v:shape>
                <v:roundrect id="_x0000_s1026" o:spid="_x0000_s1026" o:spt="2" style="position:absolute;left:2077085;top:0;height:226783;width:803275;"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BGl3OfZAAAACQEAAA8A&#10;AAAAAAAAAQAgAAAAIgAAAGRycy9kb3ducmV2LnhtbFBLAQIUABQAAAAIAIdO4kBhPAN+3QEAAKMD&#10;AAAOAAAAAAAAAAEAIAAAACgBAABkcnMvZTJvRG9jLnhtbFBLBQYAAAAABgAGAFkBAAB3BQAAAAA=&#10;">
                  <v:fill on="f" focussize="0,0"/>
                  <v:stroke on="f"/>
                  <v:imagedata o:title=""/>
                  <o:lock v:ext="edit" aspectratio="f"/>
                  <v:textbox inset="0mm,0mm,0mm,0mm">
                    <w:txbxContent>
                      <w:p w14:paraId="0D780F52">
                        <w:pPr>
                          <w:jc w:val="center"/>
                          <w:rPr>
                            <w:rFonts w:hint="default" w:eastAsia="宋体"/>
                            <w:lang w:val="en-US" w:eastAsia="zh-CN"/>
                          </w:rPr>
                        </w:pPr>
                        <w:r>
                          <w:rPr>
                            <w:rFonts w:hint="eastAsia"/>
                          </w:rPr>
                          <w:t>损耗量</w:t>
                        </w:r>
                        <w:r>
                          <w:rPr>
                            <w:rFonts w:hint="eastAsia"/>
                            <w:lang w:val="en-US" w:eastAsia="zh-CN"/>
                          </w:rPr>
                          <w:t>36</w:t>
                        </w:r>
                      </w:p>
                    </w:txbxContent>
                  </v:textbox>
                </v:roundrect>
                <v:line id="_x0000_s1026" o:spid="_x0000_s1026" o:spt="20" style="position:absolute;left:565150;top:1227929;height:635;width:571500;" filled="f" stroked="t" coordsize="21600,21600" o:gfxdata="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03JH9oAAAAJAQAADwAAAAAAAAABACAAAAAi&#10;AAAAZHJzL2Rvd25yZXYueG1sUEsBAhQAFAAAAAgAh07iQA0+tmEIAgAA9gMAAA4AAAAAAAAAAQAg&#10;AAAAKQEAAGRycy9lMm9Eb2MueG1sUEsFBgAAAAAGAAYAWQEAAKMFAAAAAA==&#10;">
                  <v:fill on="f" focussize="0,0"/>
                  <v:stroke color="#000000" joinstyle="round" endarrow="block"/>
                  <v:imagedata o:title=""/>
                  <o:lock v:ext="edit" aspectratio="f"/>
                </v:line>
                <v:roundrect id="_x0000_s1026" o:spid="_x0000_s1026" o:spt="2" style="position:absolute;left:3489325;top:457377;height:282684;width:1350010;"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Gl3OfZAAAA&#10;CQEAAA8AAAAAAAAAAQAgAAAAIgAAAGRycy9kb3ducmV2LnhtbFBLAQIUABQAAAAIAIdO4kCDc818&#10;4wEAAKkDAAAOAAAAAAAAAAEAIAAAACgBAABkcnMvZTJvRG9jLnhtbFBLBQYAAAAABgAGAFkBAAB9&#10;BQAAAAA=&#10;">
                  <v:fill on="f" focussize="0,0"/>
                  <v:stroke on="f"/>
                  <v:imagedata o:title=""/>
                  <o:lock v:ext="edit" aspectratio="f"/>
                  <v:textbox inset="0mm,0mm,0mm,0mm">
                    <w:txbxContent>
                      <w:p w14:paraId="685B74F7">
                        <w:pPr>
                          <w:jc w:val="center"/>
                          <w:rPr>
                            <w:rFonts w:hint="default" w:eastAsia="宋体"/>
                            <w:lang w:val="en-US" w:eastAsia="zh-CN"/>
                          </w:rPr>
                        </w:pPr>
                        <w:r>
                          <w:rPr>
                            <w:rFonts w:hint="eastAsia"/>
                            <w:lang w:val="en-US" w:eastAsia="zh-CN"/>
                          </w:rPr>
                          <w:t>排入旱厕，定期清掏</w:t>
                        </w:r>
                      </w:p>
                    </w:txbxContent>
                  </v:textbox>
                </v:roundrect>
                <v:roundrect id="_x0000_s1026" o:spid="_x0000_s1026" o:spt="2" style="position:absolute;left:2820035;top:367807;height:226783;width:459740;"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pdzn2QAA&#10;AAkBAAAPAAAAAAAAAAEAIAAAACIAAABkcnMvZG93bnJldi54bWxQSwECFAAUAAAACACHTuJA55cs&#10;6OQBAACoAwAADgAAAAAAAAABACAAAAAoAQAAZHJzL2Uyb0RvYy54bWxQSwUGAAAAAAYABgBZAQAA&#10;fgUAAAAA&#10;">
                  <v:fill on="f" focussize="0,0"/>
                  <v:stroke on="f"/>
                  <v:imagedata o:title=""/>
                  <o:lock v:ext="edit" aspectratio="f"/>
                  <v:textbox inset="0mm,0mm,0mm,0mm">
                    <w:txbxContent>
                      <w:p w14:paraId="2B8F312C">
                        <w:pPr>
                          <w:jc w:val="center"/>
                          <w:rPr>
                            <w:rFonts w:hint="default" w:eastAsia="宋体"/>
                            <w:lang w:val="en-US" w:eastAsia="zh-CN"/>
                          </w:rPr>
                        </w:pPr>
                        <w:r>
                          <w:rPr>
                            <w:rFonts w:hint="eastAsia"/>
                            <w:lang w:val="en-US" w:eastAsia="zh-CN"/>
                          </w:rPr>
                          <w:t>144</w:t>
                        </w:r>
                      </w:p>
                    </w:txbxContent>
                  </v:textbox>
                </v:roundrect>
                <v:shape id="_x0000_s1026" o:spid="_x0000_s1026" o:spt="32" type="#_x0000_t32" style="position:absolute;left:2581910;top:560286;height:635;width:897890;" filled="f" stroked="t" coordsize="21600,21600" o:gfxdata="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KA39LaAAAACQEAAA8AAAAA&#10;AAAAAQAgAAAAIgAAAGRycy9kb3ducmV2LnhtbFBLAQIUABQAAAAIAIdO4kD0TRYgEgIAAP4DAAAO&#10;AAAAAAAAAAEAIAAAACkBAABkcnMvZTJvRG9jLnhtbFBLBQYAAAAABgAGAFkBAACtBQAAAAA=&#10;">
                  <v:fill on="f" focussize="0,0"/>
                  <v:stroke color="#000000" joinstyle="round" endarrow="block"/>
                  <v:imagedata o:title=""/>
                  <o:lock v:ext="edit" aspectratio="f"/>
                </v:shape>
                <v:roundrect id="_x0000_s1026" o:spid="_x0000_s1026" o:spt="2" style="position:absolute;left:1261745;top:1248893;height:226783;width:478790;"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Gl3OfZAAAACQEA&#10;AA8AAAAAAAAAAQAgAAAAIgAAAGRycy9kb3ducmV2LnhtbFBLAQIUABQAAAAIAIdO4kBB+Oa34AEA&#10;AKkDAAAOAAAAAAAAAAEAIAAAACgBAABkcnMvZTJvRG9jLnhtbFBLBQYAAAAABgAGAFkBAAB6BQAA&#10;AAA=&#10;">
                  <v:fill on="f" focussize="0,0"/>
                  <v:stroke on="f"/>
                  <v:imagedata o:title=""/>
                  <o:lock v:ext="edit" aspectratio="f"/>
                  <v:textbox inset="0mm,0mm,0mm,0mm">
                    <w:txbxContent>
                      <w:p w14:paraId="5BD56841">
                        <w:pPr>
                          <w:jc w:val="center"/>
                          <w:rPr>
                            <w:rFonts w:hint="default" w:eastAsia="宋体"/>
                            <w:lang w:val="en-US" w:eastAsia="zh-CN"/>
                          </w:rPr>
                        </w:pPr>
                        <w:r>
                          <w:rPr>
                            <w:rFonts w:hint="eastAsia"/>
                            <w:bCs/>
                            <w:szCs w:val="21"/>
                            <w:lang w:val="en-US" w:eastAsia="zh-CN"/>
                          </w:rPr>
                          <w:t>110</w:t>
                        </w:r>
                      </w:p>
                    </w:txbxContent>
                  </v:textbox>
                </v:roundrect>
                <v:group id="_x0000_s1026" o:spid="_x0000_s1026" o:spt="203" style="position:absolute;left:1790700;top:1107868;height:465000;width:908050;" coordorigin="3690,2014" coordsize="1430,732" o:gfxdata="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">
                  <o:lock v:ext="edit" aspectratio="f"/>
                  <v:roundrect id="_x0000_s1026" o:spid="_x0000_s1026" o:spt="2" style="position:absolute;left:3690;top:2390;height:357;width:1431;" fillcolor="#FFFFFF" filled="t" stroked="t" coordsize="21600,21600" arcsize="0.166666666666667" o:gfxdata="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i+Om&#10;wAAAANsAAAAPAAAAAAAAAAEAIAAAACIAAABkcnMvZG93bnJldi54bWxQSwECFAAUAAAACACHTuJA&#10;My8FnjsAAAA5AAAAEAAAAAAAAAABACAAAAAPAQAAZHJzL3NoYXBleG1sLnhtbFBLBQYAAAAABgAG&#10;AFsBAAC5AwAAAAA=&#10;">
                    <v:fill on="t" focussize="0,0"/>
                    <v:stroke color="#000000" joinstyle="round"/>
                    <v:imagedata o:title=""/>
                    <o:lock v:ext="edit" aspectratio="f"/>
                    <v:textbox inset="0mm,0mm,0mm,0mm">
                      <w:txbxContent>
                        <w:p w14:paraId="60CD1EAC">
                          <w:pPr>
                            <w:jc w:val="center"/>
                          </w:pPr>
                          <w:r>
                            <w:rPr>
                              <w:rFonts w:hint="eastAsia"/>
                              <w:bCs/>
                              <w:szCs w:val="21"/>
                              <w:lang w:val="en-US" w:eastAsia="zh-CN"/>
                            </w:rPr>
                            <w:t>生产</w:t>
                          </w:r>
                          <w:r>
                            <w:rPr>
                              <w:rFonts w:hint="eastAsia"/>
                            </w:rPr>
                            <w:t>用水</w:t>
                          </w:r>
                        </w:p>
                      </w:txbxContent>
                    </v:textbox>
                  </v:roundrect>
                  <v:shape id="_x0000_s1026" o:spid="_x0000_s1026" o:spt="100" style="position:absolute;left:4395;top:2014;height:393;width:520;" filled="f" stroked="t" coordsize="600,549" o:gfxdata="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aj0u8AAAA&#10;2wAAAA8AAAAAAAAAAQAgAAAAIgAAAGRycy9kb3ducmV2LnhtbFBLAQIUABQAAAAIAIdO4kAzLwWe&#10;OwAAADkAAAAQAAAAAAAAAAEAIAAAAAsBAABkcnMvc2hhcGV4bWwueG1sUEsFBgAAAAAGAAYAWwEA&#10;ALUDAAAAAA==&#10;" path="m0,549c141,356,283,163,340,130c397,97,297,372,340,350c383,328,553,71,600,0e">
                    <v:fill on="f" focussize="0,0"/>
                    <v:stroke color="#000000" joinstyle="round" endarrow="block"/>
                    <v:imagedata o:title=""/>
                    <o:lock v:ext="edit" aspectratio="f"/>
                  </v:shape>
                </v:group>
                <v:roundrect id="_x0000_s1026" o:spid="_x0000_s1026" o:spt="2" style="position:absolute;left:2162810;top:879180;height:226147;width:869315;" filled="f" stroked="f" coordsize="21600,21600" arcsize="0.166666666666667" o:gfxdata="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Gl3OfZAAAACQEA&#10;AA8AAAAAAAAAAQAgAAAAIgAAAGRycy9kb3ducmV2LnhtbFBLAQIUABQAAAAIAIdO4kAiXuFY4AEA&#10;AKgDAAAOAAAAAAAAAAEAIAAAACgBAABkcnMvZTJvRG9jLnhtbFBLBQYAAAAABgAGAFkBAAB6BQAA&#10;AAA=&#10;">
                  <v:fill on="f" focussize="0,0"/>
                  <v:stroke on="f"/>
                  <v:imagedata o:title=""/>
                  <o:lock v:ext="edit" aspectratio="f"/>
                  <v:textbox inset="0mm,0mm,0mm,0mm">
                    <w:txbxContent>
                      <w:p w14:paraId="2D0691E0">
                        <w:pPr>
                          <w:jc w:val="center"/>
                          <w:rPr>
                            <w:rFonts w:hint="default" w:eastAsia="宋体"/>
                            <w:lang w:val="en-US" w:eastAsia="zh-CN"/>
                          </w:rPr>
                        </w:pPr>
                        <w:r>
                          <w:rPr>
                            <w:rFonts w:hint="eastAsia"/>
                          </w:rPr>
                          <w:t>损耗量</w:t>
                        </w:r>
                        <w:r>
                          <w:rPr>
                            <w:rFonts w:hint="eastAsia"/>
                            <w:lang w:val="en-US" w:eastAsia="zh-CN"/>
                          </w:rPr>
                          <w:t>110</w:t>
                        </w:r>
                      </w:p>
                    </w:txbxContent>
                  </v:textbox>
                </v:roundrect>
                <v:line id="_x0000_s1026" o:spid="_x0000_s1026" o:spt="20" style="position:absolute;left:1164590;top:1466147;flip:y;height:635;width:616585;" filled="f" stroked="t" coordsize="21600,21600" o:gfxdata="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GtvoBTaAAAACQEAAA8AAAAA&#10;AAAAAQAgAAAAIgAAAGRycy9kb3ducmV2LnhtbFBLAQIUABQAAAAIAIdO4kAI2BWyEgIAAAEEAAAO&#10;AAAAAAAAAAEAIAAAACkBAABkcnMvZTJvRG9jLnhtbFBLBQYAAAAABgAGAFkBAACtBQAAAAA=&#10;">
                  <v:fill on="f" focussize="0,0"/>
                  <v:stroke color="#000000" joinstyle="round" endarrow="block"/>
                  <v:imagedata o:title=""/>
                  <o:lock v:ext="edit" aspectratio="f"/>
                </v:line>
              </v:group>
            </w:pict>
          </mc:Fallback>
        </mc:AlternateContent>
      </w:r>
    </w:p>
    <w:p w14:paraId="2C2C5726">
      <w:pPr>
        <w:pStyle w:val="32"/>
        <w:ind w:firstLine="0"/>
        <w:jc w:val="center"/>
        <w:rPr>
          <w:rFonts w:hint="eastAsia" w:ascii="Times New Roman" w:hAnsi="Times New Roman"/>
          <w:b/>
          <w:color w:val="000000"/>
          <w:sz w:val="21"/>
          <w:szCs w:val="21"/>
        </w:rPr>
      </w:pPr>
    </w:p>
    <w:p w14:paraId="275AF17B">
      <w:pPr>
        <w:pStyle w:val="32"/>
        <w:ind w:firstLine="0"/>
        <w:jc w:val="center"/>
        <w:rPr>
          <w:rFonts w:hint="eastAsia" w:ascii="Times New Roman" w:hAnsi="Times New Roman"/>
          <w:b/>
          <w:color w:val="000000"/>
          <w:sz w:val="21"/>
          <w:szCs w:val="21"/>
        </w:rPr>
      </w:pPr>
    </w:p>
    <w:p w14:paraId="4006928A">
      <w:pPr>
        <w:pStyle w:val="32"/>
        <w:ind w:firstLine="0"/>
        <w:jc w:val="center"/>
        <w:rPr>
          <w:rFonts w:hint="eastAsia" w:ascii="Times New Roman" w:hAnsi="Times New Roman"/>
          <w:b/>
          <w:color w:val="000000"/>
          <w:sz w:val="21"/>
          <w:szCs w:val="21"/>
        </w:rPr>
      </w:pPr>
    </w:p>
    <w:p w14:paraId="4F22B974">
      <w:pPr>
        <w:pStyle w:val="32"/>
        <w:ind w:firstLine="0"/>
        <w:jc w:val="center"/>
        <w:rPr>
          <w:rFonts w:ascii="Times New Roman"/>
          <w:b/>
          <w:color w:val="000000"/>
          <w:sz w:val="21"/>
          <w:szCs w:val="21"/>
        </w:rPr>
      </w:pPr>
    </w:p>
    <w:p w14:paraId="53FB8F1A">
      <w:pPr>
        <w:pStyle w:val="32"/>
        <w:ind w:firstLine="0"/>
        <w:jc w:val="center"/>
        <w:rPr>
          <w:rFonts w:ascii="Times New Roman"/>
          <w:b/>
          <w:color w:val="000000"/>
          <w:sz w:val="21"/>
          <w:szCs w:val="21"/>
        </w:rPr>
      </w:pPr>
    </w:p>
    <w:p w14:paraId="6823F35E">
      <w:pPr>
        <w:keepNext w:val="0"/>
        <w:keepLines w:val="0"/>
        <w:widowControl/>
        <w:suppressLineNumbers w:val="0"/>
        <w:jc w:val="center"/>
        <w:rPr>
          <w:rFonts w:ascii="Times New Roman"/>
          <w:b/>
          <w:color w:val="000000"/>
          <w:sz w:val="24"/>
          <w:szCs w:val="24"/>
        </w:rPr>
      </w:pPr>
    </w:p>
    <w:p w14:paraId="2523754B">
      <w:pPr>
        <w:keepNext w:val="0"/>
        <w:keepLines w:val="0"/>
        <w:widowControl/>
        <w:suppressLineNumbers w:val="0"/>
        <w:jc w:val="center"/>
        <w:rPr>
          <w:rFonts w:ascii="Times New Roman"/>
          <w:b/>
          <w:color w:val="000000"/>
          <w:sz w:val="24"/>
          <w:szCs w:val="24"/>
        </w:rPr>
      </w:pPr>
      <w:r>
        <w:rPr>
          <w:rFonts w:ascii="Times New Roman"/>
          <w:b/>
          <w:color w:val="000000"/>
          <w:sz w:val="24"/>
          <w:szCs w:val="24"/>
        </w:rPr>
        <w:t>图</w:t>
      </w:r>
      <w:r>
        <w:rPr>
          <w:rFonts w:hint="eastAsia"/>
          <w:b/>
          <w:color w:val="000000"/>
          <w:sz w:val="24"/>
          <w:szCs w:val="24"/>
          <w:lang w:val="en-US" w:eastAsia="zh-CN"/>
        </w:rPr>
        <w:t>3.1-2</w:t>
      </w:r>
      <w:r>
        <w:rPr>
          <w:rFonts w:ascii="Times New Roman" w:hAnsi="Times New Roman"/>
          <w:b/>
          <w:color w:val="000000"/>
          <w:sz w:val="24"/>
          <w:szCs w:val="24"/>
        </w:rPr>
        <w:t xml:space="preserve">  </w:t>
      </w:r>
      <w:r>
        <w:rPr>
          <w:rFonts w:ascii="Times New Roman"/>
          <w:b/>
          <w:color w:val="000000"/>
          <w:sz w:val="24"/>
          <w:szCs w:val="24"/>
        </w:rPr>
        <w:t>项目水平衡图（</w:t>
      </w:r>
      <w:r>
        <w:rPr>
          <w:rFonts w:ascii="Times New Roman" w:hAnsi="Times New Roman"/>
          <w:b/>
          <w:color w:val="000000"/>
          <w:sz w:val="24"/>
          <w:szCs w:val="24"/>
        </w:rPr>
        <w:t>t/</w:t>
      </w:r>
      <w:r>
        <w:rPr>
          <w:rFonts w:hint="eastAsia" w:ascii="Times New Roman" w:hAnsi="Times New Roman"/>
          <w:b/>
          <w:color w:val="000000"/>
          <w:sz w:val="24"/>
          <w:szCs w:val="24"/>
          <w:lang w:val="en-US" w:eastAsia="zh-CN"/>
        </w:rPr>
        <w:t>a</w:t>
      </w:r>
      <w:r>
        <w:rPr>
          <w:rFonts w:ascii="Times New Roman"/>
          <w:b/>
          <w:color w:val="000000"/>
          <w:sz w:val="24"/>
          <w:szCs w:val="24"/>
        </w:rPr>
        <w:t>）</w:t>
      </w:r>
    </w:p>
    <w:p w14:paraId="39F9783E">
      <w:pPr>
        <w:pStyle w:val="5"/>
        <w:keepNext/>
        <w:keepLines/>
        <w:pageBreakBefore w:val="0"/>
        <w:widowControl w:val="0"/>
        <w:kinsoku/>
        <w:wordWrap/>
        <w:overflowPunct/>
        <w:topLinePunct w:val="0"/>
        <w:autoSpaceDE/>
        <w:autoSpaceDN/>
        <w:bidi w:val="0"/>
        <w:adjustRightInd/>
        <w:snapToGrid/>
        <w:spacing w:before="0" w:after="0"/>
        <w:textAlignment w:val="auto"/>
        <w:rPr>
          <w:rFonts w:hint="eastAsia"/>
          <w:sz w:val="24"/>
          <w:szCs w:val="24"/>
          <w:lang w:val="en-US" w:eastAsia="zh-CN"/>
        </w:rPr>
      </w:pPr>
      <w:r>
        <w:rPr>
          <w:rFonts w:hint="eastAsia"/>
          <w:sz w:val="24"/>
          <w:szCs w:val="24"/>
          <w:lang w:val="en-US" w:eastAsia="zh-CN"/>
        </w:rPr>
        <w:t xml:space="preserve">3.1.8.1 供电 </w:t>
      </w:r>
    </w:p>
    <w:p w14:paraId="154C26A5">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现有项目年用电量为</w:t>
      </w:r>
      <w:r>
        <w:rPr>
          <w:rFonts w:hint="eastAsia" w:ascii="Times New Roman" w:hAnsi="Times New Roman" w:eastAsia="宋体" w:cs="Times New Roman"/>
          <w:color w:val="000000"/>
          <w:kern w:val="0"/>
          <w:sz w:val="24"/>
          <w:szCs w:val="24"/>
          <w:lang w:val="en-US" w:eastAsia="zh-CN" w:bidi="ar"/>
        </w:rPr>
        <w:t>180</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k</w:t>
      </w:r>
      <w:r>
        <w:rPr>
          <w:rFonts w:hint="eastAsia" w:ascii="Times New Roman" w:hAnsi="Times New Roman" w:eastAsia="宋体" w:cs="Times New Roman"/>
          <w:color w:val="000000"/>
          <w:kern w:val="0"/>
          <w:sz w:val="24"/>
          <w:szCs w:val="24"/>
          <w:lang w:val="en-US" w:eastAsia="zh-CN" w:bidi="ar"/>
        </w:rPr>
        <w:t>W·</w:t>
      </w:r>
      <w:r>
        <w:rPr>
          <w:rFonts w:hint="default" w:ascii="Times New Roman" w:hAnsi="Times New Roman" w:eastAsia="宋体" w:cs="Times New Roman"/>
          <w:color w:val="000000"/>
          <w:kern w:val="0"/>
          <w:sz w:val="24"/>
          <w:szCs w:val="24"/>
          <w:lang w:val="en-US" w:eastAsia="zh-CN" w:bidi="ar"/>
        </w:rPr>
        <w:t>h/a</w:t>
      </w:r>
      <w:r>
        <w:rPr>
          <w:rFonts w:hint="eastAsia" w:ascii="Times New Roman" w:hAnsi="Times New Roman" w:eastAsia="宋体" w:cs="Times New Roman"/>
          <w:color w:val="000000"/>
          <w:kern w:val="0"/>
          <w:sz w:val="24"/>
          <w:szCs w:val="24"/>
          <w:lang w:val="en-US" w:eastAsia="zh-CN" w:bidi="ar"/>
        </w:rPr>
        <w:t>，来自于当地电网</w:t>
      </w:r>
      <w:r>
        <w:rPr>
          <w:rFonts w:hint="eastAsia" w:ascii="宋体" w:hAnsi="宋体" w:eastAsia="宋体" w:cs="宋体"/>
          <w:color w:val="000000"/>
          <w:kern w:val="0"/>
          <w:sz w:val="24"/>
          <w:szCs w:val="24"/>
          <w:lang w:val="en-US" w:eastAsia="zh-CN" w:bidi="ar"/>
        </w:rPr>
        <w:t xml:space="preserve">。 </w:t>
      </w:r>
    </w:p>
    <w:p w14:paraId="520B1BBB">
      <w:pPr>
        <w:pStyle w:val="5"/>
        <w:keepNext/>
        <w:keepLines/>
        <w:pageBreakBefore w:val="0"/>
        <w:widowControl w:val="0"/>
        <w:kinsoku/>
        <w:wordWrap/>
        <w:overflowPunct/>
        <w:topLinePunct w:val="0"/>
        <w:autoSpaceDE/>
        <w:autoSpaceDN/>
        <w:bidi w:val="0"/>
        <w:adjustRightInd/>
        <w:snapToGrid/>
        <w:spacing w:before="0" w:after="0"/>
        <w:textAlignment w:val="auto"/>
        <w:rPr>
          <w:sz w:val="24"/>
          <w:szCs w:val="24"/>
        </w:rPr>
      </w:pPr>
      <w:r>
        <w:rPr>
          <w:rFonts w:hint="eastAsia"/>
          <w:sz w:val="24"/>
          <w:szCs w:val="24"/>
          <w:lang w:val="en-US" w:eastAsia="zh-CN"/>
        </w:rPr>
        <w:t>3.1.8.2</w:t>
      </w:r>
      <w:r>
        <w:rPr>
          <w:rFonts w:hint="default"/>
          <w:sz w:val="24"/>
          <w:szCs w:val="24"/>
          <w:lang w:val="en-US" w:eastAsia="zh-CN"/>
        </w:rPr>
        <w:t xml:space="preserve"> </w:t>
      </w:r>
      <w:r>
        <w:rPr>
          <w:rFonts w:hint="eastAsia"/>
          <w:sz w:val="24"/>
          <w:szCs w:val="24"/>
          <w:lang w:val="en-US" w:eastAsia="zh-CN"/>
        </w:rPr>
        <w:t xml:space="preserve">供热 </w:t>
      </w:r>
    </w:p>
    <w:p w14:paraId="4228D157">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现有项目冬季办公室电供暖，车间不供暖。</w:t>
      </w:r>
    </w:p>
    <w:p w14:paraId="4AF224F5">
      <w:pPr>
        <w:pStyle w:val="5"/>
        <w:bidi w:val="0"/>
        <w:spacing w:line="240" w:lineRule="auto"/>
        <w:rPr>
          <w:rFonts w:hint="default"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eastAsia" w:ascii="Times New Roman" w:hAnsi="Times New Roman" w:eastAsia="宋体" w:cs="Times New Roman"/>
          <w:sz w:val="24"/>
          <w:szCs w:val="24"/>
          <w:lang w:val="en-US" w:eastAsia="zh-CN"/>
        </w:rPr>
        <w:t>.1.</w:t>
      </w:r>
      <w:r>
        <w:rPr>
          <w:rFonts w:hint="eastAsia" w:cs="Times New Roman"/>
          <w:sz w:val="24"/>
          <w:szCs w:val="24"/>
          <w:lang w:val="en-US" w:eastAsia="zh-CN"/>
        </w:rPr>
        <w:t>9现有</w:t>
      </w:r>
      <w:r>
        <w:rPr>
          <w:rFonts w:hint="eastAsia" w:ascii="Times New Roman" w:hAnsi="Times New Roman" w:eastAsia="宋体" w:cs="Times New Roman"/>
          <w:sz w:val="24"/>
          <w:szCs w:val="24"/>
          <w:lang w:val="en-US" w:eastAsia="zh-CN"/>
        </w:rPr>
        <w:t>项目</w:t>
      </w:r>
      <w:r>
        <w:rPr>
          <w:rFonts w:hint="eastAsia" w:cs="Times New Roman"/>
          <w:sz w:val="24"/>
          <w:szCs w:val="24"/>
          <w:lang w:val="en-US" w:eastAsia="zh-CN"/>
        </w:rPr>
        <w:t>污染物排放情况</w:t>
      </w:r>
    </w:p>
    <w:p w14:paraId="6EB68B1E">
      <w:pPr>
        <w:widowControl/>
        <w:spacing w:line="360" w:lineRule="auto"/>
        <w:ind w:firstLine="480" w:firstLineChars="200"/>
        <w:rPr>
          <w:rFonts w:hAnsi="宋体"/>
          <w:bCs/>
          <w:color w:val="auto"/>
          <w:sz w:val="24"/>
          <w:highlight w:val="none"/>
        </w:rPr>
      </w:pPr>
      <w:r>
        <w:rPr>
          <w:rFonts w:hint="eastAsia" w:hAnsi="宋体"/>
          <w:bCs/>
          <w:color w:val="auto"/>
          <w:sz w:val="24"/>
          <w:lang w:val="en-US" w:eastAsia="zh-CN"/>
        </w:rPr>
        <w:t>现有</w:t>
      </w:r>
      <w:r>
        <w:rPr>
          <w:rFonts w:hint="eastAsia" w:hAnsi="宋体"/>
          <w:bCs/>
          <w:color w:val="auto"/>
          <w:sz w:val="24"/>
          <w:lang w:eastAsia="zh-CN"/>
        </w:rPr>
        <w:t>项目</w:t>
      </w:r>
      <w:r>
        <w:rPr>
          <w:rFonts w:hint="eastAsia" w:hAnsi="宋体"/>
          <w:bCs/>
          <w:color w:val="auto"/>
          <w:sz w:val="24"/>
        </w:rPr>
        <w:t>已</w:t>
      </w:r>
      <w:r>
        <w:rPr>
          <w:rFonts w:hint="eastAsia" w:hAnsi="宋体"/>
          <w:bCs/>
          <w:color w:val="auto"/>
          <w:sz w:val="24"/>
          <w:lang w:eastAsia="zh-CN"/>
        </w:rPr>
        <w:t>于</w:t>
      </w:r>
      <w:r>
        <w:rPr>
          <w:rFonts w:hint="eastAsia" w:hAnsi="宋体"/>
          <w:bCs/>
          <w:color w:val="auto"/>
          <w:sz w:val="24"/>
          <w:lang w:val="en-US" w:eastAsia="zh-CN"/>
        </w:rPr>
        <w:t>2024年6月</w:t>
      </w:r>
      <w:r>
        <w:rPr>
          <w:rFonts w:hint="eastAsia" w:hAnsi="宋体"/>
          <w:bCs/>
          <w:color w:val="auto"/>
          <w:sz w:val="24"/>
        </w:rPr>
        <w:t>通过</w:t>
      </w:r>
      <w:r>
        <w:rPr>
          <w:rFonts w:hint="eastAsia" w:hAnsi="宋体"/>
          <w:bCs/>
          <w:color w:val="auto"/>
          <w:sz w:val="24"/>
          <w:lang w:val="en-US" w:eastAsia="zh-CN"/>
        </w:rPr>
        <w:t>竣工环境保护</w:t>
      </w:r>
      <w:r>
        <w:rPr>
          <w:rFonts w:hint="eastAsia" w:hAnsi="宋体"/>
          <w:bCs/>
          <w:color w:val="auto"/>
          <w:sz w:val="24"/>
        </w:rPr>
        <w:t>验收，</w:t>
      </w:r>
      <w:r>
        <w:rPr>
          <w:rFonts w:hint="eastAsia" w:hAnsi="宋体"/>
          <w:bCs/>
          <w:color w:val="auto"/>
          <w:sz w:val="24"/>
          <w:lang w:val="en-US" w:eastAsia="zh-CN"/>
        </w:rPr>
        <w:t>并取得验收专家意见，本次污染物有组织排放情况来自《北票市大力铁精粉精选厂年产30万吨铁精粉建设项目竣工环境</w:t>
      </w:r>
      <w:r>
        <w:rPr>
          <w:rFonts w:hint="eastAsia" w:hAnsi="宋体"/>
          <w:bCs/>
          <w:color w:val="auto"/>
          <w:sz w:val="24"/>
          <w:highlight w:val="none"/>
          <w:lang w:val="en-US" w:eastAsia="zh-CN"/>
        </w:rPr>
        <w:t>保护验收监测报告表》中实测数据，无组织排放情况根据源强核算所得，具体如下</w:t>
      </w:r>
      <w:r>
        <w:rPr>
          <w:rFonts w:hint="eastAsia" w:hAnsi="宋体"/>
          <w:bCs/>
          <w:color w:val="auto"/>
          <w:sz w:val="24"/>
          <w:highlight w:val="none"/>
        </w:rPr>
        <w:t>。</w:t>
      </w:r>
    </w:p>
    <w:p w14:paraId="78CFE77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Times New Roman"/>
          <w:b/>
          <w:bCs w:val="0"/>
          <w:color w:val="auto"/>
          <w:spacing w:val="0"/>
          <w:position w:val="0"/>
          <w:sz w:val="24"/>
          <w:szCs w:val="24"/>
          <w:highlight w:val="none"/>
          <w:lang w:val="en-US" w:eastAsia="zh-CN"/>
        </w:rPr>
      </w:pPr>
      <w:r>
        <w:rPr>
          <w:rFonts w:hint="eastAsia" w:cs="Times New Roman"/>
          <w:b/>
          <w:bCs w:val="0"/>
          <w:color w:val="auto"/>
          <w:spacing w:val="0"/>
          <w:position w:val="0"/>
          <w:sz w:val="24"/>
          <w:szCs w:val="24"/>
          <w:highlight w:val="none"/>
          <w:lang w:val="en-US" w:eastAsia="zh-CN"/>
        </w:rPr>
        <w:t>3</w:t>
      </w:r>
      <w:r>
        <w:rPr>
          <w:rFonts w:hint="eastAsia" w:eastAsia="宋体" w:cs="Times New Roman"/>
          <w:b/>
          <w:bCs w:val="0"/>
          <w:color w:val="auto"/>
          <w:spacing w:val="0"/>
          <w:position w:val="0"/>
          <w:sz w:val="24"/>
          <w:szCs w:val="24"/>
          <w:highlight w:val="none"/>
          <w:lang w:val="en-US" w:eastAsia="zh-CN"/>
        </w:rPr>
        <w:t>.1.</w:t>
      </w:r>
      <w:r>
        <w:rPr>
          <w:rFonts w:hint="eastAsia" w:cs="Times New Roman"/>
          <w:b/>
          <w:bCs w:val="0"/>
          <w:color w:val="auto"/>
          <w:spacing w:val="0"/>
          <w:position w:val="0"/>
          <w:sz w:val="24"/>
          <w:szCs w:val="24"/>
          <w:highlight w:val="none"/>
          <w:lang w:val="en-US" w:eastAsia="zh-CN"/>
        </w:rPr>
        <w:t>9</w:t>
      </w:r>
      <w:r>
        <w:rPr>
          <w:rFonts w:hint="eastAsia" w:eastAsia="宋体" w:cs="Times New Roman"/>
          <w:b/>
          <w:bCs w:val="0"/>
          <w:color w:val="auto"/>
          <w:spacing w:val="0"/>
          <w:position w:val="0"/>
          <w:sz w:val="24"/>
          <w:szCs w:val="24"/>
          <w:highlight w:val="none"/>
          <w:lang w:val="en-US" w:eastAsia="zh-CN"/>
        </w:rPr>
        <w:t>.1废气</w:t>
      </w:r>
    </w:p>
    <w:p w14:paraId="16964301">
      <w:pPr>
        <w:widowControl/>
        <w:spacing w:line="360" w:lineRule="auto"/>
        <w:rPr>
          <w:rFonts w:hint="eastAsia" w:ascii="Times New Roman" w:hAnsi="宋体" w:eastAsia="宋体" w:cs="Times New Roman"/>
          <w:b/>
          <w:bCs w:val="0"/>
          <w:color w:val="auto"/>
          <w:sz w:val="24"/>
          <w:lang w:eastAsia="zh-CN"/>
        </w:rPr>
      </w:pPr>
      <w:r>
        <w:rPr>
          <w:rFonts w:hint="eastAsia" w:hAnsi="宋体" w:cs="Times New Roman"/>
          <w:b/>
          <w:bCs w:val="0"/>
          <w:color w:val="auto"/>
          <w:sz w:val="24"/>
          <w:lang w:val="en-US" w:eastAsia="zh-CN"/>
        </w:rPr>
        <w:t>1、</w:t>
      </w:r>
      <w:r>
        <w:rPr>
          <w:rFonts w:hint="eastAsia" w:ascii="Times New Roman" w:hAnsi="宋体" w:eastAsia="宋体" w:cs="Times New Roman"/>
          <w:b/>
          <w:bCs w:val="0"/>
          <w:color w:val="auto"/>
          <w:sz w:val="24"/>
          <w:lang w:eastAsia="zh-CN"/>
        </w:rPr>
        <w:t>有组织废气</w:t>
      </w:r>
    </w:p>
    <w:p w14:paraId="14BB330B">
      <w:pPr>
        <w:widowControl/>
        <w:spacing w:line="360" w:lineRule="auto"/>
        <w:ind w:firstLine="480" w:firstLineChars="200"/>
        <w:rPr>
          <w:rFonts w:hint="eastAsia" w:hAnsi="宋体" w:cs="Times New Roman"/>
          <w:bCs/>
          <w:color w:val="auto"/>
          <w:sz w:val="24"/>
          <w:lang w:val="en-US" w:eastAsia="zh-CN"/>
        </w:rPr>
      </w:pPr>
      <w:r>
        <w:rPr>
          <w:rFonts w:hint="eastAsia" w:hAnsi="宋体" w:cs="Times New Roman"/>
          <w:bCs/>
          <w:color w:val="auto"/>
          <w:sz w:val="24"/>
          <w:lang w:val="en-US" w:eastAsia="zh-CN"/>
        </w:rPr>
        <w:t>企业现有破碎区、球磨及磁选工序产生的粉尘经收集后，由布袋除尘器处理，处理后通过15m高排气筒有组织排放，竣工环境保护验收监测报告表中对排气筒进出口的实测数据如下。</w:t>
      </w:r>
    </w:p>
    <w:p w14:paraId="61FF4001">
      <w:pPr>
        <w:spacing w:before="156" w:beforeLines="50" w:line="360" w:lineRule="auto"/>
        <w:ind w:firstLine="472" w:firstLineChars="196"/>
        <w:jc w:val="center"/>
        <w:rPr>
          <w:b/>
          <w:bCs/>
          <w:color w:val="000000"/>
          <w:sz w:val="24"/>
          <w:szCs w:val="24"/>
        </w:rPr>
      </w:pPr>
      <w:r>
        <w:rPr>
          <w:b/>
          <w:bCs/>
          <w:color w:val="000000"/>
          <w:sz w:val="24"/>
          <w:szCs w:val="24"/>
        </w:rPr>
        <w:t>表</w:t>
      </w:r>
      <w:r>
        <w:rPr>
          <w:rFonts w:hint="eastAsia"/>
          <w:b/>
          <w:bCs/>
          <w:color w:val="000000"/>
          <w:sz w:val="24"/>
          <w:szCs w:val="24"/>
          <w:lang w:val="en-US" w:eastAsia="zh-CN"/>
        </w:rPr>
        <w:t>3.1-7</w:t>
      </w:r>
      <w:r>
        <w:rPr>
          <w:b/>
          <w:bCs/>
          <w:color w:val="000000"/>
          <w:sz w:val="24"/>
          <w:szCs w:val="24"/>
        </w:rPr>
        <w:t xml:space="preserve"> </w:t>
      </w:r>
      <w:r>
        <w:rPr>
          <w:rFonts w:hint="eastAsia"/>
          <w:b/>
          <w:bCs/>
          <w:color w:val="000000"/>
          <w:sz w:val="24"/>
          <w:szCs w:val="24"/>
          <w:lang w:val="en-US" w:eastAsia="zh-CN"/>
        </w:rPr>
        <w:t>排气筒</w:t>
      </w:r>
      <w:r>
        <w:rPr>
          <w:rFonts w:hint="eastAsia"/>
          <w:b/>
          <w:bCs/>
          <w:color w:val="000000"/>
          <w:sz w:val="24"/>
          <w:szCs w:val="24"/>
        </w:rPr>
        <w:t>废气</w:t>
      </w:r>
      <w:r>
        <w:rPr>
          <w:b/>
          <w:bCs/>
          <w:color w:val="000000"/>
          <w:sz w:val="24"/>
          <w:szCs w:val="24"/>
        </w:rPr>
        <w:t>结果一览表</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9"/>
        <w:gridCol w:w="1245"/>
        <w:gridCol w:w="855"/>
        <w:gridCol w:w="1905"/>
        <w:gridCol w:w="1040"/>
        <w:gridCol w:w="1040"/>
        <w:gridCol w:w="1040"/>
      </w:tblGrid>
      <w:tr w14:paraId="44E99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1459" w:type="dxa"/>
            <w:vMerge w:val="restart"/>
            <w:noWrap w:val="0"/>
            <w:vAlign w:val="center"/>
          </w:tcPr>
          <w:p w14:paraId="0720DDFF">
            <w:pPr>
              <w:spacing w:line="360" w:lineRule="auto"/>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采样日期</w:t>
            </w:r>
          </w:p>
        </w:tc>
        <w:tc>
          <w:tcPr>
            <w:tcW w:w="1245" w:type="dxa"/>
            <w:vMerge w:val="restart"/>
            <w:noWrap w:val="0"/>
            <w:vAlign w:val="center"/>
          </w:tcPr>
          <w:p w14:paraId="2E01690D">
            <w:pPr>
              <w:spacing w:line="36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eastAsia="zh-CN"/>
              </w:rPr>
              <w:t>采样</w:t>
            </w:r>
            <w:r>
              <w:rPr>
                <w:rFonts w:hint="default" w:ascii="Times New Roman" w:hAnsi="Times New Roman" w:eastAsia="宋体" w:cs="Times New Roman"/>
                <w:b/>
                <w:bCs/>
                <w:color w:val="000000"/>
                <w:sz w:val="21"/>
                <w:szCs w:val="21"/>
              </w:rPr>
              <w:t>点位</w:t>
            </w:r>
          </w:p>
        </w:tc>
        <w:tc>
          <w:tcPr>
            <w:tcW w:w="2760" w:type="dxa"/>
            <w:gridSpan w:val="2"/>
            <w:vMerge w:val="restart"/>
            <w:noWrap w:val="0"/>
            <w:vAlign w:val="center"/>
          </w:tcPr>
          <w:p w14:paraId="155B873E">
            <w:pPr>
              <w:spacing w:line="36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lang w:eastAsia="zh-CN"/>
              </w:rPr>
              <w:t>检</w:t>
            </w:r>
            <w:r>
              <w:rPr>
                <w:rFonts w:hint="default" w:ascii="Times New Roman" w:hAnsi="Times New Roman" w:eastAsia="宋体" w:cs="Times New Roman"/>
                <w:b/>
                <w:bCs/>
                <w:color w:val="000000"/>
                <w:sz w:val="21"/>
                <w:szCs w:val="21"/>
              </w:rPr>
              <w:t>测因子</w:t>
            </w:r>
          </w:p>
        </w:tc>
        <w:tc>
          <w:tcPr>
            <w:tcW w:w="3120" w:type="dxa"/>
            <w:gridSpan w:val="3"/>
            <w:noWrap w:val="0"/>
            <w:vAlign w:val="center"/>
          </w:tcPr>
          <w:p w14:paraId="08263EB7">
            <w:pPr>
              <w:spacing w:line="360" w:lineRule="auto"/>
              <w:jc w:val="center"/>
              <w:rPr>
                <w:rFonts w:hint="default" w:ascii="Times New Roman" w:hAnsi="Times New Roman" w:eastAsia="宋体" w:cs="Times New Roman"/>
                <w:b/>
                <w:bCs/>
                <w:color w:val="000000"/>
                <w:sz w:val="21"/>
                <w:szCs w:val="21"/>
                <w:lang w:eastAsia="zh-CN"/>
              </w:rPr>
            </w:pPr>
            <w:r>
              <w:rPr>
                <w:rFonts w:hint="default" w:ascii="Times New Roman" w:hAnsi="Times New Roman" w:eastAsia="宋体" w:cs="Times New Roman"/>
                <w:b/>
                <w:bCs/>
                <w:color w:val="000000"/>
                <w:sz w:val="21"/>
                <w:szCs w:val="21"/>
                <w:lang w:eastAsia="zh-CN"/>
              </w:rPr>
              <w:t>检</w:t>
            </w:r>
            <w:r>
              <w:rPr>
                <w:rFonts w:hint="default" w:ascii="Times New Roman" w:hAnsi="Times New Roman" w:eastAsia="宋体" w:cs="Times New Roman"/>
                <w:b/>
                <w:bCs/>
                <w:color w:val="000000"/>
                <w:sz w:val="21"/>
                <w:szCs w:val="21"/>
              </w:rPr>
              <w:t>测</w:t>
            </w:r>
            <w:r>
              <w:rPr>
                <w:rFonts w:hint="default" w:ascii="Times New Roman" w:hAnsi="Times New Roman" w:eastAsia="宋体" w:cs="Times New Roman"/>
                <w:b/>
                <w:bCs/>
                <w:color w:val="000000"/>
                <w:sz w:val="21"/>
                <w:szCs w:val="21"/>
                <w:lang w:eastAsia="zh-CN"/>
              </w:rPr>
              <w:t>频次</w:t>
            </w:r>
          </w:p>
        </w:tc>
      </w:tr>
      <w:tr w14:paraId="28D7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jc w:val="center"/>
        </w:trPr>
        <w:tc>
          <w:tcPr>
            <w:tcW w:w="1459" w:type="dxa"/>
            <w:vMerge w:val="continue"/>
            <w:noWrap w:val="0"/>
            <w:vAlign w:val="center"/>
          </w:tcPr>
          <w:p w14:paraId="60D409A3">
            <w:pPr>
              <w:spacing w:line="360" w:lineRule="auto"/>
              <w:jc w:val="center"/>
              <w:rPr>
                <w:rFonts w:hint="default" w:ascii="Times New Roman" w:hAnsi="Times New Roman" w:eastAsia="宋体" w:cs="Times New Roman"/>
                <w:b/>
                <w:bCs/>
                <w:color w:val="FF0000"/>
                <w:sz w:val="21"/>
                <w:szCs w:val="21"/>
                <w:lang w:eastAsia="zh-CN"/>
              </w:rPr>
            </w:pPr>
          </w:p>
        </w:tc>
        <w:tc>
          <w:tcPr>
            <w:tcW w:w="1245" w:type="dxa"/>
            <w:vMerge w:val="continue"/>
            <w:noWrap w:val="0"/>
            <w:vAlign w:val="center"/>
          </w:tcPr>
          <w:p w14:paraId="68440A4D">
            <w:pPr>
              <w:spacing w:line="360" w:lineRule="auto"/>
              <w:jc w:val="center"/>
              <w:rPr>
                <w:rFonts w:hint="default" w:ascii="Times New Roman" w:hAnsi="Times New Roman" w:eastAsia="宋体" w:cs="Times New Roman"/>
                <w:b/>
                <w:bCs/>
                <w:color w:val="FF0000"/>
                <w:sz w:val="21"/>
                <w:szCs w:val="21"/>
                <w:lang w:eastAsia="zh-CN"/>
              </w:rPr>
            </w:pPr>
          </w:p>
        </w:tc>
        <w:tc>
          <w:tcPr>
            <w:tcW w:w="2760" w:type="dxa"/>
            <w:gridSpan w:val="2"/>
            <w:vMerge w:val="continue"/>
            <w:noWrap w:val="0"/>
            <w:vAlign w:val="center"/>
          </w:tcPr>
          <w:p w14:paraId="15D37483">
            <w:pPr>
              <w:spacing w:line="360" w:lineRule="auto"/>
              <w:jc w:val="center"/>
              <w:rPr>
                <w:rFonts w:hint="default" w:ascii="Times New Roman" w:hAnsi="Times New Roman" w:eastAsia="宋体" w:cs="Times New Roman"/>
                <w:b/>
                <w:bCs/>
                <w:color w:val="FF0000"/>
                <w:sz w:val="21"/>
                <w:szCs w:val="21"/>
                <w:lang w:eastAsia="zh-CN"/>
              </w:rPr>
            </w:pPr>
          </w:p>
        </w:tc>
        <w:tc>
          <w:tcPr>
            <w:tcW w:w="1040" w:type="dxa"/>
            <w:noWrap w:val="0"/>
            <w:vAlign w:val="center"/>
          </w:tcPr>
          <w:p w14:paraId="68590719">
            <w:pPr>
              <w:spacing w:line="360" w:lineRule="auto"/>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1</w:t>
            </w:r>
          </w:p>
        </w:tc>
        <w:tc>
          <w:tcPr>
            <w:tcW w:w="1040" w:type="dxa"/>
            <w:noWrap w:val="0"/>
            <w:vAlign w:val="center"/>
          </w:tcPr>
          <w:p w14:paraId="6669B7F0">
            <w:pPr>
              <w:spacing w:line="360" w:lineRule="auto"/>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2</w:t>
            </w:r>
          </w:p>
        </w:tc>
        <w:tc>
          <w:tcPr>
            <w:tcW w:w="1040" w:type="dxa"/>
            <w:noWrap w:val="0"/>
            <w:vAlign w:val="center"/>
          </w:tcPr>
          <w:p w14:paraId="35119AE4">
            <w:pPr>
              <w:spacing w:line="360" w:lineRule="auto"/>
              <w:jc w:val="center"/>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3</w:t>
            </w:r>
          </w:p>
        </w:tc>
      </w:tr>
      <w:tr w14:paraId="4C212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59" w:type="dxa"/>
            <w:vMerge w:val="restart"/>
            <w:noWrap w:val="0"/>
            <w:vAlign w:val="center"/>
          </w:tcPr>
          <w:p w14:paraId="79478CE9">
            <w:pPr>
              <w:tabs>
                <w:tab w:val="left" w:pos="2435"/>
              </w:tabs>
              <w:suppressAutoHyphens/>
              <w:topLinePunct/>
              <w:adjustRightInd w:val="0"/>
              <w:spacing w:line="320" w:lineRule="exact"/>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w:t>
            </w:r>
            <w:r>
              <w:rPr>
                <w:rFonts w:hint="eastAsia" w:ascii="Times New Roman" w:hAnsi="Times New Roman" w:eastAsia="宋体" w:cs="Times New Roman"/>
                <w:color w:val="000000"/>
                <w:kern w:val="0"/>
                <w:sz w:val="21"/>
                <w:szCs w:val="21"/>
                <w:highlight w:val="none"/>
                <w:lang w:val="en-US" w:eastAsia="zh-CN"/>
              </w:rPr>
              <w:t>4.6.14</w:t>
            </w:r>
          </w:p>
        </w:tc>
        <w:tc>
          <w:tcPr>
            <w:tcW w:w="1245" w:type="dxa"/>
            <w:vMerge w:val="restart"/>
            <w:noWrap w:val="0"/>
            <w:vAlign w:val="center"/>
          </w:tcPr>
          <w:p w14:paraId="0B2DB3F8">
            <w:pPr>
              <w:spacing w:before="156" w:beforeLines="5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rPr>
              <w:t>除尘器废气排气筒</w:t>
            </w:r>
            <w:r>
              <w:rPr>
                <w:rFonts w:hint="default" w:ascii="Times New Roman" w:hAnsi="Times New Roman" w:eastAsia="宋体" w:cs="Times New Roman"/>
                <w:color w:val="000000"/>
                <w:sz w:val="21"/>
                <w:szCs w:val="21"/>
                <w:lang w:val="en-US" w:eastAsia="zh-CN"/>
              </w:rPr>
              <w:t>入口</w:t>
            </w:r>
          </w:p>
        </w:tc>
        <w:tc>
          <w:tcPr>
            <w:tcW w:w="2760" w:type="dxa"/>
            <w:gridSpan w:val="2"/>
            <w:noWrap w:val="0"/>
            <w:vAlign w:val="center"/>
          </w:tcPr>
          <w:p w14:paraId="1CA931E8">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排气筒内径（</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sz w:val="21"/>
                <w:szCs w:val="21"/>
                <w:lang w:eastAsia="zh-CN"/>
              </w:rPr>
              <w:t>）</w:t>
            </w:r>
          </w:p>
        </w:tc>
        <w:tc>
          <w:tcPr>
            <w:tcW w:w="3120" w:type="dxa"/>
            <w:gridSpan w:val="3"/>
            <w:noWrap w:val="0"/>
            <w:vAlign w:val="center"/>
          </w:tcPr>
          <w:p w14:paraId="797A2D2F">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eastAsia" w:ascii="Times New Roman" w:hAnsi="Times New Roman" w:eastAsia="宋体" w:cs="Times New Roman"/>
                <w:i w:val="0"/>
                <w:color w:val="000000"/>
                <w:kern w:val="0"/>
                <w:sz w:val="21"/>
                <w:szCs w:val="21"/>
                <w:highlight w:val="none"/>
                <w:u w:val="none"/>
                <w:lang w:val="en-US" w:eastAsia="zh-CN" w:bidi="ar"/>
              </w:rPr>
              <w:t>5</w:t>
            </w:r>
          </w:p>
        </w:tc>
      </w:tr>
      <w:tr w14:paraId="51D4F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59" w:type="dxa"/>
            <w:vMerge w:val="continue"/>
            <w:noWrap w:val="0"/>
            <w:vAlign w:val="center"/>
          </w:tcPr>
          <w:p w14:paraId="308B1053">
            <w:pPr>
              <w:tabs>
                <w:tab w:val="left" w:pos="2435"/>
              </w:tabs>
              <w:suppressAutoHyphens/>
              <w:topLinePunct/>
              <w:adjustRightInd w:val="0"/>
              <w:spacing w:line="320" w:lineRule="exact"/>
              <w:jc w:val="center"/>
              <w:textAlignment w:val="baseline"/>
              <w:rPr>
                <w:rFonts w:hint="default" w:ascii="Times New Roman" w:hAnsi="Times New Roman" w:eastAsia="宋体" w:cs="Times New Roman"/>
                <w:color w:val="000000"/>
                <w:sz w:val="21"/>
                <w:szCs w:val="21"/>
                <w:highlight w:val="none"/>
                <w:lang w:val="en-US" w:eastAsia="zh-CN"/>
              </w:rPr>
            </w:pPr>
          </w:p>
        </w:tc>
        <w:tc>
          <w:tcPr>
            <w:tcW w:w="1245" w:type="dxa"/>
            <w:vMerge w:val="continue"/>
            <w:noWrap w:val="0"/>
            <w:vAlign w:val="center"/>
          </w:tcPr>
          <w:p w14:paraId="3A4456A7">
            <w:pPr>
              <w:spacing w:before="156" w:beforeLines="50"/>
              <w:jc w:val="center"/>
              <w:rPr>
                <w:rFonts w:hint="default" w:ascii="Times New Roman" w:hAnsi="Times New Roman" w:eastAsia="宋体" w:cs="Times New Roman"/>
                <w:b w:val="0"/>
                <w:bCs w:val="0"/>
                <w:color w:val="000000"/>
                <w:sz w:val="21"/>
                <w:szCs w:val="21"/>
                <w:highlight w:val="none"/>
                <w:lang w:val="en-US" w:eastAsia="zh-CN"/>
              </w:rPr>
            </w:pPr>
          </w:p>
        </w:tc>
        <w:tc>
          <w:tcPr>
            <w:tcW w:w="2760" w:type="dxa"/>
            <w:gridSpan w:val="2"/>
            <w:noWrap w:val="0"/>
            <w:vAlign w:val="center"/>
          </w:tcPr>
          <w:p w14:paraId="4710B611">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标干流量</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kern w:val="0"/>
                <w:sz w:val="21"/>
                <w:szCs w:val="21"/>
              </w:rPr>
              <w:t>/h)</w:t>
            </w:r>
          </w:p>
        </w:tc>
        <w:tc>
          <w:tcPr>
            <w:tcW w:w="1040" w:type="dxa"/>
            <w:noWrap w:val="0"/>
            <w:vAlign w:val="center"/>
          </w:tcPr>
          <w:p w14:paraId="2899CD64">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14829</w:t>
            </w:r>
          </w:p>
        </w:tc>
        <w:tc>
          <w:tcPr>
            <w:tcW w:w="1040" w:type="dxa"/>
            <w:noWrap w:val="0"/>
            <w:vAlign w:val="center"/>
          </w:tcPr>
          <w:p w14:paraId="3ACD2F63">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15219</w:t>
            </w:r>
          </w:p>
        </w:tc>
        <w:tc>
          <w:tcPr>
            <w:tcW w:w="1040" w:type="dxa"/>
            <w:noWrap w:val="0"/>
            <w:vAlign w:val="center"/>
          </w:tcPr>
          <w:p w14:paraId="646AA451">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14642</w:t>
            </w:r>
          </w:p>
        </w:tc>
      </w:tr>
      <w:tr w14:paraId="3CE1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63CD979D">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continue"/>
            <w:noWrap w:val="0"/>
            <w:vAlign w:val="center"/>
          </w:tcPr>
          <w:p w14:paraId="792719A2">
            <w:pPr>
              <w:spacing w:line="360" w:lineRule="auto"/>
              <w:jc w:val="center"/>
              <w:rPr>
                <w:rFonts w:hint="default" w:ascii="Times New Roman" w:hAnsi="Times New Roman" w:eastAsia="宋体" w:cs="Times New Roman"/>
                <w:b w:val="0"/>
                <w:bCs w:val="0"/>
                <w:color w:val="000000"/>
                <w:sz w:val="21"/>
                <w:szCs w:val="21"/>
              </w:rPr>
            </w:pPr>
          </w:p>
        </w:tc>
        <w:tc>
          <w:tcPr>
            <w:tcW w:w="855" w:type="dxa"/>
            <w:vMerge w:val="restart"/>
            <w:noWrap w:val="0"/>
            <w:vAlign w:val="center"/>
          </w:tcPr>
          <w:p w14:paraId="6DFA5A4E">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eastAsia="zh-CN"/>
              </w:rPr>
              <w:t>颗粒物</w:t>
            </w:r>
          </w:p>
        </w:tc>
        <w:tc>
          <w:tcPr>
            <w:tcW w:w="1905" w:type="dxa"/>
            <w:noWrap w:val="0"/>
            <w:vAlign w:val="center"/>
          </w:tcPr>
          <w:p w14:paraId="48FF83CA">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w:t>实测浓</w:t>
            </w:r>
            <w:r>
              <w:rPr>
                <w:rFonts w:hint="default" w:ascii="Times New Roman" w:hAnsi="Times New Roman" w:eastAsia="宋体" w:cs="Times New Roman"/>
                <w:b w:val="0"/>
                <w:bCs w:val="0"/>
                <w:color w:val="000000"/>
                <w:sz w:val="21"/>
                <w:szCs w:val="21"/>
                <w:lang w:eastAsia="zh-CN"/>
              </w:rPr>
              <w:t>度</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color w:val="000000"/>
                <w:kern w:val="0"/>
                <w:sz w:val="21"/>
                <w:szCs w:val="21"/>
              </w:rPr>
              <w:t>mg/m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sz w:val="21"/>
                <w:szCs w:val="21"/>
              </w:rPr>
              <w:t>）</w:t>
            </w:r>
          </w:p>
        </w:tc>
        <w:tc>
          <w:tcPr>
            <w:tcW w:w="1040" w:type="dxa"/>
            <w:noWrap w:val="0"/>
            <w:vAlign w:val="center"/>
          </w:tcPr>
          <w:p w14:paraId="32BC1A9D">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1061.8</w:t>
            </w:r>
          </w:p>
        </w:tc>
        <w:tc>
          <w:tcPr>
            <w:tcW w:w="1040" w:type="dxa"/>
            <w:noWrap w:val="0"/>
            <w:vAlign w:val="center"/>
          </w:tcPr>
          <w:p w14:paraId="4BA1EABD">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1092.9</w:t>
            </w:r>
          </w:p>
        </w:tc>
        <w:tc>
          <w:tcPr>
            <w:tcW w:w="1040" w:type="dxa"/>
            <w:noWrap w:val="0"/>
            <w:vAlign w:val="center"/>
          </w:tcPr>
          <w:p w14:paraId="0EF817C2">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1042.5</w:t>
            </w:r>
          </w:p>
        </w:tc>
      </w:tr>
      <w:tr w14:paraId="7B10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35387610">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continue"/>
            <w:noWrap w:val="0"/>
            <w:vAlign w:val="center"/>
          </w:tcPr>
          <w:p w14:paraId="60429FF3">
            <w:pPr>
              <w:spacing w:line="360" w:lineRule="auto"/>
              <w:jc w:val="center"/>
              <w:rPr>
                <w:rFonts w:hint="default" w:ascii="Times New Roman" w:hAnsi="Times New Roman" w:eastAsia="宋体" w:cs="Times New Roman"/>
                <w:b w:val="0"/>
                <w:bCs w:val="0"/>
                <w:color w:val="000000"/>
                <w:sz w:val="21"/>
                <w:szCs w:val="21"/>
              </w:rPr>
            </w:pPr>
          </w:p>
        </w:tc>
        <w:tc>
          <w:tcPr>
            <w:tcW w:w="855" w:type="dxa"/>
            <w:vMerge w:val="continue"/>
            <w:noWrap w:val="0"/>
            <w:vAlign w:val="center"/>
          </w:tcPr>
          <w:p w14:paraId="15A732B1">
            <w:pPr>
              <w:jc w:val="center"/>
              <w:rPr>
                <w:rFonts w:hint="default" w:ascii="Times New Roman" w:hAnsi="Times New Roman" w:eastAsia="宋体" w:cs="Times New Roman"/>
                <w:b w:val="0"/>
                <w:bCs w:val="0"/>
                <w:color w:val="000000"/>
                <w:sz w:val="21"/>
                <w:szCs w:val="21"/>
              </w:rPr>
            </w:pPr>
          </w:p>
        </w:tc>
        <w:tc>
          <w:tcPr>
            <w:tcW w:w="1905" w:type="dxa"/>
            <w:noWrap w:val="0"/>
            <w:vAlign w:val="center"/>
          </w:tcPr>
          <w:p w14:paraId="6E45DC1F">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排放速率</w:t>
            </w:r>
            <w:r>
              <w:rPr>
                <w:rFonts w:hint="default" w:ascii="Times New Roman" w:hAnsi="Times New Roman" w:eastAsia="宋体" w:cs="Times New Roman"/>
                <w:b w:val="0"/>
                <w:bCs w:val="0"/>
                <w:color w:val="000000"/>
                <w:sz w:val="21"/>
                <w:szCs w:val="21"/>
              </w:rPr>
              <w:t>（kg/h）</w:t>
            </w:r>
          </w:p>
        </w:tc>
        <w:tc>
          <w:tcPr>
            <w:tcW w:w="1040" w:type="dxa"/>
            <w:noWrap w:val="0"/>
            <w:vAlign w:val="center"/>
          </w:tcPr>
          <w:p w14:paraId="7BC3DF9D">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15.7</w:t>
            </w:r>
          </w:p>
        </w:tc>
        <w:tc>
          <w:tcPr>
            <w:tcW w:w="1040" w:type="dxa"/>
            <w:noWrap w:val="0"/>
            <w:vAlign w:val="center"/>
          </w:tcPr>
          <w:p w14:paraId="5F3E2A39">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16.6</w:t>
            </w:r>
          </w:p>
        </w:tc>
        <w:tc>
          <w:tcPr>
            <w:tcW w:w="1040" w:type="dxa"/>
            <w:noWrap w:val="0"/>
            <w:vAlign w:val="center"/>
          </w:tcPr>
          <w:p w14:paraId="5EC92933">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15.3</w:t>
            </w:r>
          </w:p>
        </w:tc>
      </w:tr>
      <w:tr w14:paraId="38C6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59" w:type="dxa"/>
            <w:vMerge w:val="continue"/>
            <w:noWrap w:val="0"/>
            <w:vAlign w:val="center"/>
          </w:tcPr>
          <w:p w14:paraId="052CFC61">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restart"/>
            <w:noWrap w:val="0"/>
            <w:vAlign w:val="center"/>
          </w:tcPr>
          <w:p w14:paraId="66EEAAA1">
            <w:pPr>
              <w:spacing w:before="156" w:beforeLines="50"/>
              <w:jc w:val="center"/>
              <w:rPr>
                <w:rFonts w:hint="default" w:ascii="Times New Roman" w:hAnsi="Times New Roman" w:eastAsia="宋体" w:cs="Times New Roman"/>
                <w:b w:val="0"/>
                <w:bCs w:val="0"/>
                <w:color w:val="FF0000"/>
                <w:sz w:val="21"/>
                <w:szCs w:val="21"/>
                <w:lang w:val="en-US"/>
              </w:rPr>
            </w:pPr>
            <w:r>
              <w:rPr>
                <w:rFonts w:hint="eastAsia" w:ascii="Times New Roman" w:hAnsi="Times New Roman" w:eastAsia="宋体" w:cs="Times New Roman"/>
                <w:color w:val="000000"/>
                <w:sz w:val="21"/>
                <w:szCs w:val="21"/>
                <w:lang w:val="en-US" w:eastAsia="zh-CN"/>
              </w:rPr>
              <w:t>除尘器废气排气筒出口</w:t>
            </w:r>
          </w:p>
        </w:tc>
        <w:tc>
          <w:tcPr>
            <w:tcW w:w="2760" w:type="dxa"/>
            <w:gridSpan w:val="2"/>
            <w:noWrap w:val="0"/>
            <w:vAlign w:val="center"/>
          </w:tcPr>
          <w:p w14:paraId="42C8EB4B">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排气筒高度（</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sz w:val="21"/>
                <w:szCs w:val="21"/>
                <w:lang w:eastAsia="zh-CN"/>
              </w:rPr>
              <w:t>）</w:t>
            </w:r>
          </w:p>
        </w:tc>
        <w:tc>
          <w:tcPr>
            <w:tcW w:w="3120" w:type="dxa"/>
            <w:gridSpan w:val="3"/>
            <w:noWrap w:val="0"/>
            <w:vAlign w:val="center"/>
          </w:tcPr>
          <w:p w14:paraId="2ABBC043">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15</w:t>
            </w:r>
          </w:p>
        </w:tc>
      </w:tr>
      <w:tr w14:paraId="384AA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459" w:type="dxa"/>
            <w:vMerge w:val="continue"/>
            <w:noWrap w:val="0"/>
            <w:vAlign w:val="center"/>
          </w:tcPr>
          <w:p w14:paraId="5783A6D0">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continue"/>
            <w:noWrap w:val="0"/>
            <w:vAlign w:val="center"/>
          </w:tcPr>
          <w:p w14:paraId="66276A50">
            <w:pPr>
              <w:spacing w:before="156" w:beforeLines="50"/>
              <w:jc w:val="center"/>
              <w:rPr>
                <w:rFonts w:hint="eastAsia" w:ascii="Times New Roman" w:hAnsi="Times New Roman" w:eastAsia="宋体" w:cs="Times New Roman"/>
                <w:color w:val="FF0000"/>
                <w:sz w:val="21"/>
                <w:szCs w:val="21"/>
                <w:lang w:val="en-US" w:eastAsia="zh-CN"/>
              </w:rPr>
            </w:pPr>
          </w:p>
        </w:tc>
        <w:tc>
          <w:tcPr>
            <w:tcW w:w="2760" w:type="dxa"/>
            <w:gridSpan w:val="2"/>
            <w:noWrap w:val="0"/>
            <w:vAlign w:val="center"/>
          </w:tcPr>
          <w:p w14:paraId="44920493">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排气筒内径（</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sz w:val="21"/>
                <w:szCs w:val="21"/>
                <w:lang w:eastAsia="zh-CN"/>
              </w:rPr>
              <w:t>）</w:t>
            </w:r>
          </w:p>
        </w:tc>
        <w:tc>
          <w:tcPr>
            <w:tcW w:w="3120" w:type="dxa"/>
            <w:gridSpan w:val="3"/>
            <w:noWrap w:val="0"/>
            <w:vAlign w:val="center"/>
          </w:tcPr>
          <w:p w14:paraId="7AE44ED4">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0.5</w:t>
            </w:r>
          </w:p>
        </w:tc>
      </w:tr>
      <w:tr w14:paraId="51A1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71465520">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continue"/>
            <w:noWrap w:val="0"/>
            <w:vAlign w:val="center"/>
          </w:tcPr>
          <w:p w14:paraId="43C55161">
            <w:pPr>
              <w:spacing w:before="156" w:beforeLines="50"/>
              <w:jc w:val="center"/>
              <w:rPr>
                <w:rFonts w:hint="default" w:ascii="Times New Roman" w:hAnsi="Times New Roman" w:eastAsia="宋体" w:cs="Times New Roman"/>
                <w:b w:val="0"/>
                <w:bCs w:val="0"/>
                <w:color w:val="FF0000"/>
                <w:sz w:val="21"/>
                <w:szCs w:val="21"/>
                <w:lang w:val="en-US"/>
              </w:rPr>
            </w:pPr>
          </w:p>
        </w:tc>
        <w:tc>
          <w:tcPr>
            <w:tcW w:w="2760" w:type="dxa"/>
            <w:gridSpan w:val="2"/>
            <w:noWrap w:val="0"/>
            <w:vAlign w:val="center"/>
          </w:tcPr>
          <w:p w14:paraId="621CFDEC">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标干流量</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kern w:val="0"/>
                <w:sz w:val="21"/>
                <w:szCs w:val="21"/>
              </w:rPr>
              <w:t>/h)</w:t>
            </w:r>
          </w:p>
        </w:tc>
        <w:tc>
          <w:tcPr>
            <w:tcW w:w="1040" w:type="dxa"/>
            <w:noWrap w:val="0"/>
            <w:vAlign w:val="center"/>
          </w:tcPr>
          <w:p w14:paraId="47EF6488">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15480</w:t>
            </w:r>
          </w:p>
        </w:tc>
        <w:tc>
          <w:tcPr>
            <w:tcW w:w="1040" w:type="dxa"/>
            <w:noWrap w:val="0"/>
            <w:vAlign w:val="center"/>
          </w:tcPr>
          <w:p w14:paraId="1B76DB11">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15724</w:t>
            </w:r>
          </w:p>
        </w:tc>
        <w:tc>
          <w:tcPr>
            <w:tcW w:w="1040" w:type="dxa"/>
            <w:noWrap w:val="0"/>
            <w:vAlign w:val="center"/>
          </w:tcPr>
          <w:p w14:paraId="50F6229C">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15400</w:t>
            </w:r>
          </w:p>
        </w:tc>
      </w:tr>
      <w:tr w14:paraId="031F8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7614C760">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continue"/>
            <w:noWrap w:val="0"/>
            <w:vAlign w:val="center"/>
          </w:tcPr>
          <w:p w14:paraId="34326C93">
            <w:pPr>
              <w:spacing w:line="360" w:lineRule="auto"/>
              <w:jc w:val="center"/>
              <w:rPr>
                <w:rFonts w:hint="default" w:ascii="Times New Roman" w:hAnsi="Times New Roman" w:eastAsia="宋体" w:cs="Times New Roman"/>
                <w:b w:val="0"/>
                <w:bCs w:val="0"/>
                <w:color w:val="FF0000"/>
                <w:sz w:val="21"/>
                <w:szCs w:val="21"/>
              </w:rPr>
            </w:pPr>
          </w:p>
        </w:tc>
        <w:tc>
          <w:tcPr>
            <w:tcW w:w="855" w:type="dxa"/>
            <w:vMerge w:val="restart"/>
            <w:noWrap w:val="0"/>
            <w:vAlign w:val="center"/>
          </w:tcPr>
          <w:p w14:paraId="556B6230">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eastAsia="zh-CN"/>
              </w:rPr>
              <w:t>颗粒物</w:t>
            </w:r>
          </w:p>
        </w:tc>
        <w:tc>
          <w:tcPr>
            <w:tcW w:w="1905" w:type="dxa"/>
            <w:noWrap w:val="0"/>
            <w:vAlign w:val="center"/>
          </w:tcPr>
          <w:p w14:paraId="454E0639">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w:t>实测浓</w:t>
            </w:r>
            <w:r>
              <w:rPr>
                <w:rFonts w:hint="default" w:ascii="Times New Roman" w:hAnsi="Times New Roman" w:eastAsia="宋体" w:cs="Times New Roman"/>
                <w:b w:val="0"/>
                <w:bCs w:val="0"/>
                <w:color w:val="000000"/>
                <w:sz w:val="21"/>
                <w:szCs w:val="21"/>
                <w:lang w:eastAsia="zh-CN"/>
              </w:rPr>
              <w:t>度</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color w:val="000000"/>
                <w:kern w:val="0"/>
                <w:sz w:val="21"/>
                <w:szCs w:val="21"/>
              </w:rPr>
              <w:t>mg/m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sz w:val="21"/>
                <w:szCs w:val="21"/>
              </w:rPr>
              <w:t>）</w:t>
            </w:r>
          </w:p>
        </w:tc>
        <w:tc>
          <w:tcPr>
            <w:tcW w:w="1040" w:type="dxa"/>
            <w:noWrap w:val="0"/>
            <w:vAlign w:val="center"/>
          </w:tcPr>
          <w:p w14:paraId="46E4AC1B">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42.5</w:t>
            </w:r>
          </w:p>
        </w:tc>
        <w:tc>
          <w:tcPr>
            <w:tcW w:w="1040" w:type="dxa"/>
            <w:noWrap w:val="0"/>
            <w:vAlign w:val="center"/>
          </w:tcPr>
          <w:p w14:paraId="5502801C">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45.3</w:t>
            </w:r>
          </w:p>
        </w:tc>
        <w:tc>
          <w:tcPr>
            <w:tcW w:w="1040" w:type="dxa"/>
            <w:noWrap w:val="0"/>
            <w:vAlign w:val="center"/>
          </w:tcPr>
          <w:p w14:paraId="28DCA047">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41.4</w:t>
            </w:r>
          </w:p>
        </w:tc>
      </w:tr>
      <w:tr w14:paraId="328AF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5BF33D90">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rPr>
            </w:pPr>
          </w:p>
        </w:tc>
        <w:tc>
          <w:tcPr>
            <w:tcW w:w="1245" w:type="dxa"/>
            <w:vMerge w:val="continue"/>
            <w:noWrap w:val="0"/>
            <w:vAlign w:val="center"/>
          </w:tcPr>
          <w:p w14:paraId="74CB26DE">
            <w:pPr>
              <w:spacing w:line="360" w:lineRule="auto"/>
              <w:jc w:val="center"/>
              <w:rPr>
                <w:rFonts w:hint="default" w:ascii="Times New Roman" w:hAnsi="Times New Roman" w:eastAsia="宋体" w:cs="Times New Roman"/>
                <w:b w:val="0"/>
                <w:bCs w:val="0"/>
                <w:color w:val="FF0000"/>
                <w:sz w:val="21"/>
                <w:szCs w:val="21"/>
              </w:rPr>
            </w:pPr>
          </w:p>
        </w:tc>
        <w:tc>
          <w:tcPr>
            <w:tcW w:w="855" w:type="dxa"/>
            <w:vMerge w:val="continue"/>
            <w:noWrap w:val="0"/>
            <w:vAlign w:val="center"/>
          </w:tcPr>
          <w:p w14:paraId="033029EC">
            <w:pPr>
              <w:jc w:val="center"/>
              <w:rPr>
                <w:rFonts w:hint="default" w:ascii="Times New Roman" w:hAnsi="Times New Roman" w:eastAsia="宋体" w:cs="Times New Roman"/>
                <w:b w:val="0"/>
                <w:bCs w:val="0"/>
                <w:color w:val="000000"/>
                <w:sz w:val="21"/>
                <w:szCs w:val="21"/>
              </w:rPr>
            </w:pPr>
          </w:p>
        </w:tc>
        <w:tc>
          <w:tcPr>
            <w:tcW w:w="1905" w:type="dxa"/>
            <w:noWrap w:val="0"/>
            <w:vAlign w:val="center"/>
          </w:tcPr>
          <w:p w14:paraId="502619D4">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排放速率</w:t>
            </w:r>
            <w:r>
              <w:rPr>
                <w:rFonts w:hint="default" w:ascii="Times New Roman" w:hAnsi="Times New Roman" w:eastAsia="宋体" w:cs="Times New Roman"/>
                <w:b w:val="0"/>
                <w:bCs w:val="0"/>
                <w:color w:val="000000"/>
                <w:sz w:val="21"/>
                <w:szCs w:val="21"/>
              </w:rPr>
              <w:t>（kg/h）</w:t>
            </w:r>
          </w:p>
        </w:tc>
        <w:tc>
          <w:tcPr>
            <w:tcW w:w="1040" w:type="dxa"/>
            <w:noWrap w:val="0"/>
            <w:vAlign w:val="center"/>
          </w:tcPr>
          <w:p w14:paraId="41007009">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0.658</w:t>
            </w:r>
          </w:p>
        </w:tc>
        <w:tc>
          <w:tcPr>
            <w:tcW w:w="1040" w:type="dxa"/>
            <w:noWrap w:val="0"/>
            <w:vAlign w:val="center"/>
          </w:tcPr>
          <w:p w14:paraId="12E5AE40">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0.712</w:t>
            </w:r>
          </w:p>
        </w:tc>
        <w:tc>
          <w:tcPr>
            <w:tcW w:w="1040" w:type="dxa"/>
            <w:noWrap w:val="0"/>
            <w:vAlign w:val="center"/>
          </w:tcPr>
          <w:p w14:paraId="40ABBA6A">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0.638</w:t>
            </w:r>
          </w:p>
        </w:tc>
      </w:tr>
      <w:tr w14:paraId="1EE5E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59" w:type="dxa"/>
            <w:vMerge w:val="restart"/>
            <w:noWrap w:val="0"/>
            <w:vAlign w:val="center"/>
          </w:tcPr>
          <w:p w14:paraId="4A52BE0E">
            <w:pPr>
              <w:tabs>
                <w:tab w:val="left" w:pos="2435"/>
              </w:tabs>
              <w:suppressAutoHyphens/>
              <w:topLinePunct/>
              <w:adjustRightInd w:val="0"/>
              <w:spacing w:line="320" w:lineRule="exact"/>
              <w:jc w:val="center"/>
              <w:textAlignment w:val="baseline"/>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202</w:t>
            </w:r>
            <w:r>
              <w:rPr>
                <w:rFonts w:hint="eastAsia" w:ascii="Times New Roman" w:hAnsi="Times New Roman" w:eastAsia="宋体" w:cs="Times New Roman"/>
                <w:color w:val="000000"/>
                <w:kern w:val="0"/>
                <w:sz w:val="21"/>
                <w:szCs w:val="21"/>
                <w:highlight w:val="none"/>
                <w:lang w:val="en-US" w:eastAsia="zh-CN"/>
              </w:rPr>
              <w:t>4.6.15</w:t>
            </w:r>
          </w:p>
        </w:tc>
        <w:tc>
          <w:tcPr>
            <w:tcW w:w="1245" w:type="dxa"/>
            <w:vMerge w:val="restart"/>
            <w:noWrap w:val="0"/>
            <w:vAlign w:val="center"/>
          </w:tcPr>
          <w:p w14:paraId="668689EC">
            <w:pPr>
              <w:spacing w:before="156" w:beforeLines="50"/>
              <w:jc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color w:val="000000"/>
                <w:sz w:val="21"/>
                <w:szCs w:val="21"/>
                <w:lang w:val="en-US" w:eastAsia="zh-CN"/>
              </w:rPr>
              <w:t>除尘器废气排气筒</w:t>
            </w:r>
            <w:r>
              <w:rPr>
                <w:rFonts w:hint="default" w:ascii="Times New Roman" w:hAnsi="Times New Roman" w:eastAsia="宋体" w:cs="Times New Roman"/>
                <w:color w:val="000000"/>
                <w:sz w:val="21"/>
                <w:szCs w:val="21"/>
                <w:lang w:val="en-US" w:eastAsia="zh-CN"/>
              </w:rPr>
              <w:t>入口</w:t>
            </w:r>
          </w:p>
        </w:tc>
        <w:tc>
          <w:tcPr>
            <w:tcW w:w="2760" w:type="dxa"/>
            <w:gridSpan w:val="2"/>
            <w:noWrap w:val="0"/>
            <w:vAlign w:val="center"/>
          </w:tcPr>
          <w:p w14:paraId="08FAF21A">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排气筒内径（</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sz w:val="21"/>
                <w:szCs w:val="21"/>
                <w:lang w:eastAsia="zh-CN"/>
              </w:rPr>
              <w:t>）</w:t>
            </w:r>
          </w:p>
        </w:tc>
        <w:tc>
          <w:tcPr>
            <w:tcW w:w="3120" w:type="dxa"/>
            <w:gridSpan w:val="3"/>
            <w:noWrap w:val="0"/>
            <w:vAlign w:val="center"/>
          </w:tcPr>
          <w:p w14:paraId="360EF0DD">
            <w:pPr>
              <w:keepNext w:val="0"/>
              <w:keepLines w:val="0"/>
              <w:widowControl/>
              <w:suppressLineNumbers w:val="0"/>
              <w:jc w:val="center"/>
              <w:textAlignment w:val="center"/>
              <w:rPr>
                <w:rFonts w:hint="default" w:ascii="Times New Roman" w:hAnsi="Times New Roman" w:eastAsia="宋体" w:cs="Times New Roman"/>
                <w:i w:val="0"/>
                <w:color w:val="000000"/>
                <w:kern w:val="0"/>
                <w:sz w:val="21"/>
                <w:szCs w:val="21"/>
                <w:highlight w:val="none"/>
                <w:u w:val="none"/>
                <w:lang w:val="en-US" w:eastAsia="zh-CN" w:bidi="ar"/>
              </w:rPr>
            </w:pPr>
            <w:r>
              <w:rPr>
                <w:rFonts w:hint="default" w:ascii="Times New Roman" w:hAnsi="Times New Roman" w:eastAsia="宋体" w:cs="Times New Roman"/>
                <w:i w:val="0"/>
                <w:color w:val="000000"/>
                <w:kern w:val="0"/>
                <w:sz w:val="21"/>
                <w:szCs w:val="21"/>
                <w:highlight w:val="none"/>
                <w:u w:val="none"/>
                <w:lang w:val="en-US" w:eastAsia="zh-CN" w:bidi="ar"/>
              </w:rPr>
              <w:t>0.</w:t>
            </w:r>
            <w:r>
              <w:rPr>
                <w:rFonts w:hint="eastAsia" w:ascii="Times New Roman" w:hAnsi="Times New Roman" w:eastAsia="宋体" w:cs="Times New Roman"/>
                <w:i w:val="0"/>
                <w:color w:val="000000"/>
                <w:kern w:val="0"/>
                <w:sz w:val="21"/>
                <w:szCs w:val="21"/>
                <w:highlight w:val="none"/>
                <w:u w:val="none"/>
                <w:lang w:val="en-US" w:eastAsia="zh-CN" w:bidi="ar"/>
              </w:rPr>
              <w:t>5</w:t>
            </w:r>
          </w:p>
        </w:tc>
      </w:tr>
      <w:tr w14:paraId="2199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0E6AD0AE">
            <w:pPr>
              <w:tabs>
                <w:tab w:val="left" w:pos="2435"/>
              </w:tabs>
              <w:suppressAutoHyphens/>
              <w:topLinePunct/>
              <w:adjustRightInd w:val="0"/>
              <w:spacing w:line="320" w:lineRule="exact"/>
              <w:jc w:val="center"/>
              <w:textAlignment w:val="baseline"/>
              <w:rPr>
                <w:rFonts w:hint="default" w:ascii="Times New Roman" w:hAnsi="Times New Roman" w:eastAsia="宋体" w:cs="Times New Roman"/>
                <w:color w:val="FF0000"/>
                <w:sz w:val="21"/>
                <w:szCs w:val="21"/>
                <w:highlight w:val="none"/>
                <w:lang w:val="en-US" w:eastAsia="zh-CN"/>
              </w:rPr>
            </w:pPr>
          </w:p>
        </w:tc>
        <w:tc>
          <w:tcPr>
            <w:tcW w:w="1245" w:type="dxa"/>
            <w:vMerge w:val="continue"/>
            <w:noWrap w:val="0"/>
            <w:vAlign w:val="center"/>
          </w:tcPr>
          <w:p w14:paraId="1AA410C8">
            <w:pPr>
              <w:spacing w:before="156" w:beforeLines="50"/>
              <w:jc w:val="center"/>
              <w:rPr>
                <w:rFonts w:hint="default" w:ascii="Times New Roman" w:hAnsi="Times New Roman" w:eastAsia="宋体" w:cs="Times New Roman"/>
                <w:b w:val="0"/>
                <w:bCs w:val="0"/>
                <w:color w:val="000000"/>
                <w:sz w:val="21"/>
                <w:szCs w:val="21"/>
                <w:highlight w:val="none"/>
                <w:lang w:val="en-US" w:eastAsia="zh-CN"/>
              </w:rPr>
            </w:pPr>
          </w:p>
        </w:tc>
        <w:tc>
          <w:tcPr>
            <w:tcW w:w="2760" w:type="dxa"/>
            <w:gridSpan w:val="2"/>
            <w:noWrap w:val="0"/>
            <w:vAlign w:val="center"/>
          </w:tcPr>
          <w:p w14:paraId="1FBC441C">
            <w:pPr>
              <w:jc w:val="center"/>
              <w:rPr>
                <w:rFonts w:hint="default" w:ascii="Times New Roman" w:hAnsi="Times New Roman" w:eastAsia="宋体" w:cs="Times New Roman"/>
                <w:b w:val="0"/>
                <w:bCs w:val="0"/>
                <w:color w:val="000000"/>
                <w:kern w:val="2"/>
                <w:sz w:val="21"/>
                <w:szCs w:val="21"/>
                <w:lang w:val="en-US" w:eastAsia="zh-CN" w:bidi="ar-SA"/>
              </w:rPr>
            </w:pPr>
            <w:r>
              <w:rPr>
                <w:rFonts w:hint="default" w:ascii="Times New Roman" w:hAnsi="Times New Roman" w:eastAsia="宋体" w:cs="Times New Roman"/>
                <w:b w:val="0"/>
                <w:bCs w:val="0"/>
                <w:color w:val="000000"/>
                <w:sz w:val="21"/>
                <w:szCs w:val="21"/>
                <w:lang w:eastAsia="zh-CN"/>
              </w:rPr>
              <w:t>标干流量</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kern w:val="0"/>
                <w:sz w:val="21"/>
                <w:szCs w:val="21"/>
              </w:rPr>
              <w:t>/h)</w:t>
            </w:r>
          </w:p>
        </w:tc>
        <w:tc>
          <w:tcPr>
            <w:tcW w:w="1040" w:type="dxa"/>
            <w:noWrap w:val="0"/>
            <w:vAlign w:val="center"/>
          </w:tcPr>
          <w:p w14:paraId="4012F77F">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15721</w:t>
            </w:r>
          </w:p>
        </w:tc>
        <w:tc>
          <w:tcPr>
            <w:tcW w:w="1040" w:type="dxa"/>
            <w:noWrap w:val="0"/>
            <w:vAlign w:val="center"/>
          </w:tcPr>
          <w:p w14:paraId="5A1C9A47">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15229</w:t>
            </w:r>
          </w:p>
        </w:tc>
        <w:tc>
          <w:tcPr>
            <w:tcW w:w="1040" w:type="dxa"/>
            <w:noWrap w:val="0"/>
            <w:vAlign w:val="center"/>
          </w:tcPr>
          <w:p w14:paraId="647CCF1B">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15633</w:t>
            </w:r>
          </w:p>
        </w:tc>
      </w:tr>
      <w:tr w14:paraId="317E6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6A11E28A">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continue"/>
            <w:noWrap w:val="0"/>
            <w:vAlign w:val="center"/>
          </w:tcPr>
          <w:p w14:paraId="4E90C07B">
            <w:pPr>
              <w:spacing w:line="360" w:lineRule="auto"/>
              <w:jc w:val="center"/>
              <w:rPr>
                <w:rFonts w:hint="default" w:ascii="Times New Roman" w:hAnsi="Times New Roman" w:eastAsia="宋体" w:cs="Times New Roman"/>
                <w:b w:val="0"/>
                <w:bCs w:val="0"/>
                <w:color w:val="000000"/>
                <w:sz w:val="21"/>
                <w:szCs w:val="21"/>
              </w:rPr>
            </w:pPr>
          </w:p>
        </w:tc>
        <w:tc>
          <w:tcPr>
            <w:tcW w:w="855" w:type="dxa"/>
            <w:vMerge w:val="restart"/>
            <w:noWrap w:val="0"/>
            <w:vAlign w:val="center"/>
          </w:tcPr>
          <w:p w14:paraId="60153AD1">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eastAsia="zh-CN"/>
              </w:rPr>
              <w:t>颗粒物</w:t>
            </w:r>
          </w:p>
        </w:tc>
        <w:tc>
          <w:tcPr>
            <w:tcW w:w="1905" w:type="dxa"/>
            <w:noWrap w:val="0"/>
            <w:vAlign w:val="center"/>
          </w:tcPr>
          <w:p w14:paraId="3CD85B29">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w:t>实测浓</w:t>
            </w:r>
            <w:r>
              <w:rPr>
                <w:rFonts w:hint="default" w:ascii="Times New Roman" w:hAnsi="Times New Roman" w:eastAsia="宋体" w:cs="Times New Roman"/>
                <w:b w:val="0"/>
                <w:bCs w:val="0"/>
                <w:color w:val="000000"/>
                <w:sz w:val="21"/>
                <w:szCs w:val="21"/>
                <w:lang w:eastAsia="zh-CN"/>
              </w:rPr>
              <w:t>度</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color w:val="000000"/>
                <w:kern w:val="0"/>
                <w:sz w:val="21"/>
                <w:szCs w:val="21"/>
              </w:rPr>
              <w:t>mg/m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sz w:val="21"/>
                <w:szCs w:val="21"/>
              </w:rPr>
              <w:t>）</w:t>
            </w:r>
          </w:p>
        </w:tc>
        <w:tc>
          <w:tcPr>
            <w:tcW w:w="1040" w:type="dxa"/>
            <w:noWrap w:val="0"/>
            <w:vAlign w:val="center"/>
          </w:tcPr>
          <w:p w14:paraId="34AE6F0C">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1100.9</w:t>
            </w:r>
          </w:p>
        </w:tc>
        <w:tc>
          <w:tcPr>
            <w:tcW w:w="1040" w:type="dxa"/>
            <w:noWrap w:val="0"/>
            <w:vAlign w:val="center"/>
          </w:tcPr>
          <w:p w14:paraId="6F7C3807">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1159.0</w:t>
            </w:r>
          </w:p>
        </w:tc>
        <w:tc>
          <w:tcPr>
            <w:tcW w:w="1040" w:type="dxa"/>
            <w:noWrap w:val="0"/>
            <w:vAlign w:val="center"/>
          </w:tcPr>
          <w:p w14:paraId="63446E80">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996.2</w:t>
            </w:r>
          </w:p>
        </w:tc>
      </w:tr>
      <w:tr w14:paraId="0544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0FE4F09E">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continue"/>
            <w:noWrap w:val="0"/>
            <w:vAlign w:val="center"/>
          </w:tcPr>
          <w:p w14:paraId="0F3D3FD1">
            <w:pPr>
              <w:spacing w:line="360" w:lineRule="auto"/>
              <w:jc w:val="center"/>
              <w:rPr>
                <w:rFonts w:hint="default" w:ascii="Times New Roman" w:hAnsi="Times New Roman" w:eastAsia="宋体" w:cs="Times New Roman"/>
                <w:b w:val="0"/>
                <w:bCs w:val="0"/>
                <w:color w:val="000000"/>
                <w:sz w:val="21"/>
                <w:szCs w:val="21"/>
              </w:rPr>
            </w:pPr>
          </w:p>
        </w:tc>
        <w:tc>
          <w:tcPr>
            <w:tcW w:w="855" w:type="dxa"/>
            <w:vMerge w:val="continue"/>
            <w:noWrap w:val="0"/>
            <w:vAlign w:val="center"/>
          </w:tcPr>
          <w:p w14:paraId="63F0DA86">
            <w:pPr>
              <w:jc w:val="center"/>
              <w:rPr>
                <w:rFonts w:hint="default" w:ascii="Times New Roman" w:hAnsi="Times New Roman" w:eastAsia="宋体" w:cs="Times New Roman"/>
                <w:b w:val="0"/>
                <w:bCs w:val="0"/>
                <w:color w:val="000000"/>
                <w:sz w:val="21"/>
                <w:szCs w:val="21"/>
              </w:rPr>
            </w:pPr>
          </w:p>
        </w:tc>
        <w:tc>
          <w:tcPr>
            <w:tcW w:w="1905" w:type="dxa"/>
            <w:noWrap w:val="0"/>
            <w:vAlign w:val="center"/>
          </w:tcPr>
          <w:p w14:paraId="34F8B7FF">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排放速率</w:t>
            </w:r>
            <w:r>
              <w:rPr>
                <w:rFonts w:hint="default" w:ascii="Times New Roman" w:hAnsi="Times New Roman" w:eastAsia="宋体" w:cs="Times New Roman"/>
                <w:b w:val="0"/>
                <w:bCs w:val="0"/>
                <w:color w:val="000000"/>
                <w:sz w:val="21"/>
                <w:szCs w:val="21"/>
              </w:rPr>
              <w:t>（kg/h）</w:t>
            </w:r>
          </w:p>
        </w:tc>
        <w:tc>
          <w:tcPr>
            <w:tcW w:w="1040" w:type="dxa"/>
            <w:noWrap w:val="0"/>
            <w:vAlign w:val="center"/>
          </w:tcPr>
          <w:p w14:paraId="63DF72EB">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17.3</w:t>
            </w:r>
          </w:p>
        </w:tc>
        <w:tc>
          <w:tcPr>
            <w:tcW w:w="1040" w:type="dxa"/>
            <w:noWrap w:val="0"/>
            <w:vAlign w:val="center"/>
          </w:tcPr>
          <w:p w14:paraId="17ED5AA9">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17.7</w:t>
            </w:r>
          </w:p>
        </w:tc>
        <w:tc>
          <w:tcPr>
            <w:tcW w:w="1040" w:type="dxa"/>
            <w:noWrap w:val="0"/>
            <w:vAlign w:val="center"/>
          </w:tcPr>
          <w:p w14:paraId="3B21E5FD">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15.6</w:t>
            </w:r>
          </w:p>
        </w:tc>
      </w:tr>
      <w:tr w14:paraId="5E66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459" w:type="dxa"/>
            <w:vMerge w:val="continue"/>
            <w:noWrap w:val="0"/>
            <w:vAlign w:val="center"/>
          </w:tcPr>
          <w:p w14:paraId="2EB91B3E">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restart"/>
            <w:noWrap w:val="0"/>
            <w:vAlign w:val="center"/>
          </w:tcPr>
          <w:p w14:paraId="28708EA3">
            <w:pPr>
              <w:spacing w:before="156" w:beforeLines="50"/>
              <w:jc w:val="center"/>
              <w:rPr>
                <w:rFonts w:hint="default" w:ascii="Times New Roman" w:hAnsi="Times New Roman" w:eastAsia="宋体" w:cs="Times New Roman"/>
                <w:b w:val="0"/>
                <w:bCs w:val="0"/>
                <w:color w:val="FF0000"/>
                <w:sz w:val="21"/>
                <w:szCs w:val="21"/>
              </w:rPr>
            </w:pPr>
            <w:r>
              <w:rPr>
                <w:rFonts w:hint="eastAsia" w:ascii="Times New Roman" w:hAnsi="Times New Roman" w:eastAsia="宋体" w:cs="Times New Roman"/>
                <w:color w:val="000000"/>
                <w:sz w:val="21"/>
                <w:szCs w:val="21"/>
                <w:lang w:val="en-US" w:eastAsia="zh-CN"/>
              </w:rPr>
              <w:t>除尘器废气排气筒出口</w:t>
            </w:r>
          </w:p>
        </w:tc>
        <w:tc>
          <w:tcPr>
            <w:tcW w:w="2760" w:type="dxa"/>
            <w:gridSpan w:val="2"/>
            <w:noWrap w:val="0"/>
            <w:vAlign w:val="center"/>
          </w:tcPr>
          <w:p w14:paraId="260B93AE">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排气筒高度（</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sz w:val="21"/>
                <w:szCs w:val="21"/>
                <w:lang w:eastAsia="zh-CN"/>
              </w:rPr>
              <w:t>）</w:t>
            </w:r>
          </w:p>
        </w:tc>
        <w:tc>
          <w:tcPr>
            <w:tcW w:w="3120" w:type="dxa"/>
            <w:gridSpan w:val="3"/>
            <w:noWrap w:val="0"/>
            <w:vAlign w:val="center"/>
          </w:tcPr>
          <w:p w14:paraId="732661F2">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15</w:t>
            </w:r>
          </w:p>
        </w:tc>
      </w:tr>
      <w:tr w14:paraId="2A92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459" w:type="dxa"/>
            <w:vMerge w:val="continue"/>
            <w:noWrap w:val="0"/>
            <w:vAlign w:val="center"/>
          </w:tcPr>
          <w:p w14:paraId="2D5D95BA">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continue"/>
            <w:noWrap w:val="0"/>
            <w:vAlign w:val="center"/>
          </w:tcPr>
          <w:p w14:paraId="691DCB30">
            <w:pPr>
              <w:spacing w:before="156" w:beforeLines="50"/>
              <w:jc w:val="center"/>
              <w:rPr>
                <w:rFonts w:hint="eastAsia" w:ascii="Times New Roman" w:hAnsi="Times New Roman" w:eastAsia="宋体" w:cs="Times New Roman"/>
                <w:color w:val="FF0000"/>
                <w:sz w:val="21"/>
                <w:szCs w:val="21"/>
                <w:lang w:val="en-US" w:eastAsia="zh-CN"/>
              </w:rPr>
            </w:pPr>
          </w:p>
        </w:tc>
        <w:tc>
          <w:tcPr>
            <w:tcW w:w="2760" w:type="dxa"/>
            <w:gridSpan w:val="2"/>
            <w:noWrap w:val="0"/>
            <w:vAlign w:val="center"/>
          </w:tcPr>
          <w:p w14:paraId="2F8F270E">
            <w:pPr>
              <w:pageBreakBefore w:val="0"/>
              <w:kinsoku/>
              <w:wordWrap/>
              <w:overflowPunct/>
              <w:autoSpaceDE/>
              <w:autoSpaceDN/>
              <w:bidi w:val="0"/>
              <w:spacing w:line="240" w:lineRule="auto"/>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排气筒内径（</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sz w:val="21"/>
                <w:szCs w:val="21"/>
                <w:lang w:eastAsia="zh-CN"/>
              </w:rPr>
              <w:t>）</w:t>
            </w:r>
          </w:p>
        </w:tc>
        <w:tc>
          <w:tcPr>
            <w:tcW w:w="3120" w:type="dxa"/>
            <w:gridSpan w:val="3"/>
            <w:noWrap w:val="0"/>
            <w:vAlign w:val="center"/>
          </w:tcPr>
          <w:p w14:paraId="660AB5E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color w:val="000000"/>
                <w:kern w:val="0"/>
                <w:sz w:val="21"/>
                <w:szCs w:val="21"/>
                <w:highlight w:val="none"/>
                <w:u w:val="none"/>
                <w:lang w:val="en-US" w:eastAsia="zh-CN" w:bidi="ar"/>
              </w:rPr>
              <w:t>0.5</w:t>
            </w:r>
          </w:p>
        </w:tc>
      </w:tr>
      <w:tr w14:paraId="6C827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7A921A5B">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continue"/>
            <w:noWrap w:val="0"/>
            <w:vAlign w:val="center"/>
          </w:tcPr>
          <w:p w14:paraId="76459F5A">
            <w:pPr>
              <w:spacing w:before="156" w:beforeLines="50"/>
              <w:jc w:val="center"/>
              <w:rPr>
                <w:rFonts w:hint="default" w:ascii="Times New Roman" w:hAnsi="Times New Roman" w:eastAsia="宋体" w:cs="Times New Roman"/>
                <w:b w:val="0"/>
                <w:bCs w:val="0"/>
                <w:color w:val="FF0000"/>
                <w:sz w:val="21"/>
                <w:szCs w:val="21"/>
              </w:rPr>
            </w:pPr>
          </w:p>
        </w:tc>
        <w:tc>
          <w:tcPr>
            <w:tcW w:w="2760" w:type="dxa"/>
            <w:gridSpan w:val="2"/>
            <w:noWrap w:val="0"/>
            <w:vAlign w:val="center"/>
          </w:tcPr>
          <w:p w14:paraId="1DFA9D2F">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标干流量</w:t>
            </w:r>
            <w:r>
              <w:rPr>
                <w:rFonts w:hint="default" w:ascii="Times New Roman" w:hAnsi="Times New Roman" w:eastAsia="宋体" w:cs="Times New Roman"/>
                <w:b w:val="0"/>
                <w:bCs w:val="0"/>
                <w:color w:val="000000"/>
                <w:kern w:val="0"/>
                <w:sz w:val="21"/>
                <w:szCs w:val="21"/>
              </w:rPr>
              <w:t>(m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kern w:val="0"/>
                <w:sz w:val="21"/>
                <w:szCs w:val="21"/>
              </w:rPr>
              <w:t>/h)</w:t>
            </w:r>
          </w:p>
        </w:tc>
        <w:tc>
          <w:tcPr>
            <w:tcW w:w="1040" w:type="dxa"/>
            <w:noWrap w:val="0"/>
            <w:vAlign w:val="center"/>
          </w:tcPr>
          <w:p w14:paraId="736D319D">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15965</w:t>
            </w:r>
          </w:p>
        </w:tc>
        <w:tc>
          <w:tcPr>
            <w:tcW w:w="1040" w:type="dxa"/>
            <w:noWrap w:val="0"/>
            <w:vAlign w:val="center"/>
          </w:tcPr>
          <w:p w14:paraId="1926B0AF">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15247</w:t>
            </w:r>
          </w:p>
        </w:tc>
        <w:tc>
          <w:tcPr>
            <w:tcW w:w="1040" w:type="dxa"/>
            <w:noWrap w:val="0"/>
            <w:vAlign w:val="center"/>
          </w:tcPr>
          <w:p w14:paraId="7E070A01">
            <w:pPr>
              <w:keepNext w:val="0"/>
              <w:keepLines w:val="0"/>
              <w:widowControl/>
              <w:suppressLineNumbers w:val="0"/>
              <w:jc w:val="center"/>
              <w:textAlignment w:val="center"/>
              <w:rPr>
                <w:rFonts w:hint="default" w:ascii="Times New Roman" w:hAnsi="Times New Roman" w:eastAsia="宋体" w:cs="Times New Roman"/>
                <w:b w:val="0"/>
                <w:bCs w:val="0"/>
                <w:color w:val="000000"/>
                <w:kern w:val="2"/>
                <w:sz w:val="21"/>
                <w:szCs w:val="21"/>
                <w:highlight w:val="none"/>
                <w:lang w:val="en-US" w:eastAsia="zh-CN" w:bidi="ar-SA"/>
              </w:rPr>
            </w:pPr>
            <w:r>
              <w:rPr>
                <w:rFonts w:hint="eastAsia" w:ascii="Times New Roman" w:hAnsi="Times New Roman" w:eastAsia="宋体" w:cs="Times New Roman"/>
                <w:b w:val="0"/>
                <w:bCs w:val="0"/>
                <w:color w:val="000000"/>
                <w:kern w:val="2"/>
                <w:sz w:val="21"/>
                <w:szCs w:val="21"/>
                <w:highlight w:val="none"/>
                <w:lang w:val="en-US" w:eastAsia="zh-CN" w:bidi="ar-SA"/>
              </w:rPr>
              <w:t>15621</w:t>
            </w:r>
          </w:p>
        </w:tc>
      </w:tr>
      <w:tr w14:paraId="3A336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7148B3FD">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continue"/>
            <w:noWrap w:val="0"/>
            <w:vAlign w:val="center"/>
          </w:tcPr>
          <w:p w14:paraId="79269B07">
            <w:pPr>
              <w:spacing w:line="360" w:lineRule="auto"/>
              <w:jc w:val="center"/>
              <w:rPr>
                <w:rFonts w:hint="default" w:ascii="Times New Roman" w:hAnsi="Times New Roman" w:eastAsia="宋体" w:cs="Times New Roman"/>
                <w:b w:val="0"/>
                <w:bCs w:val="0"/>
                <w:color w:val="FF0000"/>
                <w:sz w:val="21"/>
                <w:szCs w:val="21"/>
              </w:rPr>
            </w:pPr>
          </w:p>
        </w:tc>
        <w:tc>
          <w:tcPr>
            <w:tcW w:w="855" w:type="dxa"/>
            <w:vMerge w:val="restart"/>
            <w:noWrap w:val="0"/>
            <w:vAlign w:val="center"/>
          </w:tcPr>
          <w:p w14:paraId="4176E84C">
            <w:pPr>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lang w:eastAsia="zh-CN"/>
              </w:rPr>
              <w:t>颗粒物</w:t>
            </w:r>
          </w:p>
        </w:tc>
        <w:tc>
          <w:tcPr>
            <w:tcW w:w="1905" w:type="dxa"/>
            <w:noWrap w:val="0"/>
            <w:vAlign w:val="center"/>
          </w:tcPr>
          <w:p w14:paraId="7BB50F33">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w:t>实测浓</w:t>
            </w:r>
            <w:r>
              <w:rPr>
                <w:rFonts w:hint="default" w:ascii="Times New Roman" w:hAnsi="Times New Roman" w:eastAsia="宋体" w:cs="Times New Roman"/>
                <w:b w:val="0"/>
                <w:bCs w:val="0"/>
                <w:color w:val="000000"/>
                <w:sz w:val="21"/>
                <w:szCs w:val="21"/>
                <w:lang w:eastAsia="zh-CN"/>
              </w:rPr>
              <w:t>度</w:t>
            </w:r>
            <w:r>
              <w:rPr>
                <w:rFonts w:hint="default" w:ascii="Times New Roman" w:hAnsi="Times New Roman" w:eastAsia="宋体" w:cs="Times New Roman"/>
                <w:b w:val="0"/>
                <w:bCs w:val="0"/>
                <w:color w:val="000000"/>
                <w:sz w:val="21"/>
                <w:szCs w:val="21"/>
              </w:rPr>
              <w:t>（</w:t>
            </w:r>
            <w:r>
              <w:rPr>
                <w:rFonts w:hint="default" w:ascii="Times New Roman" w:hAnsi="Times New Roman" w:eastAsia="宋体" w:cs="Times New Roman"/>
                <w:b w:val="0"/>
                <w:bCs w:val="0"/>
                <w:color w:val="000000"/>
                <w:kern w:val="0"/>
                <w:sz w:val="21"/>
                <w:szCs w:val="21"/>
              </w:rPr>
              <w:t>mg/m</w:t>
            </w:r>
            <w:r>
              <w:rPr>
                <w:rFonts w:hint="default" w:ascii="Times New Roman" w:hAnsi="Times New Roman" w:eastAsia="宋体" w:cs="Times New Roman"/>
                <w:b w:val="0"/>
                <w:bCs w:val="0"/>
                <w:color w:val="000000"/>
                <w:kern w:val="0"/>
                <w:sz w:val="21"/>
                <w:szCs w:val="21"/>
                <w:vertAlign w:val="superscript"/>
              </w:rPr>
              <w:t>3</w:t>
            </w:r>
            <w:r>
              <w:rPr>
                <w:rFonts w:hint="default" w:ascii="Times New Roman" w:hAnsi="Times New Roman" w:eastAsia="宋体" w:cs="Times New Roman"/>
                <w:b w:val="0"/>
                <w:bCs w:val="0"/>
                <w:color w:val="000000"/>
                <w:sz w:val="21"/>
                <w:szCs w:val="21"/>
              </w:rPr>
              <w:t>）</w:t>
            </w:r>
          </w:p>
        </w:tc>
        <w:tc>
          <w:tcPr>
            <w:tcW w:w="1040" w:type="dxa"/>
            <w:noWrap w:val="0"/>
            <w:vAlign w:val="center"/>
          </w:tcPr>
          <w:p w14:paraId="3E134A16">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43.6</w:t>
            </w:r>
          </w:p>
        </w:tc>
        <w:tc>
          <w:tcPr>
            <w:tcW w:w="1040" w:type="dxa"/>
            <w:noWrap w:val="0"/>
            <w:vAlign w:val="center"/>
          </w:tcPr>
          <w:p w14:paraId="37CC2633">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45.9</w:t>
            </w:r>
          </w:p>
        </w:tc>
        <w:tc>
          <w:tcPr>
            <w:tcW w:w="1040" w:type="dxa"/>
            <w:noWrap w:val="0"/>
            <w:vAlign w:val="center"/>
          </w:tcPr>
          <w:p w14:paraId="72ECD187">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43.3</w:t>
            </w:r>
          </w:p>
        </w:tc>
      </w:tr>
      <w:tr w14:paraId="0BB0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459" w:type="dxa"/>
            <w:vMerge w:val="continue"/>
            <w:noWrap w:val="0"/>
            <w:vAlign w:val="center"/>
          </w:tcPr>
          <w:p w14:paraId="22C6231E">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FF0000"/>
                <w:sz w:val="21"/>
                <w:szCs w:val="21"/>
              </w:rPr>
            </w:pPr>
          </w:p>
        </w:tc>
        <w:tc>
          <w:tcPr>
            <w:tcW w:w="1245" w:type="dxa"/>
            <w:vMerge w:val="continue"/>
            <w:noWrap w:val="0"/>
            <w:vAlign w:val="center"/>
          </w:tcPr>
          <w:p w14:paraId="240AFF19">
            <w:pPr>
              <w:spacing w:line="360" w:lineRule="auto"/>
              <w:jc w:val="center"/>
              <w:rPr>
                <w:rFonts w:hint="default" w:ascii="Times New Roman" w:hAnsi="Times New Roman" w:eastAsia="宋体" w:cs="Times New Roman"/>
                <w:b w:val="0"/>
                <w:bCs w:val="0"/>
                <w:color w:val="FF0000"/>
                <w:sz w:val="21"/>
                <w:szCs w:val="21"/>
              </w:rPr>
            </w:pPr>
          </w:p>
        </w:tc>
        <w:tc>
          <w:tcPr>
            <w:tcW w:w="855" w:type="dxa"/>
            <w:vMerge w:val="continue"/>
            <w:noWrap w:val="0"/>
            <w:vAlign w:val="center"/>
          </w:tcPr>
          <w:p w14:paraId="183ECD9D">
            <w:pPr>
              <w:jc w:val="center"/>
              <w:rPr>
                <w:rFonts w:hint="default" w:ascii="Times New Roman" w:hAnsi="Times New Roman" w:eastAsia="宋体" w:cs="Times New Roman"/>
                <w:b w:val="0"/>
                <w:bCs w:val="0"/>
                <w:color w:val="000000"/>
                <w:sz w:val="21"/>
                <w:szCs w:val="21"/>
              </w:rPr>
            </w:pPr>
          </w:p>
        </w:tc>
        <w:tc>
          <w:tcPr>
            <w:tcW w:w="1905" w:type="dxa"/>
            <w:noWrap w:val="0"/>
            <w:vAlign w:val="center"/>
          </w:tcPr>
          <w:p w14:paraId="130C07AC">
            <w:pPr>
              <w:jc w:val="center"/>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lang w:eastAsia="zh-CN"/>
              </w:rPr>
              <w:t>排放速率</w:t>
            </w:r>
            <w:r>
              <w:rPr>
                <w:rFonts w:hint="default" w:ascii="Times New Roman" w:hAnsi="Times New Roman" w:eastAsia="宋体" w:cs="Times New Roman"/>
                <w:b w:val="0"/>
                <w:bCs w:val="0"/>
                <w:color w:val="000000"/>
                <w:sz w:val="21"/>
                <w:szCs w:val="21"/>
              </w:rPr>
              <w:t>（kg/h）</w:t>
            </w:r>
          </w:p>
        </w:tc>
        <w:tc>
          <w:tcPr>
            <w:tcW w:w="1040" w:type="dxa"/>
            <w:noWrap w:val="0"/>
            <w:vAlign w:val="center"/>
          </w:tcPr>
          <w:p w14:paraId="7EE09E36">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0.696</w:t>
            </w:r>
          </w:p>
        </w:tc>
        <w:tc>
          <w:tcPr>
            <w:tcW w:w="1040" w:type="dxa"/>
            <w:noWrap w:val="0"/>
            <w:vAlign w:val="center"/>
          </w:tcPr>
          <w:p w14:paraId="43FE1811">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0.700</w:t>
            </w:r>
          </w:p>
        </w:tc>
        <w:tc>
          <w:tcPr>
            <w:tcW w:w="1040" w:type="dxa"/>
            <w:noWrap w:val="0"/>
            <w:vAlign w:val="center"/>
          </w:tcPr>
          <w:p w14:paraId="5D6E73F2">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eastAsia" w:ascii="Times New Roman" w:hAnsi="Times New Roman" w:eastAsia="宋体" w:cs="Times New Roman"/>
                <w:b w:val="0"/>
                <w:bCs w:val="0"/>
                <w:color w:val="000000"/>
                <w:sz w:val="21"/>
                <w:szCs w:val="21"/>
                <w:highlight w:val="none"/>
                <w:lang w:val="en-US" w:eastAsia="zh-CN"/>
              </w:rPr>
              <w:t>0.676</w:t>
            </w:r>
          </w:p>
        </w:tc>
      </w:tr>
    </w:tbl>
    <w:p w14:paraId="2A5B7C67">
      <w:pPr>
        <w:bidi w:val="0"/>
        <w:spacing w:line="360" w:lineRule="auto"/>
        <w:ind w:firstLine="480" w:firstLineChars="200"/>
        <w:rPr>
          <w:rFonts w:hint="eastAsia" w:ascii="Times New Roman" w:hAnsi="宋体" w:eastAsia="宋体" w:cs="Times New Roman"/>
          <w:b w:val="0"/>
          <w:bCs/>
          <w:color w:val="auto"/>
          <w:kern w:val="2"/>
          <w:sz w:val="24"/>
          <w:szCs w:val="24"/>
          <w:lang w:val="en-US" w:eastAsia="zh-CN" w:bidi="ar-SA"/>
        </w:rPr>
      </w:pPr>
      <w:r>
        <w:rPr>
          <w:rFonts w:hint="eastAsia" w:ascii="Times New Roman" w:hAnsi="宋体" w:cs="Times New Roman"/>
          <w:b w:val="0"/>
          <w:bCs/>
          <w:color w:val="auto"/>
          <w:kern w:val="2"/>
          <w:sz w:val="24"/>
          <w:szCs w:val="24"/>
          <w:lang w:val="en-US" w:eastAsia="zh-CN" w:bidi="ar-SA"/>
        </w:rPr>
        <w:t>由上表可知</w:t>
      </w:r>
      <w:r>
        <w:rPr>
          <w:rFonts w:hint="eastAsia" w:ascii="Times New Roman" w:hAnsi="宋体" w:eastAsia="宋体" w:cs="Times New Roman"/>
          <w:b w:val="0"/>
          <w:bCs/>
          <w:color w:val="auto"/>
          <w:kern w:val="2"/>
          <w:sz w:val="24"/>
          <w:szCs w:val="24"/>
          <w:lang w:val="en-US" w:eastAsia="zh-CN" w:bidi="ar-SA"/>
        </w:rPr>
        <w:t>，企业现有破碎区、球磨及磁选工序粉尘产生浓度为1075.55mg/m</w:t>
      </w:r>
      <w:r>
        <w:rPr>
          <w:rFonts w:hint="eastAsia" w:ascii="Times New Roman" w:hAnsi="宋体" w:eastAsia="宋体" w:cs="Times New Roman"/>
          <w:b w:val="0"/>
          <w:bCs/>
          <w:color w:val="auto"/>
          <w:kern w:val="2"/>
          <w:sz w:val="24"/>
          <w:szCs w:val="24"/>
          <w:vertAlign w:val="superscript"/>
          <w:lang w:val="en-US" w:eastAsia="zh-CN" w:bidi="ar-SA"/>
        </w:rPr>
        <w:t>3</w:t>
      </w:r>
      <w:r>
        <w:rPr>
          <w:rFonts w:hint="eastAsia" w:ascii="Times New Roman" w:hAnsi="宋体" w:eastAsia="宋体" w:cs="Times New Roman"/>
          <w:b w:val="0"/>
          <w:bCs/>
          <w:color w:val="auto"/>
          <w:kern w:val="2"/>
          <w:sz w:val="24"/>
          <w:szCs w:val="24"/>
          <w:lang w:val="en-US" w:eastAsia="zh-CN" w:bidi="ar-SA"/>
        </w:rPr>
        <w:t>，产生速率为16.37kg/h，产生量为117.86t/a，排放浓度为43.67mg/m</w:t>
      </w:r>
      <w:r>
        <w:rPr>
          <w:rFonts w:hint="eastAsia" w:ascii="Times New Roman" w:hAnsi="宋体" w:eastAsia="宋体" w:cs="Times New Roman"/>
          <w:b w:val="0"/>
          <w:bCs/>
          <w:color w:val="auto"/>
          <w:kern w:val="2"/>
          <w:sz w:val="24"/>
          <w:szCs w:val="24"/>
          <w:vertAlign w:val="superscript"/>
          <w:lang w:val="en-US" w:eastAsia="zh-CN" w:bidi="ar-SA"/>
        </w:rPr>
        <w:t>3</w:t>
      </w:r>
      <w:r>
        <w:rPr>
          <w:rFonts w:hint="eastAsia" w:ascii="Times New Roman" w:hAnsi="宋体" w:eastAsia="宋体" w:cs="Times New Roman"/>
          <w:b w:val="0"/>
          <w:bCs/>
          <w:color w:val="auto"/>
          <w:kern w:val="2"/>
          <w:sz w:val="24"/>
          <w:szCs w:val="24"/>
          <w:lang w:val="en-US" w:eastAsia="zh-CN" w:bidi="ar-SA"/>
        </w:rPr>
        <w:t>，排放速率为0.68kg/h</w:t>
      </w:r>
      <w:r>
        <w:rPr>
          <w:rFonts w:hint="eastAsia" w:ascii="Times New Roman" w:hAnsi="宋体" w:cs="Times New Roman"/>
          <w:b w:val="0"/>
          <w:bCs/>
          <w:color w:val="auto"/>
          <w:kern w:val="2"/>
          <w:sz w:val="24"/>
          <w:szCs w:val="24"/>
          <w:lang w:val="en-US" w:eastAsia="zh-CN" w:bidi="ar-SA"/>
        </w:rPr>
        <w:t>，</w:t>
      </w:r>
      <w:r>
        <w:rPr>
          <w:rFonts w:hint="eastAsia" w:ascii="Times New Roman" w:hAnsi="宋体" w:eastAsia="宋体" w:cs="Times New Roman"/>
          <w:b w:val="0"/>
          <w:bCs/>
          <w:color w:val="auto"/>
          <w:kern w:val="2"/>
          <w:sz w:val="24"/>
          <w:szCs w:val="24"/>
          <w:lang w:val="en-US" w:eastAsia="zh-CN" w:bidi="ar-SA"/>
        </w:rPr>
        <w:t>排放量为4.89t/a。粉尘排放浓度</w:t>
      </w:r>
      <w:r>
        <w:rPr>
          <w:rFonts w:hint="eastAsia" w:ascii="Times New Roman" w:hAnsi="宋体" w:cs="Times New Roman"/>
          <w:b w:val="0"/>
          <w:bCs/>
          <w:color w:val="auto"/>
          <w:kern w:val="2"/>
          <w:sz w:val="24"/>
          <w:szCs w:val="24"/>
          <w:lang w:val="en-US" w:eastAsia="zh-CN" w:bidi="ar-SA"/>
        </w:rPr>
        <w:t>及排放速率</w:t>
      </w:r>
      <w:r>
        <w:rPr>
          <w:rFonts w:hint="eastAsia" w:ascii="Times New Roman" w:hAnsi="宋体" w:eastAsia="宋体" w:cs="Times New Roman"/>
          <w:b w:val="0"/>
          <w:bCs/>
          <w:color w:val="auto"/>
          <w:kern w:val="2"/>
          <w:sz w:val="24"/>
          <w:szCs w:val="24"/>
          <w:lang w:val="en-US" w:eastAsia="zh-CN" w:bidi="ar-SA"/>
        </w:rPr>
        <w:t>满足</w:t>
      </w:r>
      <w:r>
        <w:rPr>
          <w:rFonts w:hint="default" w:ascii="Times New Roman" w:hAnsi="宋体" w:eastAsia="宋体" w:cs="Times New Roman"/>
          <w:b w:val="0"/>
          <w:bCs/>
          <w:color w:val="auto"/>
          <w:kern w:val="2"/>
          <w:sz w:val="24"/>
          <w:szCs w:val="24"/>
          <w:lang w:val="en-US" w:eastAsia="zh-CN" w:bidi="ar-SA"/>
        </w:rPr>
        <w:t>《大气污染物综合</w:t>
      </w:r>
      <w:r>
        <w:rPr>
          <w:rFonts w:hint="eastAsia" w:ascii="Times New Roman" w:hAnsi="宋体" w:eastAsia="宋体" w:cs="Times New Roman"/>
          <w:b w:val="0"/>
          <w:bCs/>
          <w:color w:val="auto"/>
          <w:kern w:val="2"/>
          <w:sz w:val="24"/>
          <w:szCs w:val="24"/>
          <w:lang w:val="en-US" w:eastAsia="zh-CN" w:bidi="ar-SA"/>
        </w:rPr>
        <w:t>排</w:t>
      </w:r>
      <w:r>
        <w:rPr>
          <w:rFonts w:hint="default" w:ascii="Times New Roman" w:hAnsi="宋体" w:eastAsia="宋体" w:cs="Times New Roman"/>
          <w:b w:val="0"/>
          <w:bCs/>
          <w:color w:val="auto"/>
          <w:kern w:val="2"/>
          <w:sz w:val="24"/>
          <w:szCs w:val="24"/>
          <w:lang w:val="en-US" w:eastAsia="zh-CN" w:bidi="ar-SA"/>
        </w:rPr>
        <w:t>放标准》（GB16297-1996）表2二级标准</w:t>
      </w:r>
      <w:r>
        <w:rPr>
          <w:rFonts w:hint="eastAsia" w:ascii="Times New Roman" w:hAnsi="宋体" w:cs="Times New Roman"/>
          <w:b w:val="0"/>
          <w:bCs/>
          <w:color w:val="auto"/>
          <w:kern w:val="2"/>
          <w:sz w:val="24"/>
          <w:szCs w:val="24"/>
          <w:lang w:val="en-US" w:eastAsia="zh-CN" w:bidi="ar-SA"/>
        </w:rPr>
        <w:t>，即</w:t>
      </w:r>
      <w:r>
        <w:rPr>
          <w:rFonts w:hint="eastAsia" w:ascii="Times New Roman" w:hAnsi="宋体" w:eastAsia="宋体" w:cs="Times New Roman"/>
          <w:b w:val="0"/>
          <w:bCs/>
          <w:color w:val="auto"/>
          <w:kern w:val="2"/>
          <w:sz w:val="24"/>
          <w:szCs w:val="24"/>
          <w:lang w:val="en-US" w:eastAsia="zh-CN" w:bidi="ar-SA"/>
        </w:rPr>
        <w:t>颗粒物：120mg/m</w:t>
      </w:r>
      <w:r>
        <w:rPr>
          <w:rFonts w:hint="eastAsia" w:ascii="Times New Roman" w:hAnsi="宋体" w:eastAsia="宋体" w:cs="Times New Roman"/>
          <w:b w:val="0"/>
          <w:bCs/>
          <w:color w:val="auto"/>
          <w:kern w:val="2"/>
          <w:sz w:val="24"/>
          <w:szCs w:val="24"/>
          <w:vertAlign w:val="superscript"/>
          <w:lang w:val="en-US" w:eastAsia="zh-CN" w:bidi="ar-SA"/>
        </w:rPr>
        <w:t>3</w:t>
      </w:r>
      <w:r>
        <w:rPr>
          <w:rFonts w:hint="eastAsia" w:ascii="Times New Roman" w:hAnsi="宋体" w:eastAsia="宋体" w:cs="Times New Roman"/>
          <w:b w:val="0"/>
          <w:bCs/>
          <w:color w:val="auto"/>
          <w:kern w:val="2"/>
          <w:sz w:val="24"/>
          <w:szCs w:val="24"/>
          <w:lang w:val="en-US" w:eastAsia="zh-CN" w:bidi="ar-SA"/>
        </w:rPr>
        <w:t>，3.5kg/h。</w:t>
      </w:r>
    </w:p>
    <w:p w14:paraId="633A186E">
      <w:pPr>
        <w:numPr>
          <w:ilvl w:val="0"/>
          <w:numId w:val="0"/>
        </w:numPr>
        <w:spacing w:line="360" w:lineRule="auto"/>
        <w:rPr>
          <w:rFonts w:hint="eastAsia" w:ascii="Times New Roman" w:hAnsi="宋体" w:eastAsia="宋体" w:cs="Times New Roman"/>
          <w:b/>
          <w:bCs w:val="0"/>
          <w:color w:val="auto"/>
          <w:kern w:val="2"/>
          <w:sz w:val="24"/>
          <w:szCs w:val="24"/>
          <w:lang w:val="en-US" w:eastAsia="zh-CN" w:bidi="ar-SA"/>
        </w:rPr>
      </w:pPr>
      <w:r>
        <w:rPr>
          <w:rFonts w:hint="eastAsia" w:hAnsi="宋体" w:cs="Times New Roman"/>
          <w:b/>
          <w:bCs w:val="0"/>
          <w:color w:val="auto"/>
          <w:kern w:val="2"/>
          <w:sz w:val="24"/>
          <w:szCs w:val="24"/>
          <w:lang w:val="en-US" w:eastAsia="zh-CN" w:bidi="ar-SA"/>
        </w:rPr>
        <w:t>2、</w:t>
      </w:r>
      <w:r>
        <w:rPr>
          <w:rFonts w:hint="eastAsia" w:ascii="Times New Roman" w:hAnsi="宋体" w:eastAsia="宋体" w:cs="Times New Roman"/>
          <w:b/>
          <w:bCs w:val="0"/>
          <w:color w:val="auto"/>
          <w:kern w:val="2"/>
          <w:sz w:val="24"/>
          <w:szCs w:val="24"/>
          <w:lang w:val="en-US" w:eastAsia="zh-CN" w:bidi="ar-SA"/>
        </w:rPr>
        <w:t>无组织废气</w:t>
      </w:r>
    </w:p>
    <w:p w14:paraId="30380164">
      <w:pPr>
        <w:widowControl/>
        <w:spacing w:line="360" w:lineRule="auto"/>
        <w:rPr>
          <w:rFonts w:hint="eastAsia" w:ascii="Times New Roman" w:hAnsi="宋体" w:eastAsia="宋体" w:cs="Times New Roman"/>
          <w:b/>
          <w:bCs w:val="0"/>
          <w:color w:val="auto"/>
          <w:kern w:val="2"/>
          <w:sz w:val="24"/>
          <w:szCs w:val="24"/>
          <w:lang w:val="en-US" w:eastAsia="zh-CN" w:bidi="ar-SA"/>
        </w:rPr>
      </w:pPr>
      <w:r>
        <w:rPr>
          <w:rFonts w:hint="eastAsia" w:hAnsi="宋体" w:cs="Times New Roman"/>
          <w:b/>
          <w:bCs w:val="0"/>
          <w:color w:val="auto"/>
          <w:kern w:val="2"/>
          <w:sz w:val="24"/>
          <w:szCs w:val="24"/>
          <w:lang w:val="en-US" w:eastAsia="zh-CN" w:bidi="ar-SA"/>
        </w:rPr>
        <w:t>①原矿、尾矿</w:t>
      </w:r>
      <w:r>
        <w:rPr>
          <w:rFonts w:hint="eastAsia" w:ascii="Times New Roman" w:hAnsi="宋体" w:eastAsia="宋体" w:cs="Times New Roman"/>
          <w:b/>
          <w:bCs w:val="0"/>
          <w:color w:val="auto"/>
          <w:kern w:val="2"/>
          <w:sz w:val="24"/>
          <w:szCs w:val="24"/>
          <w:lang w:val="en-US" w:eastAsia="zh-CN" w:bidi="ar-SA"/>
        </w:rPr>
        <w:t>装卸扬尘</w:t>
      </w:r>
    </w:p>
    <w:p w14:paraId="524CCA6C">
      <w:pPr>
        <w:widowControl/>
        <w:spacing w:line="360" w:lineRule="auto"/>
        <w:ind w:firstLine="480" w:firstLineChars="200"/>
        <w:rPr>
          <w:rFonts w:hint="eastAsia" w:hAnsi="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装卸粉尘主要来自原矿、尾矿装卸过程中产生的粉尘，主要为装卸过程中的高度落差带来的扬尘，本次环评采用物料装卸起尘计算模式进行估算，具体如下：</w:t>
      </w:r>
    </w:p>
    <w:p w14:paraId="0EC9CF67">
      <w:pPr>
        <w:widowControl/>
        <w:spacing w:line="360" w:lineRule="auto"/>
        <w:ind w:firstLine="420" w:firstLineChars="200"/>
        <w:rPr>
          <w:rFonts w:ascii="Times New Roman" w:hAnsi="Times New Roman" w:cs="Times New Roman"/>
          <w:b/>
          <w:color w:val="000000" w:themeColor="text1"/>
          <w:position w:val="-14"/>
          <w:sz w:val="24"/>
          <w14:textFill>
            <w14:solidFill>
              <w14:schemeClr w14:val="tx1"/>
            </w14:solidFill>
          </w14:textFill>
        </w:rPr>
      </w:pPr>
      <w:r>
        <w:rPr>
          <w:rFonts w:hint="eastAsia"/>
          <w:lang w:val="en-US" w:eastAsia="zh-CN"/>
        </w:rPr>
        <w:t xml:space="preserve">                      </w:t>
      </w:r>
      <w:r>
        <w:rPr>
          <w:rFonts w:ascii="Times New Roman" w:hAnsi="Times New Roman" w:cs="Times New Roman"/>
          <w:b/>
          <w:color w:val="000000" w:themeColor="text1"/>
          <w:position w:val="-14"/>
          <w:sz w:val="24"/>
          <w14:textFill>
            <w14:solidFill>
              <w14:schemeClr w14:val="tx1"/>
            </w14:solidFill>
          </w14:textFill>
        </w:rPr>
        <w:drawing>
          <wp:inline distT="0" distB="0" distL="0" distR="0">
            <wp:extent cx="1828800" cy="263525"/>
            <wp:effectExtent l="0" t="0" r="0" b="0"/>
            <wp:docPr id="25" name="_x0000_i1029"/>
            <wp:cNvGraphicFramePr/>
            <a:graphic xmlns:a="http://schemas.openxmlformats.org/drawingml/2006/main">
              <a:graphicData uri="http://schemas.openxmlformats.org/drawingml/2006/picture">
                <pic:pic xmlns:pic="http://schemas.openxmlformats.org/drawingml/2006/picture">
                  <pic:nvPicPr>
                    <pic:cNvPr id="25" name="_x0000_i1029"/>
                    <pic:cNvPicPr/>
                  </pic:nvPicPr>
                  <pic:blipFill>
                    <a:blip r:embed="rId37"/>
                    <a:stretch>
                      <a:fillRect/>
                    </a:stretch>
                  </pic:blipFill>
                  <pic:spPr>
                    <a:xfrm>
                      <a:off x="0" y="0"/>
                      <a:ext cx="1828800" cy="263525"/>
                    </a:xfrm>
                    <a:prstGeom prst="rect">
                      <a:avLst/>
                    </a:prstGeom>
                  </pic:spPr>
                </pic:pic>
              </a:graphicData>
            </a:graphic>
          </wp:inline>
        </w:drawing>
      </w:r>
    </w:p>
    <w:p w14:paraId="7AC7B952">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式中：Q—装卸起尘量，kg/a；</w:t>
      </w:r>
    </w:p>
    <w:p w14:paraId="3AE674F8">
      <w:pPr>
        <w:spacing w:line="360" w:lineRule="auto"/>
        <w:ind w:firstLine="1200" w:firstLineChars="500"/>
        <w:rPr>
          <w:rFonts w:hint="eastAsia"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V—平均风速，</w:t>
      </w:r>
      <w:r>
        <w:rPr>
          <w:rFonts w:hint="eastAsia" w:cs="Times New Roman"/>
          <w:color w:val="000000" w:themeColor="text1"/>
          <w:sz w:val="24"/>
          <w:lang w:val="en-US" w:eastAsia="zh-CN"/>
          <w14:textFill>
            <w14:solidFill>
              <w14:schemeClr w14:val="tx1"/>
            </w14:solidFill>
          </w14:textFill>
        </w:rPr>
        <w:t>2.7</w:t>
      </w:r>
      <w:r>
        <w:rPr>
          <w:rFonts w:ascii="Times New Roman" w:hAnsi="Times New Roman" w:cs="Times New Roman"/>
          <w:color w:val="000000" w:themeColor="text1"/>
          <w:sz w:val="24"/>
          <w14:textFill>
            <w14:solidFill>
              <w14:schemeClr w14:val="tx1"/>
            </w14:solidFill>
          </w14:textFill>
        </w:rPr>
        <w:t>m/s</w:t>
      </w:r>
      <w:r>
        <w:rPr>
          <w:rFonts w:hint="eastAsia" w:cs="Times New Roman"/>
          <w:color w:val="000000" w:themeColor="text1"/>
          <w:sz w:val="24"/>
          <w:lang w:eastAsia="zh-CN"/>
          <w14:textFill>
            <w14:solidFill>
              <w14:schemeClr w14:val="tx1"/>
            </w14:solidFill>
          </w14:textFill>
        </w:rPr>
        <w:t>；</w:t>
      </w:r>
    </w:p>
    <w:p w14:paraId="07A5308B">
      <w:pPr>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H—物料装卸平均高度，</w:t>
      </w:r>
      <w:r>
        <w:rPr>
          <w:rFonts w:hint="eastAsia"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m；</w:t>
      </w:r>
    </w:p>
    <w:p w14:paraId="152EB046">
      <w:pPr>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W—物料含水量，</w:t>
      </w:r>
      <w:r>
        <w:rPr>
          <w:rFonts w:hint="eastAsia" w:cs="Times New Roman"/>
          <w:color w:val="000000" w:themeColor="text1"/>
          <w:sz w:val="24"/>
          <w:lang w:val="en-US" w:eastAsia="zh-CN"/>
          <w14:textFill>
            <w14:solidFill>
              <w14:schemeClr w14:val="tx1"/>
            </w14:solidFill>
          </w14:textFill>
        </w:rPr>
        <w:t>原矿7</w:t>
      </w:r>
      <w:r>
        <w:rPr>
          <w:rFonts w:hint="eastAsia"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尾矿15%</w:t>
      </w:r>
      <w:r>
        <w:rPr>
          <w:rFonts w:ascii="Times New Roman" w:hAnsi="Times New Roman" w:cs="Times New Roman"/>
          <w:color w:val="000000" w:themeColor="text1"/>
          <w:sz w:val="24"/>
          <w14:textFill>
            <w14:solidFill>
              <w14:schemeClr w14:val="tx1"/>
            </w14:solidFill>
          </w14:textFill>
        </w:rPr>
        <w:t>；</w:t>
      </w:r>
    </w:p>
    <w:p w14:paraId="699E7512">
      <w:pPr>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G—物料装载量，</w:t>
      </w:r>
      <w:r>
        <w:rPr>
          <w:rFonts w:hint="eastAsia" w:cs="Times New Roman"/>
          <w:color w:val="000000" w:themeColor="text1"/>
          <w:sz w:val="24"/>
          <w:lang w:val="en-US" w:eastAsia="zh-CN"/>
          <w14:textFill>
            <w14:solidFill>
              <w14:schemeClr w14:val="tx1"/>
            </w14:solidFill>
          </w14:textFill>
        </w:rPr>
        <w:t>原矿40</w:t>
      </w:r>
      <w:r>
        <w:rPr>
          <w:rFonts w:hint="eastAsia" w:ascii="Times New Roman" w:hAnsi="Times New Roman" w:cs="Times New Roman"/>
          <w:color w:val="000000" w:themeColor="text1"/>
          <w:sz w:val="24"/>
          <w14:textFill>
            <w14:solidFill>
              <w14:schemeClr w14:val="tx1"/>
            </w14:solidFill>
          </w14:textFill>
        </w:rPr>
        <w:t>万</w:t>
      </w:r>
      <w:r>
        <w:rPr>
          <w:rFonts w:ascii="Times New Roman" w:hAnsi="Times New Roman"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尾矿10</w:t>
      </w:r>
      <w:r>
        <w:rPr>
          <w:rFonts w:hint="eastAsia" w:ascii="Times New Roman" w:hAnsi="Times New Roman" w:cs="Times New Roman"/>
          <w:color w:val="000000" w:themeColor="text1"/>
          <w:sz w:val="24"/>
          <w14:textFill>
            <w14:solidFill>
              <w14:schemeClr w14:val="tx1"/>
            </w14:solidFill>
          </w14:textFill>
        </w:rPr>
        <w:t>万</w:t>
      </w:r>
      <w:r>
        <w:rPr>
          <w:rFonts w:ascii="Times New Roman" w:hAnsi="Times New Roman" w:cs="Times New Roman"/>
          <w:color w:val="000000" w:themeColor="text1"/>
          <w:sz w:val="24"/>
          <w14:textFill>
            <w14:solidFill>
              <w14:schemeClr w14:val="tx1"/>
            </w14:solidFill>
          </w14:textFill>
        </w:rPr>
        <w:t>t/a。</w:t>
      </w:r>
    </w:p>
    <w:p w14:paraId="54689C14">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经计算得，现有项目原矿装卸起尘量为1.93t/a，尾矿装卸起尘量为0.05</w:t>
      </w:r>
      <w:r>
        <w:rPr>
          <w:rFonts w:ascii="Times New Roman" w:hAnsi="Times New Roman" w:cs="Times New Roman"/>
          <w:color w:val="000000" w:themeColor="text1"/>
          <w:sz w:val="24"/>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，总装卸起尘量为1.98t/a，项目采取降低装卸高度、适量的洒水抑尘措施，可有效减少粉尘排放量，综合抑尘效率为85%，装卸粉尘总排放量为0.297t/a</w:t>
      </w:r>
      <w:r>
        <w:rPr>
          <w:rFonts w:ascii="Times New Roman" w:hAnsi="Times New Roman" w:cs="Times New Roman"/>
          <w:color w:val="000000" w:themeColor="text1"/>
          <w:sz w:val="24"/>
          <w14:textFill>
            <w14:solidFill>
              <w14:schemeClr w14:val="tx1"/>
            </w14:solidFill>
          </w14:textFill>
        </w:rPr>
        <w:t>。</w:t>
      </w:r>
    </w:p>
    <w:p w14:paraId="291A7163">
      <w:pPr>
        <w:bidi w:val="0"/>
        <w:spacing w:line="360" w:lineRule="auto"/>
        <w:rPr>
          <w:rFonts w:hint="eastAsia"/>
          <w:b/>
          <w:bCs/>
          <w:sz w:val="24"/>
          <w:szCs w:val="32"/>
          <w:lang w:val="en-US" w:eastAsia="zh-CN"/>
        </w:rPr>
      </w:pPr>
      <w:r>
        <w:rPr>
          <w:rFonts w:hint="eastAsia"/>
          <w:b/>
          <w:bCs/>
          <w:sz w:val="24"/>
          <w:szCs w:val="32"/>
          <w:lang w:val="en-US" w:eastAsia="zh-CN"/>
        </w:rPr>
        <w:t>②道路运输粉尘</w:t>
      </w:r>
    </w:p>
    <w:p w14:paraId="3EF9A895">
      <w:pPr>
        <w:widowControl w:val="0"/>
        <w:snapToGrid w:val="0"/>
        <w:spacing w:line="360" w:lineRule="auto"/>
        <w:ind w:firstLine="480" w:firstLineChars="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汽车在厂区道路上行驶产生的扬尘按照下述经验公式进行计算：</w:t>
      </w:r>
    </w:p>
    <w:p w14:paraId="78C93872">
      <w:pPr>
        <w:widowControl w:val="0"/>
        <w:snapToGrid w:val="0"/>
        <w:spacing w:line="360" w:lineRule="auto"/>
        <w:ind w:firstLine="2400" w:firstLineChars="1000"/>
        <w:jc w:val="both"/>
        <w:rPr>
          <w:rFonts w:hint="default" w:ascii="Times New Roman" w:hAnsi="Times New Roman" w:eastAsia="宋体" w:cs="Times New Roman"/>
          <w:color w:val="auto"/>
          <w:kern w:val="2"/>
          <w:sz w:val="24"/>
          <w:szCs w:val="22"/>
          <w:vertAlign w:val="superscript"/>
          <w:lang w:val="en-US" w:eastAsia="zh-CN" w:bidi="ar-SA"/>
        </w:rPr>
      </w:pPr>
      <w:r>
        <w:rPr>
          <w:rFonts w:hint="default" w:ascii="Times New Roman" w:hAnsi="Times New Roman" w:eastAsia="宋体" w:cs="Times New Roman"/>
          <w:color w:val="auto"/>
          <w:kern w:val="2"/>
          <w:sz w:val="24"/>
          <w:szCs w:val="22"/>
          <w:lang w:val="en-US" w:eastAsia="zh-CN" w:bidi="ar-SA"/>
        </w:rPr>
        <w:t>Q=0.0079V×M</w:t>
      </w:r>
      <w:r>
        <w:rPr>
          <w:rFonts w:hint="default" w:ascii="Times New Roman" w:hAnsi="Times New Roman" w:eastAsia="宋体" w:cs="Times New Roman"/>
          <w:color w:val="auto"/>
          <w:kern w:val="2"/>
          <w:sz w:val="24"/>
          <w:szCs w:val="22"/>
          <w:vertAlign w:val="superscript"/>
          <w:lang w:val="en-US" w:eastAsia="zh-CN" w:bidi="ar-SA"/>
        </w:rPr>
        <w:t>0.85</w:t>
      </w:r>
      <w:r>
        <w:rPr>
          <w:rFonts w:hint="default" w:ascii="Times New Roman" w:hAnsi="Times New Roman" w:eastAsia="宋体" w:cs="Times New Roman"/>
          <w:color w:val="auto"/>
          <w:kern w:val="2"/>
          <w:sz w:val="24"/>
          <w:szCs w:val="22"/>
          <w:lang w:val="en-US" w:eastAsia="zh-CN" w:bidi="ar-SA"/>
        </w:rPr>
        <w:t>×P</w:t>
      </w:r>
      <w:r>
        <w:rPr>
          <w:rFonts w:hint="default" w:ascii="Times New Roman" w:hAnsi="Times New Roman" w:eastAsia="宋体" w:cs="Times New Roman"/>
          <w:color w:val="auto"/>
          <w:kern w:val="2"/>
          <w:sz w:val="24"/>
          <w:szCs w:val="22"/>
          <w:vertAlign w:val="superscript"/>
          <w:lang w:val="en-US" w:eastAsia="zh-CN" w:bidi="ar-SA"/>
        </w:rPr>
        <w:t>0.72</w:t>
      </w:r>
    </w:p>
    <w:p w14:paraId="2DA87B06">
      <w:pPr>
        <w:widowControl w:val="0"/>
        <w:snapToGrid w:val="0"/>
        <w:spacing w:line="360" w:lineRule="auto"/>
        <w:ind w:firstLine="2880" w:firstLineChars="1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Q</w:t>
      </w:r>
      <w:r>
        <w:rPr>
          <w:rFonts w:hint="default" w:ascii="Times New Roman" w:hAnsi="Times New Roman" w:eastAsia="宋体" w:cs="Times New Roman"/>
          <w:color w:val="auto"/>
          <w:kern w:val="2"/>
          <w:sz w:val="24"/>
          <w:szCs w:val="22"/>
          <w:vertAlign w:val="subscript"/>
          <w:lang w:val="en-US" w:eastAsia="zh-CN" w:bidi="ar-SA"/>
        </w:rPr>
        <w:t>总</w:t>
      </w:r>
      <w:r>
        <w:rPr>
          <w:rFonts w:hint="default" w:ascii="Times New Roman" w:hAnsi="Times New Roman" w:eastAsia="宋体" w:cs="Times New Roman"/>
          <w:color w:val="auto"/>
          <w:kern w:val="2"/>
          <w:sz w:val="24"/>
          <w:szCs w:val="22"/>
          <w:lang w:val="en-US" w:eastAsia="zh-CN" w:bidi="ar-SA"/>
        </w:rPr>
        <w:t>=Q×L×G/M</w:t>
      </w:r>
    </w:p>
    <w:p w14:paraId="6EC891BF">
      <w:pPr>
        <w:widowControl w:val="0"/>
        <w:snapToGrid w:val="0"/>
        <w:spacing w:line="360" w:lineRule="auto"/>
        <w:ind w:firstLine="480" w:firstLineChars="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式中：Q—每辆汽车行驶的扬尘量（kg/km</w:t>
      </w:r>
      <w:r>
        <w:rPr>
          <w:rFonts w:hint="default"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2"/>
          <w:lang w:val="en-US" w:eastAsia="zh-CN" w:bidi="ar-SA"/>
        </w:rPr>
        <w:t>辆）；</w:t>
      </w:r>
    </w:p>
    <w:p w14:paraId="6ED99178">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Q</w:t>
      </w:r>
      <w:r>
        <w:rPr>
          <w:rFonts w:hint="default" w:ascii="Times New Roman" w:hAnsi="Times New Roman" w:eastAsia="宋体" w:cs="Times New Roman"/>
          <w:color w:val="auto"/>
          <w:kern w:val="2"/>
          <w:sz w:val="24"/>
          <w:szCs w:val="22"/>
          <w:vertAlign w:val="subscript"/>
          <w:lang w:val="en-US" w:eastAsia="zh-CN" w:bidi="ar-SA"/>
        </w:rPr>
        <w:t>总</w:t>
      </w:r>
      <w:r>
        <w:rPr>
          <w:rFonts w:hint="default" w:ascii="Times New Roman" w:hAnsi="Times New Roman" w:eastAsia="宋体" w:cs="Times New Roman"/>
          <w:color w:val="auto"/>
          <w:kern w:val="2"/>
          <w:sz w:val="24"/>
          <w:szCs w:val="22"/>
          <w:lang w:val="en-US" w:eastAsia="zh-CN" w:bidi="ar-SA"/>
        </w:rPr>
        <w:t>—汽车运输总扬尘量（kg/a）；</w:t>
      </w:r>
    </w:p>
    <w:p w14:paraId="03AFACCE">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V—汽车行驶速度（km/h），本项目场内运输取10km/h；</w:t>
      </w:r>
    </w:p>
    <w:p w14:paraId="3B7DF2C2">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M—</w:t>
      </w:r>
      <w:r>
        <w:rPr>
          <w:rStyle w:val="1503"/>
          <w:rFonts w:hint="default" w:ascii="Times New Roman" w:hAnsi="Times New Roman" w:eastAsia="宋体" w:cs="Times New Roman"/>
          <w:color w:val="auto"/>
        </w:rPr>
        <w:t>汽车</w:t>
      </w:r>
      <w:r>
        <w:rPr>
          <w:rFonts w:hint="default" w:ascii="Times New Roman" w:hAnsi="Times New Roman" w:eastAsia="宋体" w:cs="Times New Roman"/>
          <w:color w:val="auto"/>
          <w:kern w:val="2"/>
          <w:sz w:val="24"/>
          <w:szCs w:val="22"/>
          <w:lang w:val="en-US" w:eastAsia="zh-CN" w:bidi="ar-SA"/>
        </w:rPr>
        <w:t>重量（t），</w:t>
      </w:r>
      <w:r>
        <w:rPr>
          <w:rFonts w:hint="eastAsia" w:cs="Times New Roman"/>
          <w:color w:val="auto"/>
          <w:kern w:val="2"/>
          <w:sz w:val="24"/>
          <w:szCs w:val="22"/>
          <w:lang w:val="en-US" w:eastAsia="zh-CN" w:bidi="ar-SA"/>
        </w:rPr>
        <w:t>3</w:t>
      </w:r>
      <w:r>
        <w:rPr>
          <w:rFonts w:hint="default" w:ascii="Times New Roman" w:hAnsi="Times New Roman" w:eastAsia="宋体" w:cs="Times New Roman"/>
          <w:color w:val="auto"/>
          <w:kern w:val="2"/>
          <w:sz w:val="24"/>
          <w:szCs w:val="22"/>
          <w:lang w:val="en-US" w:eastAsia="zh-CN" w:bidi="ar-SA"/>
        </w:rPr>
        <w:t>0t/辆；</w:t>
      </w:r>
    </w:p>
    <w:p w14:paraId="5FF76A00">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P—道路表面粉尘量（kg/m</w:t>
      </w:r>
      <w:r>
        <w:rPr>
          <w:rFonts w:hint="default" w:ascii="Times New Roman" w:hAnsi="Times New Roman" w:eastAsia="宋体" w:cs="Times New Roman"/>
          <w:color w:val="auto"/>
          <w:kern w:val="2"/>
          <w:sz w:val="24"/>
          <w:szCs w:val="22"/>
          <w:vertAlign w:val="superscript"/>
          <w:lang w:val="en-US" w:eastAsia="zh-CN" w:bidi="ar-SA"/>
        </w:rPr>
        <w:t>2</w:t>
      </w:r>
      <w:r>
        <w:rPr>
          <w:rFonts w:hint="default" w:ascii="Times New Roman" w:hAnsi="Times New Roman" w:eastAsia="宋体" w:cs="Times New Roman"/>
          <w:color w:val="auto"/>
          <w:kern w:val="2"/>
          <w:sz w:val="24"/>
          <w:szCs w:val="22"/>
          <w:lang w:val="en-US" w:eastAsia="zh-CN" w:bidi="ar-SA"/>
        </w:rPr>
        <w:t>），取0.8kg/m</w:t>
      </w:r>
      <w:r>
        <w:rPr>
          <w:rFonts w:hint="default" w:ascii="Times New Roman" w:hAnsi="Times New Roman" w:eastAsia="宋体" w:cs="Times New Roman"/>
          <w:color w:val="auto"/>
          <w:kern w:val="2"/>
          <w:sz w:val="24"/>
          <w:szCs w:val="22"/>
          <w:vertAlign w:val="superscript"/>
          <w:lang w:val="en-US" w:eastAsia="zh-CN" w:bidi="ar-SA"/>
        </w:rPr>
        <w:t>2</w:t>
      </w:r>
      <w:r>
        <w:rPr>
          <w:rFonts w:hint="default" w:ascii="Times New Roman" w:hAnsi="Times New Roman" w:eastAsia="宋体" w:cs="Times New Roman"/>
          <w:color w:val="auto"/>
          <w:kern w:val="2"/>
          <w:sz w:val="24"/>
          <w:szCs w:val="22"/>
          <w:lang w:val="en-US" w:eastAsia="zh-CN" w:bidi="ar-SA"/>
        </w:rPr>
        <w:t>；</w:t>
      </w:r>
    </w:p>
    <w:p w14:paraId="39860C35">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L—运距（km），内部平均运距0.2</w:t>
      </w:r>
      <w:r>
        <w:rPr>
          <w:rFonts w:hint="eastAsia" w:cs="Times New Roman"/>
          <w:color w:val="auto"/>
          <w:kern w:val="2"/>
          <w:sz w:val="24"/>
          <w:szCs w:val="22"/>
          <w:lang w:val="en-US" w:eastAsia="zh-CN" w:bidi="ar-SA"/>
        </w:rPr>
        <w:t>6</w:t>
      </w:r>
      <w:r>
        <w:rPr>
          <w:rFonts w:hint="default" w:ascii="Times New Roman" w:hAnsi="Times New Roman" w:eastAsia="宋体" w:cs="Times New Roman"/>
          <w:color w:val="auto"/>
          <w:kern w:val="2"/>
          <w:sz w:val="24"/>
          <w:szCs w:val="22"/>
          <w:lang w:val="en-US" w:eastAsia="zh-CN" w:bidi="ar-SA"/>
        </w:rPr>
        <w:t>km；</w:t>
      </w:r>
    </w:p>
    <w:p w14:paraId="1D1BFF53">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G—运输量（t），</w:t>
      </w:r>
      <w:r>
        <w:rPr>
          <w:rFonts w:hint="eastAsia" w:eastAsia="宋体" w:cs="Times New Roman"/>
          <w:color w:val="auto"/>
          <w:kern w:val="2"/>
          <w:sz w:val="24"/>
          <w:szCs w:val="22"/>
          <w:lang w:val="en-US" w:eastAsia="zh-CN" w:bidi="ar-SA"/>
        </w:rPr>
        <w:t>现有项目原矿运输量为40</w:t>
      </w:r>
      <w:r>
        <w:rPr>
          <w:rFonts w:hint="default" w:ascii="Times New Roman" w:hAnsi="Times New Roman" w:eastAsia="宋体" w:cs="Times New Roman"/>
          <w:color w:val="auto"/>
          <w:kern w:val="2"/>
          <w:sz w:val="24"/>
          <w:szCs w:val="22"/>
          <w:lang w:val="en-US" w:eastAsia="zh-CN" w:bidi="ar-SA"/>
        </w:rPr>
        <w:t>万t/a</w:t>
      </w:r>
      <w:r>
        <w:rPr>
          <w:rFonts w:hint="eastAsia" w:eastAsia="宋体" w:cs="Times New Roman"/>
          <w:color w:val="auto"/>
          <w:kern w:val="2"/>
          <w:sz w:val="24"/>
          <w:szCs w:val="22"/>
          <w:lang w:val="en-US" w:eastAsia="zh-CN" w:bidi="ar-SA"/>
        </w:rPr>
        <w:t>，尾矿运输量为10万</w:t>
      </w:r>
      <w:r>
        <w:rPr>
          <w:rFonts w:hint="default" w:ascii="Times New Roman" w:hAnsi="Times New Roman" w:eastAsia="宋体" w:cs="Times New Roman"/>
          <w:color w:val="auto"/>
          <w:kern w:val="2"/>
          <w:sz w:val="24"/>
          <w:szCs w:val="22"/>
          <w:lang w:val="en-US" w:eastAsia="zh-CN" w:bidi="ar-SA"/>
        </w:rPr>
        <w:t>t/a。</w:t>
      </w:r>
    </w:p>
    <w:p w14:paraId="2D7BC34E">
      <w:pPr>
        <w:spacing w:line="360" w:lineRule="auto"/>
        <w:ind w:firstLine="480" w:firstLineChars="200"/>
        <w:rPr>
          <w:rFonts w:hint="default"/>
          <w:lang w:val="en-US" w:eastAsia="zh-CN"/>
        </w:rPr>
      </w:pPr>
      <w:r>
        <w:rPr>
          <w:rFonts w:hint="default"/>
          <w:color w:val="auto"/>
          <w:sz w:val="24"/>
        </w:rPr>
        <w:t>经计算，</w:t>
      </w:r>
      <w:r>
        <w:rPr>
          <w:rFonts w:hint="eastAsia" w:eastAsia="宋体" w:cs="Times New Roman"/>
          <w:color w:val="auto"/>
          <w:kern w:val="2"/>
          <w:sz w:val="24"/>
          <w:szCs w:val="22"/>
          <w:lang w:val="en-US" w:eastAsia="zh-CN" w:bidi="ar-SA"/>
        </w:rPr>
        <w:t>原矿</w:t>
      </w:r>
      <w:r>
        <w:rPr>
          <w:rFonts w:hint="default"/>
          <w:color w:val="auto"/>
          <w:sz w:val="24"/>
        </w:rPr>
        <w:t>运输粉尘产生量为</w:t>
      </w:r>
      <w:r>
        <w:rPr>
          <w:rFonts w:hint="eastAsia" w:eastAsia="宋体"/>
          <w:color w:val="auto"/>
          <w:sz w:val="24"/>
          <w:lang w:val="en-US" w:eastAsia="zh-CN"/>
        </w:rPr>
        <w:t>4.2</w:t>
      </w:r>
      <w:r>
        <w:rPr>
          <w:rFonts w:hint="eastAsia" w:ascii="Times New Roman" w:eastAsia="宋体"/>
          <w:color w:val="auto"/>
          <w:sz w:val="24"/>
          <w:lang w:val="en-US" w:eastAsia="zh-CN"/>
        </w:rPr>
        <w:t>t</w:t>
      </w:r>
      <w:r>
        <w:rPr>
          <w:rFonts w:hint="default"/>
          <w:color w:val="auto"/>
          <w:sz w:val="24"/>
        </w:rPr>
        <w:t>/a，</w:t>
      </w:r>
      <w:r>
        <w:rPr>
          <w:rFonts w:hint="eastAsia"/>
          <w:color w:val="auto"/>
          <w:sz w:val="24"/>
          <w:lang w:val="en-US" w:eastAsia="zh-CN"/>
        </w:rPr>
        <w:t>尾矿</w:t>
      </w:r>
      <w:r>
        <w:rPr>
          <w:rFonts w:hint="default"/>
          <w:color w:val="auto"/>
          <w:sz w:val="24"/>
        </w:rPr>
        <w:t>运输粉尘产生量为</w:t>
      </w:r>
      <w:r>
        <w:rPr>
          <w:rFonts w:hint="eastAsia" w:eastAsia="宋体"/>
          <w:color w:val="auto"/>
          <w:sz w:val="24"/>
          <w:lang w:val="en-US" w:eastAsia="zh-CN"/>
        </w:rPr>
        <w:t>1.05</w:t>
      </w:r>
      <w:r>
        <w:rPr>
          <w:rFonts w:hint="eastAsia" w:ascii="Times New Roman" w:eastAsia="宋体"/>
          <w:color w:val="auto"/>
          <w:sz w:val="24"/>
          <w:lang w:val="en-US" w:eastAsia="zh-CN"/>
        </w:rPr>
        <w:t>t</w:t>
      </w:r>
      <w:r>
        <w:rPr>
          <w:rFonts w:hint="default"/>
          <w:color w:val="auto"/>
          <w:sz w:val="24"/>
        </w:rPr>
        <w:t>/a，</w:t>
      </w:r>
      <w:r>
        <w:rPr>
          <w:rFonts w:hint="eastAsia"/>
          <w:color w:val="auto"/>
          <w:sz w:val="24"/>
          <w:lang w:val="en-US" w:eastAsia="zh-CN"/>
        </w:rPr>
        <w:t>总运输粉尘产生量为5.25</w:t>
      </w:r>
      <w:r>
        <w:rPr>
          <w:rFonts w:hint="eastAsia" w:ascii="Times New Roman" w:eastAsia="宋体"/>
          <w:color w:val="auto"/>
          <w:sz w:val="24"/>
          <w:lang w:val="en-US" w:eastAsia="zh-CN"/>
        </w:rPr>
        <w:t>t</w:t>
      </w:r>
      <w:r>
        <w:rPr>
          <w:rFonts w:hint="default"/>
          <w:color w:val="auto"/>
          <w:sz w:val="24"/>
        </w:rPr>
        <w:t>/a，</w:t>
      </w:r>
      <w:r>
        <w:rPr>
          <w:rFonts w:hint="default" w:ascii="Times New Roman" w:hAnsi="Times New Roman" w:cs="Times New Roman"/>
          <w:bCs/>
          <w:color w:val="auto"/>
          <w:sz w:val="24"/>
        </w:rPr>
        <w:t>参考《逸散</w:t>
      </w:r>
      <w:r>
        <w:rPr>
          <w:rFonts w:hint="default" w:ascii="Times New Roman" w:hAnsi="Times New Roman" w:cs="Times New Roman"/>
          <w:bCs/>
          <w:color w:val="auto"/>
          <w:sz w:val="24"/>
          <w:lang w:eastAsia="zh-CN"/>
        </w:rPr>
        <w:t>性</w:t>
      </w:r>
      <w:r>
        <w:rPr>
          <w:rFonts w:hint="default" w:ascii="Times New Roman" w:hAnsi="Times New Roman" w:cs="Times New Roman"/>
          <w:bCs/>
          <w:color w:val="auto"/>
          <w:sz w:val="24"/>
        </w:rPr>
        <w:t>工业粉尘控制技术》可知，</w:t>
      </w:r>
      <w:r>
        <w:rPr>
          <w:rFonts w:hint="default"/>
          <w:color w:val="auto"/>
          <w:sz w:val="24"/>
        </w:rPr>
        <w:t>车辆运输过程中采取洒水抑尘</w:t>
      </w:r>
      <w:r>
        <w:rPr>
          <w:rFonts w:hint="eastAsia"/>
          <w:color w:val="auto"/>
          <w:sz w:val="24"/>
          <w:lang w:eastAsia="zh-CN"/>
        </w:rPr>
        <w:t>、</w:t>
      </w:r>
      <w:r>
        <w:rPr>
          <w:rFonts w:hint="eastAsia"/>
          <w:color w:val="auto"/>
          <w:sz w:val="24"/>
          <w:lang w:val="en-US" w:eastAsia="zh-CN"/>
        </w:rPr>
        <w:t>车辆苫盖等</w:t>
      </w:r>
      <w:r>
        <w:rPr>
          <w:rFonts w:hint="default"/>
          <w:color w:val="auto"/>
          <w:sz w:val="24"/>
        </w:rPr>
        <w:t>措施，</w:t>
      </w:r>
      <w:r>
        <w:rPr>
          <w:rFonts w:hint="eastAsia"/>
          <w:color w:val="auto"/>
          <w:sz w:val="24"/>
          <w:lang w:val="en-US" w:eastAsia="zh-CN"/>
        </w:rPr>
        <w:t>抑尘效率可达85%</w:t>
      </w:r>
      <w:r>
        <w:rPr>
          <w:rFonts w:hint="default"/>
          <w:color w:val="auto"/>
          <w:sz w:val="24"/>
        </w:rPr>
        <w:t>，</w:t>
      </w:r>
      <w:r>
        <w:rPr>
          <w:rFonts w:hint="eastAsia"/>
          <w:color w:val="auto"/>
          <w:sz w:val="24"/>
          <w:lang w:val="en-US" w:eastAsia="zh-CN"/>
        </w:rPr>
        <w:t>运输</w:t>
      </w:r>
      <w:r>
        <w:rPr>
          <w:rFonts w:hint="default"/>
          <w:color w:val="auto"/>
          <w:sz w:val="24"/>
        </w:rPr>
        <w:t>粉尘排放量为</w:t>
      </w:r>
      <w:r>
        <w:rPr>
          <w:rFonts w:hint="eastAsia"/>
          <w:color w:val="auto"/>
          <w:sz w:val="24"/>
          <w:lang w:val="en-US" w:eastAsia="zh-CN"/>
        </w:rPr>
        <w:t>0.78</w:t>
      </w:r>
      <w:r>
        <w:rPr>
          <w:rFonts w:hint="default"/>
          <w:color w:val="auto"/>
          <w:sz w:val="24"/>
        </w:rPr>
        <w:t>t/a。</w:t>
      </w:r>
    </w:p>
    <w:p w14:paraId="185D5AA8">
      <w:pPr>
        <w:spacing w:line="360" w:lineRule="auto"/>
        <w:rPr>
          <w:rFonts w:hint="eastAsia"/>
          <w:b/>
          <w:bCs w:val="0"/>
          <w:color w:val="auto"/>
          <w:sz w:val="24"/>
          <w:szCs w:val="24"/>
          <w:lang w:eastAsia="zh-CN"/>
        </w:rPr>
      </w:pPr>
      <w:r>
        <w:rPr>
          <w:rFonts w:hint="eastAsia"/>
          <w:b/>
          <w:bCs w:val="0"/>
          <w:color w:val="auto"/>
          <w:sz w:val="24"/>
          <w:highlight w:val="none"/>
          <w:lang w:val="en-US" w:eastAsia="zh-CN"/>
        </w:rPr>
        <w:t>③</w:t>
      </w:r>
      <w:r>
        <w:rPr>
          <w:rFonts w:hint="eastAsia"/>
          <w:b/>
          <w:bCs w:val="0"/>
          <w:color w:val="auto"/>
          <w:sz w:val="24"/>
          <w:highlight w:val="none"/>
          <w:lang w:eastAsia="zh-CN"/>
        </w:rPr>
        <w:t>皮带输送粉尘</w:t>
      </w:r>
    </w:p>
    <w:p w14:paraId="0FEFB5EE">
      <w:pPr>
        <w:spacing w:line="360" w:lineRule="auto"/>
        <w:ind w:firstLine="480" w:firstLineChars="200"/>
        <w:rPr>
          <w:rFonts w:hint="eastAsia" w:hAnsi="宋体"/>
          <w:bCs/>
          <w:color w:val="auto"/>
          <w:sz w:val="24"/>
          <w:highlight w:val="none"/>
        </w:rPr>
      </w:pPr>
      <w:r>
        <w:rPr>
          <w:rFonts w:hint="eastAsia" w:hAnsi="宋体"/>
          <w:bCs/>
          <w:color w:val="auto"/>
          <w:sz w:val="24"/>
          <w:highlight w:val="none"/>
          <w:lang w:val="en-US" w:eastAsia="zh-CN"/>
        </w:rPr>
        <w:t>现有项目皮带运输污染源生产工艺产生粉尘源强参考《逸散性工业粉尘控制技术》中“粒料加工厂”相关工序粉尘排放因子（皮带接口参照碎石出料排放因子 0.00145kg/t），现有项目年运输量为40万t/a，则皮带运输粉尘产生量为0.58t/a，企业采取密闭输送，抑尘效率可达85%，粉尘排放量为0.087t/a。</w:t>
      </w:r>
    </w:p>
    <w:p w14:paraId="59A5DF73">
      <w:pPr>
        <w:spacing w:line="360" w:lineRule="auto"/>
        <w:rPr>
          <w:rFonts w:hint="default" w:ascii="Times New Roman" w:hAnsi="Times New Roman" w:eastAsia="宋体" w:cs="Times New Roman"/>
          <w:b/>
          <w:bCs w:val="0"/>
          <w:color w:val="auto"/>
          <w:sz w:val="24"/>
          <w:szCs w:val="24"/>
          <w:lang w:val="en-US" w:eastAsia="zh-CN"/>
        </w:rPr>
      </w:pPr>
      <w:r>
        <w:rPr>
          <w:rFonts w:hint="eastAsia" w:cs="Times New Roman"/>
          <w:b/>
          <w:bCs w:val="0"/>
          <w:color w:val="auto"/>
          <w:sz w:val="24"/>
          <w:szCs w:val="24"/>
          <w:lang w:val="en-US" w:eastAsia="zh-CN"/>
        </w:rPr>
        <w:t>3、现有</w:t>
      </w:r>
      <w:r>
        <w:rPr>
          <w:rFonts w:hint="eastAsia" w:ascii="Times New Roman" w:hAnsi="Times New Roman" w:eastAsia="宋体" w:cs="Times New Roman"/>
          <w:b/>
          <w:bCs w:val="0"/>
          <w:color w:val="auto"/>
          <w:sz w:val="24"/>
          <w:szCs w:val="24"/>
          <w:lang w:eastAsia="zh-CN"/>
        </w:rPr>
        <w:t>项目废气</w:t>
      </w:r>
      <w:r>
        <w:rPr>
          <w:rFonts w:hint="eastAsia" w:cs="Times New Roman"/>
          <w:b/>
          <w:bCs w:val="0"/>
          <w:color w:val="auto"/>
          <w:sz w:val="24"/>
          <w:szCs w:val="24"/>
          <w:lang w:val="en-US" w:eastAsia="zh-CN"/>
        </w:rPr>
        <w:t>产排情况汇总</w:t>
      </w:r>
    </w:p>
    <w:p w14:paraId="11513C9F">
      <w:pPr>
        <w:spacing w:line="360" w:lineRule="auto"/>
        <w:jc w:val="center"/>
        <w:rPr>
          <w:rFonts w:hint="default" w:eastAsia="宋体"/>
          <w:b/>
          <w:color w:val="auto"/>
          <w:szCs w:val="21"/>
          <w:lang w:val="en-US" w:eastAsia="zh-CN"/>
        </w:rPr>
      </w:pPr>
      <w:r>
        <w:rPr>
          <w:rFonts w:hint="eastAsia"/>
          <w:b/>
          <w:color w:val="auto"/>
          <w:sz w:val="24"/>
          <w:szCs w:val="24"/>
        </w:rPr>
        <w:t>表</w:t>
      </w:r>
      <w:r>
        <w:rPr>
          <w:rFonts w:hint="eastAsia"/>
          <w:b/>
          <w:color w:val="auto"/>
          <w:sz w:val="24"/>
          <w:szCs w:val="24"/>
          <w:lang w:val="en-US" w:eastAsia="zh-CN"/>
        </w:rPr>
        <w:t xml:space="preserve">3.1-8  </w:t>
      </w:r>
      <w:r>
        <w:rPr>
          <w:b/>
          <w:color w:val="auto"/>
          <w:sz w:val="24"/>
          <w:szCs w:val="24"/>
        </w:rPr>
        <w:t xml:space="preserve">  </w:t>
      </w:r>
      <w:r>
        <w:rPr>
          <w:rFonts w:hint="eastAsia"/>
          <w:b/>
          <w:color w:val="auto"/>
          <w:sz w:val="24"/>
          <w:szCs w:val="24"/>
          <w:lang w:val="en-US" w:eastAsia="zh-CN"/>
        </w:rPr>
        <w:t>现有</w:t>
      </w:r>
      <w:r>
        <w:rPr>
          <w:rFonts w:hint="eastAsia"/>
          <w:b/>
          <w:color w:val="auto"/>
          <w:sz w:val="24"/>
          <w:szCs w:val="24"/>
        </w:rPr>
        <w:t>项目</w:t>
      </w:r>
      <w:r>
        <w:rPr>
          <w:rFonts w:hint="eastAsia"/>
          <w:b/>
          <w:color w:val="auto"/>
          <w:sz w:val="24"/>
          <w:szCs w:val="24"/>
          <w:lang w:val="en-US" w:eastAsia="zh-CN"/>
        </w:rPr>
        <w:t>废气产排情况汇总表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1149"/>
        <w:gridCol w:w="968"/>
        <w:gridCol w:w="968"/>
        <w:gridCol w:w="968"/>
        <w:gridCol w:w="968"/>
        <w:gridCol w:w="968"/>
        <w:gridCol w:w="968"/>
        <w:gridCol w:w="968"/>
      </w:tblGrid>
      <w:tr w14:paraId="46A40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center"/>
          </w:tcPr>
          <w:p w14:paraId="4FA371B1">
            <w:pPr>
              <w:jc w:val="center"/>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编号</w:t>
            </w:r>
          </w:p>
        </w:tc>
        <w:tc>
          <w:tcPr>
            <w:tcW w:w="1149" w:type="dxa"/>
            <w:vAlign w:val="center"/>
          </w:tcPr>
          <w:p w14:paraId="736CB6C2">
            <w:pPr>
              <w:jc w:val="center"/>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排放源</w:t>
            </w:r>
          </w:p>
        </w:tc>
        <w:tc>
          <w:tcPr>
            <w:tcW w:w="968" w:type="dxa"/>
            <w:vAlign w:val="center"/>
          </w:tcPr>
          <w:p w14:paraId="2BFE49CA">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排放形式</w:t>
            </w:r>
          </w:p>
        </w:tc>
        <w:tc>
          <w:tcPr>
            <w:tcW w:w="968" w:type="dxa"/>
            <w:vAlign w:val="center"/>
          </w:tcPr>
          <w:p w14:paraId="3A2C7B81">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污染物名称</w:t>
            </w:r>
          </w:p>
        </w:tc>
        <w:tc>
          <w:tcPr>
            <w:tcW w:w="968" w:type="dxa"/>
            <w:vAlign w:val="center"/>
          </w:tcPr>
          <w:p w14:paraId="49397FD9">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产生量t/a</w:t>
            </w:r>
          </w:p>
        </w:tc>
        <w:tc>
          <w:tcPr>
            <w:tcW w:w="968" w:type="dxa"/>
            <w:vAlign w:val="center"/>
          </w:tcPr>
          <w:p w14:paraId="5742EF66">
            <w:pPr>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治理措施</w:t>
            </w:r>
          </w:p>
        </w:tc>
        <w:tc>
          <w:tcPr>
            <w:tcW w:w="968" w:type="dxa"/>
            <w:vAlign w:val="center"/>
          </w:tcPr>
          <w:p w14:paraId="406792F1">
            <w:pPr>
              <w:jc w:val="center"/>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排放量t/a</w:t>
            </w:r>
          </w:p>
        </w:tc>
        <w:tc>
          <w:tcPr>
            <w:tcW w:w="968" w:type="dxa"/>
            <w:vAlign w:val="center"/>
          </w:tcPr>
          <w:p w14:paraId="1A3610C4">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排放速率</w:t>
            </w:r>
            <w:r>
              <w:rPr>
                <w:rFonts w:hint="eastAsia" w:ascii="Times New Roman" w:hAnsi="宋体" w:eastAsia="宋体" w:cs="Times New Roman"/>
                <w:b w:val="0"/>
                <w:bCs/>
                <w:color w:val="auto"/>
                <w:kern w:val="2"/>
                <w:sz w:val="21"/>
                <w:szCs w:val="21"/>
                <w:lang w:val="en-US" w:eastAsia="zh-CN" w:bidi="ar-SA"/>
              </w:rPr>
              <w:t>kg/h</w:t>
            </w:r>
          </w:p>
        </w:tc>
        <w:tc>
          <w:tcPr>
            <w:tcW w:w="968" w:type="dxa"/>
            <w:vAlign w:val="center"/>
          </w:tcPr>
          <w:p w14:paraId="41201DE0">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排放浓度</w:t>
            </w:r>
            <w:r>
              <w:rPr>
                <w:rFonts w:hint="eastAsia" w:ascii="Times New Roman" w:hAnsi="宋体" w:eastAsia="宋体" w:cs="Times New Roman"/>
                <w:b w:val="0"/>
                <w:bCs/>
                <w:color w:val="auto"/>
                <w:kern w:val="2"/>
                <w:sz w:val="21"/>
                <w:szCs w:val="21"/>
                <w:lang w:val="en-US" w:eastAsia="zh-CN" w:bidi="ar-SA"/>
              </w:rPr>
              <w:t>mg/m</w:t>
            </w:r>
            <w:r>
              <w:rPr>
                <w:rFonts w:hint="eastAsia" w:ascii="Times New Roman" w:hAnsi="宋体" w:eastAsia="宋体" w:cs="Times New Roman"/>
                <w:b w:val="0"/>
                <w:bCs/>
                <w:color w:val="auto"/>
                <w:kern w:val="2"/>
                <w:sz w:val="21"/>
                <w:szCs w:val="21"/>
                <w:vertAlign w:val="superscript"/>
                <w:lang w:val="en-US" w:eastAsia="zh-CN" w:bidi="ar-SA"/>
              </w:rPr>
              <w:t>3</w:t>
            </w:r>
          </w:p>
        </w:tc>
      </w:tr>
      <w:tr w14:paraId="7F66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center"/>
          </w:tcPr>
          <w:p w14:paraId="0E382B81">
            <w:pPr>
              <w:jc w:val="center"/>
              <w:rPr>
                <w:rFonts w:hint="eastAsia"/>
                <w:b w:val="0"/>
                <w:bCs/>
                <w:color w:val="auto"/>
                <w:sz w:val="21"/>
                <w:szCs w:val="21"/>
                <w:vertAlign w:val="baseline"/>
                <w:lang w:val="en-US" w:eastAsia="zh-CN"/>
              </w:rPr>
            </w:pPr>
            <w:r>
              <w:rPr>
                <w:rFonts w:hint="eastAsia"/>
                <w:b w:val="0"/>
                <w:bCs/>
                <w:color w:val="auto"/>
                <w:sz w:val="21"/>
                <w:szCs w:val="21"/>
                <w:vertAlign w:val="baseline"/>
                <w:lang w:val="en-US" w:eastAsia="zh-CN"/>
              </w:rPr>
              <w:t>DA</w:t>
            </w:r>
          </w:p>
          <w:p w14:paraId="75BA427A">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001</w:t>
            </w:r>
          </w:p>
        </w:tc>
        <w:tc>
          <w:tcPr>
            <w:tcW w:w="1149" w:type="dxa"/>
            <w:vAlign w:val="center"/>
          </w:tcPr>
          <w:p w14:paraId="2D6AC913">
            <w:pPr>
              <w:jc w:val="center"/>
              <w:rPr>
                <w:rFonts w:hint="default" w:eastAsia="宋体"/>
                <w:b w:val="0"/>
                <w:bCs/>
                <w:color w:val="auto"/>
                <w:sz w:val="21"/>
                <w:szCs w:val="21"/>
                <w:vertAlign w:val="baseline"/>
                <w:lang w:val="en-US" w:eastAsia="zh-CN"/>
              </w:rPr>
            </w:pPr>
            <w:r>
              <w:rPr>
                <w:rFonts w:hint="default" w:eastAsia="宋体"/>
                <w:b w:val="0"/>
                <w:bCs/>
                <w:color w:val="auto"/>
                <w:sz w:val="21"/>
                <w:szCs w:val="21"/>
                <w:vertAlign w:val="baseline"/>
                <w:lang w:val="en-US" w:eastAsia="zh-CN"/>
              </w:rPr>
              <w:t>破碎区、球磨及磁选工序</w:t>
            </w:r>
          </w:p>
        </w:tc>
        <w:tc>
          <w:tcPr>
            <w:tcW w:w="968" w:type="dxa"/>
            <w:vAlign w:val="center"/>
          </w:tcPr>
          <w:p w14:paraId="79D71D5F">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有组织</w:t>
            </w:r>
          </w:p>
        </w:tc>
        <w:tc>
          <w:tcPr>
            <w:tcW w:w="968" w:type="dxa"/>
            <w:vAlign w:val="center"/>
          </w:tcPr>
          <w:p w14:paraId="7FABC3D2">
            <w:pPr>
              <w:jc w:val="center"/>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颗粒物</w:t>
            </w:r>
          </w:p>
        </w:tc>
        <w:tc>
          <w:tcPr>
            <w:tcW w:w="968" w:type="dxa"/>
            <w:vAlign w:val="center"/>
          </w:tcPr>
          <w:p w14:paraId="28FC430D">
            <w:pPr>
              <w:jc w:val="center"/>
              <w:rPr>
                <w:rFonts w:hint="eastAsia"/>
                <w:b w:val="0"/>
                <w:bCs/>
                <w:color w:val="auto"/>
                <w:sz w:val="21"/>
                <w:szCs w:val="21"/>
                <w:vertAlign w:val="baseline"/>
              </w:rPr>
            </w:pPr>
            <w:r>
              <w:rPr>
                <w:rFonts w:hint="eastAsia" w:ascii="Times New Roman" w:hAnsi="宋体" w:eastAsia="宋体" w:cs="Times New Roman"/>
                <w:b w:val="0"/>
                <w:bCs/>
                <w:color w:val="auto"/>
                <w:kern w:val="2"/>
                <w:sz w:val="21"/>
                <w:szCs w:val="21"/>
                <w:lang w:val="en-US" w:eastAsia="zh-CN" w:bidi="ar-SA"/>
              </w:rPr>
              <w:t>117.86</w:t>
            </w:r>
          </w:p>
        </w:tc>
        <w:tc>
          <w:tcPr>
            <w:tcW w:w="968" w:type="dxa"/>
            <w:vAlign w:val="center"/>
          </w:tcPr>
          <w:p w14:paraId="216B3E1E">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布袋除尘</w:t>
            </w:r>
          </w:p>
        </w:tc>
        <w:tc>
          <w:tcPr>
            <w:tcW w:w="968" w:type="dxa"/>
            <w:vAlign w:val="center"/>
          </w:tcPr>
          <w:p w14:paraId="5E795EE7">
            <w:pPr>
              <w:jc w:val="center"/>
              <w:rPr>
                <w:rFonts w:hint="eastAsia"/>
                <w:b w:val="0"/>
                <w:bCs/>
                <w:color w:val="auto"/>
                <w:sz w:val="21"/>
                <w:szCs w:val="21"/>
                <w:vertAlign w:val="baseline"/>
              </w:rPr>
            </w:pPr>
            <w:r>
              <w:rPr>
                <w:rFonts w:hint="eastAsia" w:ascii="Times New Roman" w:hAnsi="宋体" w:eastAsia="宋体" w:cs="Times New Roman"/>
                <w:b w:val="0"/>
                <w:bCs/>
                <w:color w:val="auto"/>
                <w:kern w:val="2"/>
                <w:sz w:val="21"/>
                <w:szCs w:val="21"/>
                <w:lang w:val="en-US" w:eastAsia="zh-CN" w:bidi="ar-SA"/>
              </w:rPr>
              <w:t>4.89</w:t>
            </w:r>
          </w:p>
        </w:tc>
        <w:tc>
          <w:tcPr>
            <w:tcW w:w="968" w:type="dxa"/>
            <w:vAlign w:val="center"/>
          </w:tcPr>
          <w:p w14:paraId="34DA9BD0">
            <w:pPr>
              <w:jc w:val="center"/>
              <w:rPr>
                <w:rFonts w:hint="eastAsia"/>
                <w:b w:val="0"/>
                <w:bCs/>
                <w:color w:val="auto"/>
                <w:sz w:val="21"/>
                <w:szCs w:val="21"/>
                <w:vertAlign w:val="baseline"/>
              </w:rPr>
            </w:pPr>
            <w:r>
              <w:rPr>
                <w:rFonts w:hint="eastAsia" w:ascii="Times New Roman" w:hAnsi="宋体" w:eastAsia="宋体" w:cs="Times New Roman"/>
                <w:b w:val="0"/>
                <w:bCs/>
                <w:color w:val="auto"/>
                <w:kern w:val="2"/>
                <w:sz w:val="21"/>
                <w:szCs w:val="21"/>
                <w:lang w:val="en-US" w:eastAsia="zh-CN" w:bidi="ar-SA"/>
              </w:rPr>
              <w:t>0.68</w:t>
            </w:r>
          </w:p>
        </w:tc>
        <w:tc>
          <w:tcPr>
            <w:tcW w:w="968" w:type="dxa"/>
            <w:vAlign w:val="center"/>
          </w:tcPr>
          <w:p w14:paraId="75EC7706">
            <w:pPr>
              <w:jc w:val="center"/>
              <w:rPr>
                <w:rFonts w:hint="eastAsia"/>
                <w:b w:val="0"/>
                <w:bCs/>
                <w:color w:val="auto"/>
                <w:sz w:val="21"/>
                <w:szCs w:val="21"/>
                <w:vertAlign w:val="baseline"/>
              </w:rPr>
            </w:pPr>
            <w:r>
              <w:rPr>
                <w:rFonts w:hint="eastAsia" w:ascii="Times New Roman" w:hAnsi="宋体" w:eastAsia="宋体" w:cs="Times New Roman"/>
                <w:b w:val="0"/>
                <w:bCs/>
                <w:color w:val="auto"/>
                <w:kern w:val="2"/>
                <w:sz w:val="21"/>
                <w:szCs w:val="21"/>
                <w:lang w:val="en-US" w:eastAsia="zh-CN" w:bidi="ar-SA"/>
              </w:rPr>
              <w:t>43.67</w:t>
            </w:r>
          </w:p>
        </w:tc>
      </w:tr>
      <w:tr w14:paraId="0113A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center"/>
          </w:tcPr>
          <w:p w14:paraId="4D41A93E">
            <w:pPr>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1</w:t>
            </w:r>
          </w:p>
        </w:tc>
        <w:tc>
          <w:tcPr>
            <w:tcW w:w="1149" w:type="dxa"/>
            <w:vAlign w:val="center"/>
          </w:tcPr>
          <w:p w14:paraId="53479FA3">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原矿、尾矿装卸</w:t>
            </w:r>
          </w:p>
        </w:tc>
        <w:tc>
          <w:tcPr>
            <w:tcW w:w="968" w:type="dxa"/>
            <w:vAlign w:val="center"/>
          </w:tcPr>
          <w:p w14:paraId="5BBA31E6">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无组织</w:t>
            </w:r>
          </w:p>
        </w:tc>
        <w:tc>
          <w:tcPr>
            <w:tcW w:w="968" w:type="dxa"/>
            <w:vAlign w:val="center"/>
          </w:tcPr>
          <w:p w14:paraId="7A348683">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颗粒物</w:t>
            </w:r>
          </w:p>
        </w:tc>
        <w:tc>
          <w:tcPr>
            <w:tcW w:w="968" w:type="dxa"/>
            <w:vAlign w:val="center"/>
          </w:tcPr>
          <w:p w14:paraId="6A4795C1">
            <w:pPr>
              <w:jc w:val="center"/>
              <w:rPr>
                <w:rFonts w:hint="eastAsia"/>
                <w:b w:val="0"/>
                <w:bCs/>
                <w:color w:val="auto"/>
                <w:sz w:val="21"/>
                <w:szCs w:val="21"/>
                <w:vertAlign w:val="baseline"/>
              </w:rPr>
            </w:pPr>
            <w:r>
              <w:rPr>
                <w:rFonts w:hint="eastAsia" w:cs="Times New Roman"/>
                <w:color w:val="000000" w:themeColor="text1"/>
                <w:sz w:val="21"/>
                <w:szCs w:val="21"/>
                <w:lang w:val="en-US" w:eastAsia="zh-CN"/>
                <w14:textFill>
                  <w14:solidFill>
                    <w14:schemeClr w14:val="tx1"/>
                  </w14:solidFill>
                </w14:textFill>
              </w:rPr>
              <w:t>1.98</w:t>
            </w:r>
          </w:p>
        </w:tc>
        <w:tc>
          <w:tcPr>
            <w:tcW w:w="968" w:type="dxa"/>
            <w:vAlign w:val="center"/>
          </w:tcPr>
          <w:p w14:paraId="0CCCE0C4">
            <w:pPr>
              <w:jc w:val="center"/>
              <w:rPr>
                <w:rFonts w:hint="eastAsia"/>
                <w:b w:val="0"/>
                <w:bCs/>
                <w:color w:val="auto"/>
                <w:sz w:val="21"/>
                <w:szCs w:val="21"/>
                <w:vertAlign w:val="baseline"/>
              </w:rPr>
            </w:pPr>
            <w:r>
              <w:rPr>
                <w:rFonts w:hint="eastAsia" w:cs="Times New Roman"/>
                <w:color w:val="000000" w:themeColor="text1"/>
                <w:sz w:val="21"/>
                <w:szCs w:val="21"/>
                <w:lang w:val="en-US" w:eastAsia="zh-CN"/>
                <w14:textFill>
                  <w14:solidFill>
                    <w14:schemeClr w14:val="tx1"/>
                  </w14:solidFill>
                </w14:textFill>
              </w:rPr>
              <w:t>降低装卸高度、适量的洒水抑尘</w:t>
            </w:r>
          </w:p>
        </w:tc>
        <w:tc>
          <w:tcPr>
            <w:tcW w:w="968" w:type="dxa"/>
            <w:vAlign w:val="center"/>
          </w:tcPr>
          <w:p w14:paraId="65E10954">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0.297</w:t>
            </w:r>
          </w:p>
        </w:tc>
        <w:tc>
          <w:tcPr>
            <w:tcW w:w="968" w:type="dxa"/>
            <w:vAlign w:val="center"/>
          </w:tcPr>
          <w:p w14:paraId="17D0068A">
            <w:pPr>
              <w:jc w:val="center"/>
              <w:rPr>
                <w:rFonts w:hint="eastAsia" w:eastAsia="宋体"/>
                <w:b w:val="0"/>
                <w:bCs/>
                <w:color w:val="auto"/>
                <w:sz w:val="21"/>
                <w:szCs w:val="21"/>
                <w:vertAlign w:val="baseline"/>
                <w:lang w:val="en-US" w:eastAsia="zh-CN"/>
              </w:rPr>
            </w:pPr>
            <w:r>
              <w:rPr>
                <w:rFonts w:hint="eastAsia"/>
                <w:b w:val="0"/>
                <w:bCs/>
                <w:color w:val="auto"/>
                <w:sz w:val="21"/>
                <w:szCs w:val="21"/>
                <w:vertAlign w:val="baseline"/>
                <w:lang w:val="en-US" w:eastAsia="zh-CN"/>
              </w:rPr>
              <w:t>-</w:t>
            </w:r>
          </w:p>
        </w:tc>
        <w:tc>
          <w:tcPr>
            <w:tcW w:w="968" w:type="dxa"/>
            <w:vAlign w:val="center"/>
          </w:tcPr>
          <w:p w14:paraId="7DF9A3F1">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w:t>
            </w:r>
          </w:p>
        </w:tc>
      </w:tr>
      <w:tr w14:paraId="5494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center"/>
          </w:tcPr>
          <w:p w14:paraId="1694874F">
            <w:pPr>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2</w:t>
            </w:r>
          </w:p>
        </w:tc>
        <w:tc>
          <w:tcPr>
            <w:tcW w:w="1149" w:type="dxa"/>
            <w:vAlign w:val="center"/>
          </w:tcPr>
          <w:p w14:paraId="038290A1">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道路运输</w:t>
            </w:r>
          </w:p>
        </w:tc>
        <w:tc>
          <w:tcPr>
            <w:tcW w:w="968" w:type="dxa"/>
            <w:vAlign w:val="center"/>
          </w:tcPr>
          <w:p w14:paraId="0F5D7A2F">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无组织</w:t>
            </w:r>
          </w:p>
        </w:tc>
        <w:tc>
          <w:tcPr>
            <w:tcW w:w="968" w:type="dxa"/>
            <w:vAlign w:val="center"/>
          </w:tcPr>
          <w:p w14:paraId="3872CC79">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颗粒物</w:t>
            </w:r>
          </w:p>
        </w:tc>
        <w:tc>
          <w:tcPr>
            <w:tcW w:w="968" w:type="dxa"/>
            <w:vAlign w:val="center"/>
          </w:tcPr>
          <w:p w14:paraId="7FA3B1D5">
            <w:pPr>
              <w:jc w:val="center"/>
              <w:rPr>
                <w:rFonts w:hint="eastAsia"/>
                <w:b w:val="0"/>
                <w:bCs/>
                <w:color w:val="auto"/>
                <w:sz w:val="21"/>
                <w:szCs w:val="21"/>
                <w:vertAlign w:val="baseline"/>
              </w:rPr>
            </w:pPr>
            <w:r>
              <w:rPr>
                <w:rFonts w:hint="eastAsia"/>
                <w:color w:val="auto"/>
                <w:sz w:val="21"/>
                <w:szCs w:val="21"/>
                <w:lang w:val="en-US" w:eastAsia="zh-CN"/>
              </w:rPr>
              <w:t>5.25</w:t>
            </w:r>
          </w:p>
        </w:tc>
        <w:tc>
          <w:tcPr>
            <w:tcW w:w="968" w:type="dxa"/>
            <w:vAlign w:val="center"/>
          </w:tcPr>
          <w:p w14:paraId="2583650A">
            <w:pPr>
              <w:jc w:val="center"/>
              <w:rPr>
                <w:rFonts w:hint="eastAsia"/>
                <w:b w:val="0"/>
                <w:bCs/>
                <w:color w:val="auto"/>
                <w:sz w:val="21"/>
                <w:szCs w:val="21"/>
                <w:vertAlign w:val="baseline"/>
              </w:rPr>
            </w:pPr>
            <w:r>
              <w:rPr>
                <w:rFonts w:hint="default"/>
                <w:color w:val="auto"/>
                <w:sz w:val="21"/>
                <w:szCs w:val="21"/>
              </w:rPr>
              <w:t>洒水抑尘</w:t>
            </w:r>
            <w:r>
              <w:rPr>
                <w:rFonts w:hint="eastAsia"/>
                <w:color w:val="auto"/>
                <w:sz w:val="21"/>
                <w:szCs w:val="21"/>
                <w:lang w:eastAsia="zh-CN"/>
              </w:rPr>
              <w:t>、</w:t>
            </w:r>
            <w:r>
              <w:rPr>
                <w:rFonts w:hint="eastAsia"/>
                <w:color w:val="auto"/>
                <w:sz w:val="21"/>
                <w:szCs w:val="21"/>
                <w:lang w:val="en-US" w:eastAsia="zh-CN"/>
              </w:rPr>
              <w:t>车辆苫盖</w:t>
            </w:r>
          </w:p>
        </w:tc>
        <w:tc>
          <w:tcPr>
            <w:tcW w:w="968" w:type="dxa"/>
            <w:vAlign w:val="center"/>
          </w:tcPr>
          <w:p w14:paraId="0C8705F7">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0.78</w:t>
            </w:r>
          </w:p>
        </w:tc>
        <w:tc>
          <w:tcPr>
            <w:tcW w:w="968" w:type="dxa"/>
            <w:vAlign w:val="center"/>
          </w:tcPr>
          <w:p w14:paraId="60B68893">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w:t>
            </w:r>
          </w:p>
        </w:tc>
        <w:tc>
          <w:tcPr>
            <w:tcW w:w="968" w:type="dxa"/>
            <w:vAlign w:val="center"/>
          </w:tcPr>
          <w:p w14:paraId="21F57D35">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w:t>
            </w:r>
          </w:p>
        </w:tc>
      </w:tr>
      <w:tr w14:paraId="1D99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7" w:type="dxa"/>
            <w:vAlign w:val="center"/>
          </w:tcPr>
          <w:p w14:paraId="6765F5EF">
            <w:pPr>
              <w:jc w:val="center"/>
              <w:rPr>
                <w:rFonts w:hint="default"/>
                <w:b w:val="0"/>
                <w:bCs/>
                <w:color w:val="auto"/>
                <w:sz w:val="21"/>
                <w:szCs w:val="21"/>
                <w:vertAlign w:val="baseline"/>
                <w:lang w:val="en-US" w:eastAsia="zh-CN"/>
              </w:rPr>
            </w:pPr>
            <w:r>
              <w:rPr>
                <w:rFonts w:hint="eastAsia"/>
                <w:b w:val="0"/>
                <w:bCs/>
                <w:color w:val="auto"/>
                <w:sz w:val="21"/>
                <w:szCs w:val="21"/>
                <w:vertAlign w:val="baseline"/>
                <w:lang w:val="en-US" w:eastAsia="zh-CN"/>
              </w:rPr>
              <w:t>3</w:t>
            </w:r>
          </w:p>
        </w:tc>
        <w:tc>
          <w:tcPr>
            <w:tcW w:w="1149" w:type="dxa"/>
            <w:vAlign w:val="center"/>
          </w:tcPr>
          <w:p w14:paraId="729AAF8D">
            <w:pPr>
              <w:jc w:val="center"/>
              <w:rPr>
                <w:rFonts w:hint="eastAsia"/>
                <w:b w:val="0"/>
                <w:bCs/>
                <w:color w:val="auto"/>
                <w:sz w:val="21"/>
                <w:szCs w:val="21"/>
                <w:vertAlign w:val="baseline"/>
              </w:rPr>
            </w:pPr>
            <w:r>
              <w:rPr>
                <w:rFonts w:hint="eastAsia"/>
                <w:b w:val="0"/>
                <w:bCs/>
                <w:color w:val="auto"/>
                <w:sz w:val="21"/>
                <w:szCs w:val="21"/>
                <w:vertAlign w:val="baseline"/>
                <w:lang w:eastAsia="zh-CN"/>
              </w:rPr>
              <w:t>皮带输送</w:t>
            </w:r>
          </w:p>
        </w:tc>
        <w:tc>
          <w:tcPr>
            <w:tcW w:w="968" w:type="dxa"/>
            <w:vAlign w:val="center"/>
          </w:tcPr>
          <w:p w14:paraId="29007588">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无组织</w:t>
            </w:r>
          </w:p>
        </w:tc>
        <w:tc>
          <w:tcPr>
            <w:tcW w:w="968" w:type="dxa"/>
            <w:vAlign w:val="center"/>
          </w:tcPr>
          <w:p w14:paraId="3BE2EA9E">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颗粒物</w:t>
            </w:r>
          </w:p>
        </w:tc>
        <w:tc>
          <w:tcPr>
            <w:tcW w:w="968" w:type="dxa"/>
            <w:vAlign w:val="center"/>
          </w:tcPr>
          <w:p w14:paraId="2D7995EC">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0.58</w:t>
            </w:r>
          </w:p>
        </w:tc>
        <w:tc>
          <w:tcPr>
            <w:tcW w:w="968" w:type="dxa"/>
            <w:vAlign w:val="center"/>
          </w:tcPr>
          <w:p w14:paraId="0672F44C">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密闭输送</w:t>
            </w:r>
          </w:p>
        </w:tc>
        <w:tc>
          <w:tcPr>
            <w:tcW w:w="968" w:type="dxa"/>
            <w:vAlign w:val="center"/>
          </w:tcPr>
          <w:p w14:paraId="4DBE2B01">
            <w:pPr>
              <w:jc w:val="center"/>
              <w:rPr>
                <w:rFonts w:hint="default" w:eastAsia="宋体"/>
                <w:b w:val="0"/>
                <w:bCs/>
                <w:color w:val="auto"/>
                <w:sz w:val="21"/>
                <w:szCs w:val="21"/>
                <w:vertAlign w:val="baseline"/>
                <w:lang w:val="en-US" w:eastAsia="zh-CN"/>
              </w:rPr>
            </w:pPr>
            <w:r>
              <w:rPr>
                <w:rFonts w:hint="eastAsia"/>
                <w:b w:val="0"/>
                <w:bCs/>
                <w:color w:val="auto"/>
                <w:sz w:val="21"/>
                <w:szCs w:val="21"/>
                <w:vertAlign w:val="baseline"/>
                <w:lang w:val="en-US" w:eastAsia="zh-CN"/>
              </w:rPr>
              <w:t>0.087</w:t>
            </w:r>
          </w:p>
        </w:tc>
        <w:tc>
          <w:tcPr>
            <w:tcW w:w="968" w:type="dxa"/>
            <w:vAlign w:val="center"/>
          </w:tcPr>
          <w:p w14:paraId="2F063D48">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w:t>
            </w:r>
          </w:p>
        </w:tc>
        <w:tc>
          <w:tcPr>
            <w:tcW w:w="968" w:type="dxa"/>
            <w:vAlign w:val="center"/>
          </w:tcPr>
          <w:p w14:paraId="4A56DB40">
            <w:pPr>
              <w:jc w:val="center"/>
              <w:rPr>
                <w:rFonts w:hint="eastAsia"/>
                <w:b w:val="0"/>
                <w:bCs/>
                <w:color w:val="auto"/>
                <w:sz w:val="21"/>
                <w:szCs w:val="21"/>
                <w:vertAlign w:val="baseline"/>
              </w:rPr>
            </w:pPr>
            <w:r>
              <w:rPr>
                <w:rFonts w:hint="eastAsia"/>
                <w:b w:val="0"/>
                <w:bCs/>
                <w:color w:val="auto"/>
                <w:sz w:val="21"/>
                <w:szCs w:val="21"/>
                <w:vertAlign w:val="baseline"/>
                <w:lang w:val="en-US" w:eastAsia="zh-CN"/>
              </w:rPr>
              <w:t>-</w:t>
            </w:r>
          </w:p>
        </w:tc>
      </w:tr>
    </w:tbl>
    <w:p w14:paraId="566A898B">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Times New Roman"/>
          <w:b/>
          <w:bCs w:val="0"/>
          <w:color w:val="auto"/>
          <w:spacing w:val="0"/>
          <w:position w:val="0"/>
          <w:sz w:val="24"/>
          <w:szCs w:val="24"/>
          <w:highlight w:val="none"/>
          <w:lang w:val="en-US" w:eastAsia="zh-CN"/>
        </w:rPr>
      </w:pPr>
      <w:r>
        <w:rPr>
          <w:rFonts w:hint="eastAsia" w:cs="Times New Roman"/>
          <w:b/>
          <w:bCs w:val="0"/>
          <w:color w:val="auto"/>
          <w:spacing w:val="0"/>
          <w:position w:val="0"/>
          <w:sz w:val="24"/>
          <w:szCs w:val="24"/>
          <w:highlight w:val="none"/>
          <w:lang w:val="en-US" w:eastAsia="zh-CN"/>
        </w:rPr>
        <w:t>3</w:t>
      </w:r>
      <w:r>
        <w:rPr>
          <w:rFonts w:hint="eastAsia" w:eastAsia="宋体" w:cs="Times New Roman"/>
          <w:b/>
          <w:bCs w:val="0"/>
          <w:color w:val="auto"/>
          <w:spacing w:val="0"/>
          <w:position w:val="0"/>
          <w:sz w:val="24"/>
          <w:szCs w:val="24"/>
          <w:highlight w:val="none"/>
          <w:lang w:val="en-US" w:eastAsia="zh-CN"/>
        </w:rPr>
        <w:t>.1.</w:t>
      </w:r>
      <w:r>
        <w:rPr>
          <w:rFonts w:hint="eastAsia" w:cs="Times New Roman"/>
          <w:b/>
          <w:bCs w:val="0"/>
          <w:color w:val="auto"/>
          <w:spacing w:val="0"/>
          <w:position w:val="0"/>
          <w:sz w:val="24"/>
          <w:szCs w:val="24"/>
          <w:highlight w:val="none"/>
          <w:lang w:val="en-US" w:eastAsia="zh-CN"/>
        </w:rPr>
        <w:t>9</w:t>
      </w:r>
      <w:r>
        <w:rPr>
          <w:rFonts w:hint="eastAsia" w:eastAsia="宋体" w:cs="Times New Roman"/>
          <w:b/>
          <w:bCs w:val="0"/>
          <w:color w:val="auto"/>
          <w:spacing w:val="0"/>
          <w:position w:val="0"/>
          <w:sz w:val="24"/>
          <w:szCs w:val="24"/>
          <w:highlight w:val="none"/>
          <w:lang w:val="en-US" w:eastAsia="zh-CN"/>
        </w:rPr>
        <w:t>.2噪声</w:t>
      </w:r>
    </w:p>
    <w:p w14:paraId="1CA60BFB">
      <w:pPr>
        <w:widowControl w:val="0"/>
        <w:snapToGrid w:val="0"/>
        <w:spacing w:line="540" w:lineRule="exact"/>
        <w:ind w:firstLine="480" w:firstLineChars="200"/>
        <w:jc w:val="both"/>
        <w:rPr>
          <w:rFonts w:ascii="Times New Roman" w:hAnsi="宋体" w:eastAsia="宋体" w:cs="Times New Roman"/>
          <w:color w:val="auto"/>
          <w:kern w:val="2"/>
          <w:sz w:val="24"/>
          <w:szCs w:val="24"/>
          <w:lang w:val="en-US" w:eastAsia="zh-CN" w:bidi="ar-SA"/>
        </w:rPr>
      </w:pPr>
      <w:r>
        <w:rPr>
          <w:rFonts w:hint="eastAsia" w:ascii="Times New Roman" w:hAnsi="宋体" w:eastAsia="宋体" w:cs="Times New Roman"/>
          <w:color w:val="auto"/>
          <w:kern w:val="2"/>
          <w:sz w:val="24"/>
          <w:szCs w:val="24"/>
          <w:lang w:val="en-US" w:eastAsia="zh-CN" w:bidi="ar-SA"/>
        </w:rPr>
        <w:t>现有项目</w:t>
      </w:r>
      <w:r>
        <w:rPr>
          <w:rFonts w:ascii="Times New Roman" w:hAnsi="宋体" w:eastAsia="宋体" w:cs="Times New Roman"/>
          <w:color w:val="auto"/>
          <w:kern w:val="2"/>
          <w:sz w:val="24"/>
          <w:szCs w:val="24"/>
          <w:lang w:val="en-US" w:eastAsia="zh-CN" w:bidi="ar-SA"/>
        </w:rPr>
        <w:t>主要的噪声源有颚式破碎机、圆锥破碎机、球磨机、磁选机</w:t>
      </w:r>
      <w:r>
        <w:rPr>
          <w:rFonts w:hint="eastAsia" w:hAnsi="宋体" w:cs="Times New Roman"/>
          <w:color w:val="auto"/>
          <w:kern w:val="2"/>
          <w:sz w:val="24"/>
          <w:szCs w:val="24"/>
          <w:lang w:val="en-US" w:eastAsia="zh-CN" w:bidi="ar-SA"/>
        </w:rPr>
        <w:t>、渣浆泵、风机</w:t>
      </w:r>
      <w:r>
        <w:rPr>
          <w:rFonts w:ascii="Times New Roman" w:hAnsi="宋体" w:eastAsia="宋体" w:cs="Times New Roman"/>
          <w:color w:val="auto"/>
          <w:kern w:val="2"/>
          <w:sz w:val="24"/>
          <w:szCs w:val="24"/>
          <w:lang w:val="en-US" w:eastAsia="zh-CN" w:bidi="ar-SA"/>
        </w:rPr>
        <w:t>等生产机械设备运行时产生的噪声</w:t>
      </w:r>
      <w:r>
        <w:rPr>
          <w:rFonts w:hint="eastAsia" w:ascii="Times New Roman" w:hAnsi="宋体" w:eastAsia="宋体" w:cs="Times New Roman"/>
          <w:color w:val="auto"/>
          <w:kern w:val="2"/>
          <w:sz w:val="24"/>
          <w:szCs w:val="24"/>
          <w:lang w:val="en-US" w:eastAsia="zh-CN" w:bidi="ar-SA"/>
        </w:rPr>
        <w:t>，</w:t>
      </w:r>
      <w:r>
        <w:rPr>
          <w:rFonts w:ascii="Times New Roman" w:hAnsi="宋体" w:eastAsia="宋体" w:cs="Times New Roman"/>
          <w:color w:val="auto"/>
          <w:kern w:val="2"/>
          <w:sz w:val="24"/>
          <w:szCs w:val="24"/>
          <w:lang w:val="en-US" w:eastAsia="zh-CN" w:bidi="ar-SA"/>
        </w:rPr>
        <w:t>生产设备设置在</w:t>
      </w:r>
      <w:r>
        <w:rPr>
          <w:rFonts w:hint="eastAsia" w:hAnsi="宋体" w:cs="Times New Roman"/>
          <w:color w:val="auto"/>
          <w:kern w:val="2"/>
          <w:sz w:val="24"/>
          <w:szCs w:val="24"/>
          <w:lang w:val="en-US" w:eastAsia="zh-CN" w:bidi="ar-SA"/>
        </w:rPr>
        <w:t>封闭结构内</w:t>
      </w:r>
      <w:r>
        <w:rPr>
          <w:rFonts w:ascii="Times New Roman" w:hAnsi="宋体" w:eastAsia="宋体" w:cs="Times New Roman"/>
          <w:color w:val="auto"/>
          <w:kern w:val="2"/>
          <w:sz w:val="24"/>
          <w:szCs w:val="24"/>
          <w:lang w:val="en-US" w:eastAsia="zh-CN" w:bidi="ar-SA"/>
        </w:rPr>
        <w:t>，其噪声源情况见</w:t>
      </w:r>
      <w:r>
        <w:rPr>
          <w:rFonts w:hint="eastAsia" w:hAnsi="宋体" w:cs="Times New Roman"/>
          <w:color w:val="auto"/>
          <w:kern w:val="2"/>
          <w:sz w:val="24"/>
          <w:szCs w:val="24"/>
          <w:lang w:val="en-US" w:eastAsia="zh-CN" w:bidi="ar-SA"/>
        </w:rPr>
        <w:t>下</w:t>
      </w:r>
      <w:r>
        <w:rPr>
          <w:rFonts w:ascii="Times New Roman" w:hAnsi="宋体" w:eastAsia="宋体" w:cs="Times New Roman"/>
          <w:color w:val="auto"/>
          <w:kern w:val="2"/>
          <w:sz w:val="24"/>
          <w:szCs w:val="24"/>
          <w:lang w:val="en-US" w:eastAsia="zh-CN" w:bidi="ar-SA"/>
        </w:rPr>
        <w:t>表。</w:t>
      </w:r>
    </w:p>
    <w:p w14:paraId="2D90E1B0">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 xml:space="preserve">3.1-9 </w:t>
      </w:r>
      <w:r>
        <w:rPr>
          <w:rFonts w:hint="default" w:ascii="Times New Roman" w:hAnsi="Times New Roman" w:eastAsia="宋体" w:cs="Times New Roman"/>
          <w:b/>
          <w:color w:val="auto"/>
          <w:kern w:val="2"/>
          <w:sz w:val="24"/>
          <w:szCs w:val="24"/>
          <w:lang w:val="en-US" w:eastAsia="zh-CN" w:bidi="ar-SA"/>
        </w:rPr>
        <w:t xml:space="preserve">   </w:t>
      </w:r>
      <w:r>
        <w:rPr>
          <w:rFonts w:hint="eastAsia" w:ascii="Times New Roman" w:hAnsi="Times New Roman" w:eastAsia="宋体" w:cs="Times New Roman"/>
          <w:b/>
          <w:color w:val="auto"/>
          <w:kern w:val="2"/>
          <w:sz w:val="24"/>
          <w:szCs w:val="24"/>
          <w:lang w:val="en-US" w:eastAsia="zh-CN" w:bidi="ar-SA"/>
        </w:rPr>
        <w:t>主要</w:t>
      </w:r>
      <w:r>
        <w:rPr>
          <w:rFonts w:hint="default" w:ascii="Times New Roman" w:hAnsi="Times New Roman" w:eastAsia="宋体" w:cs="Times New Roman"/>
          <w:b/>
          <w:color w:val="auto"/>
          <w:kern w:val="2"/>
          <w:sz w:val="24"/>
          <w:szCs w:val="24"/>
          <w:lang w:val="en-US" w:eastAsia="zh-CN" w:bidi="ar-SA"/>
        </w:rPr>
        <w:t>噪声源情况一览表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2096"/>
        <w:gridCol w:w="1512"/>
        <w:gridCol w:w="1798"/>
        <w:gridCol w:w="2594"/>
      </w:tblGrid>
      <w:tr w14:paraId="6145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72BFE3D8">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序号</w:t>
            </w:r>
          </w:p>
        </w:tc>
        <w:tc>
          <w:tcPr>
            <w:tcW w:w="1202" w:type="pct"/>
            <w:tcBorders>
              <w:tl2br w:val="nil"/>
              <w:tr2bl w:val="nil"/>
            </w:tcBorders>
            <w:vAlign w:val="center"/>
          </w:tcPr>
          <w:p w14:paraId="00590811">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设备名称</w:t>
            </w:r>
          </w:p>
        </w:tc>
        <w:tc>
          <w:tcPr>
            <w:tcW w:w="867" w:type="pct"/>
            <w:tcBorders>
              <w:tl2br w:val="nil"/>
              <w:tr2bl w:val="nil"/>
            </w:tcBorders>
            <w:vAlign w:val="center"/>
          </w:tcPr>
          <w:p w14:paraId="7838F6DC">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t>数量</w:t>
            </w:r>
          </w:p>
        </w:tc>
        <w:tc>
          <w:tcPr>
            <w:tcW w:w="1031" w:type="pct"/>
            <w:tcBorders>
              <w:tl2br w:val="nil"/>
              <w:tr2bl w:val="nil"/>
            </w:tcBorders>
            <w:vAlign w:val="center"/>
          </w:tcPr>
          <w:p w14:paraId="2B4C0DA9">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声压级dB（A）</w:t>
            </w:r>
          </w:p>
        </w:tc>
        <w:tc>
          <w:tcPr>
            <w:tcW w:w="1487" w:type="pct"/>
            <w:tcBorders>
              <w:tl2br w:val="nil"/>
              <w:tr2bl w:val="nil"/>
            </w:tcBorders>
            <w:vAlign w:val="center"/>
          </w:tcPr>
          <w:p w14:paraId="2ED86726">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治理措施</w:t>
            </w:r>
          </w:p>
        </w:tc>
      </w:tr>
      <w:tr w14:paraId="77653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3EBAEDDD">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5B78DE38">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振动筛</w:t>
            </w:r>
          </w:p>
        </w:tc>
        <w:tc>
          <w:tcPr>
            <w:tcW w:w="867" w:type="pct"/>
            <w:tcBorders>
              <w:tl2br w:val="nil"/>
              <w:tr2bl w:val="nil"/>
            </w:tcBorders>
            <w:vAlign w:val="center"/>
          </w:tcPr>
          <w:p w14:paraId="05B27D79">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auto"/>
                <w:kern w:val="2"/>
                <w:sz w:val="21"/>
                <w:szCs w:val="21"/>
                <w:lang w:val="en-US" w:eastAsia="zh-CN" w:bidi="ar-SA"/>
              </w:rPr>
              <w:t>2台</w:t>
            </w:r>
          </w:p>
        </w:tc>
        <w:tc>
          <w:tcPr>
            <w:tcW w:w="1031" w:type="pct"/>
            <w:tcBorders>
              <w:tl2br w:val="nil"/>
              <w:tr2bl w:val="nil"/>
            </w:tcBorders>
            <w:vAlign w:val="center"/>
          </w:tcPr>
          <w:p w14:paraId="53DC8CD8">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85</w:t>
            </w:r>
          </w:p>
        </w:tc>
        <w:tc>
          <w:tcPr>
            <w:tcW w:w="1487" w:type="pct"/>
            <w:tcBorders>
              <w:tl2br w:val="nil"/>
              <w:tr2bl w:val="nil"/>
            </w:tcBorders>
            <w:vAlign w:val="center"/>
          </w:tcPr>
          <w:p w14:paraId="779D7CF2">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基础减振</w:t>
            </w:r>
          </w:p>
        </w:tc>
      </w:tr>
      <w:tr w14:paraId="75171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23FA2B7E">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2902141B">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波纹挡料皮带机</w:t>
            </w:r>
          </w:p>
        </w:tc>
        <w:tc>
          <w:tcPr>
            <w:tcW w:w="867" w:type="pct"/>
            <w:tcBorders>
              <w:tl2br w:val="nil"/>
              <w:tr2bl w:val="nil"/>
            </w:tcBorders>
            <w:vAlign w:val="center"/>
          </w:tcPr>
          <w:p w14:paraId="6E17CB04">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2"/>
                <w:sz w:val="21"/>
                <w:szCs w:val="21"/>
                <w:lang w:val="en-US" w:eastAsia="zh-CN" w:bidi="ar-SA"/>
              </w:rPr>
              <w:t>1台</w:t>
            </w:r>
          </w:p>
        </w:tc>
        <w:tc>
          <w:tcPr>
            <w:tcW w:w="1031" w:type="pct"/>
            <w:tcBorders>
              <w:tl2br w:val="nil"/>
              <w:tr2bl w:val="nil"/>
            </w:tcBorders>
            <w:vAlign w:val="center"/>
          </w:tcPr>
          <w:p w14:paraId="6443AC10">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85</w:t>
            </w:r>
          </w:p>
        </w:tc>
        <w:tc>
          <w:tcPr>
            <w:tcW w:w="1487" w:type="pct"/>
            <w:tcBorders>
              <w:tl2br w:val="nil"/>
              <w:tr2bl w:val="nil"/>
            </w:tcBorders>
            <w:vAlign w:val="center"/>
          </w:tcPr>
          <w:p w14:paraId="7654CC49">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基础减振</w:t>
            </w:r>
          </w:p>
        </w:tc>
      </w:tr>
      <w:tr w14:paraId="31A9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42BDECB0">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5E10DA02">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高频振动细筛</w:t>
            </w:r>
          </w:p>
        </w:tc>
        <w:tc>
          <w:tcPr>
            <w:tcW w:w="867" w:type="pct"/>
            <w:tcBorders>
              <w:tl2br w:val="nil"/>
              <w:tr2bl w:val="nil"/>
            </w:tcBorders>
            <w:vAlign w:val="center"/>
          </w:tcPr>
          <w:p w14:paraId="392523B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25台</w:t>
            </w:r>
          </w:p>
        </w:tc>
        <w:tc>
          <w:tcPr>
            <w:tcW w:w="1031" w:type="pct"/>
            <w:tcBorders>
              <w:tl2br w:val="nil"/>
              <w:tr2bl w:val="nil"/>
            </w:tcBorders>
            <w:vAlign w:val="center"/>
          </w:tcPr>
          <w:p w14:paraId="3ECCED5C">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85</w:t>
            </w:r>
          </w:p>
        </w:tc>
        <w:tc>
          <w:tcPr>
            <w:tcW w:w="1487" w:type="pct"/>
            <w:tcBorders>
              <w:tl2br w:val="nil"/>
              <w:tr2bl w:val="nil"/>
            </w:tcBorders>
            <w:vAlign w:val="center"/>
          </w:tcPr>
          <w:p w14:paraId="4FFA799A">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基础减振</w:t>
            </w:r>
          </w:p>
        </w:tc>
      </w:tr>
      <w:tr w14:paraId="35DB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6F8E5706">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0586635A">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永磁脱水磁选机</w:t>
            </w:r>
          </w:p>
        </w:tc>
        <w:tc>
          <w:tcPr>
            <w:tcW w:w="867" w:type="pct"/>
            <w:tcBorders>
              <w:tl2br w:val="nil"/>
              <w:tr2bl w:val="nil"/>
            </w:tcBorders>
            <w:vAlign w:val="center"/>
          </w:tcPr>
          <w:p w14:paraId="1148BAD1">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2"/>
                <w:sz w:val="21"/>
                <w:szCs w:val="21"/>
                <w:lang w:val="en-US" w:eastAsia="zh-CN" w:bidi="ar-SA"/>
              </w:rPr>
              <w:t>3台</w:t>
            </w:r>
          </w:p>
        </w:tc>
        <w:tc>
          <w:tcPr>
            <w:tcW w:w="1031" w:type="pct"/>
            <w:tcBorders>
              <w:tl2br w:val="nil"/>
              <w:tr2bl w:val="nil"/>
            </w:tcBorders>
            <w:vAlign w:val="center"/>
          </w:tcPr>
          <w:p w14:paraId="44BFADE4">
            <w:pPr>
              <w:widowControl w:val="0"/>
              <w:spacing w:line="240" w:lineRule="auto"/>
              <w:ind w:firstLine="0" w:firstLineChars="0"/>
              <w:jc w:val="center"/>
              <w:rPr>
                <w:rFonts w:hint="default"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90</w:t>
            </w:r>
          </w:p>
        </w:tc>
        <w:tc>
          <w:tcPr>
            <w:tcW w:w="1487" w:type="pct"/>
            <w:tcBorders>
              <w:tl2br w:val="nil"/>
              <w:tr2bl w:val="nil"/>
            </w:tcBorders>
            <w:vAlign w:val="center"/>
          </w:tcPr>
          <w:p w14:paraId="6EC02104">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基础减振</w:t>
            </w:r>
          </w:p>
        </w:tc>
      </w:tr>
      <w:tr w14:paraId="6ABE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4AC4228A">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21C6F3E3">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永磁磁选机</w:t>
            </w:r>
          </w:p>
        </w:tc>
        <w:tc>
          <w:tcPr>
            <w:tcW w:w="867" w:type="pct"/>
            <w:tcBorders>
              <w:tl2br w:val="nil"/>
              <w:tr2bl w:val="nil"/>
            </w:tcBorders>
            <w:vAlign w:val="center"/>
          </w:tcPr>
          <w:p w14:paraId="0E6EB817">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2"/>
                <w:sz w:val="21"/>
                <w:szCs w:val="21"/>
                <w:lang w:val="en-US" w:eastAsia="zh-CN" w:bidi="ar-SA"/>
              </w:rPr>
              <w:t>6台</w:t>
            </w:r>
          </w:p>
        </w:tc>
        <w:tc>
          <w:tcPr>
            <w:tcW w:w="1031" w:type="pct"/>
            <w:tcBorders>
              <w:tl2br w:val="nil"/>
              <w:tr2bl w:val="nil"/>
            </w:tcBorders>
            <w:vAlign w:val="center"/>
          </w:tcPr>
          <w:p w14:paraId="0D39860E">
            <w:pPr>
              <w:widowControl w:val="0"/>
              <w:spacing w:line="240" w:lineRule="auto"/>
              <w:ind w:firstLine="0" w:firstLineChars="0"/>
              <w:jc w:val="center"/>
              <w:rPr>
                <w:rFonts w:hint="default"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90</w:t>
            </w:r>
          </w:p>
        </w:tc>
        <w:tc>
          <w:tcPr>
            <w:tcW w:w="1487" w:type="pct"/>
            <w:tcBorders>
              <w:tl2br w:val="nil"/>
              <w:tr2bl w:val="nil"/>
            </w:tcBorders>
            <w:vAlign w:val="center"/>
          </w:tcPr>
          <w:p w14:paraId="150A53C6">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进出风口软连接</w:t>
            </w:r>
          </w:p>
        </w:tc>
      </w:tr>
      <w:tr w14:paraId="1591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4B2B12AA">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20F467F3">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溢流型球磨机</w:t>
            </w:r>
          </w:p>
        </w:tc>
        <w:tc>
          <w:tcPr>
            <w:tcW w:w="867" w:type="pct"/>
            <w:tcBorders>
              <w:tl2br w:val="nil"/>
              <w:tr2bl w:val="nil"/>
            </w:tcBorders>
            <w:vAlign w:val="center"/>
          </w:tcPr>
          <w:p w14:paraId="3316643B">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1台</w:t>
            </w:r>
          </w:p>
        </w:tc>
        <w:tc>
          <w:tcPr>
            <w:tcW w:w="1031" w:type="pct"/>
            <w:tcBorders>
              <w:tl2br w:val="nil"/>
              <w:tr2bl w:val="nil"/>
            </w:tcBorders>
            <w:vAlign w:val="center"/>
          </w:tcPr>
          <w:p w14:paraId="2366443A">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95</w:t>
            </w:r>
          </w:p>
        </w:tc>
        <w:tc>
          <w:tcPr>
            <w:tcW w:w="1487" w:type="pct"/>
            <w:tcBorders>
              <w:tl2br w:val="nil"/>
              <w:tr2bl w:val="nil"/>
            </w:tcBorders>
            <w:vAlign w:val="center"/>
          </w:tcPr>
          <w:p w14:paraId="6A2C937C">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r w14:paraId="45FA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3441F750">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14948C50">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槽式给矿机</w:t>
            </w:r>
          </w:p>
        </w:tc>
        <w:tc>
          <w:tcPr>
            <w:tcW w:w="867" w:type="pct"/>
            <w:tcBorders>
              <w:tl2br w:val="nil"/>
              <w:tr2bl w:val="nil"/>
            </w:tcBorders>
            <w:vAlign w:val="center"/>
          </w:tcPr>
          <w:p w14:paraId="4CABB216">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2台</w:t>
            </w:r>
          </w:p>
        </w:tc>
        <w:tc>
          <w:tcPr>
            <w:tcW w:w="1031" w:type="pct"/>
            <w:tcBorders>
              <w:tl2br w:val="nil"/>
              <w:tr2bl w:val="nil"/>
            </w:tcBorders>
            <w:vAlign w:val="center"/>
          </w:tcPr>
          <w:p w14:paraId="5D3B0857">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90</w:t>
            </w:r>
          </w:p>
        </w:tc>
        <w:tc>
          <w:tcPr>
            <w:tcW w:w="1487" w:type="pct"/>
            <w:tcBorders>
              <w:tl2br w:val="nil"/>
              <w:tr2bl w:val="nil"/>
            </w:tcBorders>
            <w:vAlign w:val="center"/>
          </w:tcPr>
          <w:p w14:paraId="53C56062">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r w14:paraId="644B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17AB522F">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3CAF849B">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箱式压滤机</w:t>
            </w:r>
          </w:p>
        </w:tc>
        <w:tc>
          <w:tcPr>
            <w:tcW w:w="867" w:type="pct"/>
            <w:tcBorders>
              <w:tl2br w:val="nil"/>
              <w:tr2bl w:val="nil"/>
            </w:tcBorders>
            <w:vAlign w:val="center"/>
          </w:tcPr>
          <w:p w14:paraId="5D9D2F16">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1台</w:t>
            </w:r>
          </w:p>
        </w:tc>
        <w:tc>
          <w:tcPr>
            <w:tcW w:w="1031" w:type="pct"/>
            <w:tcBorders>
              <w:tl2br w:val="nil"/>
              <w:tr2bl w:val="nil"/>
            </w:tcBorders>
            <w:vAlign w:val="center"/>
          </w:tcPr>
          <w:p w14:paraId="40634803">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85</w:t>
            </w:r>
          </w:p>
        </w:tc>
        <w:tc>
          <w:tcPr>
            <w:tcW w:w="1487" w:type="pct"/>
            <w:tcBorders>
              <w:tl2br w:val="nil"/>
              <w:tr2bl w:val="nil"/>
            </w:tcBorders>
            <w:vAlign w:val="center"/>
          </w:tcPr>
          <w:p w14:paraId="17015CD4">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r w14:paraId="18B13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353DBF8F">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55A681D4">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离心泵</w:t>
            </w:r>
          </w:p>
        </w:tc>
        <w:tc>
          <w:tcPr>
            <w:tcW w:w="867" w:type="pct"/>
            <w:tcBorders>
              <w:tl2br w:val="nil"/>
              <w:tr2bl w:val="nil"/>
            </w:tcBorders>
            <w:vAlign w:val="center"/>
          </w:tcPr>
          <w:p w14:paraId="5D06A39A">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2台</w:t>
            </w:r>
          </w:p>
        </w:tc>
        <w:tc>
          <w:tcPr>
            <w:tcW w:w="1031" w:type="pct"/>
            <w:tcBorders>
              <w:tl2br w:val="nil"/>
              <w:tr2bl w:val="nil"/>
            </w:tcBorders>
            <w:vAlign w:val="center"/>
          </w:tcPr>
          <w:p w14:paraId="6042E07E">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80</w:t>
            </w:r>
          </w:p>
        </w:tc>
        <w:tc>
          <w:tcPr>
            <w:tcW w:w="1487" w:type="pct"/>
            <w:tcBorders>
              <w:tl2br w:val="nil"/>
              <w:tr2bl w:val="nil"/>
            </w:tcBorders>
            <w:vAlign w:val="center"/>
          </w:tcPr>
          <w:p w14:paraId="0E0DB317">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r w14:paraId="43AC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353B7232">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267BA6FC">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渣浆泵</w:t>
            </w:r>
          </w:p>
        </w:tc>
        <w:tc>
          <w:tcPr>
            <w:tcW w:w="867" w:type="pct"/>
            <w:tcBorders>
              <w:tl2br w:val="nil"/>
              <w:tr2bl w:val="nil"/>
            </w:tcBorders>
            <w:vAlign w:val="center"/>
          </w:tcPr>
          <w:p w14:paraId="2D0AA158">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3台</w:t>
            </w:r>
          </w:p>
        </w:tc>
        <w:tc>
          <w:tcPr>
            <w:tcW w:w="1031" w:type="pct"/>
            <w:tcBorders>
              <w:tl2br w:val="nil"/>
              <w:tr2bl w:val="nil"/>
            </w:tcBorders>
            <w:vAlign w:val="center"/>
          </w:tcPr>
          <w:p w14:paraId="261FAFCA">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80</w:t>
            </w:r>
          </w:p>
        </w:tc>
        <w:tc>
          <w:tcPr>
            <w:tcW w:w="1487" w:type="pct"/>
            <w:tcBorders>
              <w:tl2br w:val="nil"/>
              <w:tr2bl w:val="nil"/>
            </w:tcBorders>
            <w:vAlign w:val="center"/>
          </w:tcPr>
          <w:p w14:paraId="79D5E18A">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r w14:paraId="7060B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6849F78A">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6557E9DB">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装载机</w:t>
            </w:r>
          </w:p>
        </w:tc>
        <w:tc>
          <w:tcPr>
            <w:tcW w:w="867" w:type="pct"/>
            <w:tcBorders>
              <w:tl2br w:val="nil"/>
              <w:tr2bl w:val="nil"/>
            </w:tcBorders>
            <w:vAlign w:val="center"/>
          </w:tcPr>
          <w:p w14:paraId="76D33151">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1台</w:t>
            </w:r>
          </w:p>
        </w:tc>
        <w:tc>
          <w:tcPr>
            <w:tcW w:w="1031" w:type="pct"/>
            <w:tcBorders>
              <w:tl2br w:val="nil"/>
              <w:tr2bl w:val="nil"/>
            </w:tcBorders>
            <w:vAlign w:val="center"/>
          </w:tcPr>
          <w:p w14:paraId="747D9FE9">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85</w:t>
            </w:r>
          </w:p>
        </w:tc>
        <w:tc>
          <w:tcPr>
            <w:tcW w:w="1487" w:type="pct"/>
            <w:tcBorders>
              <w:tl2br w:val="nil"/>
              <w:tr2bl w:val="nil"/>
            </w:tcBorders>
            <w:vAlign w:val="center"/>
          </w:tcPr>
          <w:p w14:paraId="4F0635AC">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r w14:paraId="7166E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1" w:type="pct"/>
            <w:tcBorders>
              <w:tl2br w:val="nil"/>
              <w:tr2bl w:val="nil"/>
            </w:tcBorders>
            <w:vAlign w:val="center"/>
          </w:tcPr>
          <w:p w14:paraId="10081415">
            <w:pPr>
              <w:widowControl w:val="0"/>
              <w:numPr>
                <w:ilvl w:val="0"/>
                <w:numId w:val="6"/>
              </w:numPr>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p>
        </w:tc>
        <w:tc>
          <w:tcPr>
            <w:tcW w:w="1202" w:type="pct"/>
            <w:tcBorders>
              <w:tl2br w:val="nil"/>
              <w:tr2bl w:val="nil"/>
            </w:tcBorders>
            <w:vAlign w:val="center"/>
          </w:tcPr>
          <w:p w14:paraId="0F79917F">
            <w:pPr>
              <w:keepNext w:val="0"/>
              <w:keepLines w:val="0"/>
              <w:pageBreakBefore w:val="0"/>
              <w:widowControl/>
              <w:kinsoku/>
              <w:wordWrap/>
              <w:overflowPunct/>
              <w:topLinePunct w:val="0"/>
              <w:autoSpaceDE/>
              <w:autoSpaceDN/>
              <w:bidi w:val="0"/>
              <w:adjustRightInd/>
              <w:snapToGrid/>
              <w:spacing w:line="240" w:lineRule="auto"/>
              <w:jc w:val="center"/>
              <w:textAlignment w:val="bottom"/>
              <w:rPr>
                <w:rFonts w:hint="eastAsia"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ascii="Times New Roman" w:hAnsi="Times New Roman"/>
                <w:color w:val="auto"/>
                <w:kern w:val="0"/>
                <w:sz w:val="21"/>
                <w:szCs w:val="21"/>
                <w:lang w:val="en-US" w:eastAsia="zh-CN" w:bidi="ar-SA"/>
              </w:rPr>
              <w:t>翻斗车</w:t>
            </w:r>
          </w:p>
        </w:tc>
        <w:tc>
          <w:tcPr>
            <w:tcW w:w="867" w:type="pct"/>
            <w:tcBorders>
              <w:tl2br w:val="nil"/>
              <w:tr2bl w:val="nil"/>
            </w:tcBorders>
            <w:vAlign w:val="center"/>
          </w:tcPr>
          <w:p w14:paraId="266261EF">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1台</w:t>
            </w:r>
          </w:p>
        </w:tc>
        <w:tc>
          <w:tcPr>
            <w:tcW w:w="1031" w:type="pct"/>
            <w:tcBorders>
              <w:tl2br w:val="nil"/>
              <w:tr2bl w:val="nil"/>
            </w:tcBorders>
            <w:vAlign w:val="center"/>
          </w:tcPr>
          <w:p w14:paraId="2D1FC0F5">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eastAsia" w:cs="Times New Roman"/>
                <w:b w:val="0"/>
                <w:color w:val="000000" w:themeColor="text1"/>
                <w:kern w:val="2"/>
                <w:sz w:val="21"/>
                <w:szCs w:val="21"/>
                <w:lang w:val="en-US" w:eastAsia="zh-CN" w:bidi="ar-SA"/>
                <w14:textFill>
                  <w14:solidFill>
                    <w14:schemeClr w14:val="tx1"/>
                  </w14:solidFill>
                </w14:textFill>
              </w:rPr>
              <w:t>90</w:t>
            </w:r>
          </w:p>
        </w:tc>
        <w:tc>
          <w:tcPr>
            <w:tcW w:w="1487" w:type="pct"/>
            <w:tcBorders>
              <w:tl2br w:val="nil"/>
              <w:tr2bl w:val="nil"/>
            </w:tcBorders>
            <w:vAlign w:val="center"/>
          </w:tcPr>
          <w:p w14:paraId="7FC29BB1">
            <w:pPr>
              <w:widowControl w:val="0"/>
              <w:spacing w:line="240" w:lineRule="auto"/>
              <w:ind w:firstLine="0" w:firstLineChars="0"/>
              <w:jc w:val="cente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 w:val="0"/>
                <w:color w:val="000000" w:themeColor="text1"/>
                <w:kern w:val="2"/>
                <w:sz w:val="21"/>
                <w:szCs w:val="21"/>
                <w:lang w:val="en-US" w:eastAsia="zh-CN" w:bidi="ar-SA"/>
                <w14:textFill>
                  <w14:solidFill>
                    <w14:schemeClr w14:val="tx1"/>
                  </w14:solidFill>
                </w14:textFill>
              </w:rPr>
              <w:t>封闭车间、基础减振</w:t>
            </w:r>
          </w:p>
        </w:tc>
      </w:tr>
    </w:tbl>
    <w:p w14:paraId="60706906">
      <w:pPr>
        <w:widowControl/>
        <w:spacing w:line="360" w:lineRule="auto"/>
        <w:ind w:firstLine="480" w:firstLineChars="200"/>
        <w:rPr>
          <w:rFonts w:hint="eastAsia" w:hAnsi="宋体"/>
          <w:bCs/>
          <w:color w:val="auto"/>
          <w:sz w:val="24"/>
        </w:rPr>
      </w:pPr>
      <w:r>
        <w:rPr>
          <w:rFonts w:hint="eastAsia" w:hAnsi="宋体"/>
          <w:bCs/>
          <w:color w:val="auto"/>
          <w:sz w:val="24"/>
          <w:lang w:val="en-US" w:eastAsia="zh-CN"/>
        </w:rPr>
        <w:t>现有项目采取消声减振、距离衰减等措施，可有效降低噪声排放强度，现有项目验收期间对厂界噪声进行了实测，</w:t>
      </w:r>
      <w:r>
        <w:rPr>
          <w:rFonts w:hint="eastAsia" w:hAnsi="宋体"/>
          <w:bCs/>
          <w:color w:val="auto"/>
          <w:sz w:val="24"/>
        </w:rPr>
        <w:t>监测结果</w:t>
      </w:r>
      <w:r>
        <w:rPr>
          <w:rFonts w:hint="eastAsia" w:hAnsi="宋体"/>
          <w:bCs/>
          <w:color w:val="auto"/>
          <w:sz w:val="24"/>
          <w:lang w:val="en-US" w:eastAsia="zh-CN"/>
        </w:rPr>
        <w:t>如下</w:t>
      </w:r>
      <w:r>
        <w:rPr>
          <w:rFonts w:hint="eastAsia" w:hAnsi="宋体"/>
          <w:bCs/>
          <w:color w:val="auto"/>
          <w:sz w:val="24"/>
        </w:rPr>
        <w:t>。</w:t>
      </w:r>
    </w:p>
    <w:p w14:paraId="65E56C42">
      <w:pPr>
        <w:spacing w:line="360" w:lineRule="auto"/>
        <w:ind w:firstLine="482" w:firstLineChars="200"/>
        <w:jc w:val="center"/>
        <w:rPr>
          <w:b/>
          <w:bCs/>
          <w:color w:val="000000"/>
          <w:sz w:val="24"/>
          <w:szCs w:val="24"/>
        </w:rPr>
      </w:pPr>
      <w:r>
        <w:rPr>
          <w:rFonts w:hint="eastAsia"/>
          <w:b/>
          <w:color w:val="000000"/>
          <w:sz w:val="24"/>
          <w:szCs w:val="24"/>
          <w:lang w:val="en-US" w:eastAsia="zh-CN"/>
        </w:rPr>
        <w:t xml:space="preserve"> </w:t>
      </w:r>
      <w:r>
        <w:rPr>
          <w:b/>
          <w:color w:val="000000"/>
          <w:sz w:val="24"/>
          <w:szCs w:val="24"/>
        </w:rPr>
        <w:t>表</w:t>
      </w:r>
      <w:r>
        <w:rPr>
          <w:rFonts w:hint="eastAsia"/>
          <w:b/>
          <w:color w:val="000000"/>
          <w:sz w:val="24"/>
          <w:szCs w:val="24"/>
          <w:lang w:val="en-US" w:eastAsia="zh-CN"/>
        </w:rPr>
        <w:t>3.1-10</w:t>
      </w:r>
      <w:r>
        <w:rPr>
          <w:b/>
          <w:color w:val="000000"/>
          <w:sz w:val="24"/>
          <w:szCs w:val="24"/>
        </w:rPr>
        <w:t xml:space="preserve"> </w:t>
      </w:r>
      <w:r>
        <w:rPr>
          <w:rFonts w:hint="eastAsia"/>
          <w:b/>
          <w:color w:val="000000"/>
          <w:sz w:val="24"/>
          <w:szCs w:val="24"/>
          <w:lang w:val="en-US" w:eastAsia="zh-CN"/>
        </w:rPr>
        <w:t xml:space="preserve">         </w:t>
      </w:r>
      <w:r>
        <w:rPr>
          <w:rFonts w:hint="eastAsia"/>
          <w:b/>
          <w:color w:val="000000"/>
          <w:sz w:val="24"/>
          <w:szCs w:val="24"/>
        </w:rPr>
        <w:t>厂界</w:t>
      </w:r>
      <w:r>
        <w:rPr>
          <w:b/>
          <w:color w:val="000000"/>
          <w:sz w:val="24"/>
          <w:szCs w:val="24"/>
        </w:rPr>
        <w:t xml:space="preserve">噪声监测结果  </w:t>
      </w:r>
      <w:r>
        <w:rPr>
          <w:rFonts w:hint="eastAsia"/>
          <w:b/>
          <w:color w:val="000000"/>
          <w:sz w:val="24"/>
          <w:szCs w:val="24"/>
          <w:lang w:val="en-US" w:eastAsia="zh-CN"/>
        </w:rPr>
        <w:t xml:space="preserve">            </w:t>
      </w:r>
      <w:r>
        <w:rPr>
          <w:b/>
          <w:color w:val="000000"/>
          <w:sz w:val="24"/>
          <w:szCs w:val="24"/>
        </w:rPr>
        <w:t xml:space="preserve"> </w:t>
      </w:r>
      <w:r>
        <w:rPr>
          <w:b/>
          <w:bCs/>
          <w:color w:val="000000"/>
          <w:sz w:val="24"/>
          <w:szCs w:val="24"/>
        </w:rPr>
        <w:t>单位：dB(A)</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644"/>
        <w:gridCol w:w="863"/>
        <w:gridCol w:w="865"/>
        <w:gridCol w:w="863"/>
        <w:gridCol w:w="865"/>
        <w:gridCol w:w="863"/>
        <w:gridCol w:w="866"/>
        <w:gridCol w:w="864"/>
        <w:gridCol w:w="866"/>
      </w:tblGrid>
      <w:tr w14:paraId="5B5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664" w:type="pct"/>
            <w:vMerge w:val="restart"/>
            <w:tcBorders>
              <w:tl2br w:val="nil"/>
              <w:tr2bl w:val="nil"/>
            </w:tcBorders>
            <w:noWrap w:val="0"/>
            <w:vAlign w:val="center"/>
          </w:tcPr>
          <w:p w14:paraId="63AD6D5F">
            <w:pPr>
              <w:spacing w:line="300" w:lineRule="exact"/>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rPr>
              <mc:AlternateContent>
                <mc:Choice Requires="wps">
                  <w:drawing>
                    <wp:anchor distT="0" distB="0" distL="114300" distR="114300" simplePos="0" relativeHeight="251675648" behindDoc="0" locked="0" layoutInCell="1" allowOverlap="1">
                      <wp:simplePos x="0" y="0"/>
                      <wp:positionH relativeFrom="column">
                        <wp:posOffset>220980</wp:posOffset>
                      </wp:positionH>
                      <wp:positionV relativeFrom="paragraph">
                        <wp:posOffset>23495</wp:posOffset>
                      </wp:positionV>
                      <wp:extent cx="479425" cy="26606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79425" cy="266065"/>
                              </a:xfrm>
                              <a:prstGeom prst="rect">
                                <a:avLst/>
                              </a:prstGeom>
                              <a:noFill/>
                              <a:ln>
                                <a:noFill/>
                              </a:ln>
                            </wps:spPr>
                            <wps:txbx>
                              <w:txbxContent>
                                <w:p w14:paraId="269D4E50">
                                  <w:pPr>
                                    <w:rPr>
                                      <w:rFonts w:hint="eastAsia"/>
                                      <w:b w:val="0"/>
                                      <w:bCs w:val="0"/>
                                      <w:lang w:eastAsia="zh-CN"/>
                                    </w:rPr>
                                  </w:pPr>
                                  <w:r>
                                    <w:rPr>
                                      <w:rFonts w:hint="eastAsia"/>
                                      <w:b w:val="0"/>
                                      <w:bCs w:val="0"/>
                                      <w:lang w:eastAsia="zh-CN"/>
                                    </w:rPr>
                                    <w:t>点位</w:t>
                                  </w:r>
                                </w:p>
                              </w:txbxContent>
                            </wps:txbx>
                            <wps:bodyPr upright="1"/>
                          </wps:wsp>
                        </a:graphicData>
                      </a:graphic>
                    </wp:anchor>
                  </w:drawing>
                </mc:Choice>
                <mc:Fallback>
                  <w:pict>
                    <v:shape id="_x0000_s1026" o:spid="_x0000_s1026" o:spt="202" type="#_x0000_t202" style="position:absolute;left:0pt;margin-left:17.4pt;margin-top:1.85pt;height:20.95pt;width:37.75pt;z-index:251675648;mso-width-relative:page;mso-height-relative:page;" filled="f" stroked="f" coordsize="21600,21600" o:gfxdata="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NQCJtQAAAAH&#10;AQAADwAAAAAAAAABACAAAAAiAAAAZHJzL2Rvd25yZXYueG1sUEsBAhQAFAAAAAgAh07iQEBg5huu&#10;AQAATwMAAA4AAAAAAAAAAQAgAAAAIwEAAGRycy9lMm9Eb2MueG1sUEsFBgAAAAAGAAYAWQEAAEMF&#10;AAAAAA==&#10;">
                      <v:fill on="f" focussize="0,0"/>
                      <v:stroke on="f"/>
                      <v:imagedata o:title=""/>
                      <o:lock v:ext="edit" aspectratio="f"/>
                      <v:textbox>
                        <w:txbxContent>
                          <w:p w14:paraId="269D4E50">
                            <w:pPr>
                              <w:rPr>
                                <w:rFonts w:hint="eastAsia"/>
                                <w:b w:val="0"/>
                                <w:bCs w:val="0"/>
                                <w:lang w:eastAsia="zh-CN"/>
                              </w:rPr>
                            </w:pPr>
                            <w:r>
                              <w:rPr>
                                <w:rFonts w:hint="eastAsia"/>
                                <w:b w:val="0"/>
                                <w:bCs w:val="0"/>
                                <w:lang w:eastAsia="zh-CN"/>
                              </w:rPr>
                              <w:t>点位</w:t>
                            </w:r>
                          </w:p>
                        </w:txbxContent>
                      </v:textbox>
                    </v:shape>
                  </w:pict>
                </mc:Fallback>
              </mc:AlternateContent>
            </w:r>
            <w:r>
              <w:rPr>
                <w:rFonts w:hint="default" w:ascii="Times New Roman" w:hAnsi="Times New Roman" w:eastAsia="宋体" w:cs="Times New Roman"/>
                <w:b w:val="0"/>
                <w:bCs w:val="0"/>
                <w:color w:val="000000"/>
                <w:sz w:val="21"/>
                <w:szCs w:val="21"/>
              </w:rPr>
              <mc:AlternateContent>
                <mc:Choice Requires="wps">
                  <w:drawing>
                    <wp:anchor distT="0" distB="0" distL="114300" distR="114300" simplePos="0" relativeHeight="251673600" behindDoc="0" locked="0" layoutInCell="1" allowOverlap="1">
                      <wp:simplePos x="0" y="0"/>
                      <wp:positionH relativeFrom="column">
                        <wp:posOffset>-67310</wp:posOffset>
                      </wp:positionH>
                      <wp:positionV relativeFrom="paragraph">
                        <wp:posOffset>0</wp:posOffset>
                      </wp:positionV>
                      <wp:extent cx="729615" cy="597535"/>
                      <wp:effectExtent l="3175" t="3810" r="10160" b="8255"/>
                      <wp:wrapNone/>
                      <wp:docPr id="27" name="直接箭头连接符 27"/>
                      <wp:cNvGraphicFramePr/>
                      <a:graphic xmlns:a="http://schemas.openxmlformats.org/drawingml/2006/main">
                        <a:graphicData uri="http://schemas.microsoft.com/office/word/2010/wordprocessingShape">
                          <wps:wsp>
                            <wps:cNvCnPr/>
                            <wps:spPr>
                              <a:xfrm>
                                <a:off x="0" y="0"/>
                                <a:ext cx="729615" cy="597535"/>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w:pict>
                    <v:shape id="_x0000_s1026" o:spid="_x0000_s1026" o:spt="32" type="#_x0000_t32" style="position:absolute;left:0pt;margin-left:-5.3pt;margin-top:0pt;height:47.05pt;width:57.45pt;z-index:251673600;mso-width-relative:page;mso-height-relative:page;" filled="f" stroked="t" coordsize="21600,21600" o:gfxdata="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fEeGNYAAAAHAQAADwAAAAAAAAABACAAAAAiAAAAZHJz&#10;L2Rvd25yZXYueG1sUEsBAhQAFAAAAAgAh07iQFcWM+4GAgAA/AMAAA4AAAAAAAAAAQAgAAAAJQEA&#10;AGRycy9lMm9Eb2MueG1sUEsFBgAAAAAGAAYAWQEAAJ0FAAAAAA==&#10;">
                      <v:fill on="f" focussize="0,0"/>
                      <v:stroke color="#000000" joinstyle="round"/>
                      <v:imagedata o:title=""/>
                      <o:lock v:ext="edit" aspectratio="f"/>
                    </v:shape>
                  </w:pict>
                </mc:Fallback>
              </mc:AlternateContent>
            </w:r>
            <w:r>
              <w:rPr>
                <w:rFonts w:hint="default" w:ascii="Times New Roman" w:hAnsi="Times New Roman" w:eastAsia="宋体" w:cs="Times New Roman"/>
                <w:b w:val="0"/>
                <w:bCs w:val="0"/>
                <w:color w:val="000000"/>
                <w:sz w:val="21"/>
                <w:szCs w:val="21"/>
                <w:highlight w:val="none"/>
                <w:lang w:val="en-US" w:eastAsia="zh-CN"/>
              </w:rPr>
              <w:t xml:space="preserve"> </w:t>
            </w:r>
          </w:p>
          <w:p w14:paraId="4C33A35A">
            <w:pPr>
              <w:ind w:firstLine="210" w:firstLineChars="100"/>
              <w:rPr>
                <w:rFonts w:hint="default" w:ascii="Times New Roman" w:hAnsi="Times New Roman" w:eastAsia="宋体" w:cs="Times New Roman"/>
                <w:b w:val="0"/>
                <w:bCs w:val="0"/>
                <w:color w:val="000000"/>
                <w:sz w:val="21"/>
                <w:szCs w:val="21"/>
                <w:lang w:eastAsia="zh-CN"/>
              </w:rPr>
            </w:pPr>
            <w:r>
              <w:rPr>
                <w:rFonts w:hint="default" w:ascii="Times New Roman" w:hAnsi="Times New Roman" w:eastAsia="宋体" w:cs="Times New Roman"/>
                <w:b w:val="0"/>
                <w:bCs w:val="0"/>
                <w:color w:val="000000"/>
                <w:sz w:val="21"/>
                <w:szCs w:val="21"/>
              </w:rPr>
              <mc:AlternateContent>
                <mc:Choice Requires="wps">
                  <w:drawing>
                    <wp:anchor distT="0" distB="0" distL="114300" distR="114300" simplePos="0" relativeHeight="251674624" behindDoc="0" locked="0" layoutInCell="1" allowOverlap="1">
                      <wp:simplePos x="0" y="0"/>
                      <wp:positionH relativeFrom="column">
                        <wp:posOffset>-26670</wp:posOffset>
                      </wp:positionH>
                      <wp:positionV relativeFrom="paragraph">
                        <wp:posOffset>135255</wp:posOffset>
                      </wp:positionV>
                      <wp:extent cx="523875" cy="28829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23875" cy="288290"/>
                              </a:xfrm>
                              <a:prstGeom prst="rect">
                                <a:avLst/>
                              </a:prstGeom>
                              <a:noFill/>
                              <a:ln w="9525">
                                <a:noFill/>
                              </a:ln>
                              <a:effectLst/>
                            </wps:spPr>
                            <wps:txbx>
                              <w:txbxContent>
                                <w:p w14:paraId="39C3DE8B">
                                  <w:pPr>
                                    <w:rPr>
                                      <w:rFonts w:hint="eastAsia" w:ascii="楷体" w:hAnsi="楷体" w:eastAsia="楷体" w:cs="楷体"/>
                                      <w:b w:val="0"/>
                                      <w:bCs w:val="0"/>
                                      <w:sz w:val="24"/>
                                      <w:szCs w:val="24"/>
                                      <w:lang w:eastAsia="zh-CN"/>
                                    </w:rPr>
                                  </w:pPr>
                                  <w:r>
                                    <w:rPr>
                                      <w:rFonts w:hint="eastAsia" w:ascii="宋体" w:hAnsi="宋体" w:eastAsia="宋体" w:cs="宋体"/>
                                      <w:b w:val="0"/>
                                      <w:bCs w:val="0"/>
                                      <w:sz w:val="21"/>
                                      <w:szCs w:val="21"/>
                                      <w:lang w:eastAsia="zh-CN"/>
                                    </w:rPr>
                                    <w:t>日期</w:t>
                                  </w:r>
                                </w:p>
                              </w:txbxContent>
                            </wps:txbx>
                            <wps:bodyPr upright="1"/>
                          </wps:wsp>
                        </a:graphicData>
                      </a:graphic>
                    </wp:anchor>
                  </w:drawing>
                </mc:Choice>
                <mc:Fallback>
                  <w:pict>
                    <v:shape id="_x0000_s1026" o:spid="_x0000_s1026" o:spt="202" type="#_x0000_t202" style="position:absolute;left:0pt;margin-left:-2.1pt;margin-top:10.65pt;height:22.7pt;width:41.25pt;z-index:251674624;mso-width-relative:page;mso-height-relative:page;" filled="f" stroked="f" coordsize="21600,21600" o:gfxdata="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6mzvp1QAAAAcBAAAPAAAAAAAAAAEAIAAAACIAAABkcnMvZG93bnJldi54bWxQSwECFAAU&#10;AAAACACHTuJAtF9yrrsBAABmAwAADgAAAAAAAAABACAAAAAkAQAAZHJzL2Uyb0RvYy54bWxQSwUG&#10;AAAAAAYABgBZAQAAUQUAAAAA&#10;">
                      <v:fill on="f" focussize="0,0"/>
                      <v:stroke on="f"/>
                      <v:imagedata o:title=""/>
                      <o:lock v:ext="edit" aspectratio="f"/>
                      <v:textbox>
                        <w:txbxContent>
                          <w:p w14:paraId="39C3DE8B">
                            <w:pPr>
                              <w:rPr>
                                <w:rFonts w:hint="eastAsia" w:ascii="楷体" w:hAnsi="楷体" w:eastAsia="楷体" w:cs="楷体"/>
                                <w:b w:val="0"/>
                                <w:bCs w:val="0"/>
                                <w:sz w:val="24"/>
                                <w:szCs w:val="24"/>
                                <w:lang w:eastAsia="zh-CN"/>
                              </w:rPr>
                            </w:pPr>
                            <w:r>
                              <w:rPr>
                                <w:rFonts w:hint="eastAsia" w:ascii="宋体" w:hAnsi="宋体" w:eastAsia="宋体" w:cs="宋体"/>
                                <w:b w:val="0"/>
                                <w:bCs w:val="0"/>
                                <w:sz w:val="21"/>
                                <w:szCs w:val="21"/>
                                <w:lang w:eastAsia="zh-CN"/>
                              </w:rPr>
                              <w:t>日期</w:t>
                            </w:r>
                          </w:p>
                        </w:txbxContent>
                      </v:textbox>
                    </v:shape>
                  </w:pict>
                </mc:Fallback>
              </mc:AlternateContent>
            </w:r>
          </w:p>
          <w:p w14:paraId="5192AC98">
            <w:pPr>
              <w:spacing w:line="300" w:lineRule="exact"/>
              <w:rPr>
                <w:rFonts w:hint="default" w:ascii="Times New Roman" w:hAnsi="Times New Roman" w:eastAsia="宋体" w:cs="Times New Roman"/>
                <w:b w:val="0"/>
                <w:bCs w:val="0"/>
                <w:color w:val="000000"/>
                <w:sz w:val="21"/>
                <w:szCs w:val="21"/>
                <w:highlight w:val="none"/>
              </w:rPr>
            </w:pPr>
          </w:p>
        </w:tc>
        <w:tc>
          <w:tcPr>
            <w:tcW w:w="369" w:type="pct"/>
            <w:vMerge w:val="restart"/>
            <w:tcBorders>
              <w:tl2br w:val="nil"/>
              <w:tr2bl w:val="nil"/>
            </w:tcBorders>
            <w:noWrap w:val="0"/>
            <w:vAlign w:val="center"/>
          </w:tcPr>
          <w:p w14:paraId="4461C9E1">
            <w:pPr>
              <w:spacing w:line="300" w:lineRule="exact"/>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eastAsia="zh-CN"/>
              </w:rPr>
              <w:t>检测</w:t>
            </w:r>
          </w:p>
          <w:p w14:paraId="5123DC48">
            <w:pPr>
              <w:spacing w:line="300" w:lineRule="exac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lang w:eastAsia="zh-CN"/>
              </w:rPr>
              <w:t>项目</w:t>
            </w:r>
          </w:p>
        </w:tc>
        <w:tc>
          <w:tcPr>
            <w:tcW w:w="991" w:type="pct"/>
            <w:gridSpan w:val="2"/>
            <w:tcBorders>
              <w:tl2br w:val="nil"/>
              <w:tr2bl w:val="nil"/>
            </w:tcBorders>
            <w:noWrap w:val="0"/>
            <w:vAlign w:val="center"/>
          </w:tcPr>
          <w:p w14:paraId="3C31BAE7">
            <w:pPr>
              <w:spacing w:line="0" w:lineRule="atLeast"/>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厂界东</w:t>
            </w:r>
            <w:r>
              <w:rPr>
                <w:rFonts w:hint="default" w:ascii="Times New Roman" w:hAnsi="Times New Roman" w:eastAsia="宋体" w:cs="Times New Roman"/>
                <w:b w:val="0"/>
                <w:bCs w:val="0"/>
                <w:color w:val="000000"/>
                <w:sz w:val="21"/>
                <w:szCs w:val="21"/>
                <w:highlight w:val="none"/>
                <w:lang w:eastAsia="zh-CN"/>
              </w:rPr>
              <w:t>侧</w:t>
            </w:r>
          </w:p>
        </w:tc>
        <w:tc>
          <w:tcPr>
            <w:tcW w:w="991" w:type="pct"/>
            <w:gridSpan w:val="2"/>
            <w:tcBorders>
              <w:tl2br w:val="nil"/>
              <w:tr2bl w:val="nil"/>
            </w:tcBorders>
            <w:noWrap w:val="0"/>
            <w:vAlign w:val="center"/>
          </w:tcPr>
          <w:p w14:paraId="1ED68585">
            <w:pPr>
              <w:spacing w:line="0" w:lineRule="atLeast"/>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厂界</w:t>
            </w:r>
            <w:r>
              <w:rPr>
                <w:rFonts w:hint="default" w:ascii="Times New Roman" w:hAnsi="Times New Roman" w:eastAsia="宋体" w:cs="Times New Roman"/>
                <w:b w:val="0"/>
                <w:bCs w:val="0"/>
                <w:color w:val="000000"/>
                <w:sz w:val="21"/>
                <w:szCs w:val="21"/>
                <w:highlight w:val="none"/>
                <w:lang w:eastAsia="zh-CN"/>
              </w:rPr>
              <w:t>南侧</w:t>
            </w:r>
          </w:p>
        </w:tc>
        <w:tc>
          <w:tcPr>
            <w:tcW w:w="991" w:type="pct"/>
            <w:gridSpan w:val="2"/>
            <w:tcBorders>
              <w:tl2br w:val="nil"/>
              <w:tr2bl w:val="nil"/>
            </w:tcBorders>
            <w:noWrap w:val="0"/>
            <w:vAlign w:val="center"/>
          </w:tcPr>
          <w:p w14:paraId="3D6BA3A0">
            <w:pPr>
              <w:spacing w:line="0" w:lineRule="atLeast"/>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厂界</w:t>
            </w:r>
            <w:r>
              <w:rPr>
                <w:rFonts w:hint="default" w:ascii="Times New Roman" w:hAnsi="Times New Roman" w:eastAsia="宋体" w:cs="Times New Roman"/>
                <w:b w:val="0"/>
                <w:bCs w:val="0"/>
                <w:color w:val="000000"/>
                <w:sz w:val="21"/>
                <w:szCs w:val="21"/>
                <w:highlight w:val="none"/>
                <w:lang w:eastAsia="zh-CN"/>
              </w:rPr>
              <w:t>西侧</w:t>
            </w:r>
          </w:p>
        </w:tc>
        <w:tc>
          <w:tcPr>
            <w:tcW w:w="991" w:type="pct"/>
            <w:gridSpan w:val="2"/>
            <w:tcBorders>
              <w:tl2br w:val="nil"/>
              <w:tr2bl w:val="nil"/>
            </w:tcBorders>
            <w:noWrap w:val="0"/>
            <w:vAlign w:val="center"/>
          </w:tcPr>
          <w:p w14:paraId="25E4068A">
            <w:pPr>
              <w:spacing w:line="0" w:lineRule="atLeast"/>
              <w:jc w:val="center"/>
              <w:rPr>
                <w:rFonts w:hint="default" w:ascii="Times New Roman" w:hAnsi="Times New Roman" w:eastAsia="宋体" w:cs="Times New Roman"/>
                <w:b w:val="0"/>
                <w:bCs w:val="0"/>
                <w:color w:val="000000"/>
                <w:sz w:val="21"/>
                <w:szCs w:val="21"/>
                <w:highlight w:val="none"/>
                <w:lang w:eastAsia="zh-CN"/>
              </w:rPr>
            </w:pPr>
            <w:r>
              <w:rPr>
                <w:rFonts w:hint="default" w:ascii="Times New Roman" w:hAnsi="Times New Roman" w:eastAsia="宋体" w:cs="Times New Roman"/>
                <w:b w:val="0"/>
                <w:bCs w:val="0"/>
                <w:color w:val="000000"/>
                <w:sz w:val="21"/>
                <w:szCs w:val="21"/>
                <w:highlight w:val="none"/>
                <w:lang w:val="en-US" w:eastAsia="zh-CN"/>
              </w:rPr>
              <w:t>厂界</w:t>
            </w:r>
            <w:r>
              <w:rPr>
                <w:rFonts w:hint="default" w:ascii="Times New Roman" w:hAnsi="Times New Roman" w:eastAsia="宋体" w:cs="Times New Roman"/>
                <w:b w:val="0"/>
                <w:bCs w:val="0"/>
                <w:color w:val="000000"/>
                <w:sz w:val="21"/>
                <w:szCs w:val="21"/>
                <w:highlight w:val="none"/>
                <w:lang w:eastAsia="zh-CN"/>
              </w:rPr>
              <w:t>北侧</w:t>
            </w:r>
          </w:p>
        </w:tc>
      </w:tr>
      <w:tr w14:paraId="3AB48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jc w:val="center"/>
        </w:trPr>
        <w:tc>
          <w:tcPr>
            <w:tcW w:w="664" w:type="pct"/>
            <w:vMerge w:val="continue"/>
            <w:tcBorders>
              <w:tl2br w:val="nil"/>
              <w:tr2bl w:val="nil"/>
            </w:tcBorders>
            <w:noWrap w:val="0"/>
            <w:vAlign w:val="center"/>
          </w:tcPr>
          <w:p w14:paraId="6602336F">
            <w:pPr>
              <w:spacing w:line="300" w:lineRule="exact"/>
              <w:rPr>
                <w:rFonts w:hint="default" w:ascii="Times New Roman" w:hAnsi="Times New Roman" w:eastAsia="宋体" w:cs="Times New Roman"/>
                <w:b w:val="0"/>
                <w:bCs w:val="0"/>
                <w:color w:val="000000"/>
                <w:sz w:val="21"/>
                <w:szCs w:val="21"/>
              </w:rPr>
            </w:pPr>
          </w:p>
        </w:tc>
        <w:tc>
          <w:tcPr>
            <w:tcW w:w="369" w:type="pct"/>
            <w:vMerge w:val="continue"/>
            <w:tcBorders>
              <w:tl2br w:val="nil"/>
              <w:tr2bl w:val="nil"/>
            </w:tcBorders>
            <w:noWrap w:val="0"/>
            <w:vAlign w:val="center"/>
          </w:tcPr>
          <w:p w14:paraId="439AFE06">
            <w:pPr>
              <w:spacing w:line="300" w:lineRule="exact"/>
              <w:jc w:val="center"/>
              <w:rPr>
                <w:rFonts w:hint="default" w:ascii="Times New Roman" w:hAnsi="Times New Roman" w:eastAsia="宋体" w:cs="Times New Roman"/>
                <w:b w:val="0"/>
                <w:bCs w:val="0"/>
                <w:color w:val="000000"/>
                <w:sz w:val="21"/>
                <w:szCs w:val="21"/>
                <w:highlight w:val="none"/>
              </w:rPr>
            </w:pPr>
          </w:p>
        </w:tc>
        <w:tc>
          <w:tcPr>
            <w:tcW w:w="495" w:type="pct"/>
            <w:tcBorders>
              <w:tl2br w:val="nil"/>
              <w:tr2bl w:val="nil"/>
            </w:tcBorders>
            <w:noWrap w:val="0"/>
            <w:vAlign w:val="center"/>
          </w:tcPr>
          <w:p w14:paraId="5274AEDC">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昼</w:t>
            </w:r>
          </w:p>
        </w:tc>
        <w:tc>
          <w:tcPr>
            <w:tcW w:w="495" w:type="pct"/>
            <w:tcBorders>
              <w:tl2br w:val="nil"/>
              <w:tr2bl w:val="nil"/>
            </w:tcBorders>
            <w:noWrap w:val="0"/>
            <w:vAlign w:val="center"/>
          </w:tcPr>
          <w:p w14:paraId="10DAB78C">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夜</w:t>
            </w:r>
          </w:p>
        </w:tc>
        <w:tc>
          <w:tcPr>
            <w:tcW w:w="495" w:type="pct"/>
            <w:tcBorders>
              <w:tl2br w:val="nil"/>
              <w:tr2bl w:val="nil"/>
            </w:tcBorders>
            <w:noWrap w:val="0"/>
            <w:vAlign w:val="center"/>
          </w:tcPr>
          <w:p w14:paraId="00802480">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昼</w:t>
            </w:r>
          </w:p>
        </w:tc>
        <w:tc>
          <w:tcPr>
            <w:tcW w:w="495" w:type="pct"/>
            <w:tcBorders>
              <w:tl2br w:val="nil"/>
              <w:tr2bl w:val="nil"/>
            </w:tcBorders>
            <w:noWrap w:val="0"/>
            <w:vAlign w:val="center"/>
          </w:tcPr>
          <w:p w14:paraId="5162F78E">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夜</w:t>
            </w:r>
          </w:p>
        </w:tc>
        <w:tc>
          <w:tcPr>
            <w:tcW w:w="495" w:type="pct"/>
            <w:tcBorders>
              <w:tl2br w:val="nil"/>
              <w:tr2bl w:val="nil"/>
            </w:tcBorders>
            <w:noWrap w:val="0"/>
            <w:vAlign w:val="center"/>
          </w:tcPr>
          <w:p w14:paraId="6316B60E">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昼</w:t>
            </w:r>
          </w:p>
        </w:tc>
        <w:tc>
          <w:tcPr>
            <w:tcW w:w="495" w:type="pct"/>
            <w:tcBorders>
              <w:tl2br w:val="nil"/>
              <w:tr2bl w:val="nil"/>
            </w:tcBorders>
            <w:noWrap w:val="0"/>
            <w:vAlign w:val="center"/>
          </w:tcPr>
          <w:p w14:paraId="18B1E0C6">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夜</w:t>
            </w:r>
          </w:p>
        </w:tc>
        <w:tc>
          <w:tcPr>
            <w:tcW w:w="495" w:type="pct"/>
            <w:tcBorders>
              <w:tl2br w:val="nil"/>
              <w:tr2bl w:val="nil"/>
            </w:tcBorders>
            <w:noWrap w:val="0"/>
            <w:vAlign w:val="center"/>
          </w:tcPr>
          <w:p w14:paraId="40676540">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昼</w:t>
            </w:r>
          </w:p>
        </w:tc>
        <w:tc>
          <w:tcPr>
            <w:tcW w:w="496" w:type="pct"/>
            <w:tcBorders>
              <w:tl2br w:val="nil"/>
              <w:tr2bl w:val="nil"/>
            </w:tcBorders>
            <w:noWrap w:val="0"/>
            <w:vAlign w:val="center"/>
          </w:tcPr>
          <w:p w14:paraId="564BB4B3">
            <w:pPr>
              <w:spacing w:line="0" w:lineRule="atLeas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夜</w:t>
            </w:r>
          </w:p>
        </w:tc>
      </w:tr>
      <w:tr w14:paraId="46C90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664" w:type="pct"/>
            <w:tcBorders>
              <w:tl2br w:val="nil"/>
              <w:tr2bl w:val="nil"/>
            </w:tcBorders>
            <w:noWrap w:val="0"/>
            <w:vAlign w:val="center"/>
          </w:tcPr>
          <w:p w14:paraId="3DED7608">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2024.6.14</w:t>
            </w:r>
          </w:p>
        </w:tc>
        <w:tc>
          <w:tcPr>
            <w:tcW w:w="369" w:type="pct"/>
            <w:tcBorders>
              <w:tl2br w:val="nil"/>
              <w:tr2bl w:val="nil"/>
            </w:tcBorders>
            <w:noWrap w:val="0"/>
            <w:vAlign w:val="center"/>
          </w:tcPr>
          <w:p w14:paraId="65E4B25E">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L</w:t>
            </w:r>
            <w:r>
              <w:rPr>
                <w:rFonts w:hint="default" w:ascii="Times New Roman" w:hAnsi="Times New Roman" w:eastAsia="宋体" w:cs="Times New Roman"/>
                <w:b w:val="0"/>
                <w:bCs w:val="0"/>
                <w:color w:val="000000"/>
                <w:sz w:val="21"/>
                <w:szCs w:val="21"/>
                <w:highlight w:val="none"/>
                <w:vertAlign w:val="subscript"/>
                <w:lang w:val="en-US" w:eastAsia="zh-CN"/>
              </w:rPr>
              <w:t>eq</w:t>
            </w:r>
          </w:p>
        </w:tc>
        <w:tc>
          <w:tcPr>
            <w:tcW w:w="495" w:type="pct"/>
            <w:tcBorders>
              <w:tl2br w:val="nil"/>
              <w:tr2bl w:val="nil"/>
            </w:tcBorders>
            <w:noWrap w:val="0"/>
            <w:vAlign w:val="center"/>
          </w:tcPr>
          <w:p w14:paraId="55DAD2BE">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50</w:t>
            </w:r>
          </w:p>
        </w:tc>
        <w:tc>
          <w:tcPr>
            <w:tcW w:w="495" w:type="pct"/>
            <w:tcBorders>
              <w:tl2br w:val="nil"/>
              <w:tr2bl w:val="nil"/>
            </w:tcBorders>
            <w:noWrap w:val="0"/>
            <w:vAlign w:val="center"/>
          </w:tcPr>
          <w:p w14:paraId="5DD6F6FC">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40</w:t>
            </w:r>
          </w:p>
        </w:tc>
        <w:tc>
          <w:tcPr>
            <w:tcW w:w="495" w:type="pct"/>
            <w:tcBorders>
              <w:tl2br w:val="nil"/>
              <w:tr2bl w:val="nil"/>
            </w:tcBorders>
            <w:noWrap w:val="0"/>
            <w:vAlign w:val="center"/>
          </w:tcPr>
          <w:p w14:paraId="7D4F77CB">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51</w:t>
            </w:r>
          </w:p>
        </w:tc>
        <w:tc>
          <w:tcPr>
            <w:tcW w:w="495" w:type="pct"/>
            <w:tcBorders>
              <w:tl2br w:val="nil"/>
              <w:tr2bl w:val="nil"/>
            </w:tcBorders>
            <w:noWrap w:val="0"/>
            <w:vAlign w:val="center"/>
          </w:tcPr>
          <w:p w14:paraId="64E5F9B1">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41</w:t>
            </w:r>
          </w:p>
        </w:tc>
        <w:tc>
          <w:tcPr>
            <w:tcW w:w="495" w:type="pct"/>
            <w:tcBorders>
              <w:tl2br w:val="nil"/>
              <w:tr2bl w:val="nil"/>
            </w:tcBorders>
            <w:noWrap w:val="0"/>
            <w:vAlign w:val="center"/>
          </w:tcPr>
          <w:p w14:paraId="337EA11F">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50</w:t>
            </w:r>
          </w:p>
        </w:tc>
        <w:tc>
          <w:tcPr>
            <w:tcW w:w="495" w:type="pct"/>
            <w:tcBorders>
              <w:tl2br w:val="nil"/>
              <w:tr2bl w:val="nil"/>
            </w:tcBorders>
            <w:noWrap w:val="0"/>
            <w:vAlign w:val="center"/>
          </w:tcPr>
          <w:p w14:paraId="733686B7">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38</w:t>
            </w:r>
          </w:p>
        </w:tc>
        <w:tc>
          <w:tcPr>
            <w:tcW w:w="495" w:type="pct"/>
            <w:tcBorders>
              <w:tl2br w:val="nil"/>
              <w:tr2bl w:val="nil"/>
            </w:tcBorders>
            <w:noWrap w:val="0"/>
            <w:vAlign w:val="center"/>
          </w:tcPr>
          <w:p w14:paraId="6A7C50CC">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54</w:t>
            </w:r>
          </w:p>
        </w:tc>
        <w:tc>
          <w:tcPr>
            <w:tcW w:w="496" w:type="pct"/>
            <w:tcBorders>
              <w:tl2br w:val="nil"/>
              <w:tr2bl w:val="nil"/>
            </w:tcBorders>
            <w:noWrap w:val="0"/>
            <w:vAlign w:val="center"/>
          </w:tcPr>
          <w:p w14:paraId="588BF81A">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39</w:t>
            </w:r>
          </w:p>
        </w:tc>
      </w:tr>
      <w:tr w14:paraId="55C2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664" w:type="pct"/>
            <w:tcBorders>
              <w:tl2br w:val="nil"/>
              <w:tr2bl w:val="nil"/>
            </w:tcBorders>
            <w:noWrap w:val="0"/>
            <w:vAlign w:val="center"/>
          </w:tcPr>
          <w:p w14:paraId="350F7DB5">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center"/>
              <w:textAlignment w:val="auto"/>
              <w:outlineLvl w:val="9"/>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2024.6.15</w:t>
            </w:r>
          </w:p>
        </w:tc>
        <w:tc>
          <w:tcPr>
            <w:tcW w:w="369" w:type="pct"/>
            <w:tcBorders>
              <w:tl2br w:val="nil"/>
              <w:tr2bl w:val="nil"/>
            </w:tcBorders>
            <w:noWrap w:val="0"/>
            <w:vAlign w:val="center"/>
          </w:tcPr>
          <w:p w14:paraId="56BBEE29">
            <w:pPr>
              <w:spacing w:line="400" w:lineRule="exact"/>
              <w:jc w:val="center"/>
              <w:rPr>
                <w:rFonts w:hint="default" w:ascii="Times New Roman" w:hAnsi="Times New Roman" w:eastAsia="宋体" w:cs="Times New Roman"/>
                <w:b w:val="0"/>
                <w:bCs w:val="0"/>
                <w:color w:val="000000"/>
                <w:sz w:val="21"/>
                <w:szCs w:val="21"/>
                <w:highlight w:val="none"/>
              </w:rPr>
            </w:pPr>
            <w:r>
              <w:rPr>
                <w:rFonts w:hint="default" w:ascii="Times New Roman" w:hAnsi="Times New Roman" w:eastAsia="宋体" w:cs="Times New Roman"/>
                <w:b w:val="0"/>
                <w:bCs w:val="0"/>
                <w:color w:val="000000"/>
                <w:sz w:val="21"/>
                <w:szCs w:val="21"/>
                <w:highlight w:val="none"/>
              </w:rPr>
              <w:t>L</w:t>
            </w:r>
            <w:r>
              <w:rPr>
                <w:rFonts w:hint="default" w:ascii="Times New Roman" w:hAnsi="Times New Roman" w:eastAsia="宋体" w:cs="Times New Roman"/>
                <w:b w:val="0"/>
                <w:bCs w:val="0"/>
                <w:color w:val="000000"/>
                <w:sz w:val="21"/>
                <w:szCs w:val="21"/>
                <w:highlight w:val="none"/>
                <w:vertAlign w:val="subscript"/>
              </w:rPr>
              <w:t>eq</w:t>
            </w:r>
          </w:p>
        </w:tc>
        <w:tc>
          <w:tcPr>
            <w:tcW w:w="495" w:type="pct"/>
            <w:tcBorders>
              <w:tl2br w:val="nil"/>
              <w:tr2bl w:val="nil"/>
            </w:tcBorders>
            <w:noWrap w:val="0"/>
            <w:vAlign w:val="center"/>
          </w:tcPr>
          <w:p w14:paraId="5BA5B2AC">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50</w:t>
            </w:r>
          </w:p>
        </w:tc>
        <w:tc>
          <w:tcPr>
            <w:tcW w:w="495" w:type="pct"/>
            <w:tcBorders>
              <w:tl2br w:val="nil"/>
              <w:tr2bl w:val="nil"/>
            </w:tcBorders>
            <w:noWrap w:val="0"/>
            <w:vAlign w:val="center"/>
          </w:tcPr>
          <w:p w14:paraId="4176E6A6">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40</w:t>
            </w:r>
          </w:p>
        </w:tc>
        <w:tc>
          <w:tcPr>
            <w:tcW w:w="495" w:type="pct"/>
            <w:tcBorders>
              <w:tl2br w:val="nil"/>
              <w:tr2bl w:val="nil"/>
            </w:tcBorders>
            <w:noWrap w:val="0"/>
            <w:vAlign w:val="center"/>
          </w:tcPr>
          <w:p w14:paraId="096D066E">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52</w:t>
            </w:r>
          </w:p>
        </w:tc>
        <w:tc>
          <w:tcPr>
            <w:tcW w:w="495" w:type="pct"/>
            <w:tcBorders>
              <w:tl2br w:val="nil"/>
              <w:tr2bl w:val="nil"/>
            </w:tcBorders>
            <w:noWrap w:val="0"/>
            <w:vAlign w:val="center"/>
          </w:tcPr>
          <w:p w14:paraId="7394BA23">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42</w:t>
            </w:r>
          </w:p>
        </w:tc>
        <w:tc>
          <w:tcPr>
            <w:tcW w:w="495" w:type="pct"/>
            <w:tcBorders>
              <w:tl2br w:val="nil"/>
              <w:tr2bl w:val="nil"/>
            </w:tcBorders>
            <w:noWrap w:val="0"/>
            <w:vAlign w:val="center"/>
          </w:tcPr>
          <w:p w14:paraId="06DFE1E0">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50</w:t>
            </w:r>
          </w:p>
        </w:tc>
        <w:tc>
          <w:tcPr>
            <w:tcW w:w="495" w:type="pct"/>
            <w:tcBorders>
              <w:tl2br w:val="nil"/>
              <w:tr2bl w:val="nil"/>
            </w:tcBorders>
            <w:noWrap w:val="0"/>
            <w:vAlign w:val="center"/>
          </w:tcPr>
          <w:p w14:paraId="713D83DE">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42</w:t>
            </w:r>
          </w:p>
        </w:tc>
        <w:tc>
          <w:tcPr>
            <w:tcW w:w="495" w:type="pct"/>
            <w:tcBorders>
              <w:tl2br w:val="nil"/>
              <w:tr2bl w:val="nil"/>
            </w:tcBorders>
            <w:noWrap w:val="0"/>
            <w:vAlign w:val="center"/>
          </w:tcPr>
          <w:p w14:paraId="47BC887F">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54</w:t>
            </w:r>
          </w:p>
        </w:tc>
        <w:tc>
          <w:tcPr>
            <w:tcW w:w="496" w:type="pct"/>
            <w:tcBorders>
              <w:tl2br w:val="nil"/>
              <w:tr2bl w:val="nil"/>
            </w:tcBorders>
            <w:noWrap w:val="0"/>
            <w:vAlign w:val="center"/>
          </w:tcPr>
          <w:p w14:paraId="64103690">
            <w:pPr>
              <w:keepNext w:val="0"/>
              <w:keepLines w:val="0"/>
              <w:widowControl/>
              <w:suppressLineNumbers w:val="0"/>
              <w:jc w:val="center"/>
              <w:textAlignment w:val="center"/>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40</w:t>
            </w:r>
          </w:p>
        </w:tc>
      </w:tr>
    </w:tbl>
    <w:p w14:paraId="5CA43CBE">
      <w:pPr>
        <w:widowControl/>
        <w:spacing w:line="360" w:lineRule="auto"/>
        <w:ind w:firstLine="480" w:firstLineChars="200"/>
        <w:rPr>
          <w:rFonts w:hint="eastAsia" w:hAnsi="宋体" w:eastAsia="宋体"/>
          <w:bCs/>
          <w:color w:val="auto"/>
          <w:sz w:val="24"/>
          <w:lang w:eastAsia="zh-CN"/>
        </w:rPr>
      </w:pPr>
      <w:r>
        <w:rPr>
          <w:rFonts w:hint="eastAsia" w:hAnsi="宋体"/>
          <w:bCs/>
          <w:color w:val="auto"/>
          <w:sz w:val="24"/>
        </w:rPr>
        <w:t>根据监测数据可知，厂界噪声</w:t>
      </w:r>
      <w:r>
        <w:rPr>
          <w:rFonts w:hint="eastAsia" w:hAnsi="宋体"/>
          <w:bCs/>
          <w:color w:val="auto"/>
          <w:sz w:val="24"/>
          <w:lang w:val="en-US" w:eastAsia="zh-CN"/>
        </w:rPr>
        <w:t>可满足</w:t>
      </w:r>
      <w:r>
        <w:rPr>
          <w:rFonts w:hint="eastAsia" w:hAnsi="宋体"/>
          <w:bCs/>
          <w:color w:val="auto"/>
          <w:sz w:val="24"/>
        </w:rPr>
        <w:t>《工业企业厂界环境噪声排放标准》（GB12348-2008）中</w:t>
      </w:r>
      <w:r>
        <w:rPr>
          <w:rFonts w:hint="eastAsia" w:hAnsi="宋体"/>
          <w:bCs/>
          <w:color w:val="auto"/>
          <w:sz w:val="24"/>
          <w:lang w:val="en-US" w:eastAsia="zh-CN"/>
        </w:rPr>
        <w:t>3</w:t>
      </w:r>
      <w:r>
        <w:rPr>
          <w:rFonts w:hint="eastAsia" w:hAnsi="宋体"/>
          <w:bCs/>
          <w:color w:val="auto"/>
          <w:sz w:val="24"/>
        </w:rPr>
        <w:t>类</w:t>
      </w:r>
      <w:r>
        <w:rPr>
          <w:rFonts w:hint="eastAsia" w:hAnsi="宋体"/>
          <w:bCs/>
          <w:color w:val="auto"/>
          <w:sz w:val="24"/>
          <w:lang w:val="en-US" w:eastAsia="zh-CN"/>
        </w:rPr>
        <w:t>标准</w:t>
      </w:r>
      <w:r>
        <w:rPr>
          <w:rFonts w:hint="eastAsia" w:hAnsi="宋体"/>
          <w:bCs/>
          <w:color w:val="auto"/>
          <w:sz w:val="24"/>
        </w:rPr>
        <w:t>限值</w:t>
      </w:r>
      <w:r>
        <w:rPr>
          <w:rFonts w:hint="eastAsia" w:hAnsi="宋体"/>
          <w:bCs/>
          <w:color w:val="auto"/>
          <w:sz w:val="24"/>
          <w:lang w:eastAsia="zh-CN"/>
        </w:rPr>
        <w:t>，</w:t>
      </w:r>
      <w:r>
        <w:rPr>
          <w:rFonts w:hint="eastAsia" w:hAnsi="宋体"/>
          <w:bCs/>
          <w:color w:val="auto"/>
          <w:sz w:val="24"/>
          <w:lang w:val="en-US" w:eastAsia="zh-CN"/>
        </w:rPr>
        <w:t>即昼间：65</w:t>
      </w:r>
      <w:r>
        <w:rPr>
          <w:rFonts w:hint="eastAsia" w:hAnsi="宋体"/>
          <w:bCs/>
          <w:color w:val="auto"/>
          <w:sz w:val="24"/>
        </w:rPr>
        <w:t>dB（A</w:t>
      </w:r>
      <w:r>
        <w:rPr>
          <w:rFonts w:hint="eastAsia" w:hAnsi="宋体"/>
          <w:bCs/>
          <w:color w:val="auto"/>
          <w:sz w:val="24"/>
          <w:lang w:eastAsia="zh-CN"/>
        </w:rPr>
        <w:t>），</w:t>
      </w:r>
      <w:r>
        <w:rPr>
          <w:rFonts w:hint="eastAsia" w:hAnsi="宋体"/>
          <w:bCs/>
          <w:color w:val="auto"/>
          <w:sz w:val="24"/>
          <w:lang w:val="en-US" w:eastAsia="zh-CN"/>
        </w:rPr>
        <w:t>夜间：55</w:t>
      </w:r>
      <w:r>
        <w:rPr>
          <w:rFonts w:hint="eastAsia" w:hAnsi="宋体"/>
          <w:bCs/>
          <w:color w:val="auto"/>
          <w:sz w:val="24"/>
        </w:rPr>
        <w:t>dB（A）</w:t>
      </w:r>
      <w:r>
        <w:rPr>
          <w:rFonts w:hint="eastAsia" w:hAnsi="宋体"/>
          <w:bCs/>
          <w:color w:val="auto"/>
          <w:sz w:val="24"/>
          <w:lang w:eastAsia="zh-CN"/>
        </w:rPr>
        <w:t>。</w:t>
      </w:r>
    </w:p>
    <w:p w14:paraId="6E5320A5">
      <w:pPr>
        <w:pStyle w:val="3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2" w:firstLineChars="200"/>
        <w:textAlignment w:val="baseline"/>
        <w:rPr>
          <w:rFonts w:hint="eastAsia" w:cs="Times New Roman"/>
          <w:b/>
          <w:bCs w:val="0"/>
          <w:color w:val="auto"/>
          <w:spacing w:val="0"/>
          <w:position w:val="0"/>
          <w:sz w:val="24"/>
          <w:szCs w:val="24"/>
          <w:highlight w:val="none"/>
          <w:lang w:val="en-US" w:eastAsia="zh-CN"/>
        </w:rPr>
      </w:pPr>
      <w:r>
        <w:rPr>
          <w:rFonts w:hint="eastAsia" w:cs="Times New Roman"/>
          <w:b/>
          <w:bCs w:val="0"/>
          <w:color w:val="auto"/>
          <w:spacing w:val="0"/>
          <w:position w:val="0"/>
          <w:sz w:val="24"/>
          <w:szCs w:val="24"/>
          <w:highlight w:val="none"/>
          <w:lang w:val="en-US" w:eastAsia="zh-CN"/>
        </w:rPr>
        <w:t>3</w:t>
      </w:r>
      <w:r>
        <w:rPr>
          <w:rFonts w:hint="eastAsia" w:eastAsia="宋体" w:cs="Times New Roman"/>
          <w:b/>
          <w:bCs w:val="0"/>
          <w:color w:val="auto"/>
          <w:spacing w:val="0"/>
          <w:position w:val="0"/>
          <w:sz w:val="24"/>
          <w:szCs w:val="24"/>
          <w:highlight w:val="none"/>
          <w:lang w:val="en-US" w:eastAsia="zh-CN"/>
        </w:rPr>
        <w:t>.1.</w:t>
      </w:r>
      <w:r>
        <w:rPr>
          <w:rFonts w:hint="eastAsia" w:cs="Times New Roman"/>
          <w:b/>
          <w:bCs w:val="0"/>
          <w:color w:val="auto"/>
          <w:spacing w:val="0"/>
          <w:position w:val="0"/>
          <w:sz w:val="24"/>
          <w:szCs w:val="24"/>
          <w:highlight w:val="none"/>
          <w:lang w:val="en-US" w:eastAsia="zh-CN"/>
        </w:rPr>
        <w:t>9</w:t>
      </w:r>
      <w:r>
        <w:rPr>
          <w:rFonts w:hint="eastAsia" w:eastAsia="宋体" w:cs="Times New Roman"/>
          <w:b/>
          <w:bCs w:val="0"/>
          <w:color w:val="auto"/>
          <w:spacing w:val="0"/>
          <w:position w:val="0"/>
          <w:sz w:val="24"/>
          <w:szCs w:val="24"/>
          <w:highlight w:val="none"/>
          <w:lang w:val="en-US" w:eastAsia="zh-CN"/>
        </w:rPr>
        <w:t>.3</w:t>
      </w:r>
      <w:r>
        <w:rPr>
          <w:rFonts w:hint="eastAsia" w:cs="Times New Roman"/>
          <w:b/>
          <w:bCs w:val="0"/>
          <w:color w:val="auto"/>
          <w:spacing w:val="0"/>
          <w:position w:val="0"/>
          <w:sz w:val="24"/>
          <w:szCs w:val="24"/>
          <w:highlight w:val="none"/>
          <w:lang w:val="en-US" w:eastAsia="zh-CN"/>
        </w:rPr>
        <w:t>废水</w:t>
      </w:r>
    </w:p>
    <w:p w14:paraId="4DE4AB7E">
      <w:pPr>
        <w:pStyle w:val="3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rFonts w:hint="eastAsia" w:ascii="Times New Roman" w:hAnsi="Times New Roman"/>
          <w:color w:val="000000"/>
          <w:sz w:val="24"/>
          <w:szCs w:val="24"/>
          <w:lang w:val="en-US" w:eastAsia="zh-CN"/>
        </w:rPr>
      </w:pPr>
      <w:r>
        <w:rPr>
          <w:rFonts w:hint="eastAsia"/>
          <w:color w:val="000000"/>
          <w:sz w:val="24"/>
          <w:szCs w:val="24"/>
          <w:lang w:val="en-US" w:eastAsia="zh-CN"/>
        </w:rPr>
        <w:t>现有项目</w:t>
      </w:r>
      <w:r>
        <w:rPr>
          <w:rFonts w:hint="eastAsia" w:ascii="Times New Roman" w:hAnsi="Times New Roman"/>
          <w:color w:val="000000"/>
          <w:sz w:val="24"/>
          <w:szCs w:val="24"/>
          <w:lang w:val="en-US" w:eastAsia="zh-CN"/>
        </w:rPr>
        <w:t>生产用水</w:t>
      </w:r>
      <w:r>
        <w:rPr>
          <w:rFonts w:hint="eastAsia"/>
          <w:color w:val="000000"/>
          <w:sz w:val="24"/>
          <w:szCs w:val="24"/>
          <w:lang w:val="en-US" w:eastAsia="zh-CN"/>
        </w:rPr>
        <w:t>量</w:t>
      </w:r>
      <w:r>
        <w:rPr>
          <w:rFonts w:hint="eastAsia" w:ascii="Times New Roman" w:hAnsi="Times New Roman"/>
          <w:color w:val="000000"/>
          <w:sz w:val="24"/>
          <w:szCs w:val="24"/>
          <w:lang w:val="en-US" w:eastAsia="zh-CN"/>
        </w:rPr>
        <w:t>为110t/a，在使用过程中</w:t>
      </w:r>
      <w:r>
        <w:rPr>
          <w:rFonts w:hint="eastAsia"/>
          <w:color w:val="000000"/>
          <w:sz w:val="24"/>
          <w:szCs w:val="24"/>
          <w:lang w:val="en-US" w:eastAsia="zh-CN"/>
        </w:rPr>
        <w:t>全部</w:t>
      </w:r>
      <w:r>
        <w:rPr>
          <w:rFonts w:hint="eastAsia" w:ascii="Times New Roman" w:hAnsi="Times New Roman"/>
          <w:color w:val="000000"/>
          <w:sz w:val="24"/>
          <w:szCs w:val="24"/>
          <w:lang w:val="en-US" w:eastAsia="zh-CN"/>
        </w:rPr>
        <w:t>蒸发损耗，</w:t>
      </w:r>
      <w:r>
        <w:rPr>
          <w:rFonts w:hint="eastAsia"/>
          <w:color w:val="000000"/>
          <w:sz w:val="24"/>
          <w:szCs w:val="24"/>
          <w:lang w:val="en-US" w:eastAsia="zh-CN"/>
        </w:rPr>
        <w:t>无废水产生</w:t>
      </w:r>
      <w:r>
        <w:rPr>
          <w:rFonts w:hint="eastAsia" w:ascii="Times New Roman" w:hAnsi="Times New Roman"/>
          <w:color w:val="000000"/>
          <w:sz w:val="24"/>
          <w:szCs w:val="24"/>
          <w:lang w:val="en-US" w:eastAsia="zh-CN"/>
        </w:rPr>
        <w:t>。</w:t>
      </w:r>
      <w:r>
        <w:rPr>
          <w:rFonts w:hint="eastAsia"/>
          <w:color w:val="000000"/>
          <w:sz w:val="24"/>
          <w:szCs w:val="24"/>
          <w:lang w:val="en-US" w:eastAsia="zh-CN"/>
        </w:rPr>
        <w:t>企业现有员工50人，生活用水量为</w:t>
      </w:r>
      <w:r>
        <w:rPr>
          <w:rFonts w:hint="eastAsia" w:ascii="Times New Roman" w:hAnsi="Times New Roman"/>
          <w:color w:val="000000"/>
          <w:sz w:val="24"/>
          <w:szCs w:val="24"/>
          <w:lang w:val="en-US" w:eastAsia="zh-CN"/>
        </w:rPr>
        <w:t>180t/a</w:t>
      </w:r>
      <w:r>
        <w:rPr>
          <w:rFonts w:hint="eastAsia"/>
          <w:color w:val="000000"/>
          <w:sz w:val="24"/>
          <w:szCs w:val="24"/>
          <w:lang w:val="en-US" w:eastAsia="zh-CN"/>
        </w:rPr>
        <w:t>，产生的生活污水产生量为144t/a，排入防渗旱厕后定期清掏，不外排。</w:t>
      </w:r>
    </w:p>
    <w:p w14:paraId="19903489">
      <w:pPr>
        <w:pStyle w:val="32"/>
        <w:keepNext w:val="0"/>
        <w:keepLines w:val="0"/>
        <w:pageBreakBefore w:val="0"/>
        <w:widowControl w:val="0"/>
        <w:kinsoku/>
        <w:wordWrap/>
        <w:overflowPunct/>
        <w:topLinePunct w:val="0"/>
        <w:autoSpaceDE/>
        <w:autoSpaceDN/>
        <w:bidi w:val="0"/>
        <w:adjustRightInd w:val="0"/>
        <w:snapToGrid/>
        <w:spacing w:after="0" w:line="360" w:lineRule="auto"/>
        <w:ind w:left="0" w:leftChars="0" w:firstLine="480" w:firstLineChars="200"/>
        <w:textAlignment w:val="baseline"/>
        <w:rPr>
          <w:rFonts w:hint="eastAsia" w:ascii="Times New Roman" w:hAnsi="Times New Roman" w:eastAsia="宋体"/>
          <w:color w:val="000000"/>
          <w:sz w:val="24"/>
          <w:szCs w:val="24"/>
          <w:lang w:val="en-US" w:eastAsia="zh-CN"/>
        </w:rPr>
      </w:pPr>
      <w:r>
        <w:rPr>
          <w:rFonts w:hint="eastAsia" w:ascii="Times New Roman" w:hAnsi="Times New Roman"/>
          <w:color w:val="000000"/>
          <w:sz w:val="24"/>
          <w:szCs w:val="24"/>
        </w:rPr>
        <w:t>水平衡见</w:t>
      </w:r>
      <w:r>
        <w:rPr>
          <w:rFonts w:hint="eastAsia"/>
          <w:color w:val="000000"/>
          <w:sz w:val="24"/>
          <w:szCs w:val="24"/>
          <w:lang w:val="en-US" w:eastAsia="zh-CN"/>
        </w:rPr>
        <w:t>下表</w:t>
      </w:r>
      <w:r>
        <w:rPr>
          <w:rFonts w:hint="eastAsia" w:ascii="Times New Roman" w:hAnsi="Times New Roman"/>
          <w:color w:val="000000"/>
          <w:sz w:val="24"/>
          <w:szCs w:val="24"/>
        </w:rPr>
        <w:t>，水平衡图见</w:t>
      </w:r>
      <w:r>
        <w:rPr>
          <w:rFonts w:hint="eastAsia"/>
          <w:color w:val="000000"/>
          <w:sz w:val="24"/>
          <w:szCs w:val="24"/>
          <w:lang w:val="en-US" w:eastAsia="zh-CN"/>
        </w:rPr>
        <w:t>下图</w:t>
      </w:r>
      <w:r>
        <w:rPr>
          <w:rFonts w:hint="eastAsia" w:ascii="Times New Roman" w:hAnsi="Times New Roman"/>
          <w:color w:val="000000"/>
          <w:sz w:val="24"/>
          <w:szCs w:val="24"/>
          <w:lang w:eastAsia="zh-CN"/>
        </w:rPr>
        <w:t>。</w:t>
      </w:r>
    </w:p>
    <w:p w14:paraId="783044DD">
      <w:pPr>
        <w:spacing w:line="360" w:lineRule="auto"/>
        <w:ind w:firstLine="482" w:firstLineChars="200"/>
        <w:jc w:val="center"/>
        <w:rPr>
          <w:rFonts w:hint="eastAsia" w:hAnsi="宋体" w:eastAsia="宋体"/>
          <w:b/>
          <w:bCs w:val="0"/>
          <w:color w:val="000000"/>
          <w:sz w:val="24"/>
          <w:szCs w:val="24"/>
          <w:lang w:eastAsia="zh-CN"/>
        </w:rPr>
      </w:pPr>
      <w:r>
        <w:rPr>
          <w:rFonts w:hAnsi="宋体"/>
          <w:b/>
          <w:bCs w:val="0"/>
          <w:color w:val="000000"/>
          <w:sz w:val="24"/>
          <w:szCs w:val="24"/>
        </w:rPr>
        <w:t>表</w:t>
      </w:r>
      <w:r>
        <w:rPr>
          <w:rFonts w:hint="eastAsia"/>
          <w:b/>
          <w:bCs w:val="0"/>
          <w:color w:val="000000"/>
          <w:sz w:val="24"/>
          <w:szCs w:val="24"/>
          <w:lang w:val="en-US" w:eastAsia="zh-CN"/>
        </w:rPr>
        <w:t xml:space="preserve">3.1-11   </w:t>
      </w:r>
      <w:r>
        <w:rPr>
          <w:rFonts w:hint="eastAsia" w:hAnsi="宋体"/>
          <w:b/>
          <w:bCs w:val="0"/>
          <w:color w:val="000000"/>
          <w:sz w:val="24"/>
          <w:szCs w:val="24"/>
        </w:rPr>
        <w:t>水平衡</w:t>
      </w:r>
      <w:r>
        <w:rPr>
          <w:rFonts w:hAnsi="宋体"/>
          <w:b/>
          <w:bCs w:val="0"/>
          <w:color w:val="000000"/>
          <w:sz w:val="24"/>
          <w:szCs w:val="24"/>
        </w:rPr>
        <w:t>一览表</w:t>
      </w:r>
      <w:r>
        <w:rPr>
          <w:rFonts w:hint="eastAsia" w:hAnsi="宋体"/>
          <w:b/>
          <w:bCs w:val="0"/>
          <w:color w:val="000000"/>
          <w:sz w:val="24"/>
          <w:szCs w:val="24"/>
          <w:lang w:val="en-US" w:eastAsia="zh-CN"/>
        </w:rPr>
        <w:t xml:space="preserve">   </w:t>
      </w:r>
      <w:r>
        <w:rPr>
          <w:rFonts w:hint="eastAsia" w:hAnsi="宋体"/>
          <w:b/>
          <w:bCs w:val="0"/>
          <w:color w:val="000000"/>
          <w:sz w:val="24"/>
          <w:szCs w:val="24"/>
        </w:rPr>
        <w:t>单位：t</w:t>
      </w:r>
      <w:r>
        <w:rPr>
          <w:rFonts w:hAnsi="宋体"/>
          <w:b/>
          <w:bCs w:val="0"/>
          <w:color w:val="000000"/>
          <w:sz w:val="24"/>
          <w:szCs w:val="24"/>
        </w:rPr>
        <w:t>/</w:t>
      </w:r>
      <w:r>
        <w:rPr>
          <w:rFonts w:hint="eastAsia" w:hAnsi="宋体"/>
          <w:b/>
          <w:bCs w:val="0"/>
          <w:color w:val="000000"/>
          <w:sz w:val="24"/>
          <w:szCs w:val="24"/>
          <w:lang w:val="en-US" w:eastAsia="zh-CN"/>
        </w:rPr>
        <w:t>a</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7"/>
        <w:gridCol w:w="1682"/>
        <w:gridCol w:w="1830"/>
        <w:gridCol w:w="1575"/>
        <w:gridCol w:w="1325"/>
      </w:tblGrid>
      <w:tr w14:paraId="333A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vMerge w:val="restart"/>
            <w:tcBorders>
              <w:tl2br w:val="nil"/>
              <w:tr2bl w:val="nil"/>
            </w:tcBorders>
            <w:noWrap w:val="0"/>
            <w:vAlign w:val="center"/>
          </w:tcPr>
          <w:p w14:paraId="1C998A1B">
            <w:pPr>
              <w:jc w:val="center"/>
              <w:rPr>
                <w:b/>
                <w:color w:val="000000"/>
                <w:szCs w:val="21"/>
              </w:rPr>
            </w:pPr>
            <w:r>
              <w:rPr>
                <w:rFonts w:hAnsi="宋体"/>
                <w:b/>
                <w:color w:val="000000"/>
                <w:szCs w:val="21"/>
              </w:rPr>
              <w:t>工段或设备</w:t>
            </w:r>
          </w:p>
        </w:tc>
        <w:tc>
          <w:tcPr>
            <w:tcW w:w="1682" w:type="dxa"/>
            <w:vMerge w:val="restart"/>
            <w:tcBorders>
              <w:tl2br w:val="nil"/>
              <w:tr2bl w:val="nil"/>
            </w:tcBorders>
            <w:noWrap w:val="0"/>
            <w:vAlign w:val="center"/>
          </w:tcPr>
          <w:p w14:paraId="10275946">
            <w:pPr>
              <w:jc w:val="center"/>
              <w:rPr>
                <w:rFonts w:hint="eastAsia"/>
                <w:b/>
                <w:color w:val="000000"/>
                <w:szCs w:val="21"/>
              </w:rPr>
            </w:pPr>
            <w:r>
              <w:rPr>
                <w:rFonts w:hAnsi="宋体"/>
                <w:b/>
                <w:color w:val="000000"/>
                <w:szCs w:val="21"/>
              </w:rPr>
              <w:t>用水</w:t>
            </w:r>
            <w:r>
              <w:rPr>
                <w:rFonts w:hint="eastAsia" w:hAnsi="宋体"/>
                <w:b/>
                <w:color w:val="000000"/>
                <w:szCs w:val="21"/>
              </w:rPr>
              <w:t>量</w:t>
            </w:r>
          </w:p>
        </w:tc>
        <w:tc>
          <w:tcPr>
            <w:tcW w:w="4730" w:type="dxa"/>
            <w:gridSpan w:val="3"/>
            <w:tcBorders>
              <w:tl2br w:val="nil"/>
              <w:tr2bl w:val="nil"/>
            </w:tcBorders>
            <w:noWrap w:val="0"/>
            <w:vAlign w:val="center"/>
          </w:tcPr>
          <w:p w14:paraId="0BC1A048">
            <w:pPr>
              <w:jc w:val="center"/>
              <w:rPr>
                <w:b/>
                <w:color w:val="000000"/>
                <w:szCs w:val="21"/>
              </w:rPr>
            </w:pPr>
            <w:r>
              <w:rPr>
                <w:rFonts w:hAnsi="宋体"/>
                <w:b/>
                <w:color w:val="000000"/>
                <w:szCs w:val="21"/>
              </w:rPr>
              <w:t>排水</w:t>
            </w:r>
          </w:p>
        </w:tc>
      </w:tr>
      <w:tr w14:paraId="59B0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vMerge w:val="continue"/>
            <w:tcBorders>
              <w:tl2br w:val="nil"/>
              <w:tr2bl w:val="nil"/>
            </w:tcBorders>
            <w:noWrap w:val="0"/>
            <w:vAlign w:val="center"/>
          </w:tcPr>
          <w:p w14:paraId="7B5DE9EF">
            <w:pPr>
              <w:jc w:val="center"/>
              <w:rPr>
                <w:b/>
                <w:color w:val="000000"/>
                <w:szCs w:val="21"/>
              </w:rPr>
            </w:pPr>
          </w:p>
        </w:tc>
        <w:tc>
          <w:tcPr>
            <w:tcW w:w="1682" w:type="dxa"/>
            <w:vMerge w:val="continue"/>
            <w:tcBorders>
              <w:tl2br w:val="nil"/>
              <w:tr2bl w:val="nil"/>
            </w:tcBorders>
            <w:noWrap w:val="0"/>
            <w:vAlign w:val="center"/>
          </w:tcPr>
          <w:p w14:paraId="54AE7A52">
            <w:pPr>
              <w:jc w:val="center"/>
              <w:rPr>
                <w:b/>
                <w:color w:val="000000"/>
                <w:szCs w:val="21"/>
              </w:rPr>
            </w:pPr>
          </w:p>
        </w:tc>
        <w:tc>
          <w:tcPr>
            <w:tcW w:w="1830" w:type="dxa"/>
            <w:tcBorders>
              <w:tl2br w:val="nil"/>
              <w:tr2bl w:val="nil"/>
            </w:tcBorders>
            <w:noWrap w:val="0"/>
            <w:vAlign w:val="center"/>
          </w:tcPr>
          <w:p w14:paraId="6E9649C5">
            <w:pPr>
              <w:jc w:val="center"/>
              <w:rPr>
                <w:b/>
                <w:color w:val="000000"/>
                <w:szCs w:val="21"/>
              </w:rPr>
            </w:pPr>
            <w:r>
              <w:rPr>
                <w:rFonts w:hAnsi="宋体"/>
                <w:b/>
                <w:color w:val="000000"/>
                <w:szCs w:val="21"/>
              </w:rPr>
              <w:t>损耗</w:t>
            </w:r>
          </w:p>
        </w:tc>
        <w:tc>
          <w:tcPr>
            <w:tcW w:w="1575" w:type="dxa"/>
            <w:tcBorders>
              <w:tl2br w:val="nil"/>
              <w:tr2bl w:val="nil"/>
            </w:tcBorders>
            <w:noWrap w:val="0"/>
            <w:vAlign w:val="center"/>
          </w:tcPr>
          <w:p w14:paraId="034002C3">
            <w:pPr>
              <w:jc w:val="center"/>
              <w:rPr>
                <w:b/>
                <w:color w:val="000000"/>
                <w:szCs w:val="21"/>
              </w:rPr>
            </w:pPr>
            <w:r>
              <w:rPr>
                <w:rFonts w:hAnsi="宋体"/>
                <w:b/>
                <w:color w:val="000000"/>
                <w:szCs w:val="21"/>
              </w:rPr>
              <w:t>排放</w:t>
            </w:r>
          </w:p>
        </w:tc>
        <w:tc>
          <w:tcPr>
            <w:tcW w:w="1325" w:type="dxa"/>
            <w:tcBorders>
              <w:tl2br w:val="nil"/>
              <w:tr2bl w:val="nil"/>
            </w:tcBorders>
            <w:noWrap w:val="0"/>
            <w:vAlign w:val="center"/>
          </w:tcPr>
          <w:p w14:paraId="21C3FB26">
            <w:pPr>
              <w:jc w:val="center"/>
              <w:rPr>
                <w:rFonts w:hint="eastAsia"/>
                <w:b/>
                <w:color w:val="000000"/>
                <w:szCs w:val="21"/>
              </w:rPr>
            </w:pPr>
            <w:r>
              <w:rPr>
                <w:rFonts w:hint="eastAsia"/>
                <w:b/>
                <w:color w:val="000000"/>
                <w:szCs w:val="21"/>
              </w:rPr>
              <w:t>循环</w:t>
            </w:r>
          </w:p>
        </w:tc>
      </w:tr>
      <w:tr w14:paraId="3FD4A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tcBorders>
              <w:tl2br w:val="nil"/>
              <w:tr2bl w:val="nil"/>
            </w:tcBorders>
            <w:noWrap w:val="0"/>
            <w:vAlign w:val="center"/>
          </w:tcPr>
          <w:p w14:paraId="5A6368B7">
            <w:pPr>
              <w:pStyle w:val="1441"/>
              <w:spacing w:line="240" w:lineRule="auto"/>
              <w:ind w:firstLine="0" w:firstLineChars="0"/>
              <w:jc w:val="center"/>
              <w:rPr>
                <w:rFonts w:hint="eastAsia" w:cs="宋体"/>
                <w:color w:val="000000"/>
                <w:kern w:val="0"/>
                <w:sz w:val="21"/>
                <w:szCs w:val="21"/>
                <w:lang w:val="en-US" w:eastAsia="zh-CN" w:bidi="ar-SA"/>
              </w:rPr>
            </w:pPr>
            <w:r>
              <w:rPr>
                <w:rFonts w:hint="eastAsia"/>
                <w:color w:val="000000"/>
                <w:sz w:val="21"/>
                <w:szCs w:val="21"/>
              </w:rPr>
              <w:t>生活用水</w:t>
            </w:r>
          </w:p>
        </w:tc>
        <w:tc>
          <w:tcPr>
            <w:tcW w:w="1682" w:type="dxa"/>
            <w:tcBorders>
              <w:tl2br w:val="nil"/>
              <w:tr2bl w:val="nil"/>
            </w:tcBorders>
            <w:noWrap w:val="0"/>
            <w:vAlign w:val="center"/>
          </w:tcPr>
          <w:p w14:paraId="50F2E9C8">
            <w:pPr>
              <w:jc w:val="center"/>
              <w:rPr>
                <w:rFonts w:hint="default" w:hAnsi="宋体" w:eastAsia="宋体"/>
                <w:color w:val="000000"/>
                <w:kern w:val="2"/>
                <w:sz w:val="21"/>
                <w:szCs w:val="21"/>
                <w:lang w:val="en-US" w:eastAsia="zh-CN" w:bidi="ar-SA"/>
              </w:rPr>
            </w:pPr>
            <w:r>
              <w:rPr>
                <w:rFonts w:hint="eastAsia" w:hAnsi="宋体" w:eastAsia="宋体"/>
                <w:color w:val="000000"/>
                <w:kern w:val="2"/>
                <w:sz w:val="21"/>
                <w:szCs w:val="21"/>
                <w:lang w:val="en-US" w:eastAsia="zh-CN" w:bidi="ar-SA"/>
              </w:rPr>
              <w:t>180</w:t>
            </w:r>
          </w:p>
        </w:tc>
        <w:tc>
          <w:tcPr>
            <w:tcW w:w="1830" w:type="dxa"/>
            <w:tcBorders>
              <w:tl2br w:val="nil"/>
              <w:tr2bl w:val="nil"/>
            </w:tcBorders>
            <w:noWrap w:val="0"/>
            <w:vAlign w:val="center"/>
          </w:tcPr>
          <w:p w14:paraId="1391BC89">
            <w:pPr>
              <w:jc w:val="center"/>
              <w:rPr>
                <w:rFonts w:hint="default" w:hAnsi="宋体" w:eastAsia="宋体"/>
                <w:color w:val="000000"/>
                <w:kern w:val="2"/>
                <w:sz w:val="21"/>
                <w:szCs w:val="21"/>
                <w:lang w:val="en-US" w:eastAsia="zh-CN" w:bidi="ar-SA"/>
              </w:rPr>
            </w:pPr>
            <w:r>
              <w:rPr>
                <w:rFonts w:hint="eastAsia" w:hAnsi="宋体" w:eastAsia="宋体"/>
                <w:color w:val="000000"/>
                <w:kern w:val="2"/>
                <w:sz w:val="21"/>
                <w:szCs w:val="21"/>
                <w:lang w:val="en-US" w:eastAsia="zh-CN" w:bidi="ar-SA"/>
              </w:rPr>
              <w:t>36</w:t>
            </w:r>
          </w:p>
        </w:tc>
        <w:tc>
          <w:tcPr>
            <w:tcW w:w="1575" w:type="dxa"/>
            <w:tcBorders>
              <w:tl2br w:val="nil"/>
              <w:tr2bl w:val="nil"/>
            </w:tcBorders>
            <w:noWrap w:val="0"/>
            <w:vAlign w:val="center"/>
          </w:tcPr>
          <w:p w14:paraId="31C55B73">
            <w:pPr>
              <w:jc w:val="center"/>
              <w:rPr>
                <w:rFonts w:hint="default" w:hAnsi="宋体" w:eastAsia="宋体"/>
                <w:color w:val="000000"/>
                <w:kern w:val="2"/>
                <w:sz w:val="21"/>
                <w:szCs w:val="21"/>
                <w:lang w:val="en-US" w:eastAsia="zh-CN" w:bidi="ar-SA"/>
              </w:rPr>
            </w:pPr>
            <w:r>
              <w:rPr>
                <w:rFonts w:hint="eastAsia" w:hAnsi="宋体" w:eastAsia="宋体"/>
                <w:color w:val="000000"/>
                <w:kern w:val="2"/>
                <w:sz w:val="21"/>
                <w:szCs w:val="21"/>
                <w:lang w:val="en-US" w:eastAsia="zh-CN" w:bidi="ar-SA"/>
              </w:rPr>
              <w:t>144</w:t>
            </w:r>
          </w:p>
        </w:tc>
        <w:tc>
          <w:tcPr>
            <w:tcW w:w="1325" w:type="dxa"/>
            <w:tcBorders>
              <w:tl2br w:val="nil"/>
              <w:tr2bl w:val="nil"/>
            </w:tcBorders>
            <w:noWrap w:val="0"/>
            <w:vAlign w:val="center"/>
          </w:tcPr>
          <w:p w14:paraId="6DFB5A4D">
            <w:pPr>
              <w:jc w:val="center"/>
              <w:rPr>
                <w:rFonts w:hint="eastAsia" w:hAnsi="宋体"/>
                <w:color w:val="000000"/>
                <w:kern w:val="2"/>
                <w:sz w:val="21"/>
                <w:szCs w:val="21"/>
                <w:lang w:val="en-US" w:eastAsia="zh-CN" w:bidi="ar-SA"/>
              </w:rPr>
            </w:pPr>
            <w:r>
              <w:rPr>
                <w:rFonts w:hint="eastAsia" w:hAnsi="宋体"/>
                <w:color w:val="000000"/>
                <w:szCs w:val="21"/>
              </w:rPr>
              <w:t>0</w:t>
            </w:r>
          </w:p>
        </w:tc>
      </w:tr>
      <w:tr w14:paraId="386D2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2287" w:type="dxa"/>
            <w:tcBorders>
              <w:tl2br w:val="nil"/>
              <w:tr2bl w:val="nil"/>
            </w:tcBorders>
            <w:noWrap w:val="0"/>
            <w:vAlign w:val="center"/>
          </w:tcPr>
          <w:p w14:paraId="3212B6CA">
            <w:pPr>
              <w:pStyle w:val="1441"/>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生产用水</w:t>
            </w:r>
          </w:p>
        </w:tc>
        <w:tc>
          <w:tcPr>
            <w:tcW w:w="1682" w:type="dxa"/>
            <w:tcBorders>
              <w:tl2br w:val="nil"/>
              <w:tr2bl w:val="nil"/>
            </w:tcBorders>
            <w:noWrap w:val="0"/>
            <w:vAlign w:val="center"/>
          </w:tcPr>
          <w:p w14:paraId="0FF6E0E4">
            <w:pPr>
              <w:jc w:val="center"/>
              <w:rPr>
                <w:rFonts w:hint="default" w:hAnsi="宋体"/>
                <w:color w:val="000000"/>
                <w:szCs w:val="21"/>
                <w:lang w:val="en-US" w:eastAsia="zh-CN"/>
              </w:rPr>
            </w:pPr>
            <w:r>
              <w:rPr>
                <w:rFonts w:hint="eastAsia" w:hAnsi="宋体"/>
                <w:color w:val="000000"/>
                <w:szCs w:val="21"/>
                <w:lang w:val="en-US" w:eastAsia="zh-CN"/>
              </w:rPr>
              <w:t>110</w:t>
            </w:r>
          </w:p>
        </w:tc>
        <w:tc>
          <w:tcPr>
            <w:tcW w:w="1830" w:type="dxa"/>
            <w:tcBorders>
              <w:tl2br w:val="nil"/>
              <w:tr2bl w:val="nil"/>
            </w:tcBorders>
            <w:noWrap w:val="0"/>
            <w:vAlign w:val="center"/>
          </w:tcPr>
          <w:p w14:paraId="51B69B91">
            <w:pPr>
              <w:jc w:val="center"/>
              <w:rPr>
                <w:rFonts w:hint="default" w:hAnsi="宋体"/>
                <w:color w:val="000000"/>
                <w:szCs w:val="21"/>
                <w:lang w:val="en-US" w:eastAsia="zh-CN"/>
              </w:rPr>
            </w:pPr>
            <w:r>
              <w:rPr>
                <w:rFonts w:hint="eastAsia" w:hAnsi="宋体"/>
                <w:color w:val="000000"/>
                <w:szCs w:val="21"/>
                <w:lang w:val="en-US" w:eastAsia="zh-CN"/>
              </w:rPr>
              <w:t>110</w:t>
            </w:r>
          </w:p>
        </w:tc>
        <w:tc>
          <w:tcPr>
            <w:tcW w:w="1575" w:type="dxa"/>
            <w:tcBorders>
              <w:tl2br w:val="nil"/>
              <w:tr2bl w:val="nil"/>
            </w:tcBorders>
            <w:noWrap w:val="0"/>
            <w:vAlign w:val="center"/>
          </w:tcPr>
          <w:p w14:paraId="10C21496">
            <w:pPr>
              <w:jc w:val="center"/>
              <w:rPr>
                <w:rFonts w:hint="default" w:hAnsi="宋体" w:eastAsia="宋体"/>
                <w:color w:val="000000"/>
                <w:szCs w:val="21"/>
                <w:lang w:val="en-US" w:eastAsia="zh-CN"/>
              </w:rPr>
            </w:pPr>
            <w:r>
              <w:rPr>
                <w:rFonts w:hint="eastAsia" w:hAnsi="宋体" w:eastAsia="宋体"/>
                <w:color w:val="000000"/>
                <w:szCs w:val="21"/>
                <w:lang w:val="en-US" w:eastAsia="zh-CN"/>
              </w:rPr>
              <w:t>0</w:t>
            </w:r>
          </w:p>
        </w:tc>
        <w:tc>
          <w:tcPr>
            <w:tcW w:w="1325" w:type="dxa"/>
            <w:tcBorders>
              <w:tl2br w:val="nil"/>
              <w:tr2bl w:val="nil"/>
            </w:tcBorders>
            <w:noWrap w:val="0"/>
            <w:vAlign w:val="center"/>
          </w:tcPr>
          <w:p w14:paraId="2FAB0F7D">
            <w:pPr>
              <w:jc w:val="center"/>
              <w:rPr>
                <w:rFonts w:hint="eastAsia" w:hAnsi="宋体" w:eastAsia="宋体"/>
                <w:color w:val="000000"/>
                <w:szCs w:val="21"/>
                <w:lang w:val="en-US" w:eastAsia="zh-CN"/>
              </w:rPr>
            </w:pPr>
            <w:r>
              <w:rPr>
                <w:rFonts w:hint="eastAsia" w:hAnsi="宋体"/>
                <w:color w:val="000000"/>
                <w:szCs w:val="21"/>
                <w:lang w:val="en-US" w:eastAsia="zh-CN"/>
              </w:rPr>
              <w:t>0</w:t>
            </w:r>
          </w:p>
        </w:tc>
      </w:tr>
    </w:tbl>
    <w:p w14:paraId="7A7FB51B">
      <w:pPr>
        <w:pStyle w:val="32"/>
        <w:ind w:firstLine="0"/>
        <w:rPr>
          <w:rFonts w:hint="eastAsia" w:ascii="Times New Roman" w:hAnsi="Times New Roman"/>
          <w:b/>
          <w:color w:val="000000"/>
          <w:sz w:val="21"/>
          <w:szCs w:val="21"/>
        </w:rPr>
      </w:pPr>
      <w:r>
        <w:rPr>
          <w:rFonts w:hint="default" w:ascii="Times New Roman" w:hAnsi="Times New Roman" w:cs="Times New Roman"/>
          <w:b/>
          <w:color w:val="000000"/>
          <w:sz w:val="21"/>
          <w:szCs w:val="21"/>
        </w:rPr>
        <mc:AlternateContent>
          <mc:Choice Requires="wpc">
            <w:drawing>
              <wp:anchor distT="0" distB="0" distL="114300" distR="114300" simplePos="0" relativeHeight="251676672" behindDoc="0" locked="0" layoutInCell="1" allowOverlap="1">
                <wp:simplePos x="0" y="0"/>
                <wp:positionH relativeFrom="column">
                  <wp:posOffset>252095</wp:posOffset>
                </wp:positionH>
                <wp:positionV relativeFrom="paragraph">
                  <wp:posOffset>156210</wp:posOffset>
                </wp:positionV>
                <wp:extent cx="5323205" cy="1643380"/>
                <wp:effectExtent l="0" t="0" r="0" b="0"/>
                <wp:wrapNone/>
                <wp:docPr id="35" name="画布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6" name="圆角矩形 5"/>
                        <wps:cNvSpPr/>
                        <wps:spPr>
                          <a:xfrm>
                            <a:off x="1786890" y="437684"/>
                            <a:ext cx="796290" cy="227418"/>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62407404">
                              <w:pPr>
                                <w:jc w:val="center"/>
                              </w:pPr>
                              <w:r>
                                <w:rPr>
                                  <w:rFonts w:hint="eastAsia"/>
                                </w:rPr>
                                <w:t>生活用水</w:t>
                              </w:r>
                            </w:p>
                          </w:txbxContent>
                        </wps:txbx>
                        <wps:bodyPr lIns="0" tIns="0" rIns="0" bIns="0" upright="1"/>
                      </wps:wsp>
                      <wps:wsp>
                        <wps:cNvPr id="38" name="直接连接符 6"/>
                        <wps:cNvCnPr/>
                        <wps:spPr>
                          <a:xfrm>
                            <a:off x="1147445" y="549487"/>
                            <a:ext cx="626745" cy="635"/>
                          </a:xfrm>
                          <a:prstGeom prst="line">
                            <a:avLst/>
                          </a:prstGeom>
                          <a:ln w="9525" cap="flat" cmpd="sng">
                            <a:solidFill>
                              <a:srgbClr val="000000"/>
                            </a:solidFill>
                            <a:prstDash val="solid"/>
                            <a:headEnd type="none" w="med" len="med"/>
                            <a:tailEnd type="triangle" w="med" len="med"/>
                          </a:ln>
                        </wps:spPr>
                        <wps:bodyPr upright="1"/>
                      </wps:wsp>
                      <wps:wsp>
                        <wps:cNvPr id="39" name="圆角矩形 7"/>
                        <wps:cNvSpPr/>
                        <wps:spPr>
                          <a:xfrm>
                            <a:off x="565785" y="1018934"/>
                            <a:ext cx="548640" cy="226783"/>
                          </a:xfrm>
                          <a:prstGeom prst="roundRect">
                            <a:avLst>
                              <a:gd name="adj" fmla="val 16667"/>
                            </a:avLst>
                          </a:prstGeom>
                          <a:noFill/>
                          <a:ln>
                            <a:noFill/>
                          </a:ln>
                        </wps:spPr>
                        <wps:txbx>
                          <w:txbxContent>
                            <w:p w14:paraId="3A9E4293">
                              <w:pPr>
                                <w:jc w:val="center"/>
                                <w:rPr>
                                  <w:rFonts w:hint="default" w:eastAsia="宋体"/>
                                  <w:lang w:val="en-US" w:eastAsia="zh-CN"/>
                                </w:rPr>
                              </w:pPr>
                              <w:r>
                                <w:rPr>
                                  <w:rFonts w:hint="eastAsia"/>
                                  <w:lang w:val="en-US" w:eastAsia="zh-CN"/>
                                </w:rPr>
                                <w:t>290</w:t>
                              </w:r>
                            </w:p>
                          </w:txbxContent>
                        </wps:txbx>
                        <wps:bodyPr lIns="0" tIns="0" rIns="0" bIns="0" upright="1"/>
                      </wps:wsp>
                      <wps:wsp>
                        <wps:cNvPr id="40" name="圆角矩形 8"/>
                        <wps:cNvSpPr/>
                        <wps:spPr>
                          <a:xfrm>
                            <a:off x="1273175" y="329057"/>
                            <a:ext cx="478790" cy="236311"/>
                          </a:xfrm>
                          <a:prstGeom prst="roundRect">
                            <a:avLst>
                              <a:gd name="adj" fmla="val 16667"/>
                            </a:avLst>
                          </a:prstGeom>
                          <a:noFill/>
                          <a:ln>
                            <a:noFill/>
                          </a:ln>
                        </wps:spPr>
                        <wps:txbx>
                          <w:txbxContent>
                            <w:p w14:paraId="5DB775D1">
                              <w:pPr>
                                <w:jc w:val="center"/>
                                <w:rPr>
                                  <w:rFonts w:hint="default" w:eastAsia="宋体"/>
                                  <w:lang w:val="en-US" w:eastAsia="zh-CN"/>
                                </w:rPr>
                              </w:pPr>
                              <w:r>
                                <w:rPr>
                                  <w:rFonts w:hint="eastAsia" w:eastAsia="宋体"/>
                                  <w:lang w:val="en-US" w:eastAsia="zh-CN"/>
                                </w:rPr>
                                <w:t>180</w:t>
                              </w:r>
                            </w:p>
                          </w:txbxContent>
                        </wps:txbx>
                        <wps:bodyPr lIns="0" tIns="0" rIns="0" bIns="0" upright="1"/>
                      </wps:wsp>
                      <wps:wsp>
                        <wps:cNvPr id="41" name="直接连接符 9"/>
                        <wps:cNvCnPr/>
                        <wps:spPr>
                          <a:xfrm>
                            <a:off x="1153795" y="558381"/>
                            <a:ext cx="635" cy="898237"/>
                          </a:xfrm>
                          <a:prstGeom prst="line">
                            <a:avLst/>
                          </a:prstGeom>
                          <a:ln w="9525" cap="flat" cmpd="sng">
                            <a:solidFill>
                              <a:srgbClr val="000000"/>
                            </a:solidFill>
                            <a:prstDash val="solid"/>
                            <a:headEnd type="none" w="med" len="med"/>
                            <a:tailEnd type="none" w="med" len="med"/>
                          </a:ln>
                        </wps:spPr>
                        <wps:bodyPr upright="1"/>
                      </wps:wsp>
                      <wps:wsp>
                        <wps:cNvPr id="42" name="圆角矩形 10"/>
                        <wps:cNvSpPr/>
                        <wps:spPr>
                          <a:xfrm>
                            <a:off x="29210" y="1133913"/>
                            <a:ext cx="523240" cy="226783"/>
                          </a:xfrm>
                          <a:prstGeom prst="roundRect">
                            <a:avLst>
                              <a:gd name="adj" fmla="val 16667"/>
                            </a:avLst>
                          </a:prstGeom>
                          <a:noFill/>
                          <a:ln>
                            <a:noFill/>
                          </a:ln>
                        </wps:spPr>
                        <wps:txbx>
                          <w:txbxContent>
                            <w:p w14:paraId="5239FA21">
                              <w:pPr>
                                <w:jc w:val="center"/>
                              </w:pPr>
                              <w:r>
                                <w:rPr>
                                  <w:rFonts w:hint="eastAsia"/>
                                </w:rPr>
                                <w:t>新鲜水</w:t>
                              </w:r>
                            </w:p>
                          </w:txbxContent>
                        </wps:txbx>
                        <wps:bodyPr lIns="0" tIns="0" rIns="0" bIns="0" upright="1"/>
                      </wps:wsp>
                      <wps:wsp>
                        <wps:cNvPr id="43" name="任意多边形 11"/>
                        <wps:cNvSpPr/>
                        <wps:spPr>
                          <a:xfrm>
                            <a:off x="2148840" y="208361"/>
                            <a:ext cx="330200" cy="249651"/>
                          </a:xfrm>
                          <a:custGeom>
                            <a:avLst/>
                            <a:gdLst/>
                            <a:ahLst/>
                            <a:cxnLst/>
                            <a:pathLst>
                              <a:path w="600" h="549">
                                <a:moveTo>
                                  <a:pt x="0" y="549"/>
                                </a:moveTo>
                                <a:cubicBezTo>
                                  <a:pt x="141" y="356"/>
                                  <a:pt x="283" y="163"/>
                                  <a:pt x="340" y="130"/>
                                </a:cubicBezTo>
                                <a:cubicBezTo>
                                  <a:pt x="397" y="97"/>
                                  <a:pt x="297" y="372"/>
                                  <a:pt x="340" y="350"/>
                                </a:cubicBezTo>
                                <a:cubicBezTo>
                                  <a:pt x="383" y="328"/>
                                  <a:pt x="553" y="71"/>
                                  <a:pt x="600" y="0"/>
                                </a:cubicBezTo>
                              </a:path>
                            </a:pathLst>
                          </a:custGeom>
                          <a:noFill/>
                          <a:ln w="9525" cap="flat" cmpd="sng">
                            <a:solidFill>
                              <a:srgbClr val="000000"/>
                            </a:solidFill>
                            <a:prstDash val="solid"/>
                            <a:headEnd type="none" w="med" len="med"/>
                            <a:tailEnd type="triangle" w="med" len="med"/>
                          </a:ln>
                        </wps:spPr>
                        <wps:bodyPr upright="1"/>
                      </wps:wsp>
                      <wps:wsp>
                        <wps:cNvPr id="44" name="圆角矩形 12"/>
                        <wps:cNvSpPr/>
                        <wps:spPr>
                          <a:xfrm>
                            <a:off x="2077085" y="0"/>
                            <a:ext cx="803275" cy="226783"/>
                          </a:xfrm>
                          <a:prstGeom prst="roundRect">
                            <a:avLst>
                              <a:gd name="adj" fmla="val 16667"/>
                            </a:avLst>
                          </a:prstGeom>
                          <a:noFill/>
                          <a:ln>
                            <a:noFill/>
                          </a:ln>
                        </wps:spPr>
                        <wps:txbx>
                          <w:txbxContent>
                            <w:p w14:paraId="6600F371">
                              <w:pPr>
                                <w:jc w:val="center"/>
                                <w:rPr>
                                  <w:rFonts w:hint="default" w:eastAsia="宋体"/>
                                  <w:lang w:val="en-US" w:eastAsia="zh-CN"/>
                                </w:rPr>
                              </w:pPr>
                              <w:r>
                                <w:rPr>
                                  <w:rFonts w:hint="eastAsia"/>
                                </w:rPr>
                                <w:t>损耗量</w:t>
                              </w:r>
                              <w:r>
                                <w:rPr>
                                  <w:rFonts w:hint="eastAsia"/>
                                  <w:lang w:val="en-US" w:eastAsia="zh-CN"/>
                                </w:rPr>
                                <w:t>36</w:t>
                              </w:r>
                            </w:p>
                          </w:txbxContent>
                        </wps:txbx>
                        <wps:bodyPr lIns="0" tIns="0" rIns="0" bIns="0" upright="1"/>
                      </wps:wsp>
                      <wps:wsp>
                        <wps:cNvPr id="45" name="直接连接符 13"/>
                        <wps:cNvCnPr/>
                        <wps:spPr>
                          <a:xfrm>
                            <a:off x="565150" y="1227929"/>
                            <a:ext cx="571500" cy="635"/>
                          </a:xfrm>
                          <a:prstGeom prst="line">
                            <a:avLst/>
                          </a:prstGeom>
                          <a:ln w="9525" cap="flat" cmpd="sng">
                            <a:solidFill>
                              <a:srgbClr val="000000"/>
                            </a:solidFill>
                            <a:prstDash val="solid"/>
                            <a:headEnd type="none" w="med" len="med"/>
                            <a:tailEnd type="triangle" w="med" len="med"/>
                          </a:ln>
                        </wps:spPr>
                        <wps:bodyPr upright="1"/>
                      </wps:wsp>
                      <wps:wsp>
                        <wps:cNvPr id="46" name="圆角矩形 14"/>
                        <wps:cNvSpPr/>
                        <wps:spPr>
                          <a:xfrm>
                            <a:off x="3489325" y="457377"/>
                            <a:ext cx="1350010" cy="282684"/>
                          </a:xfrm>
                          <a:prstGeom prst="roundRect">
                            <a:avLst>
                              <a:gd name="adj" fmla="val 16667"/>
                            </a:avLst>
                          </a:prstGeom>
                          <a:noFill/>
                          <a:ln>
                            <a:noFill/>
                          </a:ln>
                        </wps:spPr>
                        <wps:txbx>
                          <w:txbxContent>
                            <w:p w14:paraId="361DD62E">
                              <w:pPr>
                                <w:jc w:val="center"/>
                                <w:rPr>
                                  <w:rFonts w:hint="default" w:eastAsia="宋体"/>
                                  <w:lang w:val="en-US" w:eastAsia="zh-CN"/>
                                </w:rPr>
                              </w:pPr>
                              <w:r>
                                <w:rPr>
                                  <w:rFonts w:hint="eastAsia"/>
                                  <w:lang w:val="en-US" w:eastAsia="zh-CN"/>
                                </w:rPr>
                                <w:t>排入旱厕，定期清掏</w:t>
                              </w:r>
                            </w:p>
                          </w:txbxContent>
                        </wps:txbx>
                        <wps:bodyPr lIns="0" tIns="0" rIns="0" bIns="0" upright="1"/>
                      </wps:wsp>
                      <wps:wsp>
                        <wps:cNvPr id="47" name="圆角矩形 15"/>
                        <wps:cNvSpPr/>
                        <wps:spPr>
                          <a:xfrm>
                            <a:off x="2820035" y="367807"/>
                            <a:ext cx="459740" cy="226783"/>
                          </a:xfrm>
                          <a:prstGeom prst="roundRect">
                            <a:avLst>
                              <a:gd name="adj" fmla="val 16667"/>
                            </a:avLst>
                          </a:prstGeom>
                          <a:noFill/>
                          <a:ln>
                            <a:noFill/>
                          </a:ln>
                        </wps:spPr>
                        <wps:txbx>
                          <w:txbxContent>
                            <w:p w14:paraId="2592E4A8">
                              <w:pPr>
                                <w:jc w:val="center"/>
                                <w:rPr>
                                  <w:rFonts w:hint="default" w:eastAsia="宋体"/>
                                  <w:lang w:val="en-US" w:eastAsia="zh-CN"/>
                                </w:rPr>
                              </w:pPr>
                              <w:r>
                                <w:rPr>
                                  <w:rFonts w:hint="eastAsia"/>
                                  <w:lang w:val="en-US" w:eastAsia="zh-CN"/>
                                </w:rPr>
                                <w:t>144</w:t>
                              </w:r>
                            </w:p>
                          </w:txbxContent>
                        </wps:txbx>
                        <wps:bodyPr lIns="0" tIns="0" rIns="0" bIns="0" upright="1"/>
                      </wps:wsp>
                      <wps:wsp>
                        <wps:cNvPr id="48" name="直接箭头连接符 16"/>
                        <wps:cNvCnPr/>
                        <wps:spPr>
                          <a:xfrm>
                            <a:off x="2581910" y="560286"/>
                            <a:ext cx="897890" cy="635"/>
                          </a:xfrm>
                          <a:prstGeom prst="straightConnector1">
                            <a:avLst/>
                          </a:prstGeom>
                          <a:ln w="9525" cap="flat" cmpd="sng">
                            <a:solidFill>
                              <a:srgbClr val="000000"/>
                            </a:solidFill>
                            <a:prstDash val="solid"/>
                            <a:headEnd type="none" w="med" len="med"/>
                            <a:tailEnd type="triangle" w="med" len="med"/>
                          </a:ln>
                        </wps:spPr>
                        <wps:bodyPr/>
                      </wps:wsp>
                      <wps:wsp>
                        <wps:cNvPr id="49" name="圆角矩形 17"/>
                        <wps:cNvSpPr/>
                        <wps:spPr>
                          <a:xfrm>
                            <a:off x="1261745" y="1248893"/>
                            <a:ext cx="478790" cy="226783"/>
                          </a:xfrm>
                          <a:prstGeom prst="roundRect">
                            <a:avLst>
                              <a:gd name="adj" fmla="val 16667"/>
                            </a:avLst>
                          </a:prstGeom>
                          <a:noFill/>
                          <a:ln>
                            <a:noFill/>
                          </a:ln>
                        </wps:spPr>
                        <wps:txbx>
                          <w:txbxContent>
                            <w:p w14:paraId="34997481">
                              <w:pPr>
                                <w:jc w:val="center"/>
                                <w:rPr>
                                  <w:rFonts w:hint="default" w:eastAsia="宋体"/>
                                  <w:lang w:val="en-US" w:eastAsia="zh-CN"/>
                                </w:rPr>
                              </w:pPr>
                              <w:r>
                                <w:rPr>
                                  <w:rFonts w:hint="eastAsia"/>
                                  <w:bCs/>
                                  <w:szCs w:val="21"/>
                                  <w:lang w:val="en-US" w:eastAsia="zh-CN"/>
                                </w:rPr>
                                <w:t>110</w:t>
                              </w:r>
                            </w:p>
                          </w:txbxContent>
                        </wps:txbx>
                        <wps:bodyPr lIns="0" tIns="0" rIns="0" bIns="0" upright="1"/>
                      </wps:wsp>
                      <wpg:wgp>
                        <wpg:cNvPr id="50" name="组合 20"/>
                        <wpg:cNvGrpSpPr/>
                        <wpg:grpSpPr>
                          <a:xfrm>
                            <a:off x="1790700" y="1107868"/>
                            <a:ext cx="908050" cy="465000"/>
                            <a:chOff x="3690" y="2014"/>
                            <a:chExt cx="1430" cy="732"/>
                          </a:xfrm>
                        </wpg:grpSpPr>
                        <wps:wsp>
                          <wps:cNvPr id="51" name="圆角矩形 18"/>
                          <wps:cNvSpPr/>
                          <wps:spPr>
                            <a:xfrm>
                              <a:off x="3690" y="2390"/>
                              <a:ext cx="1431" cy="357"/>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14:paraId="7B493EC3">
                                <w:pPr>
                                  <w:jc w:val="center"/>
                                </w:pPr>
                                <w:r>
                                  <w:rPr>
                                    <w:rFonts w:hint="eastAsia"/>
                                    <w:bCs/>
                                    <w:szCs w:val="21"/>
                                    <w:lang w:val="en-US" w:eastAsia="zh-CN"/>
                                  </w:rPr>
                                  <w:t>生产</w:t>
                                </w:r>
                                <w:r>
                                  <w:rPr>
                                    <w:rFonts w:hint="eastAsia"/>
                                  </w:rPr>
                                  <w:t>用水</w:t>
                                </w:r>
                              </w:p>
                            </w:txbxContent>
                          </wps:txbx>
                          <wps:bodyPr lIns="0" tIns="0" rIns="0" bIns="0" upright="1"/>
                        </wps:wsp>
                        <wps:wsp>
                          <wps:cNvPr id="83" name="任意多边形 19"/>
                          <wps:cNvSpPr/>
                          <wps:spPr>
                            <a:xfrm>
                              <a:off x="4395" y="2014"/>
                              <a:ext cx="520" cy="393"/>
                            </a:xfrm>
                            <a:custGeom>
                              <a:avLst/>
                              <a:gdLst/>
                              <a:ahLst/>
                              <a:cxnLst/>
                              <a:pathLst>
                                <a:path w="600" h="549">
                                  <a:moveTo>
                                    <a:pt x="0" y="549"/>
                                  </a:moveTo>
                                  <a:cubicBezTo>
                                    <a:pt x="141" y="356"/>
                                    <a:pt x="283" y="163"/>
                                    <a:pt x="340" y="130"/>
                                  </a:cubicBezTo>
                                  <a:cubicBezTo>
                                    <a:pt x="397" y="97"/>
                                    <a:pt x="297" y="372"/>
                                    <a:pt x="340" y="350"/>
                                  </a:cubicBezTo>
                                  <a:cubicBezTo>
                                    <a:pt x="383" y="328"/>
                                    <a:pt x="553" y="71"/>
                                    <a:pt x="600" y="0"/>
                                  </a:cubicBezTo>
                                </a:path>
                              </a:pathLst>
                            </a:custGeom>
                            <a:noFill/>
                            <a:ln w="9525" cap="flat" cmpd="sng">
                              <a:solidFill>
                                <a:srgbClr val="000000"/>
                              </a:solidFill>
                              <a:prstDash val="solid"/>
                              <a:headEnd type="none" w="med" len="med"/>
                              <a:tailEnd type="triangle" w="med" len="med"/>
                            </a:ln>
                          </wps:spPr>
                          <wps:bodyPr upright="1"/>
                        </wps:wsp>
                      </wpg:wgp>
                      <wps:wsp>
                        <wps:cNvPr id="84" name="圆角矩形 21"/>
                        <wps:cNvSpPr/>
                        <wps:spPr>
                          <a:xfrm>
                            <a:off x="2162810" y="879180"/>
                            <a:ext cx="869315" cy="226147"/>
                          </a:xfrm>
                          <a:prstGeom prst="roundRect">
                            <a:avLst>
                              <a:gd name="adj" fmla="val 16667"/>
                            </a:avLst>
                          </a:prstGeom>
                          <a:noFill/>
                          <a:ln>
                            <a:noFill/>
                          </a:ln>
                        </wps:spPr>
                        <wps:txbx>
                          <w:txbxContent>
                            <w:p w14:paraId="167C9C62">
                              <w:pPr>
                                <w:jc w:val="center"/>
                                <w:rPr>
                                  <w:rFonts w:hint="default" w:eastAsia="宋体"/>
                                  <w:lang w:val="en-US" w:eastAsia="zh-CN"/>
                                </w:rPr>
                              </w:pPr>
                              <w:r>
                                <w:rPr>
                                  <w:rFonts w:hint="eastAsia"/>
                                </w:rPr>
                                <w:t>损耗量</w:t>
                              </w:r>
                              <w:r>
                                <w:rPr>
                                  <w:rFonts w:hint="eastAsia"/>
                                  <w:lang w:val="en-US" w:eastAsia="zh-CN"/>
                                </w:rPr>
                                <w:t>110</w:t>
                              </w:r>
                            </w:p>
                          </w:txbxContent>
                        </wps:txbx>
                        <wps:bodyPr lIns="0" tIns="0" rIns="0" bIns="0" upright="1"/>
                      </wps:wsp>
                      <wps:wsp>
                        <wps:cNvPr id="207" name="直接连接符 22"/>
                        <wps:cNvCnPr/>
                        <wps:spPr>
                          <a:xfrm flipV="1">
                            <a:off x="1164590" y="1466147"/>
                            <a:ext cx="616585" cy="635"/>
                          </a:xfrm>
                          <a:prstGeom prst="line">
                            <a:avLst/>
                          </a:prstGeom>
                          <a:ln w="9525" cap="flat" cmpd="sng">
                            <a:solidFill>
                              <a:srgbClr val="000000"/>
                            </a:solidFill>
                            <a:prstDash val="solid"/>
                            <a:headEnd type="none" w="med" len="med"/>
                            <a:tailEnd type="triangle" w="med" len="med"/>
                          </a:ln>
                        </wps:spPr>
                        <wps:bodyPr upright="1"/>
                      </wps:wsp>
                    </wpc:wpc>
                  </a:graphicData>
                </a:graphic>
              </wp:anchor>
            </w:drawing>
          </mc:Choice>
          <mc:Fallback>
            <w:pict>
              <v:group id="_x0000_s1026" o:spid="_x0000_s1026" o:spt="203" style="position:absolute;left:0pt;margin-left:19.85pt;margin-top:12.3pt;height:129.4pt;width:419.15pt;z-index:251676672;mso-width-relative:page;mso-height-relative:page;" coordsize="5323205,1643380" editas="canvas" o:gfxdata="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">
                <o:lock v:ext="edit" aspectratio="f"/>
                <v:shape id="_x0000_s1026" o:spid="_x0000_s1026" style="position:absolute;left:0;top:0;height:1643380;width:5323205;" filled="f" stroked="f" coordsize="21600,21600" o:gfxdata="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">
                  <v:fill on="f" focussize="0,0"/>
                  <v:stroke on="f"/>
                  <v:imagedata o:title=""/>
                  <o:lock v:ext="edit" aspectratio="t"/>
                </v:shape>
                <v:roundrect id="圆角矩形 5" o:spid="_x0000_s1026" o:spt="2" style="position:absolute;left:1786890;top:437684;height:227418;width:796290;" fillcolor="#FFFFFF" filled="t" stroked="t" coordsize="21600,21600" arcsize="0.166666666666667" o:gfxdata="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1yvjfcAAAACQEAAA8AAAAAAAAAAQAgAAAAIgAA&#10;AGRycy9kb3ducmV2LnhtbFBLAQIUABQAAAAIAIdO4kD4AJIEPQIAAIUEAAAOAAAAAAAAAAEAIAAA&#10;ACsBAABkcnMvZTJvRG9jLnhtbFBLBQYAAAAABgAGAFkBAADaBQAAAAA=&#10;">
                  <v:fill on="t" focussize="0,0"/>
                  <v:stroke color="#000000" joinstyle="round"/>
                  <v:imagedata o:title=""/>
                  <o:lock v:ext="edit" aspectratio="f"/>
                  <v:textbox inset="0mm,0mm,0mm,0mm">
                    <w:txbxContent>
                      <w:p w14:paraId="62407404">
                        <w:pPr>
                          <w:jc w:val="center"/>
                        </w:pPr>
                        <w:r>
                          <w:rPr>
                            <w:rFonts w:hint="eastAsia"/>
                          </w:rPr>
                          <w:t>生活用水</w:t>
                        </w:r>
                      </w:p>
                    </w:txbxContent>
                  </v:textbox>
                </v:roundrect>
                <v:line id="直接连接符 6" o:spid="_x0000_s1026" o:spt="20" style="position:absolute;left:1147445;top:549487;height:635;width:626745;" filled="f" stroked="t" coordsize="21600,21600" o:gfxdata="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sqbt2gAAAAkBAAAPAAAAAAAAAAEAIAAA&#10;ACIAAABkcnMvZG93bnJldi54bWxQSwECFAAUAAAACACHTuJA0zKX9AoCAAD1AwAADgAAAAAAAAAB&#10;ACAAAAApAQAAZHJzL2Uyb0RvYy54bWxQSwUGAAAAAAYABgBZAQAApQUAAAAA&#10;">
                  <v:fill on="f" focussize="0,0"/>
                  <v:stroke color="#000000" joinstyle="round" endarrow="block"/>
                  <v:imagedata o:title=""/>
                  <o:lock v:ext="edit" aspectratio="f"/>
                </v:line>
                <v:roundrect id="圆角矩形 7" o:spid="_x0000_s1026" o:spt="2" style="position:absolute;left:565785;top:1018934;height:226783;width:548640;"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WrMV2QAA&#10;AAkBAAAPAAAAAAAAAAEAIAAAACIAAABkcnMvZG93bnJldi54bWxQSwECFAAUAAAACACHTuJAobLk&#10;ieQBAACnAwAADgAAAAAAAAABACAAAAAoAQAAZHJzL2Uyb0RvYy54bWxQSwUGAAAAAAYABgBZAQAA&#10;fgUAAAAA&#10;">
                  <v:fill on="f" focussize="0,0"/>
                  <v:stroke on="f"/>
                  <v:imagedata o:title=""/>
                  <o:lock v:ext="edit" aspectratio="f"/>
                  <v:textbox inset="0mm,0mm,0mm,0mm">
                    <w:txbxContent>
                      <w:p w14:paraId="3A9E4293">
                        <w:pPr>
                          <w:jc w:val="center"/>
                          <w:rPr>
                            <w:rFonts w:hint="default" w:eastAsia="宋体"/>
                            <w:lang w:val="en-US" w:eastAsia="zh-CN"/>
                          </w:rPr>
                        </w:pPr>
                        <w:r>
                          <w:rPr>
                            <w:rFonts w:hint="eastAsia"/>
                            <w:lang w:val="en-US" w:eastAsia="zh-CN"/>
                          </w:rPr>
                          <w:t>290</w:t>
                        </w:r>
                      </w:p>
                    </w:txbxContent>
                  </v:textbox>
                </v:roundrect>
                <v:roundrect id="圆角矩形 8" o:spid="_x0000_s1026" o:spt="2" style="position:absolute;left:1273175;top:329057;height:236311;width:478790;"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WrMV2QAA&#10;AAkBAAAPAAAAAAAAAAEAIAAAACIAAABkcnMvZG93bnJldi54bWxQSwECFAAUAAAACACHTuJA8jg0&#10;A+QBAACnAwAADgAAAAAAAAABACAAAAAoAQAAZHJzL2Uyb0RvYy54bWxQSwUGAAAAAAYABgBZAQAA&#10;fgUAAAAA&#10;">
                  <v:fill on="f" focussize="0,0"/>
                  <v:stroke on="f"/>
                  <v:imagedata o:title=""/>
                  <o:lock v:ext="edit" aspectratio="f"/>
                  <v:textbox inset="0mm,0mm,0mm,0mm">
                    <w:txbxContent>
                      <w:p w14:paraId="5DB775D1">
                        <w:pPr>
                          <w:jc w:val="center"/>
                          <w:rPr>
                            <w:rFonts w:hint="default" w:eastAsia="宋体"/>
                            <w:lang w:val="en-US" w:eastAsia="zh-CN"/>
                          </w:rPr>
                        </w:pPr>
                        <w:r>
                          <w:rPr>
                            <w:rFonts w:hint="eastAsia" w:eastAsia="宋体"/>
                            <w:lang w:val="en-US" w:eastAsia="zh-CN"/>
                          </w:rPr>
                          <w:t>180</w:t>
                        </w:r>
                      </w:p>
                    </w:txbxContent>
                  </v:textbox>
                </v:roundrect>
                <v:line id="直接连接符 9" o:spid="_x0000_s1026" o:spt="20" style="position:absolute;left:1153795;top:558381;height:898237;width:635;" filled="f" stroked="t" coordsize="21600,21600" o:gfxdata="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rWJTYAAAACQEAAA8AAAAAAAAAAQAgAAAAIgAAAGRycy9k&#10;b3ducmV2LnhtbFBLAQIUABQAAAAIAIdO4kBCIv8KAgIAAPEDAAAOAAAAAAAAAAEAIAAAACcBAABk&#10;cnMvZTJvRG9jLnhtbFBLBQYAAAAABgAGAFkBAACbBQAAAAA=&#10;">
                  <v:fill on="f" focussize="0,0"/>
                  <v:stroke color="#000000" joinstyle="round"/>
                  <v:imagedata o:title=""/>
                  <o:lock v:ext="edit" aspectratio="f"/>
                </v:line>
                <v:roundrect id="圆角矩形 10" o:spid="_x0000_s1026" o:spt="2" style="position:absolute;left:29210;top:1133913;height:226783;width:523240;"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JasxXZAAAA&#10;CQEAAA8AAAAAAAAAAQAgAAAAIgAAAGRycy9kb3ducmV2LnhtbFBLAQIUABQAAAAIAIdO4kD8rEvS&#10;4wEAAKcDAAAOAAAAAAAAAAEAIAAAACgBAABkcnMvZTJvRG9jLnhtbFBLBQYAAAAABgAGAFkBAAB9&#10;BQAAAAA=&#10;">
                  <v:fill on="f" focussize="0,0"/>
                  <v:stroke on="f"/>
                  <v:imagedata o:title=""/>
                  <o:lock v:ext="edit" aspectratio="f"/>
                  <v:textbox inset="0mm,0mm,0mm,0mm">
                    <w:txbxContent>
                      <w:p w14:paraId="5239FA21">
                        <w:pPr>
                          <w:jc w:val="center"/>
                        </w:pPr>
                        <w:r>
                          <w:rPr>
                            <w:rFonts w:hint="eastAsia"/>
                          </w:rPr>
                          <w:t>新鲜水</w:t>
                        </w:r>
                      </w:p>
                    </w:txbxContent>
                  </v:textbox>
                </v:roundrect>
                <v:shape id="任意多边形 11" o:spid="_x0000_s1026" o:spt="100" style="position:absolute;left:2148840;top:208361;height:249651;width:330200;" filled="f" stroked="t" coordsize="600,549" o:gfxdata="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UKc9j2AAAAAkBAAAPAAAAAAAAAAEAIAAAACIAAABkcnMvZG93bnJldi54bWxQSwECFAAU&#10;AAAACACHTuJAIRlT7JwCAACbBQAADgAAAAAAAAABACAAAAAnAQAAZHJzL2Uyb0RvYy54bWxQSwUG&#10;AAAAAAYABgBZAQAANQYAAAAA&#10;" path="m0,549c141,356,283,163,340,130c397,97,297,372,340,350c383,328,553,71,600,0e">
                  <v:fill on="f" focussize="0,0"/>
                  <v:stroke color="#000000" joinstyle="round" endarrow="block"/>
                  <v:imagedata o:title=""/>
                  <o:lock v:ext="edit" aspectratio="f"/>
                </v:shape>
                <v:roundrect id="圆角矩形 12" o:spid="_x0000_s1026" o:spt="2" style="position:absolute;left:2077085;top:0;height:226783;width:803275;"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CWrMV2QAAAAkBAAAP&#10;AAAAAAAAAAEAIAAAACIAAABkcnMvZG93bnJldi54bWxQSwECFAAUAAAACACHTuJAxaWePN4BAACj&#10;AwAADgAAAAAAAAABACAAAAAoAQAAZHJzL2Uyb0RvYy54bWxQSwUGAAAAAAYABgBZAQAAeAUAAAAA&#10;">
                  <v:fill on="f" focussize="0,0"/>
                  <v:stroke on="f"/>
                  <v:imagedata o:title=""/>
                  <o:lock v:ext="edit" aspectratio="f"/>
                  <v:textbox inset="0mm,0mm,0mm,0mm">
                    <w:txbxContent>
                      <w:p w14:paraId="6600F371">
                        <w:pPr>
                          <w:jc w:val="center"/>
                          <w:rPr>
                            <w:rFonts w:hint="default" w:eastAsia="宋体"/>
                            <w:lang w:val="en-US" w:eastAsia="zh-CN"/>
                          </w:rPr>
                        </w:pPr>
                        <w:r>
                          <w:rPr>
                            <w:rFonts w:hint="eastAsia"/>
                          </w:rPr>
                          <w:t>损耗量</w:t>
                        </w:r>
                        <w:r>
                          <w:rPr>
                            <w:rFonts w:hint="eastAsia"/>
                            <w:lang w:val="en-US" w:eastAsia="zh-CN"/>
                          </w:rPr>
                          <w:t>36</w:t>
                        </w:r>
                      </w:p>
                    </w:txbxContent>
                  </v:textbox>
                </v:roundrect>
                <v:line id="直接连接符 13" o:spid="_x0000_s1026" o:spt="20" style="position:absolute;left:565150;top:1227929;height:635;width:571500;" filled="f" stroked="t" coordsize="21600,21600" o:gfxdata="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iypu3aAAAACQEAAA8AAAAAAAAAAQAgAAAA&#10;IgAAAGRycy9kb3ducmV2LnhtbFBLAQIUABQAAAAIAIdO4kBIrwn9CQIAAPYDAAAOAAAAAAAAAAEA&#10;IAAAACkBAABkcnMvZTJvRG9jLnhtbFBLBQYAAAAABgAGAFkBAACkBQAAAAA=&#10;">
                  <v:fill on="f" focussize="0,0"/>
                  <v:stroke color="#000000" joinstyle="round" endarrow="block"/>
                  <v:imagedata o:title=""/>
                  <o:lock v:ext="edit" aspectratio="f"/>
                </v:line>
                <v:roundrect id="圆角矩形 14" o:spid="_x0000_s1026" o:spt="2" style="position:absolute;left:3489325;top:457377;height:282684;width:1350010;"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JasxXZAAAA&#10;CQEAAA8AAAAAAAAAAQAgAAAAIgAAAGRycy9kb3ducmV2LnhtbFBLAQIUABQAAAAIAIdO4kCluJjS&#10;4wEAAKkDAAAOAAAAAAAAAAEAIAAAACgBAABkcnMvZTJvRG9jLnhtbFBLBQYAAAAABgAGAFkBAAB9&#10;BQAAAAA=&#10;">
                  <v:fill on="f" focussize="0,0"/>
                  <v:stroke on="f"/>
                  <v:imagedata o:title=""/>
                  <o:lock v:ext="edit" aspectratio="f"/>
                  <v:textbox inset="0mm,0mm,0mm,0mm">
                    <w:txbxContent>
                      <w:p w14:paraId="361DD62E">
                        <w:pPr>
                          <w:jc w:val="center"/>
                          <w:rPr>
                            <w:rFonts w:hint="default" w:eastAsia="宋体"/>
                            <w:lang w:val="en-US" w:eastAsia="zh-CN"/>
                          </w:rPr>
                        </w:pPr>
                        <w:r>
                          <w:rPr>
                            <w:rFonts w:hint="eastAsia"/>
                            <w:lang w:val="en-US" w:eastAsia="zh-CN"/>
                          </w:rPr>
                          <w:t>排入旱厕，定期清掏</w:t>
                        </w:r>
                      </w:p>
                    </w:txbxContent>
                  </v:textbox>
                </v:roundrect>
                <v:roundrect id="圆角矩形 15" o:spid="_x0000_s1026" o:spt="2" style="position:absolute;left:2820035;top:367807;height:226783;width:459740;"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lqzFdkA&#10;AAAJAQAADwAAAAAAAAABACAAAAAiAAAAZHJzL2Rvd25yZXYueG1sUEsBAhQAFAAAAAgAh07iQA/7&#10;jWzlAQAAqAMAAA4AAAAAAAAAAQAgAAAAKAEAAGRycy9lMm9Eb2MueG1sUEsFBgAAAAAGAAYAWQEA&#10;AH8FAAAAAA==&#10;">
                  <v:fill on="f" focussize="0,0"/>
                  <v:stroke on="f"/>
                  <v:imagedata o:title=""/>
                  <o:lock v:ext="edit" aspectratio="f"/>
                  <v:textbox inset="0mm,0mm,0mm,0mm">
                    <w:txbxContent>
                      <w:p w14:paraId="2592E4A8">
                        <w:pPr>
                          <w:jc w:val="center"/>
                          <w:rPr>
                            <w:rFonts w:hint="default" w:eastAsia="宋体"/>
                            <w:lang w:val="en-US" w:eastAsia="zh-CN"/>
                          </w:rPr>
                        </w:pPr>
                        <w:r>
                          <w:rPr>
                            <w:rFonts w:hint="eastAsia"/>
                            <w:lang w:val="en-US" w:eastAsia="zh-CN"/>
                          </w:rPr>
                          <w:t>144</w:t>
                        </w:r>
                      </w:p>
                    </w:txbxContent>
                  </v:textbox>
                </v:roundrect>
                <v:shape id="直接箭头连接符 16" o:spid="_x0000_s1026" o:spt="32" type="#_x0000_t32" style="position:absolute;left:2581910;top:560286;height:635;width:897890;" filled="f" stroked="t" coordsize="21600,21600" o:gfxdata="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Bf7Ag2gAAAAkBAAAPAAAA&#10;AAAAAAEAIAAAACIAAABkcnMvZG93bnJldi54bWxQSwECFAAUAAAACACHTuJAjl7aBBMCAAD+AwAA&#10;DgAAAAAAAAABACAAAAApAQAAZHJzL2Uyb0RvYy54bWxQSwUGAAAAAAYABgBZAQAArgUAAAAA&#10;">
                  <v:fill on="f" focussize="0,0"/>
                  <v:stroke color="#000000" joinstyle="round" endarrow="block"/>
                  <v:imagedata o:title=""/>
                  <o:lock v:ext="edit" aspectratio="f"/>
                </v:shape>
                <v:roundrect id="圆角矩形 17" o:spid="_x0000_s1026" o:spt="2" style="position:absolute;left:1261745;top:1248893;height:226783;width:478790;"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CWrMV2QAAAAkB&#10;AAAPAAAAAAAAAAEAIAAAACIAAABkcnMvZG93bnJldi54bWxQSwECFAAUAAAACACHTuJAnvLNl+EB&#10;AACpAwAADgAAAAAAAAABACAAAAAoAQAAZHJzL2Uyb0RvYy54bWxQSwUGAAAAAAYABgBZAQAAewUA&#10;AAAA&#10;">
                  <v:fill on="f" focussize="0,0"/>
                  <v:stroke on="f"/>
                  <v:imagedata o:title=""/>
                  <o:lock v:ext="edit" aspectratio="f"/>
                  <v:textbox inset="0mm,0mm,0mm,0mm">
                    <w:txbxContent>
                      <w:p w14:paraId="34997481">
                        <w:pPr>
                          <w:jc w:val="center"/>
                          <w:rPr>
                            <w:rFonts w:hint="default" w:eastAsia="宋体"/>
                            <w:lang w:val="en-US" w:eastAsia="zh-CN"/>
                          </w:rPr>
                        </w:pPr>
                        <w:r>
                          <w:rPr>
                            <w:rFonts w:hint="eastAsia"/>
                            <w:bCs/>
                            <w:szCs w:val="21"/>
                            <w:lang w:val="en-US" w:eastAsia="zh-CN"/>
                          </w:rPr>
                          <w:t>110</w:t>
                        </w:r>
                      </w:p>
                    </w:txbxContent>
                  </v:textbox>
                </v:roundrect>
                <v:group id="组合 20" o:spid="_x0000_s1026" o:spt="203" style="position:absolute;left:1790700;top:1107868;height:465000;width:908050;" coordorigin="3690,2014" coordsize="1430,732" o:gfxdata="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AwDtLx2gAA&#10;AAkBAAAPAAAAAAAAAAEAIAAAACIAAABkcnMvZG93bnJldi54bWxQSwECFAAUAAAACACHTuJAvkb6&#10;iqsDAABqCQAADgAAAAAAAAABACAAAAApAQAAZHJzL2Uyb0RvYy54bWxQSwUGAAAAAAYABgBZAQAA&#10;RgcAAAAA&#10;">
                  <o:lock v:ext="edit" aspectratio="f"/>
                  <v:roundrect id="圆角矩形 18" o:spid="_x0000_s1026" o:spt="2" style="position:absolute;left:3690;top:2390;height:357;width:1431;" fillcolor="#FFFFFF" filled="t" stroked="t" coordsize="21600,21600" arcsize="0.166666666666667" o:gfxdata="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2/P7&#10;wAAAANsAAAAPAAAAAAAAAAEAIAAAACIAAABkcnMvZG93bnJldi54bWxQSwECFAAUAAAACACHTuJA&#10;My8FnjsAAAA5AAAAEAAAAAAAAAABACAAAAAPAQAAZHJzL3NoYXBleG1sLnhtbFBLBQYAAAAABgAG&#10;AFsBAAC5AwAAAAA=&#10;">
                    <v:fill on="t" focussize="0,0"/>
                    <v:stroke color="#000000" joinstyle="round"/>
                    <v:imagedata o:title=""/>
                    <o:lock v:ext="edit" aspectratio="f"/>
                    <v:textbox inset="0mm,0mm,0mm,0mm">
                      <w:txbxContent>
                        <w:p w14:paraId="7B493EC3">
                          <w:pPr>
                            <w:jc w:val="center"/>
                          </w:pPr>
                          <w:r>
                            <w:rPr>
                              <w:rFonts w:hint="eastAsia"/>
                              <w:bCs/>
                              <w:szCs w:val="21"/>
                              <w:lang w:val="en-US" w:eastAsia="zh-CN"/>
                            </w:rPr>
                            <w:t>生产</w:t>
                          </w:r>
                          <w:r>
                            <w:rPr>
                              <w:rFonts w:hint="eastAsia"/>
                            </w:rPr>
                            <w:t>用水</w:t>
                          </w:r>
                        </w:p>
                      </w:txbxContent>
                    </v:textbox>
                  </v:roundrect>
                  <v:shape id="任意多边形 19" o:spid="_x0000_s1026" o:spt="100" style="position:absolute;left:4395;top:2014;height:393;width:520;" filled="f" stroked="t" coordsize="600,549" o:gfxdata="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ngtJr4A&#10;AADbAAAADwAAAAAAAAABACAAAAAiAAAAZHJzL2Rvd25yZXYueG1sUEsBAhQAFAAAAAgAh07iQDMv&#10;BZ47AAAAOQAAABAAAAAAAAAAAQAgAAAADQEAAGRycy9zaGFwZXhtbC54bWxQSwUGAAAAAAYABgBb&#10;AQAAtwMAAAAA&#10;" path="m0,549c141,356,283,163,340,130c397,97,297,372,340,350c383,328,553,71,600,0e">
                    <v:fill on="f" focussize="0,0"/>
                    <v:stroke color="#000000" joinstyle="round" endarrow="block"/>
                    <v:imagedata o:title=""/>
                    <o:lock v:ext="edit" aspectratio="f"/>
                  </v:shape>
                </v:group>
                <v:roundrect id="圆角矩形 21" o:spid="_x0000_s1026" o:spt="2" style="position:absolute;left:2162810;top:879180;height:226147;width:869315;" filled="f" stroked="f" coordsize="21600,21600" arcsize="0.166666666666667" o:gfxdata="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QlqzFdkAAAAJ&#10;AQAADwAAAAAAAAABACAAAAAiAAAAZHJzL2Rvd25yZXYueG1sUEsBAhQAFAAAAAgAh07iQN4+YLfi&#10;AQAAqAMAAA4AAAAAAAAAAQAgAAAAKAEAAGRycy9lMm9Eb2MueG1sUEsFBgAAAAAGAAYAWQEAAHwF&#10;AAAAAA==&#10;">
                  <v:fill on="f" focussize="0,0"/>
                  <v:stroke on="f"/>
                  <v:imagedata o:title=""/>
                  <o:lock v:ext="edit" aspectratio="f"/>
                  <v:textbox inset="0mm,0mm,0mm,0mm">
                    <w:txbxContent>
                      <w:p w14:paraId="167C9C62">
                        <w:pPr>
                          <w:jc w:val="center"/>
                          <w:rPr>
                            <w:rFonts w:hint="default" w:eastAsia="宋体"/>
                            <w:lang w:val="en-US" w:eastAsia="zh-CN"/>
                          </w:rPr>
                        </w:pPr>
                        <w:r>
                          <w:rPr>
                            <w:rFonts w:hint="eastAsia"/>
                          </w:rPr>
                          <w:t>损耗量</w:t>
                        </w:r>
                        <w:r>
                          <w:rPr>
                            <w:rFonts w:hint="eastAsia"/>
                            <w:lang w:val="en-US" w:eastAsia="zh-CN"/>
                          </w:rPr>
                          <w:t>110</w:t>
                        </w:r>
                      </w:p>
                    </w:txbxContent>
                  </v:textbox>
                </v:roundrect>
                <v:line id="直接连接符 22" o:spid="_x0000_s1026" o:spt="20" style="position:absolute;left:1164590;top:1466147;flip:y;height:635;width:616585;" filled="f" stroked="t" coordsize="21600,21600" o:gfxdata="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4kM/m2gAAAAkBAAAPAAAA&#10;AAAAAAEAIAAAACIAAABkcnMvZG93bnJldi54bWxQSwECFAAUAAAACACHTuJA8AmYMRMCAAACBAAA&#10;DgAAAAAAAAABACAAAAApAQAAZHJzL2Uyb0RvYy54bWxQSwUGAAAAAAYABgBZAQAArgUAAAAA&#10;">
                  <v:fill on="f" focussize="0,0"/>
                  <v:stroke color="#000000" joinstyle="round" endarrow="block"/>
                  <v:imagedata o:title=""/>
                  <o:lock v:ext="edit" aspectratio="f"/>
                </v:line>
              </v:group>
            </w:pict>
          </mc:Fallback>
        </mc:AlternateContent>
      </w:r>
    </w:p>
    <w:p w14:paraId="519DEC3D">
      <w:pPr>
        <w:pStyle w:val="32"/>
        <w:ind w:firstLine="0"/>
        <w:jc w:val="center"/>
        <w:rPr>
          <w:rFonts w:hint="eastAsia" w:ascii="Times New Roman" w:hAnsi="Times New Roman"/>
          <w:b/>
          <w:color w:val="000000"/>
          <w:sz w:val="21"/>
          <w:szCs w:val="21"/>
        </w:rPr>
      </w:pPr>
    </w:p>
    <w:p w14:paraId="5A91EA37">
      <w:pPr>
        <w:pStyle w:val="32"/>
        <w:ind w:firstLine="0"/>
        <w:jc w:val="center"/>
        <w:rPr>
          <w:rFonts w:hint="eastAsia" w:ascii="Times New Roman" w:hAnsi="Times New Roman"/>
          <w:b/>
          <w:color w:val="000000"/>
          <w:sz w:val="21"/>
          <w:szCs w:val="21"/>
        </w:rPr>
      </w:pPr>
    </w:p>
    <w:p w14:paraId="4E30DBBE">
      <w:pPr>
        <w:pStyle w:val="32"/>
        <w:ind w:firstLine="0"/>
        <w:jc w:val="center"/>
        <w:rPr>
          <w:rFonts w:hint="eastAsia" w:ascii="Times New Roman" w:hAnsi="Times New Roman"/>
          <w:b/>
          <w:color w:val="000000"/>
          <w:sz w:val="21"/>
          <w:szCs w:val="21"/>
        </w:rPr>
      </w:pPr>
    </w:p>
    <w:p w14:paraId="0ABB66B1">
      <w:pPr>
        <w:pStyle w:val="32"/>
        <w:ind w:firstLine="0"/>
        <w:jc w:val="center"/>
        <w:rPr>
          <w:rFonts w:ascii="Times New Roman"/>
          <w:b/>
          <w:color w:val="000000"/>
          <w:sz w:val="21"/>
          <w:szCs w:val="21"/>
        </w:rPr>
      </w:pPr>
    </w:p>
    <w:p w14:paraId="7AB0C292">
      <w:pPr>
        <w:pStyle w:val="32"/>
        <w:ind w:firstLine="0"/>
        <w:jc w:val="center"/>
        <w:rPr>
          <w:rFonts w:ascii="Times New Roman"/>
          <w:b/>
          <w:color w:val="000000"/>
          <w:sz w:val="21"/>
          <w:szCs w:val="21"/>
        </w:rPr>
      </w:pPr>
    </w:p>
    <w:p w14:paraId="5FC7A5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1446" w:firstLineChars="600"/>
        <w:textAlignment w:val="auto"/>
        <w:rPr>
          <w:rFonts w:ascii="Times New Roman"/>
          <w:b/>
          <w:color w:val="000000"/>
          <w:sz w:val="24"/>
          <w:szCs w:val="24"/>
        </w:rPr>
      </w:pPr>
    </w:p>
    <w:p w14:paraId="7C826D8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650" w:firstLineChars="1100"/>
        <w:textAlignment w:val="auto"/>
        <w:rPr>
          <w:rFonts w:hint="eastAsia" w:eastAsia="宋体" w:cs="Times New Roman"/>
          <w:b/>
          <w:bCs w:val="0"/>
          <w:color w:val="auto"/>
          <w:spacing w:val="0"/>
          <w:position w:val="0"/>
          <w:sz w:val="24"/>
          <w:szCs w:val="24"/>
          <w:highlight w:val="none"/>
          <w:lang w:val="en-US" w:eastAsia="zh-CN"/>
        </w:rPr>
      </w:pPr>
      <w:r>
        <w:rPr>
          <w:rFonts w:ascii="Times New Roman"/>
          <w:b/>
          <w:color w:val="000000"/>
          <w:sz w:val="24"/>
          <w:szCs w:val="24"/>
        </w:rPr>
        <w:t>图</w:t>
      </w:r>
      <w:r>
        <w:rPr>
          <w:rFonts w:hint="eastAsia"/>
          <w:b/>
          <w:color w:val="000000"/>
          <w:sz w:val="24"/>
          <w:szCs w:val="24"/>
          <w:lang w:val="en-US" w:eastAsia="zh-CN"/>
        </w:rPr>
        <w:t>3.1-3</w:t>
      </w:r>
      <w:r>
        <w:rPr>
          <w:rFonts w:ascii="Times New Roman" w:hAnsi="Times New Roman"/>
          <w:b/>
          <w:color w:val="000000"/>
          <w:sz w:val="24"/>
          <w:szCs w:val="24"/>
        </w:rPr>
        <w:t xml:space="preserve">  </w:t>
      </w:r>
      <w:r>
        <w:rPr>
          <w:rFonts w:ascii="Times New Roman"/>
          <w:b/>
          <w:color w:val="000000"/>
          <w:sz w:val="24"/>
          <w:szCs w:val="24"/>
        </w:rPr>
        <w:t>项目水平衡图（</w:t>
      </w:r>
      <w:r>
        <w:rPr>
          <w:rFonts w:ascii="Times New Roman" w:hAnsi="Times New Roman"/>
          <w:b/>
          <w:color w:val="000000"/>
          <w:sz w:val="24"/>
          <w:szCs w:val="24"/>
        </w:rPr>
        <w:t>t/</w:t>
      </w:r>
      <w:r>
        <w:rPr>
          <w:rFonts w:hint="eastAsia" w:ascii="Times New Roman" w:hAnsi="Times New Roman"/>
          <w:b/>
          <w:color w:val="000000"/>
          <w:sz w:val="24"/>
          <w:szCs w:val="24"/>
          <w:lang w:val="en-US" w:eastAsia="zh-CN"/>
        </w:rPr>
        <w:t>a</w:t>
      </w:r>
      <w:r>
        <w:rPr>
          <w:rFonts w:ascii="Times New Roman"/>
          <w:b/>
          <w:color w:val="000000"/>
          <w:sz w:val="24"/>
          <w:szCs w:val="24"/>
        </w:rPr>
        <w:t>）</w:t>
      </w:r>
    </w:p>
    <w:p w14:paraId="27B30086">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eastAsia="宋体" w:cs="Times New Roman"/>
          <w:b/>
          <w:bCs w:val="0"/>
          <w:color w:val="auto"/>
          <w:spacing w:val="0"/>
          <w:position w:val="0"/>
          <w:sz w:val="24"/>
          <w:szCs w:val="24"/>
          <w:highlight w:val="none"/>
          <w:lang w:val="en-US" w:eastAsia="zh-CN"/>
        </w:rPr>
      </w:pPr>
      <w:r>
        <w:rPr>
          <w:rFonts w:hint="eastAsia" w:cs="Times New Roman"/>
          <w:b/>
          <w:bCs w:val="0"/>
          <w:color w:val="auto"/>
          <w:spacing w:val="0"/>
          <w:position w:val="0"/>
          <w:sz w:val="24"/>
          <w:szCs w:val="24"/>
          <w:highlight w:val="none"/>
          <w:lang w:val="en-US" w:eastAsia="zh-CN"/>
        </w:rPr>
        <w:t>3</w:t>
      </w:r>
      <w:r>
        <w:rPr>
          <w:rFonts w:hint="eastAsia" w:eastAsia="宋体" w:cs="Times New Roman"/>
          <w:b/>
          <w:bCs w:val="0"/>
          <w:color w:val="auto"/>
          <w:spacing w:val="0"/>
          <w:position w:val="0"/>
          <w:sz w:val="24"/>
          <w:szCs w:val="24"/>
          <w:highlight w:val="none"/>
          <w:lang w:val="en-US" w:eastAsia="zh-CN"/>
        </w:rPr>
        <w:t>.1.</w:t>
      </w:r>
      <w:r>
        <w:rPr>
          <w:rFonts w:hint="eastAsia" w:cs="Times New Roman"/>
          <w:b/>
          <w:bCs w:val="0"/>
          <w:color w:val="auto"/>
          <w:spacing w:val="0"/>
          <w:position w:val="0"/>
          <w:sz w:val="24"/>
          <w:szCs w:val="24"/>
          <w:highlight w:val="none"/>
          <w:lang w:val="en-US" w:eastAsia="zh-CN"/>
        </w:rPr>
        <w:t>9</w:t>
      </w:r>
      <w:r>
        <w:rPr>
          <w:rFonts w:hint="eastAsia" w:eastAsia="宋体" w:cs="Times New Roman"/>
          <w:b/>
          <w:bCs w:val="0"/>
          <w:color w:val="auto"/>
          <w:spacing w:val="0"/>
          <w:position w:val="0"/>
          <w:sz w:val="24"/>
          <w:szCs w:val="24"/>
          <w:highlight w:val="none"/>
          <w:lang w:val="en-US" w:eastAsia="zh-CN"/>
        </w:rPr>
        <w:t>.4</w:t>
      </w:r>
      <w:r>
        <w:rPr>
          <w:rFonts w:hint="eastAsia" w:cs="Times New Roman"/>
          <w:b/>
          <w:bCs w:val="0"/>
          <w:color w:val="auto"/>
          <w:spacing w:val="0"/>
          <w:position w:val="0"/>
          <w:sz w:val="24"/>
          <w:szCs w:val="24"/>
          <w:highlight w:val="none"/>
          <w:lang w:val="en-US" w:eastAsia="zh-CN"/>
        </w:rPr>
        <w:t>固废</w:t>
      </w:r>
    </w:p>
    <w:p w14:paraId="72F239B1">
      <w:pPr>
        <w:spacing w:line="360" w:lineRule="auto"/>
        <w:ind w:firstLine="480"/>
        <w:rPr>
          <w:rFonts w:hint="eastAsia" w:eastAsia="宋体" w:cs="Times New Roman"/>
          <w:color w:val="000000" w:themeColor="text1"/>
          <w:sz w:val="24"/>
          <w:lang w:val="en-US" w:eastAsia="zh-CN"/>
          <w14:textFill>
            <w14:solidFill>
              <w14:schemeClr w14:val="tx1"/>
            </w14:solidFill>
          </w14:textFill>
        </w:rPr>
      </w:pPr>
      <w:bookmarkStart w:id="39" w:name="_Toc58486248"/>
      <w:r>
        <w:rPr>
          <w:rFonts w:hint="eastAsia" w:eastAsia="宋体" w:cs="Times New Roman"/>
          <w:color w:val="000000" w:themeColor="text1"/>
          <w:sz w:val="24"/>
          <w:lang w:val="en-US" w:eastAsia="zh-CN"/>
          <w14:textFill>
            <w14:solidFill>
              <w14:schemeClr w14:val="tx1"/>
            </w14:solidFill>
          </w14:textFill>
        </w:rPr>
        <w:t>现有项目固废主要为干排尾矿、除尘灰、废机油、废机油桶及生活垃圾。</w:t>
      </w:r>
    </w:p>
    <w:p w14:paraId="3A846975">
      <w:pPr>
        <w:spacing w:line="360" w:lineRule="auto"/>
        <w:rPr>
          <w:rFonts w:hint="default"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1、</w:t>
      </w:r>
      <w:r>
        <w:rPr>
          <w:rFonts w:hint="eastAsia" w:eastAsia="宋体" w:cs="Times New Roman"/>
          <w:b/>
          <w:bCs/>
          <w:color w:val="000000" w:themeColor="text1"/>
          <w:sz w:val="24"/>
          <w:lang w:val="en-US" w:eastAsia="zh-CN"/>
          <w14:textFill>
            <w14:solidFill>
              <w14:schemeClr w14:val="tx1"/>
            </w14:solidFill>
          </w14:textFill>
        </w:rPr>
        <w:t>干排尾矿</w:t>
      </w:r>
    </w:p>
    <w:p w14:paraId="760C88CF">
      <w:pPr>
        <w:spacing w:line="360" w:lineRule="auto"/>
        <w:ind w:firstLine="480"/>
        <w:rPr>
          <w:rFonts w:hint="eastAsia"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产生量为10万t/a，暂存于干排车间内，即产即清，外运综合利用。</w:t>
      </w:r>
    </w:p>
    <w:p w14:paraId="16284184">
      <w:pPr>
        <w:spacing w:line="360" w:lineRule="auto"/>
        <w:rPr>
          <w:rFonts w:hint="eastAsia"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2、</w:t>
      </w:r>
      <w:r>
        <w:rPr>
          <w:rFonts w:hint="eastAsia" w:eastAsia="宋体" w:cs="Times New Roman"/>
          <w:b/>
          <w:bCs/>
          <w:color w:val="000000" w:themeColor="text1"/>
          <w:sz w:val="24"/>
          <w:lang w:val="en-US" w:eastAsia="zh-CN"/>
          <w14:textFill>
            <w14:solidFill>
              <w14:schemeClr w14:val="tx1"/>
            </w14:solidFill>
          </w14:textFill>
        </w:rPr>
        <w:t>除尘灰</w:t>
      </w:r>
    </w:p>
    <w:p w14:paraId="58AECD71">
      <w:pPr>
        <w:spacing w:line="360" w:lineRule="auto"/>
        <w:ind w:firstLine="480"/>
        <w:rPr>
          <w:rFonts w:hint="eastAsia"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产生量为112.97t/a，收集后返回工艺，不外排。</w:t>
      </w:r>
    </w:p>
    <w:p w14:paraId="3C8E3189">
      <w:pPr>
        <w:spacing w:line="360" w:lineRule="auto"/>
        <w:rPr>
          <w:rFonts w:hint="eastAsia"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3、</w:t>
      </w:r>
      <w:r>
        <w:rPr>
          <w:rFonts w:hint="eastAsia" w:eastAsia="宋体" w:cs="Times New Roman"/>
          <w:b/>
          <w:bCs/>
          <w:color w:val="000000" w:themeColor="text1"/>
          <w:sz w:val="24"/>
          <w:lang w:val="en-US" w:eastAsia="zh-CN"/>
          <w14:textFill>
            <w14:solidFill>
              <w14:schemeClr w14:val="tx1"/>
            </w14:solidFill>
          </w14:textFill>
        </w:rPr>
        <w:t>废机油</w:t>
      </w:r>
    </w:p>
    <w:p w14:paraId="334E99E4">
      <w:pPr>
        <w:spacing w:line="360" w:lineRule="auto"/>
        <w:ind w:firstLine="480" w:firstLineChars="200"/>
        <w:rPr>
          <w:rFonts w:hint="default"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设备检修过程产生废机油，</w:t>
      </w:r>
      <w:r>
        <w:rPr>
          <w:rFonts w:hint="eastAsia" w:ascii="Times New Roman" w:hAnsi="Times New Roman" w:cs="Times New Roman"/>
          <w:color w:val="000000" w:themeColor="text1"/>
          <w:sz w:val="24"/>
          <w14:textFill>
            <w14:solidFill>
              <w14:schemeClr w14:val="tx1"/>
            </w14:solidFill>
          </w14:textFill>
        </w:rPr>
        <w:t>根据实际运行情况</w:t>
      </w:r>
      <w:r>
        <w:rPr>
          <w:rFonts w:ascii="Times New Roman" w:hAnsi="Times New Roman" w:cs="Times New Roman"/>
          <w:color w:val="000000" w:themeColor="text1"/>
          <w:sz w:val="24"/>
          <w14:textFill>
            <w14:solidFill>
              <w14:schemeClr w14:val="tx1"/>
            </w14:solidFill>
          </w14:textFill>
        </w:rPr>
        <w:t>，</w:t>
      </w:r>
      <w:r>
        <w:rPr>
          <w:rFonts w:hint="eastAsia" w:eastAsia="宋体" w:cs="Times New Roman"/>
          <w:color w:val="000000" w:themeColor="text1"/>
          <w:sz w:val="24"/>
          <w:lang w:val="en-US" w:eastAsia="zh-CN"/>
          <w14:textFill>
            <w14:solidFill>
              <w14:schemeClr w14:val="tx1"/>
            </w14:solidFill>
          </w14:textFill>
        </w:rPr>
        <w:t>产生量为0.5t/a，暂存于危废贮存点，委托有资质的单位处理。</w:t>
      </w:r>
    </w:p>
    <w:p w14:paraId="461825A0">
      <w:pPr>
        <w:spacing w:line="360" w:lineRule="auto"/>
        <w:rPr>
          <w:rFonts w:hint="default"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4、</w:t>
      </w:r>
      <w:r>
        <w:rPr>
          <w:rFonts w:hint="eastAsia" w:eastAsia="宋体" w:cs="Times New Roman"/>
          <w:b/>
          <w:bCs/>
          <w:color w:val="000000" w:themeColor="text1"/>
          <w:sz w:val="24"/>
          <w:lang w:val="en-US" w:eastAsia="zh-CN"/>
          <w14:textFill>
            <w14:solidFill>
              <w14:schemeClr w14:val="tx1"/>
            </w14:solidFill>
          </w14:textFill>
        </w:rPr>
        <w:t>废机油桶</w:t>
      </w:r>
    </w:p>
    <w:p w14:paraId="3CC617E1">
      <w:pPr>
        <w:spacing w:line="360" w:lineRule="auto"/>
        <w:ind w:firstLine="480"/>
        <w:rPr>
          <w:rFonts w:hint="default" w:eastAsia="宋体" w:cs="Times New Roman"/>
          <w:color w:val="000000" w:themeColor="text1"/>
          <w:sz w:val="24"/>
          <w:lang w:val="en-US" w:eastAsia="zh-CN"/>
          <w14:textFill>
            <w14:solidFill>
              <w14:schemeClr w14:val="tx1"/>
            </w14:solidFill>
          </w14:textFill>
        </w:rPr>
      </w:pPr>
      <w:r>
        <w:rPr>
          <w:rFonts w:hint="eastAsia" w:eastAsia="宋体" w:cs="Times New Roman"/>
          <w:color w:val="000000" w:themeColor="text1"/>
          <w:sz w:val="24"/>
          <w:lang w:val="en-US" w:eastAsia="zh-CN"/>
          <w14:textFill>
            <w14:solidFill>
              <w14:schemeClr w14:val="tx1"/>
            </w14:solidFill>
          </w14:textFill>
        </w:rPr>
        <w:t>产生量为0.2t/a，暂存于危废贮存点，委托有资质的单位处理。</w:t>
      </w:r>
    </w:p>
    <w:p w14:paraId="61AA8EF6">
      <w:pPr>
        <w:spacing w:line="360" w:lineRule="auto"/>
        <w:rPr>
          <w:rFonts w:ascii="Times New Roman" w:hAnsi="Times New Roman" w:cs="Times New Roman"/>
          <w:b/>
          <w:bCs/>
          <w:color w:val="000000" w:themeColor="text1"/>
          <w:sz w:val="24"/>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5、</w:t>
      </w:r>
      <w:r>
        <w:rPr>
          <w:rFonts w:ascii="Times New Roman" w:hAnsi="Times New Roman" w:cs="Times New Roman"/>
          <w:b/>
          <w:bCs/>
          <w:color w:val="000000" w:themeColor="text1"/>
          <w:sz w:val="24"/>
          <w14:textFill>
            <w14:solidFill>
              <w14:schemeClr w14:val="tx1"/>
            </w14:solidFill>
          </w14:textFill>
        </w:rPr>
        <w:t>生活垃圾</w:t>
      </w:r>
    </w:p>
    <w:p w14:paraId="451D96EC">
      <w:pPr>
        <w:spacing w:line="360" w:lineRule="auto"/>
        <w:ind w:firstLine="48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生活垃</w:t>
      </w:r>
      <w:r>
        <w:rPr>
          <w:rFonts w:ascii="Times New Roman" w:hAnsi="Times New Roman" w:cs="Times New Roman"/>
          <w:bCs/>
          <w:color w:val="000000" w:themeColor="text1"/>
          <w:sz w:val="24"/>
          <w14:textFill>
            <w14:solidFill>
              <w14:schemeClr w14:val="tx1"/>
            </w14:solidFill>
          </w14:textFill>
        </w:rPr>
        <w:t>圾产生量约</w:t>
      </w:r>
      <w:r>
        <w:rPr>
          <w:rFonts w:hint="eastAsia" w:cs="Times New Roman"/>
          <w:bCs/>
          <w:color w:val="000000" w:themeColor="text1"/>
          <w:sz w:val="24"/>
          <w:lang w:val="en-US" w:eastAsia="zh-CN"/>
          <w14:textFill>
            <w14:solidFill>
              <w14:schemeClr w14:val="tx1"/>
            </w14:solidFill>
          </w14:textFill>
        </w:rPr>
        <w:t>7</w:t>
      </w:r>
      <w:r>
        <w:rPr>
          <w:rFonts w:ascii="Times New Roman" w:hAnsi="Times New Roman" w:cs="Times New Roman"/>
          <w:color w:val="000000" w:themeColor="text1"/>
          <w:sz w:val="24"/>
          <w14:textFill>
            <w14:solidFill>
              <w14:schemeClr w14:val="tx1"/>
            </w14:solidFill>
          </w14:textFill>
        </w:rPr>
        <w:t>t/a</w:t>
      </w:r>
      <w:r>
        <w:rPr>
          <w:rFonts w:hint="eastAsia" w:cs="Times New Roman"/>
          <w:bCs/>
          <w:color w:val="000000" w:themeColor="text1"/>
          <w:sz w:val="24"/>
          <w:lang w:eastAsia="zh-CN"/>
          <w14:textFill>
            <w14:solidFill>
              <w14:schemeClr w14:val="tx1"/>
            </w14:solidFill>
          </w14:textFill>
        </w:rPr>
        <w:t>，</w:t>
      </w:r>
      <w:r>
        <w:rPr>
          <w:rFonts w:hint="eastAsia" w:cs="Times New Roman"/>
          <w:bCs/>
          <w:color w:val="000000" w:themeColor="text1"/>
          <w:sz w:val="24"/>
          <w:lang w:val="en-US" w:eastAsia="zh-CN"/>
          <w14:textFill>
            <w14:solidFill>
              <w14:schemeClr w14:val="tx1"/>
            </w14:solidFill>
          </w14:textFill>
        </w:rPr>
        <w:t>暂存于生活垃圾箱，委托环卫部门处理</w:t>
      </w:r>
      <w:r>
        <w:rPr>
          <w:rFonts w:ascii="Times New Roman" w:hAnsi="Times New Roman" w:cs="Times New Roman"/>
          <w:color w:val="000000" w:themeColor="text1"/>
          <w:sz w:val="24"/>
          <w14:textFill>
            <w14:solidFill>
              <w14:schemeClr w14:val="tx1"/>
            </w14:solidFill>
          </w14:textFill>
        </w:rPr>
        <w:t>。</w:t>
      </w:r>
    </w:p>
    <w:p w14:paraId="285C850D">
      <w:pPr>
        <w:widowControl/>
        <w:spacing w:line="360" w:lineRule="auto"/>
        <w:ind w:firstLine="480" w:firstLineChars="200"/>
        <w:rPr>
          <w:rFonts w:hAnsi="宋体"/>
          <w:bCs/>
          <w:color w:val="auto"/>
          <w:sz w:val="24"/>
        </w:rPr>
      </w:pPr>
      <w:r>
        <w:rPr>
          <w:rFonts w:hint="eastAsia" w:hAnsi="宋体"/>
          <w:bCs/>
          <w:color w:val="auto"/>
          <w:sz w:val="24"/>
          <w:lang w:val="en-US" w:eastAsia="zh-CN"/>
        </w:rPr>
        <w:t>现有</w:t>
      </w:r>
      <w:r>
        <w:rPr>
          <w:rFonts w:hint="eastAsia" w:hAnsi="宋体"/>
          <w:bCs/>
          <w:color w:val="auto"/>
          <w:sz w:val="24"/>
          <w:lang w:eastAsia="zh-CN"/>
        </w:rPr>
        <w:t>项目</w:t>
      </w:r>
      <w:r>
        <w:rPr>
          <w:rFonts w:hAnsi="宋体"/>
          <w:bCs/>
          <w:color w:val="auto"/>
          <w:sz w:val="24"/>
        </w:rPr>
        <w:t>固体废物产生</w:t>
      </w:r>
      <w:r>
        <w:rPr>
          <w:rFonts w:hint="eastAsia" w:hAnsi="宋体"/>
          <w:bCs/>
          <w:color w:val="auto"/>
          <w:sz w:val="24"/>
          <w:lang w:val="en-US" w:eastAsia="zh-CN"/>
        </w:rPr>
        <w:t>及处置情况如下</w:t>
      </w:r>
      <w:r>
        <w:rPr>
          <w:rFonts w:hAnsi="宋体"/>
          <w:bCs/>
          <w:color w:val="auto"/>
          <w:sz w:val="24"/>
        </w:rPr>
        <w:t>。</w:t>
      </w:r>
    </w:p>
    <w:p w14:paraId="3BB1D040">
      <w:pPr>
        <w:spacing w:line="360" w:lineRule="auto"/>
        <w:jc w:val="center"/>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b/>
          <w:color w:val="auto"/>
          <w:sz w:val="24"/>
          <w:szCs w:val="24"/>
        </w:rPr>
        <w:t>表3.</w:t>
      </w:r>
      <w:r>
        <w:rPr>
          <w:rFonts w:hint="eastAsia"/>
          <w:b/>
          <w:color w:val="auto"/>
          <w:sz w:val="24"/>
          <w:szCs w:val="24"/>
          <w:lang w:val="en-US" w:eastAsia="zh-CN"/>
        </w:rPr>
        <w:t xml:space="preserve">1-12  </w:t>
      </w:r>
      <w:r>
        <w:rPr>
          <w:rFonts w:hint="eastAsia"/>
          <w:b/>
          <w:color w:val="auto"/>
          <w:sz w:val="24"/>
          <w:szCs w:val="24"/>
        </w:rPr>
        <w:t xml:space="preserve">  </w:t>
      </w:r>
      <w:r>
        <w:rPr>
          <w:rFonts w:hint="eastAsia"/>
          <w:b/>
          <w:color w:val="auto"/>
          <w:sz w:val="24"/>
          <w:szCs w:val="24"/>
          <w:lang w:val="en-US" w:eastAsia="zh-CN"/>
        </w:rPr>
        <w:t>现有</w:t>
      </w:r>
      <w:r>
        <w:rPr>
          <w:rFonts w:hint="eastAsia"/>
          <w:b/>
          <w:color w:val="auto"/>
          <w:sz w:val="24"/>
          <w:szCs w:val="24"/>
          <w:lang w:eastAsia="zh-CN"/>
        </w:rPr>
        <w:t>项目</w:t>
      </w:r>
      <w:r>
        <w:rPr>
          <w:rFonts w:hint="eastAsia"/>
          <w:b/>
          <w:color w:val="auto"/>
          <w:sz w:val="24"/>
          <w:szCs w:val="24"/>
        </w:rPr>
        <w:t>固体废物产生及处置情况</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1"/>
        <w:gridCol w:w="2154"/>
        <w:gridCol w:w="1561"/>
        <w:gridCol w:w="2541"/>
      </w:tblGrid>
      <w:tr w14:paraId="09C26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1" w:type="pct"/>
            <w:noWrap w:val="0"/>
            <w:vAlign w:val="center"/>
          </w:tcPr>
          <w:p w14:paraId="158B272B">
            <w:pPr>
              <w:jc w:val="center"/>
              <w:rPr>
                <w:color w:val="auto"/>
                <w:sz w:val="21"/>
                <w:szCs w:val="21"/>
              </w:rPr>
            </w:pPr>
            <w:r>
              <w:rPr>
                <w:color w:val="auto"/>
                <w:sz w:val="21"/>
                <w:szCs w:val="21"/>
              </w:rPr>
              <w:t>固废种类</w:t>
            </w:r>
          </w:p>
        </w:tc>
        <w:tc>
          <w:tcPr>
            <w:tcW w:w="1235" w:type="pct"/>
            <w:noWrap w:val="0"/>
            <w:vAlign w:val="center"/>
          </w:tcPr>
          <w:p w14:paraId="6B492FC8">
            <w:pPr>
              <w:jc w:val="center"/>
              <w:rPr>
                <w:color w:val="auto"/>
                <w:sz w:val="21"/>
                <w:szCs w:val="21"/>
              </w:rPr>
            </w:pPr>
            <w:r>
              <w:rPr>
                <w:color w:val="auto"/>
                <w:sz w:val="21"/>
                <w:szCs w:val="21"/>
              </w:rPr>
              <w:t>产生量t/a</w:t>
            </w:r>
          </w:p>
        </w:tc>
        <w:tc>
          <w:tcPr>
            <w:tcW w:w="895" w:type="pct"/>
            <w:noWrap w:val="0"/>
            <w:vAlign w:val="center"/>
          </w:tcPr>
          <w:p w14:paraId="086D8C14">
            <w:pPr>
              <w:jc w:val="center"/>
              <w:rPr>
                <w:rFonts w:hint="default" w:eastAsia="宋体"/>
                <w:color w:val="auto"/>
                <w:sz w:val="21"/>
                <w:szCs w:val="21"/>
                <w:lang w:val="en-US" w:eastAsia="zh-CN"/>
              </w:rPr>
            </w:pPr>
            <w:r>
              <w:rPr>
                <w:rFonts w:hint="eastAsia"/>
                <w:color w:val="auto"/>
                <w:sz w:val="21"/>
                <w:szCs w:val="21"/>
                <w:lang w:val="en-US" w:eastAsia="zh-CN"/>
              </w:rPr>
              <w:t>废物类别</w:t>
            </w:r>
          </w:p>
        </w:tc>
        <w:tc>
          <w:tcPr>
            <w:tcW w:w="1457" w:type="pct"/>
            <w:noWrap w:val="0"/>
            <w:vAlign w:val="center"/>
          </w:tcPr>
          <w:p w14:paraId="632435AD">
            <w:pPr>
              <w:jc w:val="center"/>
              <w:rPr>
                <w:rFonts w:hint="default" w:eastAsia="宋体"/>
                <w:color w:val="auto"/>
                <w:sz w:val="21"/>
                <w:szCs w:val="21"/>
                <w:lang w:val="en-US" w:eastAsia="zh-CN"/>
              </w:rPr>
            </w:pPr>
            <w:r>
              <w:rPr>
                <w:rFonts w:hint="eastAsia"/>
                <w:color w:val="auto"/>
                <w:sz w:val="21"/>
                <w:szCs w:val="21"/>
                <w:lang w:val="en-US" w:eastAsia="zh-CN"/>
              </w:rPr>
              <w:t>处置措施</w:t>
            </w:r>
          </w:p>
        </w:tc>
      </w:tr>
      <w:tr w14:paraId="64EF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11" w:type="pct"/>
            <w:noWrap w:val="0"/>
            <w:vAlign w:val="center"/>
          </w:tcPr>
          <w:p w14:paraId="4DAF7F3E">
            <w:pPr>
              <w:jc w:val="center"/>
              <w:rPr>
                <w:rFonts w:hint="default" w:eastAsia="宋体"/>
                <w:color w:val="auto"/>
                <w:sz w:val="21"/>
                <w:szCs w:val="21"/>
                <w:lang w:val="en-US" w:eastAsia="zh-CN"/>
              </w:rPr>
            </w:pPr>
            <w:r>
              <w:rPr>
                <w:rFonts w:hint="eastAsia"/>
                <w:color w:val="auto"/>
                <w:sz w:val="21"/>
                <w:szCs w:val="21"/>
                <w:lang w:val="en-US" w:eastAsia="zh-CN"/>
              </w:rPr>
              <w:t>干排尾矿</w:t>
            </w:r>
          </w:p>
        </w:tc>
        <w:tc>
          <w:tcPr>
            <w:tcW w:w="1235" w:type="pct"/>
            <w:noWrap w:val="0"/>
            <w:vAlign w:val="center"/>
          </w:tcPr>
          <w:p w14:paraId="28C7CBAA">
            <w:pPr>
              <w:spacing w:line="34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10万</w:t>
            </w:r>
          </w:p>
        </w:tc>
        <w:tc>
          <w:tcPr>
            <w:tcW w:w="895" w:type="pct"/>
            <w:noWrap w:val="0"/>
            <w:vAlign w:val="center"/>
          </w:tcPr>
          <w:p w14:paraId="25B6E244">
            <w:pPr>
              <w:jc w:val="center"/>
              <w:rPr>
                <w:rFonts w:hint="default"/>
                <w:color w:val="auto"/>
                <w:sz w:val="21"/>
                <w:szCs w:val="21"/>
                <w:lang w:val="en-US" w:eastAsia="zh-CN"/>
              </w:rPr>
            </w:pPr>
            <w:r>
              <w:rPr>
                <w:rFonts w:hint="eastAsia"/>
                <w:color w:val="auto"/>
                <w:sz w:val="21"/>
                <w:szCs w:val="21"/>
                <w:lang w:val="en-US" w:eastAsia="zh-CN"/>
              </w:rPr>
              <w:t>一般固废</w:t>
            </w:r>
          </w:p>
        </w:tc>
        <w:tc>
          <w:tcPr>
            <w:tcW w:w="1457" w:type="pct"/>
            <w:noWrap w:val="0"/>
            <w:vAlign w:val="center"/>
          </w:tcPr>
          <w:p w14:paraId="7659BF1D">
            <w:pPr>
              <w:jc w:val="center"/>
              <w:rPr>
                <w:rFonts w:hint="default" w:eastAsia="宋体"/>
                <w:color w:val="auto"/>
                <w:sz w:val="21"/>
                <w:szCs w:val="21"/>
                <w:lang w:val="en-US" w:eastAsia="zh-CN"/>
              </w:rPr>
            </w:pPr>
            <w:r>
              <w:rPr>
                <w:rFonts w:hint="eastAsia"/>
                <w:color w:val="auto"/>
                <w:sz w:val="21"/>
                <w:szCs w:val="21"/>
                <w:lang w:val="en-US" w:eastAsia="zh-CN"/>
              </w:rPr>
              <w:t>外运综合利用</w:t>
            </w:r>
          </w:p>
        </w:tc>
      </w:tr>
      <w:tr w14:paraId="0C716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11" w:type="pct"/>
            <w:noWrap w:val="0"/>
            <w:vAlign w:val="center"/>
          </w:tcPr>
          <w:p w14:paraId="18729078">
            <w:pPr>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除尘灰</w:t>
            </w:r>
          </w:p>
        </w:tc>
        <w:tc>
          <w:tcPr>
            <w:tcW w:w="1235" w:type="pct"/>
            <w:noWrap w:val="0"/>
            <w:vAlign w:val="center"/>
          </w:tcPr>
          <w:p w14:paraId="0327FC08">
            <w:pPr>
              <w:spacing w:line="340" w:lineRule="exact"/>
              <w:jc w:val="center"/>
              <w:rPr>
                <w:rFonts w:hint="default"/>
                <w:color w:val="auto"/>
                <w:sz w:val="21"/>
                <w:szCs w:val="21"/>
                <w:highlight w:val="none"/>
                <w:lang w:val="en-US" w:eastAsia="zh-CN"/>
              </w:rPr>
            </w:pPr>
            <w:r>
              <w:rPr>
                <w:rFonts w:hint="eastAsia"/>
                <w:color w:val="auto"/>
                <w:sz w:val="21"/>
                <w:szCs w:val="21"/>
                <w:highlight w:val="none"/>
                <w:lang w:val="en-US" w:eastAsia="zh-CN"/>
              </w:rPr>
              <w:t>112.97</w:t>
            </w:r>
          </w:p>
        </w:tc>
        <w:tc>
          <w:tcPr>
            <w:tcW w:w="895" w:type="pct"/>
            <w:noWrap w:val="0"/>
            <w:vAlign w:val="center"/>
          </w:tcPr>
          <w:p w14:paraId="43021B64">
            <w:pPr>
              <w:jc w:val="center"/>
              <w:rPr>
                <w:rFonts w:hint="default"/>
                <w:color w:val="auto"/>
                <w:sz w:val="21"/>
                <w:szCs w:val="21"/>
                <w:lang w:val="en-US" w:eastAsia="zh-CN"/>
              </w:rPr>
            </w:pPr>
            <w:r>
              <w:rPr>
                <w:rFonts w:hint="eastAsia"/>
                <w:color w:val="auto"/>
                <w:sz w:val="21"/>
                <w:szCs w:val="21"/>
                <w:lang w:val="en-US" w:eastAsia="zh-CN"/>
              </w:rPr>
              <w:t>一般固废</w:t>
            </w:r>
          </w:p>
        </w:tc>
        <w:tc>
          <w:tcPr>
            <w:tcW w:w="1457" w:type="pct"/>
            <w:noWrap w:val="0"/>
            <w:vAlign w:val="center"/>
          </w:tcPr>
          <w:p w14:paraId="7FAFFBC5">
            <w:pPr>
              <w:jc w:val="center"/>
              <w:rPr>
                <w:rFonts w:hint="default" w:eastAsia="宋体"/>
                <w:color w:val="auto"/>
                <w:sz w:val="21"/>
                <w:szCs w:val="21"/>
                <w:lang w:val="en-US" w:eastAsia="zh-CN"/>
              </w:rPr>
            </w:pPr>
            <w:r>
              <w:rPr>
                <w:rFonts w:hint="eastAsia"/>
                <w:color w:val="auto"/>
                <w:sz w:val="21"/>
                <w:szCs w:val="21"/>
                <w:lang w:val="en-US" w:eastAsia="zh-CN"/>
              </w:rPr>
              <w:t>返回生产工艺</w:t>
            </w:r>
          </w:p>
        </w:tc>
      </w:tr>
      <w:tr w14:paraId="1909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1411" w:type="pct"/>
            <w:noWrap w:val="0"/>
            <w:vAlign w:val="center"/>
          </w:tcPr>
          <w:p w14:paraId="18852477">
            <w:pPr>
              <w:jc w:val="center"/>
              <w:rPr>
                <w:rFonts w:hint="default" w:eastAsia="宋体"/>
                <w:color w:val="auto"/>
                <w:sz w:val="21"/>
                <w:szCs w:val="21"/>
                <w:lang w:val="en-US" w:eastAsia="zh-CN"/>
              </w:rPr>
            </w:pPr>
            <w:r>
              <w:rPr>
                <w:rFonts w:hint="eastAsia"/>
                <w:color w:val="auto"/>
                <w:sz w:val="21"/>
                <w:szCs w:val="21"/>
                <w:lang w:val="en-US" w:eastAsia="zh-CN"/>
              </w:rPr>
              <w:t>废机油</w:t>
            </w:r>
          </w:p>
        </w:tc>
        <w:tc>
          <w:tcPr>
            <w:tcW w:w="1235" w:type="pct"/>
            <w:noWrap w:val="0"/>
            <w:vAlign w:val="center"/>
          </w:tcPr>
          <w:p w14:paraId="583B7161">
            <w:pPr>
              <w:spacing w:line="340" w:lineRule="exact"/>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0.5</w:t>
            </w:r>
          </w:p>
        </w:tc>
        <w:tc>
          <w:tcPr>
            <w:tcW w:w="895" w:type="pct"/>
            <w:noWrap w:val="0"/>
            <w:vAlign w:val="center"/>
          </w:tcPr>
          <w:p w14:paraId="6F1A5C0E">
            <w:pPr>
              <w:jc w:val="center"/>
              <w:rPr>
                <w:rFonts w:hint="default"/>
                <w:color w:val="auto"/>
                <w:sz w:val="21"/>
                <w:szCs w:val="21"/>
                <w:lang w:val="en-US" w:eastAsia="zh-CN"/>
              </w:rPr>
            </w:pPr>
            <w:r>
              <w:rPr>
                <w:rFonts w:hint="eastAsia"/>
                <w:color w:val="auto"/>
                <w:sz w:val="21"/>
                <w:szCs w:val="21"/>
                <w:lang w:val="en-US" w:eastAsia="zh-CN"/>
              </w:rPr>
              <w:t>危废</w:t>
            </w:r>
          </w:p>
        </w:tc>
        <w:tc>
          <w:tcPr>
            <w:tcW w:w="1457" w:type="pct"/>
            <w:noWrap w:val="0"/>
            <w:vAlign w:val="center"/>
          </w:tcPr>
          <w:p w14:paraId="70D27CDF">
            <w:pPr>
              <w:jc w:val="center"/>
              <w:rPr>
                <w:rFonts w:hint="default" w:eastAsia="宋体"/>
                <w:color w:val="auto"/>
                <w:sz w:val="21"/>
                <w:szCs w:val="21"/>
                <w:lang w:val="en-US" w:eastAsia="zh-CN"/>
              </w:rPr>
            </w:pPr>
            <w:r>
              <w:rPr>
                <w:rFonts w:hint="eastAsia"/>
                <w:color w:val="auto"/>
                <w:sz w:val="21"/>
                <w:szCs w:val="21"/>
                <w:lang w:val="en-US" w:eastAsia="zh-CN"/>
              </w:rPr>
              <w:t>委托资质单位处置</w:t>
            </w:r>
          </w:p>
        </w:tc>
      </w:tr>
      <w:tr w14:paraId="6C3C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11" w:type="pct"/>
            <w:noWrap w:val="0"/>
            <w:vAlign w:val="center"/>
          </w:tcPr>
          <w:p w14:paraId="739C8D05">
            <w:pPr>
              <w:jc w:val="center"/>
              <w:rPr>
                <w:rFonts w:hint="default" w:eastAsia="宋体"/>
                <w:color w:val="auto"/>
                <w:sz w:val="21"/>
                <w:szCs w:val="21"/>
                <w:lang w:val="en-US" w:eastAsia="zh-CN"/>
              </w:rPr>
            </w:pPr>
            <w:r>
              <w:rPr>
                <w:rFonts w:hint="eastAsia"/>
                <w:color w:val="auto"/>
                <w:sz w:val="21"/>
                <w:szCs w:val="21"/>
                <w:lang w:val="en-US" w:eastAsia="zh-CN"/>
              </w:rPr>
              <w:t>废机油桶</w:t>
            </w:r>
          </w:p>
        </w:tc>
        <w:tc>
          <w:tcPr>
            <w:tcW w:w="1235" w:type="pct"/>
            <w:noWrap w:val="0"/>
            <w:vAlign w:val="center"/>
          </w:tcPr>
          <w:p w14:paraId="1739AB33">
            <w:pPr>
              <w:jc w:val="center"/>
              <w:rPr>
                <w:rFonts w:hint="default" w:eastAsia="宋体"/>
                <w:color w:val="auto"/>
                <w:sz w:val="21"/>
                <w:szCs w:val="21"/>
                <w:lang w:val="en-US" w:eastAsia="zh-CN"/>
              </w:rPr>
            </w:pPr>
            <w:r>
              <w:rPr>
                <w:rFonts w:hint="eastAsia"/>
                <w:color w:val="auto"/>
                <w:sz w:val="21"/>
                <w:szCs w:val="21"/>
                <w:lang w:val="en-US" w:eastAsia="zh-CN"/>
              </w:rPr>
              <w:t>0.2</w:t>
            </w:r>
          </w:p>
        </w:tc>
        <w:tc>
          <w:tcPr>
            <w:tcW w:w="895" w:type="pct"/>
            <w:noWrap w:val="0"/>
            <w:vAlign w:val="center"/>
          </w:tcPr>
          <w:p w14:paraId="5680DDB5">
            <w:pPr>
              <w:jc w:val="center"/>
              <w:rPr>
                <w:rFonts w:hint="default" w:eastAsia="宋体"/>
                <w:color w:val="auto"/>
                <w:sz w:val="21"/>
                <w:szCs w:val="21"/>
                <w:lang w:val="en-US" w:eastAsia="zh-CN"/>
              </w:rPr>
            </w:pPr>
            <w:r>
              <w:rPr>
                <w:rFonts w:hint="eastAsia"/>
                <w:color w:val="auto"/>
                <w:sz w:val="21"/>
                <w:szCs w:val="21"/>
                <w:lang w:val="en-US" w:eastAsia="zh-CN"/>
              </w:rPr>
              <w:t>危废</w:t>
            </w:r>
          </w:p>
        </w:tc>
        <w:tc>
          <w:tcPr>
            <w:tcW w:w="1457" w:type="pct"/>
            <w:noWrap w:val="0"/>
            <w:vAlign w:val="center"/>
          </w:tcPr>
          <w:p w14:paraId="343B8BC0">
            <w:pPr>
              <w:jc w:val="center"/>
              <w:rPr>
                <w:rFonts w:hint="default" w:eastAsia="宋体"/>
                <w:color w:val="auto"/>
                <w:sz w:val="21"/>
                <w:szCs w:val="21"/>
                <w:lang w:val="en-US" w:eastAsia="zh-CN"/>
              </w:rPr>
            </w:pPr>
            <w:r>
              <w:rPr>
                <w:rFonts w:hint="eastAsia"/>
                <w:color w:val="auto"/>
                <w:sz w:val="21"/>
                <w:szCs w:val="21"/>
                <w:lang w:val="en-US" w:eastAsia="zh-CN"/>
              </w:rPr>
              <w:t>委托资质单位处置</w:t>
            </w:r>
          </w:p>
        </w:tc>
      </w:tr>
      <w:tr w14:paraId="1AD6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1411" w:type="pct"/>
            <w:noWrap w:val="0"/>
            <w:vAlign w:val="center"/>
          </w:tcPr>
          <w:p w14:paraId="21FE30FA">
            <w:pPr>
              <w:jc w:val="center"/>
              <w:rPr>
                <w:rFonts w:hint="default" w:eastAsia="宋体"/>
                <w:color w:val="auto"/>
                <w:sz w:val="21"/>
                <w:szCs w:val="21"/>
                <w:lang w:val="en-US" w:eastAsia="zh-CN"/>
              </w:rPr>
            </w:pPr>
            <w:r>
              <w:rPr>
                <w:rFonts w:hint="eastAsia"/>
                <w:color w:val="auto"/>
                <w:sz w:val="21"/>
                <w:szCs w:val="21"/>
                <w:lang w:val="en-US" w:eastAsia="zh-CN"/>
              </w:rPr>
              <w:t>生活垃圾</w:t>
            </w:r>
          </w:p>
        </w:tc>
        <w:tc>
          <w:tcPr>
            <w:tcW w:w="1235" w:type="pct"/>
            <w:noWrap w:val="0"/>
            <w:vAlign w:val="center"/>
          </w:tcPr>
          <w:p w14:paraId="3C2E2284">
            <w:pPr>
              <w:jc w:val="center"/>
              <w:rPr>
                <w:rFonts w:hint="default"/>
                <w:color w:val="auto"/>
                <w:sz w:val="21"/>
                <w:szCs w:val="21"/>
                <w:lang w:val="en-US" w:eastAsia="zh-CN"/>
              </w:rPr>
            </w:pPr>
            <w:r>
              <w:rPr>
                <w:rFonts w:hint="eastAsia"/>
                <w:color w:val="auto"/>
                <w:sz w:val="21"/>
                <w:szCs w:val="21"/>
                <w:lang w:val="en-US" w:eastAsia="zh-CN"/>
              </w:rPr>
              <w:t>7</w:t>
            </w:r>
          </w:p>
        </w:tc>
        <w:tc>
          <w:tcPr>
            <w:tcW w:w="895" w:type="pct"/>
            <w:noWrap w:val="0"/>
            <w:vAlign w:val="center"/>
          </w:tcPr>
          <w:p w14:paraId="596E7928">
            <w:pPr>
              <w:jc w:val="center"/>
              <w:rPr>
                <w:rFonts w:hint="default"/>
                <w:color w:val="auto"/>
                <w:sz w:val="21"/>
                <w:szCs w:val="21"/>
                <w:lang w:val="en-US" w:eastAsia="zh-CN"/>
              </w:rPr>
            </w:pPr>
            <w:r>
              <w:rPr>
                <w:rFonts w:hint="eastAsia"/>
                <w:color w:val="auto"/>
                <w:sz w:val="21"/>
                <w:szCs w:val="21"/>
                <w:lang w:val="en-US" w:eastAsia="zh-CN"/>
              </w:rPr>
              <w:t>生活垃圾</w:t>
            </w:r>
          </w:p>
        </w:tc>
        <w:tc>
          <w:tcPr>
            <w:tcW w:w="1457" w:type="pct"/>
            <w:noWrap w:val="0"/>
            <w:vAlign w:val="center"/>
          </w:tcPr>
          <w:p w14:paraId="1ED2E7A4">
            <w:pPr>
              <w:jc w:val="center"/>
              <w:rPr>
                <w:rFonts w:hint="default" w:eastAsia="宋体"/>
                <w:color w:val="auto"/>
                <w:sz w:val="21"/>
                <w:szCs w:val="21"/>
                <w:lang w:val="en-US" w:eastAsia="zh-CN"/>
              </w:rPr>
            </w:pPr>
            <w:r>
              <w:rPr>
                <w:rFonts w:hint="eastAsia"/>
                <w:color w:val="auto"/>
                <w:sz w:val="21"/>
                <w:szCs w:val="21"/>
                <w:lang w:val="en-US" w:eastAsia="zh-CN"/>
              </w:rPr>
              <w:t>委托环卫部门处置</w:t>
            </w:r>
          </w:p>
        </w:tc>
      </w:tr>
      <w:bookmarkEnd w:id="39"/>
    </w:tbl>
    <w:p w14:paraId="58C4E496">
      <w:pPr>
        <w:pStyle w:val="95"/>
        <w:rPr>
          <w:color w:val="auto"/>
        </w:rPr>
      </w:pPr>
    </w:p>
    <w:p w14:paraId="4ACF0783">
      <w:pPr>
        <w:pStyle w:val="95"/>
        <w:rPr>
          <w:color w:val="auto"/>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bookmarkEnd w:id="0"/>
    <w:p w14:paraId="47EF0789">
      <w:pPr>
        <w:pStyle w:val="4"/>
        <w:bidi w:val="0"/>
        <w:rPr>
          <w:rFonts w:hint="default" w:ascii="Times New Roman" w:hAnsi="Times New Roman" w:cs="Times New Roman" w:eastAsiaTheme="majorEastAsia"/>
          <w:lang w:val="en-US" w:eastAsia="zh-CN"/>
        </w:rPr>
      </w:pPr>
      <w:bookmarkStart w:id="40" w:name="_Toc17383"/>
      <w:r>
        <w:rPr>
          <w:rFonts w:hint="default" w:ascii="Times New Roman" w:hAnsi="Times New Roman" w:cs="Times New Roman" w:eastAsiaTheme="majorEastAsia"/>
          <w:lang w:val="en-US" w:eastAsia="zh-CN"/>
        </w:rPr>
        <w:t>3.2扩建项目概况</w:t>
      </w:r>
      <w:bookmarkEnd w:id="40"/>
    </w:p>
    <w:p w14:paraId="6294D390">
      <w:pPr>
        <w:pStyle w:val="5"/>
        <w:bidi w:val="0"/>
        <w:rPr>
          <w:rFonts w:hint="eastAsia"/>
          <w:lang w:val="en-US" w:eastAsia="zh-CN"/>
        </w:rPr>
      </w:pPr>
      <w:r>
        <w:rPr>
          <w:rFonts w:hint="eastAsia"/>
          <w:lang w:val="en-US" w:eastAsia="zh-CN"/>
        </w:rPr>
        <w:t>3.2.1项目基本情况</w:t>
      </w:r>
    </w:p>
    <w:p w14:paraId="6A7124F6">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highlight w:val="none"/>
        </w:rPr>
        <w:t>项目名称：</w:t>
      </w:r>
      <w:r>
        <w:rPr>
          <w:rFonts w:hint="eastAsia" w:cs="Times New Roman"/>
          <w:color w:val="auto"/>
          <w:sz w:val="24"/>
          <w:highlight w:val="none"/>
          <w:lang w:eastAsia="zh-CN"/>
        </w:rPr>
        <w:t>北</w:t>
      </w:r>
      <w:r>
        <w:rPr>
          <w:rFonts w:hint="eastAsia" w:cs="Times New Roman"/>
          <w:color w:val="auto"/>
          <w:sz w:val="24"/>
          <w:lang w:eastAsia="zh-CN"/>
        </w:rPr>
        <w:t>票大力铁精粉精选厂改扩建项目</w:t>
      </w:r>
    </w:p>
    <w:p w14:paraId="4984F45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建设单位：</w:t>
      </w:r>
      <w:r>
        <w:rPr>
          <w:rFonts w:hint="eastAsia" w:cs="Times New Roman"/>
          <w:color w:val="auto"/>
          <w:sz w:val="24"/>
          <w:lang w:eastAsia="zh-CN"/>
        </w:rPr>
        <w:t>北票市大力铁精粉精选厂</w:t>
      </w:r>
    </w:p>
    <w:p w14:paraId="1D297F0F">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建设地点：辽宁省朝阳市</w:t>
      </w:r>
      <w:r>
        <w:rPr>
          <w:rFonts w:hint="eastAsia" w:cs="Times New Roman"/>
          <w:color w:val="auto"/>
          <w:sz w:val="24"/>
          <w:lang w:eastAsia="zh-CN"/>
        </w:rPr>
        <w:t>辽宁省朝阳市北票市娄家店乡冯家营村</w:t>
      </w:r>
    </w:p>
    <w:p w14:paraId="20CC6A2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建设性质：</w:t>
      </w:r>
      <w:r>
        <w:rPr>
          <w:rFonts w:hint="eastAsia" w:cs="Times New Roman"/>
          <w:color w:val="auto"/>
          <w:sz w:val="24"/>
          <w:lang w:eastAsia="zh-CN"/>
        </w:rPr>
        <w:t>改扩建</w:t>
      </w:r>
    </w:p>
    <w:p w14:paraId="706A66C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rPr>
        <w:t>总投资：</w:t>
      </w:r>
      <w:r>
        <w:rPr>
          <w:rFonts w:hint="eastAsia" w:cs="Times New Roman"/>
          <w:color w:val="auto"/>
          <w:sz w:val="24"/>
          <w:lang w:eastAsia="zh-CN"/>
        </w:rPr>
        <w:t>改扩建</w:t>
      </w:r>
      <w:r>
        <w:rPr>
          <w:rFonts w:hint="default" w:ascii="Times New Roman" w:hAnsi="Times New Roman" w:eastAsia="宋体" w:cs="Times New Roman"/>
          <w:color w:val="auto"/>
          <w:sz w:val="24"/>
        </w:rPr>
        <w:t>项目新增投资</w:t>
      </w:r>
      <w:r>
        <w:rPr>
          <w:rFonts w:hint="eastAsia" w:cs="Times New Roman"/>
          <w:color w:val="auto"/>
          <w:sz w:val="24"/>
          <w:lang w:val="en-US" w:eastAsia="zh-CN"/>
        </w:rPr>
        <w:t>500</w:t>
      </w:r>
      <w:r>
        <w:rPr>
          <w:rFonts w:hint="default" w:ascii="Times New Roman" w:hAnsi="Times New Roman" w:eastAsia="宋体" w:cs="Times New Roman"/>
          <w:color w:val="auto"/>
          <w:sz w:val="24"/>
          <w:lang w:eastAsia="zh-CN"/>
        </w:rPr>
        <w:t>万元</w:t>
      </w:r>
      <w:r>
        <w:rPr>
          <w:rFonts w:hint="eastAsia" w:cs="Times New Roman"/>
          <w:color w:val="auto"/>
          <w:sz w:val="24"/>
          <w:lang w:eastAsia="zh-CN"/>
        </w:rPr>
        <w:t>，</w:t>
      </w:r>
      <w:r>
        <w:rPr>
          <w:rFonts w:hint="eastAsia" w:cs="Times New Roman"/>
          <w:color w:val="auto"/>
          <w:sz w:val="24"/>
          <w:highlight w:val="none"/>
          <w:lang w:eastAsia="zh-CN"/>
        </w:rPr>
        <w:t>其中环保投资</w:t>
      </w:r>
      <w:r>
        <w:rPr>
          <w:rFonts w:hint="eastAsia" w:cs="Times New Roman"/>
          <w:color w:val="auto"/>
          <w:sz w:val="24"/>
          <w:highlight w:val="none"/>
          <w:lang w:val="en-US" w:eastAsia="zh-CN"/>
        </w:rPr>
        <w:t>40万元，占总投资的8%；</w:t>
      </w:r>
    </w:p>
    <w:p w14:paraId="41CEF13D">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2"/>
          <w:highlight w:val="none"/>
          <w:lang w:val="en-US" w:eastAsia="zh-CN" w:bidi="ar-SA"/>
        </w:rPr>
      </w:pPr>
      <w:r>
        <w:rPr>
          <w:rFonts w:hint="eastAsia" w:cs="Times New Roman"/>
          <w:color w:val="auto"/>
          <w:kern w:val="2"/>
          <w:sz w:val="24"/>
          <w:szCs w:val="22"/>
          <w:highlight w:val="none"/>
          <w:lang w:val="en-US" w:eastAsia="zh-CN" w:bidi="ar-SA"/>
        </w:rPr>
        <w:t>项目占地：企业现有项目占地13340m</w:t>
      </w:r>
      <w:r>
        <w:rPr>
          <w:rFonts w:hint="eastAsia" w:cs="Times New Roman"/>
          <w:color w:val="auto"/>
          <w:kern w:val="2"/>
          <w:sz w:val="24"/>
          <w:szCs w:val="22"/>
          <w:highlight w:val="none"/>
          <w:vertAlign w:val="superscript"/>
          <w:lang w:val="en-US" w:eastAsia="zh-CN" w:bidi="ar-SA"/>
        </w:rPr>
        <w:t>2</w:t>
      </w:r>
      <w:r>
        <w:rPr>
          <w:rFonts w:hint="eastAsia" w:cs="Times New Roman"/>
          <w:color w:val="auto"/>
          <w:kern w:val="2"/>
          <w:sz w:val="24"/>
          <w:szCs w:val="22"/>
          <w:highlight w:val="none"/>
          <w:lang w:val="en-US" w:eastAsia="zh-CN" w:bidi="ar-SA"/>
        </w:rPr>
        <w:t>，本次改扩建项目在现有厂区范围内建设，不新增占地面积，依托现有车间，不新增建筑面积。</w:t>
      </w:r>
    </w:p>
    <w:p w14:paraId="3F242355">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劳动定员：</w:t>
      </w:r>
      <w:r>
        <w:rPr>
          <w:rFonts w:hint="eastAsia" w:cs="Times New Roman"/>
          <w:color w:val="auto"/>
          <w:kern w:val="2"/>
          <w:sz w:val="24"/>
          <w:szCs w:val="22"/>
          <w:lang w:val="en-US" w:eastAsia="zh-CN" w:bidi="ar-SA"/>
        </w:rPr>
        <w:t>本次改扩建新增20人；</w:t>
      </w:r>
    </w:p>
    <w:p w14:paraId="18D9546E">
      <w:pPr>
        <w:pStyle w:val="177"/>
        <w:keepNext w:val="0"/>
        <w:keepLines w:val="0"/>
        <w:pageBreakBefore w:val="0"/>
        <w:kinsoku/>
        <w:wordWrap/>
        <w:overflowPunct/>
        <w:topLinePunct w:val="0"/>
        <w:bidi w:val="0"/>
        <w:snapToGrid/>
        <w:ind w:firstLine="480"/>
        <w:jc w:val="both"/>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工作制度：</w:t>
      </w:r>
      <w:r>
        <w:rPr>
          <w:rFonts w:hint="eastAsia" w:ascii="Times New Roman"/>
          <w:color w:val="auto"/>
          <w:highlight w:val="none"/>
          <w:lang w:val="en-US" w:eastAsia="zh-CN"/>
        </w:rPr>
        <w:t>全年工作300天，每天三班制，每班工作时间8小时</w:t>
      </w:r>
      <w:r>
        <w:rPr>
          <w:rFonts w:hint="default" w:ascii="Times New Roman" w:hAnsi="Times New Roman" w:eastAsia="宋体" w:cs="Times New Roman"/>
          <w:color w:val="auto"/>
          <w:kern w:val="2"/>
          <w:sz w:val="24"/>
          <w:szCs w:val="22"/>
          <w:lang w:val="en-US" w:eastAsia="zh-CN" w:bidi="ar-SA"/>
        </w:rPr>
        <w:t>。</w:t>
      </w:r>
    </w:p>
    <w:p w14:paraId="78575DB9">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建设规模：</w:t>
      </w:r>
      <w:r>
        <w:rPr>
          <w:rFonts w:hint="eastAsia" w:ascii="Times New Roman" w:hAnsi="Times New Roman" w:eastAsia="宋体" w:cs="Times New Roman"/>
          <w:color w:val="auto"/>
          <w:kern w:val="2"/>
          <w:sz w:val="24"/>
          <w:szCs w:val="22"/>
          <w:lang w:val="en-US" w:eastAsia="zh-CN" w:bidi="ar-SA"/>
        </w:rPr>
        <w:t>本次扩建项目新增浮选选金工序，选矿厂</w:t>
      </w:r>
      <w:r>
        <w:rPr>
          <w:rFonts w:hint="eastAsia" w:cs="Times New Roman"/>
          <w:color w:val="auto"/>
          <w:kern w:val="2"/>
          <w:sz w:val="24"/>
          <w:szCs w:val="22"/>
          <w:lang w:val="en-US" w:eastAsia="zh-CN" w:bidi="ar-SA"/>
        </w:rPr>
        <w:t>新增</w:t>
      </w:r>
      <w:r>
        <w:rPr>
          <w:rFonts w:hint="eastAsia" w:ascii="Times New Roman" w:hAnsi="Times New Roman" w:eastAsia="宋体" w:cs="Times New Roman"/>
          <w:color w:val="auto"/>
          <w:kern w:val="2"/>
          <w:sz w:val="24"/>
          <w:szCs w:val="22"/>
          <w:lang w:val="en-US" w:eastAsia="zh-CN" w:bidi="ar-SA"/>
        </w:rPr>
        <w:t>入选矿石20万t/a。</w:t>
      </w:r>
    </w:p>
    <w:p w14:paraId="12054227">
      <w:pPr>
        <w:pStyle w:val="5"/>
        <w:bidi w:val="0"/>
        <w:rPr>
          <w:rFonts w:hint="eastAsia"/>
          <w:lang w:val="en-US" w:eastAsia="zh-CN"/>
        </w:rPr>
      </w:pPr>
      <w:r>
        <w:rPr>
          <w:rFonts w:hint="eastAsia"/>
          <w:lang w:val="en-US" w:eastAsia="zh-CN"/>
        </w:rPr>
        <w:t>3.2.2项目工程情况</w:t>
      </w:r>
    </w:p>
    <w:p w14:paraId="0A5D7CBE">
      <w:pPr>
        <w:keepNext w:val="0"/>
        <w:keepLines w:val="0"/>
        <w:pageBreakBefore w:val="0"/>
        <w:widowControl w:val="0"/>
        <w:kinsoku/>
        <w:wordWrap/>
        <w:overflowPunct/>
        <w:topLinePunct w:val="0"/>
        <w:bidi w:val="0"/>
        <w:snapToGrid w:val="0"/>
        <w:spacing w:line="360" w:lineRule="auto"/>
        <w:jc w:val="both"/>
        <w:rPr>
          <w:rFonts w:hint="default" w:ascii="Times New Roman" w:hAnsi="Times New Roman" w:eastAsia="宋体" w:cs="Times New Roman"/>
          <w:b/>
          <w:bCs/>
          <w:color w:val="auto"/>
          <w:kern w:val="2"/>
          <w:sz w:val="24"/>
          <w:szCs w:val="22"/>
          <w:highlight w:val="none"/>
          <w:lang w:val="en-US" w:eastAsia="zh-CN" w:bidi="ar-SA"/>
        </w:rPr>
      </w:pPr>
      <w:r>
        <w:rPr>
          <w:rFonts w:hint="eastAsia" w:cs="Times New Roman"/>
          <w:b/>
          <w:bCs/>
          <w:color w:val="auto"/>
          <w:kern w:val="2"/>
          <w:sz w:val="24"/>
          <w:szCs w:val="22"/>
          <w:highlight w:val="none"/>
          <w:lang w:val="en-US" w:eastAsia="zh-CN" w:bidi="ar-SA"/>
        </w:rPr>
        <w:t>3.2.2.1项目工程组成</w:t>
      </w:r>
    </w:p>
    <w:p w14:paraId="1B7EA9EB">
      <w:pPr>
        <w:keepNext w:val="0"/>
        <w:keepLines w:val="0"/>
        <w:pageBreakBefore w:val="0"/>
        <w:widowControl w:val="0"/>
        <w:kinsoku/>
        <w:wordWrap/>
        <w:overflowPunct/>
        <w:topLinePunct w:val="0"/>
        <w:bidi w:val="0"/>
        <w:snapToGrid w:val="0"/>
        <w:spacing w:line="360" w:lineRule="auto"/>
        <w:ind w:firstLine="480" w:firstLineChars="200"/>
        <w:jc w:val="both"/>
        <w:rPr>
          <w:rFonts w:hint="default" w:ascii="Times New Roman" w:hAnsi="Times New Roman" w:eastAsia="宋体" w:cs="Times New Roman"/>
          <w:color w:val="auto"/>
          <w:kern w:val="2"/>
          <w:sz w:val="24"/>
          <w:szCs w:val="22"/>
          <w:lang w:val="en-US" w:eastAsia="zh-CN" w:bidi="ar-SA"/>
        </w:rPr>
      </w:pPr>
      <w:r>
        <w:rPr>
          <w:rFonts w:hint="eastAsia" w:cs="Times New Roman"/>
          <w:color w:val="auto"/>
          <w:kern w:val="2"/>
          <w:sz w:val="24"/>
          <w:szCs w:val="22"/>
          <w:highlight w:val="none"/>
          <w:lang w:val="en-US" w:eastAsia="zh-CN" w:bidi="ar-SA"/>
        </w:rPr>
        <w:t>本次改扩建项</w:t>
      </w:r>
      <w:r>
        <w:rPr>
          <w:rFonts w:hint="eastAsia" w:cs="Times New Roman"/>
          <w:color w:val="auto"/>
          <w:kern w:val="2"/>
          <w:sz w:val="24"/>
          <w:szCs w:val="22"/>
          <w:lang w:val="en-US" w:eastAsia="zh-CN" w:bidi="ar-SA"/>
        </w:rPr>
        <w:t>目</w:t>
      </w:r>
      <w:r>
        <w:rPr>
          <w:rFonts w:hint="eastAsia" w:ascii="Times New Roman" w:hAnsi="Times New Roman" w:eastAsia="宋体" w:cs="Times New Roman"/>
          <w:color w:val="auto"/>
          <w:kern w:val="2"/>
          <w:sz w:val="24"/>
          <w:szCs w:val="22"/>
          <w:lang w:val="en-US" w:eastAsia="zh-CN" w:bidi="ar-SA"/>
        </w:rPr>
        <w:t>新增</w:t>
      </w:r>
      <w:r>
        <w:rPr>
          <w:rFonts w:hint="eastAsia" w:cs="Times New Roman"/>
          <w:color w:val="auto"/>
          <w:kern w:val="2"/>
          <w:sz w:val="24"/>
          <w:szCs w:val="22"/>
          <w:lang w:val="en-US" w:eastAsia="zh-CN" w:bidi="ar-SA"/>
        </w:rPr>
        <w:t>选金生产线，采用浮选工艺，在现有选矿车间内进行建设，新增浮选机及配套设备，具体项目组成见下表</w:t>
      </w:r>
      <w:r>
        <w:rPr>
          <w:rFonts w:hint="eastAsia" w:ascii="Times New Roman" w:hAnsi="Times New Roman" w:eastAsia="宋体" w:cs="Times New Roman"/>
          <w:color w:val="auto"/>
          <w:kern w:val="2"/>
          <w:sz w:val="24"/>
          <w:szCs w:val="22"/>
          <w:lang w:val="en-US" w:eastAsia="zh-CN" w:bidi="ar-SA"/>
        </w:rPr>
        <w:t>。</w:t>
      </w:r>
    </w:p>
    <w:p w14:paraId="429484E7">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w:t>
      </w:r>
      <w:r>
        <w:rPr>
          <w:rFonts w:hint="default" w:ascii="Times New Roman" w:hAnsi="Times New Roman" w:eastAsia="宋体" w:cs="Times New Roman"/>
          <w:b/>
          <w:color w:val="auto"/>
          <w:kern w:val="2"/>
          <w:sz w:val="24"/>
          <w:szCs w:val="24"/>
          <w:lang w:val="en-US" w:eastAsia="zh-CN" w:bidi="ar-SA"/>
        </w:rPr>
        <w:t>.</w:t>
      </w:r>
      <w:r>
        <w:rPr>
          <w:rFonts w:hint="eastAsia" w:ascii="Times New Roman" w:hAnsi="Times New Roman" w:eastAsia="宋体" w:cs="Times New Roman"/>
          <w:b/>
          <w:color w:val="auto"/>
          <w:kern w:val="2"/>
          <w:sz w:val="24"/>
          <w:szCs w:val="24"/>
          <w:lang w:val="en-US" w:eastAsia="zh-CN" w:bidi="ar-SA"/>
        </w:rPr>
        <w:t>2</w:t>
      </w:r>
      <w:r>
        <w:rPr>
          <w:rFonts w:hint="default" w:ascii="Times New Roman" w:hAnsi="Times New Roman" w:eastAsia="宋体" w:cs="Times New Roman"/>
          <w:b/>
          <w:color w:val="auto"/>
          <w:kern w:val="2"/>
          <w:sz w:val="24"/>
          <w:szCs w:val="24"/>
          <w:lang w:val="en-US" w:eastAsia="zh-CN" w:bidi="ar-SA"/>
        </w:rPr>
        <w:t xml:space="preserve">-1     </w:t>
      </w:r>
      <w:r>
        <w:rPr>
          <w:rFonts w:hint="eastAsia" w:cs="Times New Roman"/>
          <w:b/>
          <w:color w:val="auto"/>
          <w:kern w:val="2"/>
          <w:sz w:val="24"/>
          <w:szCs w:val="24"/>
          <w:lang w:val="en-US" w:eastAsia="zh-CN" w:bidi="ar-SA"/>
        </w:rPr>
        <w:t>本次改扩建</w:t>
      </w:r>
      <w:r>
        <w:rPr>
          <w:rFonts w:hint="default" w:ascii="Times New Roman" w:hAnsi="Times New Roman" w:eastAsia="宋体" w:cs="Times New Roman"/>
          <w:b/>
          <w:color w:val="auto"/>
          <w:kern w:val="2"/>
          <w:sz w:val="24"/>
          <w:szCs w:val="24"/>
          <w:lang w:val="en-US" w:eastAsia="zh-CN" w:bidi="ar-SA"/>
        </w:rPr>
        <w:t>项目</w:t>
      </w:r>
      <w:r>
        <w:rPr>
          <w:rFonts w:hint="eastAsia" w:ascii="Times New Roman" w:hAnsi="Times New Roman" w:eastAsia="宋体" w:cs="Times New Roman"/>
          <w:b/>
          <w:color w:val="auto"/>
          <w:kern w:val="2"/>
          <w:sz w:val="24"/>
          <w:szCs w:val="24"/>
          <w:lang w:val="en-US" w:eastAsia="zh-CN" w:bidi="ar-SA"/>
        </w:rPr>
        <w:t>工程</w:t>
      </w:r>
      <w:r>
        <w:rPr>
          <w:rFonts w:hint="default" w:ascii="Times New Roman" w:hAnsi="Times New Roman" w:eastAsia="宋体" w:cs="Times New Roman"/>
          <w:b/>
          <w:color w:val="auto"/>
          <w:kern w:val="2"/>
          <w:sz w:val="24"/>
          <w:szCs w:val="24"/>
          <w:lang w:val="en-US" w:eastAsia="zh-CN" w:bidi="ar-SA"/>
        </w:rPr>
        <w:t>组成一览表</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50"/>
        <w:gridCol w:w="1169"/>
        <w:gridCol w:w="4500"/>
        <w:gridCol w:w="1233"/>
      </w:tblGrid>
      <w:tr w14:paraId="6BDD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tcBorders>
              <w:tl2br w:val="nil"/>
              <w:tr2bl w:val="nil"/>
            </w:tcBorders>
            <w:vAlign w:val="center"/>
          </w:tcPr>
          <w:p w14:paraId="359E472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类别</w:t>
            </w:r>
          </w:p>
        </w:tc>
        <w:tc>
          <w:tcPr>
            <w:tcW w:w="602" w:type="pct"/>
            <w:tcBorders>
              <w:tl2br w:val="nil"/>
              <w:tr2bl w:val="nil"/>
            </w:tcBorders>
            <w:vAlign w:val="center"/>
          </w:tcPr>
          <w:p w14:paraId="23D3803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项目</w:t>
            </w:r>
          </w:p>
        </w:tc>
        <w:tc>
          <w:tcPr>
            <w:tcW w:w="3251" w:type="pct"/>
            <w:gridSpan w:val="2"/>
            <w:tcBorders>
              <w:tl2br w:val="nil"/>
              <w:tr2bl w:val="nil"/>
            </w:tcBorders>
            <w:vAlign w:val="center"/>
          </w:tcPr>
          <w:p w14:paraId="068869F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工程组成</w:t>
            </w:r>
          </w:p>
        </w:tc>
        <w:tc>
          <w:tcPr>
            <w:tcW w:w="707" w:type="pct"/>
            <w:tcBorders>
              <w:tl2br w:val="nil"/>
              <w:tr2bl w:val="nil"/>
            </w:tcBorders>
            <w:vAlign w:val="center"/>
          </w:tcPr>
          <w:p w14:paraId="61E29851">
            <w:pPr>
              <w:widowControl w:val="0"/>
              <w:spacing w:line="240" w:lineRule="auto"/>
              <w:ind w:firstLine="0" w:firstLineChars="0"/>
              <w:jc w:val="center"/>
              <w:rPr>
                <w:rFonts w:hint="default"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备注</w:t>
            </w:r>
          </w:p>
        </w:tc>
      </w:tr>
      <w:tr w14:paraId="2E97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restart"/>
            <w:tcBorders>
              <w:tl2br w:val="nil"/>
              <w:tr2bl w:val="nil"/>
            </w:tcBorders>
            <w:vAlign w:val="center"/>
          </w:tcPr>
          <w:p w14:paraId="0A0A6CD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主体工程</w:t>
            </w:r>
          </w:p>
        </w:tc>
        <w:tc>
          <w:tcPr>
            <w:tcW w:w="602" w:type="pct"/>
            <w:tcBorders>
              <w:tl2br w:val="nil"/>
              <w:tr2bl w:val="nil"/>
            </w:tcBorders>
            <w:vAlign w:val="center"/>
          </w:tcPr>
          <w:p w14:paraId="045871F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破碎区</w:t>
            </w:r>
          </w:p>
        </w:tc>
        <w:tc>
          <w:tcPr>
            <w:tcW w:w="3251" w:type="pct"/>
            <w:gridSpan w:val="2"/>
            <w:tcBorders>
              <w:tl2br w:val="nil"/>
              <w:tr2bl w:val="nil"/>
            </w:tcBorders>
            <w:vAlign w:val="center"/>
          </w:tcPr>
          <w:p w14:paraId="0F775051">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破碎区包含粗破、细破，为浮选前期预处理，设备设置在封闭彩钢结构。</w:t>
            </w:r>
          </w:p>
        </w:tc>
        <w:tc>
          <w:tcPr>
            <w:tcW w:w="707" w:type="pct"/>
            <w:tcBorders>
              <w:tl2br w:val="nil"/>
              <w:tr2bl w:val="nil"/>
            </w:tcBorders>
            <w:vAlign w:val="center"/>
          </w:tcPr>
          <w:p w14:paraId="7A3B82F9">
            <w:pPr>
              <w:widowControl w:val="0"/>
              <w:spacing w:line="240" w:lineRule="auto"/>
              <w:jc w:val="center"/>
              <w:rPr>
                <w:rFonts w:hint="default"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破碎区依托现有</w:t>
            </w:r>
          </w:p>
        </w:tc>
      </w:tr>
      <w:tr w14:paraId="411C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6FBBE05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3D8AFC69">
            <w:pPr>
              <w:widowControl w:val="0"/>
              <w:spacing w:line="240" w:lineRule="auto"/>
              <w:ind w:firstLine="0" w:firstLineChars="0"/>
              <w:jc w:val="center"/>
              <w:rPr>
                <w:rFonts w:hint="default"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选矿车间</w:t>
            </w:r>
          </w:p>
        </w:tc>
        <w:tc>
          <w:tcPr>
            <w:tcW w:w="3251" w:type="pct"/>
            <w:gridSpan w:val="2"/>
            <w:tcBorders>
              <w:tl2br w:val="nil"/>
              <w:tr2bl w:val="nil"/>
            </w:tcBorders>
            <w:vAlign w:val="center"/>
          </w:tcPr>
          <w:p w14:paraId="5A997982">
            <w:pPr>
              <w:widowControl w:val="0"/>
              <w:spacing w:line="240" w:lineRule="auto"/>
              <w:jc w:val="center"/>
              <w:rPr>
                <w:rFonts w:hint="default" w:ascii="Times New Roman" w:hAnsi="Times New Roman" w:eastAsia="宋体" w:cs="Times New Roman"/>
                <w:color w:val="000000"/>
                <w:kern w:val="2"/>
                <w:sz w:val="21"/>
                <w:szCs w:val="21"/>
                <w:vertAlign w:val="baseline"/>
                <w:lang w:val="en-US" w:eastAsia="zh-CN" w:bidi="ar-SA"/>
              </w:rPr>
            </w:pPr>
            <w:r>
              <w:rPr>
                <w:rFonts w:hint="eastAsia" w:cs="Times New Roman"/>
                <w:color w:val="000000"/>
                <w:kern w:val="2"/>
                <w:sz w:val="21"/>
                <w:szCs w:val="21"/>
                <w:vertAlign w:val="baseline"/>
                <w:lang w:val="en-US" w:eastAsia="zh-CN" w:bidi="ar-SA"/>
              </w:rPr>
              <w:t>依托现有选矿车间，占地面积约300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color w:val="000000"/>
                <w:kern w:val="2"/>
                <w:sz w:val="21"/>
                <w:szCs w:val="21"/>
                <w:vertAlign w:val="baseline"/>
                <w:lang w:val="en-US" w:eastAsia="zh-CN" w:bidi="ar-SA"/>
              </w:rPr>
              <w:t>建筑面积约300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为钢结构，在车间内新增浮选机及配套设备。</w:t>
            </w:r>
          </w:p>
        </w:tc>
        <w:tc>
          <w:tcPr>
            <w:tcW w:w="707" w:type="pct"/>
            <w:tcBorders>
              <w:tl2br w:val="nil"/>
              <w:tr2bl w:val="nil"/>
            </w:tcBorders>
            <w:vAlign w:val="center"/>
          </w:tcPr>
          <w:p w14:paraId="7AB494AD">
            <w:pPr>
              <w:widowControl w:val="0"/>
              <w:spacing w:line="240" w:lineRule="auto"/>
              <w:jc w:val="center"/>
              <w:rPr>
                <w:rFonts w:hint="default" w:cs="Times New Roman"/>
                <w:color w:val="000000"/>
                <w:kern w:val="2"/>
                <w:sz w:val="21"/>
                <w:szCs w:val="21"/>
                <w:vertAlign w:val="baseline"/>
                <w:lang w:val="en-US" w:eastAsia="zh-CN" w:bidi="ar-SA"/>
              </w:rPr>
            </w:pPr>
            <w:r>
              <w:rPr>
                <w:rFonts w:hint="eastAsia" w:cs="Times New Roman"/>
                <w:color w:val="000000"/>
                <w:kern w:val="2"/>
                <w:sz w:val="21"/>
                <w:szCs w:val="21"/>
                <w:vertAlign w:val="baseline"/>
                <w:lang w:val="en-US" w:eastAsia="zh-CN" w:bidi="ar-SA"/>
              </w:rPr>
              <w:t>车间依托现有，新增浮选设备</w:t>
            </w:r>
          </w:p>
        </w:tc>
      </w:tr>
      <w:tr w14:paraId="46F4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3FB04ED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78D9DB6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eastAsia="宋体" w:cs="Times New Roman"/>
                <w:b w:val="0"/>
                <w:color w:val="auto"/>
                <w:kern w:val="2"/>
                <w:sz w:val="21"/>
                <w:szCs w:val="22"/>
                <w:lang w:val="en-US" w:eastAsia="zh-CN" w:bidi="ar-SA"/>
              </w:rPr>
              <w:t>尾矿库</w:t>
            </w:r>
          </w:p>
        </w:tc>
        <w:tc>
          <w:tcPr>
            <w:tcW w:w="3251" w:type="pct"/>
            <w:gridSpan w:val="2"/>
            <w:tcBorders>
              <w:tl2br w:val="nil"/>
              <w:tr2bl w:val="nil"/>
            </w:tcBorders>
            <w:vAlign w:val="center"/>
          </w:tcPr>
          <w:p w14:paraId="3F3B8757">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eastAsia="宋体" w:cs="Times New Roman"/>
                <w:b w:val="0"/>
                <w:color w:val="auto"/>
                <w:kern w:val="2"/>
                <w:sz w:val="21"/>
                <w:szCs w:val="22"/>
                <w:lang w:val="en-US" w:eastAsia="zh-CN" w:bidi="ar-SA"/>
              </w:rPr>
              <w:t>已关闭，</w:t>
            </w:r>
            <w:r>
              <w:rPr>
                <w:rFonts w:hint="eastAsia" w:cs="Times New Roman"/>
                <w:b w:val="0"/>
                <w:color w:val="auto"/>
                <w:kern w:val="2"/>
                <w:sz w:val="21"/>
                <w:szCs w:val="22"/>
                <w:lang w:val="en-US" w:eastAsia="zh-CN" w:bidi="ar-SA"/>
              </w:rPr>
              <w:t>尾矿排放方式变更为干排，变更情况已在原环评验收中说明，并验收通过。</w:t>
            </w:r>
          </w:p>
        </w:tc>
        <w:tc>
          <w:tcPr>
            <w:tcW w:w="707" w:type="pct"/>
            <w:tcBorders>
              <w:tl2br w:val="nil"/>
              <w:tr2bl w:val="nil"/>
            </w:tcBorders>
            <w:vAlign w:val="center"/>
          </w:tcPr>
          <w:p w14:paraId="4A9B8EFB">
            <w:pPr>
              <w:widowControl w:val="0"/>
              <w:spacing w:line="240" w:lineRule="auto"/>
              <w:jc w:val="center"/>
              <w:rPr>
                <w:rFonts w:hint="default"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已在原环评验收中分析完毕，不在本次环评评价范围内</w:t>
            </w:r>
          </w:p>
        </w:tc>
      </w:tr>
      <w:tr w14:paraId="78861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6F41382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3832CB37">
            <w:pPr>
              <w:widowControl w:val="0"/>
              <w:spacing w:line="240" w:lineRule="auto"/>
              <w:ind w:firstLine="0" w:firstLineChars="0"/>
              <w:jc w:val="center"/>
              <w:rPr>
                <w:rFonts w:hint="eastAsia" w:eastAsia="宋体" w:cs="Times New Roman"/>
                <w:b w:val="0"/>
                <w:color w:val="auto"/>
                <w:kern w:val="2"/>
                <w:sz w:val="21"/>
                <w:szCs w:val="22"/>
                <w:lang w:val="en-US" w:eastAsia="zh-CN" w:bidi="ar-SA"/>
              </w:rPr>
            </w:pPr>
            <w:r>
              <w:rPr>
                <w:rFonts w:hint="eastAsia" w:eastAsia="宋体" w:cs="Times New Roman"/>
                <w:b w:val="0"/>
                <w:color w:val="auto"/>
                <w:kern w:val="2"/>
                <w:sz w:val="21"/>
                <w:szCs w:val="22"/>
                <w:lang w:val="en-US" w:eastAsia="zh-CN" w:bidi="ar-SA"/>
              </w:rPr>
              <w:t>干排车间</w:t>
            </w:r>
          </w:p>
        </w:tc>
        <w:tc>
          <w:tcPr>
            <w:tcW w:w="3251" w:type="pct"/>
            <w:gridSpan w:val="2"/>
            <w:tcBorders>
              <w:tl2br w:val="nil"/>
              <w:tr2bl w:val="nil"/>
            </w:tcBorders>
            <w:vAlign w:val="center"/>
          </w:tcPr>
          <w:p w14:paraId="62C9C33D">
            <w:pPr>
              <w:widowControl w:val="0"/>
              <w:spacing w:line="240" w:lineRule="auto"/>
              <w:jc w:val="center"/>
              <w:rPr>
                <w:rFonts w:hint="default" w:eastAsia="宋体" w:cs="Times New Roman"/>
                <w:b w:val="0"/>
                <w:color w:val="auto"/>
                <w:kern w:val="2"/>
                <w:sz w:val="21"/>
                <w:szCs w:val="22"/>
                <w:lang w:val="en-US" w:eastAsia="zh-CN" w:bidi="ar-SA"/>
              </w:rPr>
            </w:pPr>
            <w:r>
              <w:rPr>
                <w:rFonts w:hint="eastAsia" w:cs="Times New Roman"/>
                <w:color w:val="000000"/>
                <w:kern w:val="2"/>
                <w:sz w:val="21"/>
                <w:szCs w:val="21"/>
                <w:vertAlign w:val="baseline"/>
                <w:lang w:val="en-US" w:eastAsia="zh-CN" w:bidi="ar-SA"/>
              </w:rPr>
              <w:t>占地面积约240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color w:val="000000"/>
                <w:kern w:val="2"/>
                <w:sz w:val="21"/>
                <w:szCs w:val="21"/>
                <w:vertAlign w:val="baseline"/>
                <w:lang w:val="en-US" w:eastAsia="zh-CN" w:bidi="ar-SA"/>
              </w:rPr>
              <w:t>建筑面积约240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为钢结构，车间内设置一套干排系统，并将压滤后的尾矿暂存于该车间内。</w:t>
            </w:r>
          </w:p>
        </w:tc>
        <w:tc>
          <w:tcPr>
            <w:tcW w:w="707" w:type="pct"/>
            <w:tcBorders>
              <w:tl2br w:val="nil"/>
              <w:tr2bl w:val="nil"/>
            </w:tcBorders>
            <w:vAlign w:val="center"/>
          </w:tcPr>
          <w:p w14:paraId="62E7230E">
            <w:pPr>
              <w:widowControl w:val="0"/>
              <w:spacing w:line="240" w:lineRule="auto"/>
              <w:jc w:val="center"/>
              <w:rPr>
                <w:rFonts w:hint="default" w:cs="Times New Roman"/>
                <w:color w:val="000000"/>
                <w:kern w:val="2"/>
                <w:sz w:val="21"/>
                <w:szCs w:val="21"/>
                <w:vertAlign w:val="baseline"/>
                <w:lang w:val="en-US" w:eastAsia="zh-CN" w:bidi="ar-SA"/>
              </w:rPr>
            </w:pPr>
            <w:r>
              <w:rPr>
                <w:rFonts w:hint="eastAsia" w:cs="Times New Roman"/>
                <w:color w:val="000000"/>
                <w:kern w:val="2"/>
                <w:sz w:val="21"/>
                <w:szCs w:val="21"/>
                <w:vertAlign w:val="baseline"/>
                <w:lang w:val="en-US" w:eastAsia="zh-CN" w:bidi="ar-SA"/>
              </w:rPr>
              <w:t>依托现有，已在原环评验收变更情况中说明</w:t>
            </w:r>
            <w:r>
              <w:rPr>
                <w:rFonts w:hint="eastAsia" w:cs="Times New Roman"/>
                <w:b w:val="0"/>
                <w:color w:val="auto"/>
                <w:kern w:val="2"/>
                <w:sz w:val="21"/>
                <w:szCs w:val="22"/>
                <w:lang w:val="en-US" w:eastAsia="zh-CN" w:bidi="ar-SA"/>
              </w:rPr>
              <w:t>，不在本次环评评价范围内</w:t>
            </w:r>
          </w:p>
        </w:tc>
      </w:tr>
      <w:tr w14:paraId="11145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restart"/>
            <w:tcBorders>
              <w:tl2br w:val="nil"/>
              <w:tr2bl w:val="nil"/>
            </w:tcBorders>
            <w:vAlign w:val="center"/>
          </w:tcPr>
          <w:p w14:paraId="43EF1C4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辅助工程</w:t>
            </w:r>
          </w:p>
        </w:tc>
        <w:tc>
          <w:tcPr>
            <w:tcW w:w="602" w:type="pct"/>
            <w:tcBorders>
              <w:tl2br w:val="nil"/>
              <w:tr2bl w:val="nil"/>
            </w:tcBorders>
            <w:vAlign w:val="center"/>
          </w:tcPr>
          <w:p w14:paraId="4373A1A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办公室</w:t>
            </w:r>
          </w:p>
        </w:tc>
        <w:tc>
          <w:tcPr>
            <w:tcW w:w="3251" w:type="pct"/>
            <w:gridSpan w:val="2"/>
            <w:tcBorders>
              <w:tl2br w:val="nil"/>
              <w:tr2bl w:val="nil"/>
            </w:tcBorders>
            <w:vAlign w:val="center"/>
          </w:tcPr>
          <w:p w14:paraId="08518992">
            <w:pPr>
              <w:widowControl w:val="0"/>
              <w:spacing w:line="240" w:lineRule="auto"/>
              <w:jc w:val="center"/>
              <w:rPr>
                <w:rFonts w:hint="eastAsia"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2层，</w:t>
            </w:r>
            <w:r>
              <w:rPr>
                <w:rFonts w:hint="default" w:ascii="Times New Roman" w:hAnsi="Times New Roman" w:eastAsia="宋体" w:cs="Times New Roman"/>
                <w:b w:val="0"/>
                <w:color w:val="auto"/>
                <w:kern w:val="2"/>
                <w:sz w:val="21"/>
                <w:szCs w:val="22"/>
                <w:lang w:val="en-US" w:eastAsia="zh-CN" w:bidi="ar-SA"/>
              </w:rPr>
              <w:t>占地面积</w:t>
            </w:r>
            <w:r>
              <w:rPr>
                <w:rFonts w:hint="eastAsia" w:cs="Times New Roman"/>
                <w:b w:val="0"/>
                <w:color w:val="auto"/>
                <w:kern w:val="2"/>
                <w:sz w:val="21"/>
                <w:szCs w:val="22"/>
                <w:lang w:val="en-US" w:eastAsia="zh-CN" w:bidi="ar-SA"/>
              </w:rPr>
              <w:t>约170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建筑面积约340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位于生产区北侧，与生产区分开布局，用于</w:t>
            </w:r>
            <w:r>
              <w:rPr>
                <w:color w:val="000000" w:themeColor="text1"/>
                <w:szCs w:val="21"/>
                <w14:textFill>
                  <w14:solidFill>
                    <w14:schemeClr w14:val="tx1"/>
                  </w14:solidFill>
                </w14:textFill>
              </w:rPr>
              <w:t>办公行政、职工休息等</w:t>
            </w:r>
            <w:r>
              <w:rPr>
                <w:rFonts w:hint="eastAsia"/>
                <w:color w:val="000000" w:themeColor="text1"/>
                <w:szCs w:val="21"/>
                <w:lang w:eastAsia="zh-CN"/>
                <w14:textFill>
                  <w14:solidFill>
                    <w14:schemeClr w14:val="tx1"/>
                  </w14:solidFill>
                </w14:textFill>
              </w:rPr>
              <w:t>。</w:t>
            </w:r>
          </w:p>
        </w:tc>
        <w:tc>
          <w:tcPr>
            <w:tcW w:w="707" w:type="pct"/>
            <w:tcBorders>
              <w:tl2br w:val="nil"/>
              <w:tr2bl w:val="nil"/>
            </w:tcBorders>
            <w:vAlign w:val="center"/>
          </w:tcPr>
          <w:p w14:paraId="4542D2E7">
            <w:pPr>
              <w:widowControl w:val="0"/>
              <w:spacing w:line="240" w:lineRule="auto"/>
              <w:jc w:val="center"/>
              <w:rPr>
                <w:rFonts w:hint="default"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依托现有</w:t>
            </w:r>
          </w:p>
        </w:tc>
      </w:tr>
      <w:tr w14:paraId="110B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4FAF3EB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331F09D8">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机修车间</w:t>
            </w:r>
          </w:p>
        </w:tc>
        <w:tc>
          <w:tcPr>
            <w:tcW w:w="3251" w:type="pct"/>
            <w:gridSpan w:val="2"/>
            <w:tcBorders>
              <w:tl2br w:val="nil"/>
              <w:tr2bl w:val="nil"/>
            </w:tcBorders>
            <w:vAlign w:val="center"/>
          </w:tcPr>
          <w:p w14:paraId="2BBC8F80">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color w:val="000000"/>
                <w:kern w:val="2"/>
                <w:sz w:val="21"/>
                <w:szCs w:val="21"/>
                <w:vertAlign w:val="baseline"/>
                <w:lang w:val="en-US" w:eastAsia="zh-CN" w:bidi="ar-SA"/>
              </w:rPr>
              <w:t>占地面积30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color w:val="000000"/>
                <w:kern w:val="2"/>
                <w:sz w:val="21"/>
                <w:szCs w:val="21"/>
                <w:vertAlign w:val="baseline"/>
                <w:lang w:val="en-US" w:eastAsia="zh-CN" w:bidi="ar-SA"/>
              </w:rPr>
              <w:t>30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color w:val="000000" w:themeColor="text1"/>
                <w:szCs w:val="21"/>
                <w:lang w:eastAsia="zh-CN"/>
                <w14:textFill>
                  <w14:solidFill>
                    <w14:schemeClr w14:val="tx1"/>
                  </w14:solidFill>
                </w14:textFill>
              </w:rPr>
              <w:t>。</w:t>
            </w:r>
          </w:p>
        </w:tc>
        <w:tc>
          <w:tcPr>
            <w:tcW w:w="707" w:type="pct"/>
            <w:tcBorders>
              <w:tl2br w:val="nil"/>
              <w:tr2bl w:val="nil"/>
            </w:tcBorders>
            <w:vAlign w:val="center"/>
          </w:tcPr>
          <w:p w14:paraId="6582EE63">
            <w:pPr>
              <w:keepNext w:val="0"/>
              <w:keepLines w:val="0"/>
              <w:widowControl/>
              <w:suppressLineNumbers w:val="0"/>
              <w:jc w:val="center"/>
              <w:rPr>
                <w:rFonts w:hint="eastAsia" w:cs="Times New Roman"/>
                <w:color w:val="000000"/>
                <w:kern w:val="2"/>
                <w:sz w:val="21"/>
                <w:szCs w:val="21"/>
                <w:vertAlign w:val="baseline"/>
                <w:lang w:val="en-US" w:eastAsia="zh-CN" w:bidi="ar-SA"/>
              </w:rPr>
            </w:pPr>
            <w:r>
              <w:rPr>
                <w:rFonts w:hint="eastAsia" w:cs="Times New Roman"/>
                <w:b w:val="0"/>
                <w:color w:val="auto"/>
                <w:kern w:val="2"/>
                <w:sz w:val="21"/>
                <w:szCs w:val="22"/>
                <w:lang w:val="en-US" w:eastAsia="zh-CN" w:bidi="ar-SA"/>
              </w:rPr>
              <w:t>依托现有</w:t>
            </w:r>
          </w:p>
        </w:tc>
      </w:tr>
      <w:tr w14:paraId="1B108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61CF8E3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127B3132">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化验室</w:t>
            </w:r>
          </w:p>
        </w:tc>
        <w:tc>
          <w:tcPr>
            <w:tcW w:w="3251" w:type="pct"/>
            <w:gridSpan w:val="2"/>
            <w:tcBorders>
              <w:tl2br w:val="nil"/>
              <w:tr2bl w:val="nil"/>
            </w:tcBorders>
            <w:vAlign w:val="center"/>
          </w:tcPr>
          <w:p w14:paraId="35639F0C">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color w:val="000000"/>
                <w:kern w:val="2"/>
                <w:sz w:val="21"/>
                <w:szCs w:val="21"/>
                <w:vertAlign w:val="baseline"/>
                <w:lang w:val="en-US" w:eastAsia="zh-CN" w:bidi="ar-SA"/>
              </w:rPr>
              <w:t>占地面积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30</w:t>
            </w:r>
            <w:r>
              <w:rPr>
                <w:rFonts w:hint="default" w:ascii="Times New Roman" w:hAnsi="Times New Roman" w:eastAsia="宋体" w:cs="Times New Roman"/>
                <w:b w:val="0"/>
                <w:color w:val="auto"/>
                <w:kern w:val="2"/>
                <w:sz w:val="21"/>
                <w:szCs w:val="22"/>
                <w:lang w:val="en-US" w:eastAsia="zh-CN" w:bidi="ar-SA"/>
              </w:rPr>
              <w:t>m</w:t>
            </w:r>
            <w:r>
              <w:rPr>
                <w:rFonts w:hint="default" w:ascii="Times New Roman" w:hAnsi="Times New Roman" w:eastAsia="宋体" w:cs="Times New Roman"/>
                <w:b w:val="0"/>
                <w:color w:val="auto"/>
                <w:kern w:val="2"/>
                <w:sz w:val="21"/>
                <w:szCs w:val="22"/>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30</w:t>
            </w:r>
            <w:r>
              <w:rPr>
                <w:rFonts w:hint="eastAsia" w:ascii="Times New Roman" w:hAnsi="Times New Roman" w:eastAsia="宋体" w:cs="Times New Roman"/>
                <w:color w:val="000000"/>
                <w:kern w:val="2"/>
                <w:sz w:val="21"/>
                <w:szCs w:val="21"/>
                <w:vertAlign w:val="baseline"/>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default" w:ascii="Times New Roman" w:hAnsi="Times New Roman" w:eastAsia="宋体" w:cs="Times New Roman"/>
                <w:b w:val="0"/>
                <w:color w:val="auto"/>
                <w:kern w:val="2"/>
                <w:sz w:val="21"/>
                <w:szCs w:val="22"/>
                <w:lang w:val="en-US" w:eastAsia="zh-CN" w:bidi="ar-SA"/>
              </w:rPr>
              <w:t>，</w:t>
            </w:r>
            <w:r>
              <w:rPr>
                <w:rFonts w:hint="eastAsia" w:ascii="宋体" w:hAnsi="宋体" w:eastAsia="宋体" w:cs="宋体"/>
                <w:color w:val="000000"/>
                <w:kern w:val="0"/>
                <w:sz w:val="21"/>
                <w:szCs w:val="21"/>
                <w:lang w:val="en-US" w:eastAsia="zh-CN" w:bidi="ar"/>
              </w:rPr>
              <w:t>主要承担原料、产品的检验工作。</w:t>
            </w:r>
          </w:p>
        </w:tc>
        <w:tc>
          <w:tcPr>
            <w:tcW w:w="707" w:type="pct"/>
            <w:tcBorders>
              <w:tl2br w:val="nil"/>
              <w:tr2bl w:val="nil"/>
            </w:tcBorders>
            <w:vAlign w:val="center"/>
          </w:tcPr>
          <w:p w14:paraId="1A22BC7F">
            <w:pPr>
              <w:keepNext w:val="0"/>
              <w:keepLines w:val="0"/>
              <w:widowControl/>
              <w:suppressLineNumbers w:val="0"/>
              <w:jc w:val="center"/>
              <w:rPr>
                <w:rFonts w:hint="eastAsia" w:cs="Times New Roman"/>
                <w:color w:val="000000"/>
                <w:kern w:val="2"/>
                <w:sz w:val="21"/>
                <w:szCs w:val="21"/>
                <w:vertAlign w:val="baseline"/>
                <w:lang w:val="en-US" w:eastAsia="zh-CN" w:bidi="ar-SA"/>
              </w:rPr>
            </w:pPr>
            <w:r>
              <w:rPr>
                <w:rFonts w:hint="eastAsia" w:cs="Times New Roman"/>
                <w:b w:val="0"/>
                <w:color w:val="auto"/>
                <w:kern w:val="2"/>
                <w:sz w:val="21"/>
                <w:szCs w:val="22"/>
                <w:lang w:val="en-US" w:eastAsia="zh-CN" w:bidi="ar-SA"/>
              </w:rPr>
              <w:t>依托现有</w:t>
            </w:r>
          </w:p>
        </w:tc>
      </w:tr>
      <w:tr w14:paraId="762E2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55B3A525">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4D2F6AAB">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配电室</w:t>
            </w:r>
          </w:p>
        </w:tc>
        <w:tc>
          <w:tcPr>
            <w:tcW w:w="3251" w:type="pct"/>
            <w:gridSpan w:val="2"/>
            <w:tcBorders>
              <w:tl2br w:val="nil"/>
              <w:tr2bl w:val="nil"/>
            </w:tcBorders>
            <w:vAlign w:val="center"/>
          </w:tcPr>
          <w:p w14:paraId="504EF52F">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b w:val="0"/>
                <w:color w:val="auto"/>
                <w:kern w:val="2"/>
                <w:sz w:val="21"/>
                <w:szCs w:val="22"/>
                <w:lang w:val="en-US" w:eastAsia="zh-CN" w:bidi="ar-SA"/>
              </w:rPr>
              <w:t>约</w:t>
            </w:r>
            <w:r>
              <w:rPr>
                <w:rFonts w:hint="eastAsia" w:ascii="Times New Roman" w:hAnsi="Times New Roman" w:eastAsia="宋体" w:cs="Times New Roman"/>
                <w:color w:val="000000"/>
                <w:kern w:val="2"/>
                <w:sz w:val="21"/>
                <w:szCs w:val="21"/>
                <w:vertAlign w:val="baseline"/>
                <w:lang w:val="en-US" w:eastAsia="zh-CN" w:bidi="ar-SA"/>
              </w:rPr>
              <w:t>25m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，设置变压器</w:t>
            </w:r>
            <w:r>
              <w:rPr>
                <w:rFonts w:hint="eastAsia" w:cs="Times New Roman"/>
                <w:b w:val="0"/>
                <w:color w:val="auto"/>
                <w:kern w:val="2"/>
                <w:sz w:val="21"/>
                <w:szCs w:val="22"/>
                <w:lang w:val="en-US" w:eastAsia="zh-CN" w:bidi="ar-SA"/>
              </w:rPr>
              <w:t>。</w:t>
            </w:r>
          </w:p>
        </w:tc>
        <w:tc>
          <w:tcPr>
            <w:tcW w:w="707" w:type="pct"/>
            <w:tcBorders>
              <w:tl2br w:val="nil"/>
              <w:tr2bl w:val="nil"/>
            </w:tcBorders>
            <w:vAlign w:val="center"/>
          </w:tcPr>
          <w:p w14:paraId="43A770BA">
            <w:pPr>
              <w:keepNext w:val="0"/>
              <w:keepLines w:val="0"/>
              <w:widowControl/>
              <w:suppressLineNumbers w:val="0"/>
              <w:jc w:val="center"/>
              <w:rPr>
                <w:rFonts w:hint="eastAsia" w:ascii="Times New Roman" w:hAnsi="Times New Roman" w:eastAsia="宋体" w:cs="Times New Roman"/>
                <w:color w:val="000000"/>
                <w:kern w:val="2"/>
                <w:sz w:val="21"/>
                <w:szCs w:val="21"/>
                <w:vertAlign w:val="baseline"/>
                <w:lang w:val="en-US" w:eastAsia="zh-CN" w:bidi="ar-SA"/>
              </w:rPr>
            </w:pPr>
            <w:r>
              <w:rPr>
                <w:rFonts w:hint="eastAsia" w:cs="Times New Roman"/>
                <w:b w:val="0"/>
                <w:color w:val="auto"/>
                <w:kern w:val="2"/>
                <w:sz w:val="21"/>
                <w:szCs w:val="22"/>
                <w:lang w:val="en-US" w:eastAsia="zh-CN" w:bidi="ar-SA"/>
              </w:rPr>
              <w:t>依托现有</w:t>
            </w:r>
          </w:p>
        </w:tc>
      </w:tr>
      <w:tr w14:paraId="3FCE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restart"/>
            <w:tcBorders>
              <w:tl2br w:val="nil"/>
              <w:tr2bl w:val="nil"/>
            </w:tcBorders>
            <w:vAlign w:val="center"/>
          </w:tcPr>
          <w:p w14:paraId="6CC4E6CE">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储运工程</w:t>
            </w:r>
          </w:p>
        </w:tc>
        <w:tc>
          <w:tcPr>
            <w:tcW w:w="602" w:type="pct"/>
            <w:tcBorders>
              <w:tl2br w:val="nil"/>
              <w:tr2bl w:val="nil"/>
            </w:tcBorders>
            <w:vAlign w:val="center"/>
          </w:tcPr>
          <w:p w14:paraId="770BF866">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color w:val="000000"/>
                <w:kern w:val="0"/>
                <w:sz w:val="21"/>
                <w:szCs w:val="21"/>
                <w:lang w:val="en-US" w:eastAsia="zh-CN" w:bidi="ar"/>
              </w:rPr>
              <w:t>产品</w:t>
            </w:r>
            <w:r>
              <w:rPr>
                <w:rFonts w:hint="eastAsia" w:eastAsia="宋体" w:cs="Times New Roman"/>
                <w:color w:val="000000"/>
                <w:kern w:val="0"/>
                <w:sz w:val="21"/>
                <w:szCs w:val="21"/>
                <w:lang w:val="en-US" w:eastAsia="zh-CN" w:bidi="ar"/>
              </w:rPr>
              <w:t>库房</w:t>
            </w:r>
          </w:p>
        </w:tc>
        <w:tc>
          <w:tcPr>
            <w:tcW w:w="3251" w:type="pct"/>
            <w:gridSpan w:val="2"/>
            <w:tcBorders>
              <w:tl2br w:val="nil"/>
              <w:tr2bl w:val="nil"/>
            </w:tcBorders>
            <w:vAlign w:val="center"/>
          </w:tcPr>
          <w:p w14:paraId="04AA841D">
            <w:pPr>
              <w:keepNext w:val="0"/>
              <w:keepLines w:val="0"/>
              <w:widowControl/>
              <w:suppressLineNumbers w:val="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color w:val="000000"/>
                <w:kern w:val="2"/>
                <w:sz w:val="21"/>
                <w:szCs w:val="21"/>
                <w:vertAlign w:val="baseline"/>
                <w:lang w:val="en-US" w:eastAsia="zh-CN" w:bidi="ar-SA"/>
              </w:rPr>
              <w:t>占地面积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2</w:t>
            </w:r>
            <w:r>
              <w:rPr>
                <w:rFonts w:hint="eastAsia" w:ascii="Times New Roman" w:hAnsi="Times New Roman" w:eastAsia="宋体" w:cs="Times New Roman"/>
                <w:color w:val="000000"/>
                <w:kern w:val="2"/>
                <w:sz w:val="21"/>
                <w:szCs w:val="21"/>
                <w:vertAlign w:val="baseline"/>
                <w:lang w:val="en-US" w:eastAsia="zh-CN" w:bidi="ar-SA"/>
              </w:rPr>
              <w:t>00m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w:t>
            </w:r>
            <w:r>
              <w:rPr>
                <w:rFonts w:hint="eastAsia" w:ascii="Times New Roman" w:hAnsi="Times New Roman" w:eastAsia="宋体" w:cs="Times New Roman"/>
                <w:color w:val="000000"/>
                <w:kern w:val="2"/>
                <w:sz w:val="21"/>
                <w:szCs w:val="21"/>
                <w:vertAlign w:val="baseline"/>
                <w:lang w:val="en-US" w:eastAsia="zh-CN" w:bidi="ar-SA"/>
              </w:rPr>
              <w:t>建筑面积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2</w:t>
            </w:r>
            <w:r>
              <w:rPr>
                <w:rFonts w:hint="eastAsia" w:ascii="Times New Roman" w:hAnsi="Times New Roman" w:eastAsia="宋体" w:cs="Times New Roman"/>
                <w:color w:val="000000"/>
                <w:kern w:val="2"/>
                <w:sz w:val="21"/>
                <w:szCs w:val="21"/>
                <w:vertAlign w:val="baseline"/>
                <w:lang w:val="en-US" w:eastAsia="zh-CN" w:bidi="ar-SA"/>
              </w:rPr>
              <w:t>00m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为钢结构，全封闭式。</w:t>
            </w:r>
          </w:p>
        </w:tc>
        <w:tc>
          <w:tcPr>
            <w:tcW w:w="707" w:type="pct"/>
            <w:tcBorders>
              <w:tl2br w:val="nil"/>
              <w:tr2bl w:val="nil"/>
            </w:tcBorders>
            <w:vAlign w:val="center"/>
          </w:tcPr>
          <w:p w14:paraId="7D8808BB">
            <w:pPr>
              <w:keepNext w:val="0"/>
              <w:keepLines w:val="0"/>
              <w:widowControl/>
              <w:suppressLineNumbers w:val="0"/>
              <w:jc w:val="center"/>
              <w:rPr>
                <w:rFonts w:hint="eastAsia" w:cs="Times New Roman"/>
                <w:color w:val="000000"/>
                <w:kern w:val="2"/>
                <w:sz w:val="21"/>
                <w:szCs w:val="21"/>
                <w:vertAlign w:val="baseline"/>
                <w:lang w:val="en-US" w:eastAsia="zh-CN" w:bidi="ar-SA"/>
              </w:rPr>
            </w:pPr>
            <w:r>
              <w:rPr>
                <w:rFonts w:hint="eastAsia" w:cs="Times New Roman"/>
                <w:b w:val="0"/>
                <w:color w:val="auto"/>
                <w:kern w:val="2"/>
                <w:sz w:val="21"/>
                <w:szCs w:val="22"/>
                <w:lang w:val="en-US" w:eastAsia="zh-CN" w:bidi="ar-SA"/>
              </w:rPr>
              <w:t>依托现有</w:t>
            </w:r>
          </w:p>
        </w:tc>
      </w:tr>
      <w:tr w14:paraId="262B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4DD7835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51D5C054">
            <w:pPr>
              <w:keepNext w:val="0"/>
              <w:keepLines w:val="0"/>
              <w:widowControl/>
              <w:suppressLineNumbers w:val="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w:t>
            </w:r>
          </w:p>
        </w:tc>
        <w:tc>
          <w:tcPr>
            <w:tcW w:w="3251" w:type="pct"/>
            <w:gridSpan w:val="2"/>
            <w:tcBorders>
              <w:tl2br w:val="nil"/>
              <w:tr2bl w:val="nil"/>
            </w:tcBorders>
            <w:vAlign w:val="center"/>
          </w:tcPr>
          <w:p w14:paraId="389EF1E3">
            <w:pPr>
              <w:keepNext w:val="0"/>
              <w:keepLines w:val="0"/>
              <w:widowControl/>
              <w:suppressLineNumbers w:val="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color w:val="000000"/>
                <w:kern w:val="2"/>
                <w:sz w:val="21"/>
                <w:szCs w:val="21"/>
                <w:vertAlign w:val="baseline"/>
                <w:lang w:val="en-US" w:eastAsia="zh-CN" w:bidi="ar-SA"/>
              </w:rPr>
              <w:t>占地</w:t>
            </w:r>
            <w:r>
              <w:rPr>
                <w:rFonts w:hint="eastAsia" w:ascii="Times New Roman" w:hAnsi="Times New Roman" w:eastAsia="宋体" w:cs="Times New Roman"/>
                <w:color w:val="000000"/>
                <w:kern w:val="2"/>
                <w:sz w:val="21"/>
                <w:szCs w:val="21"/>
                <w:vertAlign w:val="baseline"/>
                <w:lang w:val="en-US" w:eastAsia="zh-CN" w:bidi="ar-SA"/>
              </w:rPr>
              <w:t>面积</w:t>
            </w:r>
            <w:r>
              <w:rPr>
                <w:rFonts w:hint="eastAsia" w:cs="Times New Roman"/>
                <w:b w:val="0"/>
                <w:color w:val="auto"/>
                <w:kern w:val="2"/>
                <w:sz w:val="21"/>
                <w:szCs w:val="22"/>
                <w:lang w:val="en-US" w:eastAsia="zh-CN" w:bidi="ar-SA"/>
              </w:rPr>
              <w:t>约</w:t>
            </w:r>
            <w:r>
              <w:rPr>
                <w:rFonts w:hint="eastAsia" w:cs="Times New Roman"/>
                <w:color w:val="000000"/>
                <w:kern w:val="2"/>
                <w:sz w:val="21"/>
                <w:szCs w:val="21"/>
                <w:vertAlign w:val="baseline"/>
                <w:lang w:val="en-US" w:eastAsia="zh-CN" w:bidi="ar-SA"/>
              </w:rPr>
              <w:t>10</w:t>
            </w:r>
            <w:r>
              <w:rPr>
                <w:rFonts w:hint="eastAsia" w:ascii="Times New Roman" w:hAnsi="Times New Roman" w:eastAsia="宋体" w:cs="Times New Roman"/>
                <w:color w:val="000000"/>
                <w:kern w:val="2"/>
                <w:sz w:val="21"/>
                <w:szCs w:val="21"/>
                <w:vertAlign w:val="baseline"/>
                <w:lang w:val="en-US" w:eastAsia="zh-CN" w:bidi="ar-SA"/>
              </w:rPr>
              <w:t>00m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eastAsia="宋体" w:cs="Times New Roman"/>
                <w:b w:val="0"/>
                <w:color w:val="auto"/>
                <w:kern w:val="2"/>
                <w:sz w:val="21"/>
                <w:szCs w:val="22"/>
                <w:lang w:val="en-US" w:eastAsia="zh-CN" w:bidi="ar-SA"/>
              </w:rPr>
              <w:t>，</w:t>
            </w:r>
            <w:r>
              <w:rPr>
                <w:rFonts w:hint="eastAsia" w:cs="Times New Roman"/>
                <w:b w:val="0"/>
                <w:color w:val="auto"/>
                <w:kern w:val="2"/>
                <w:sz w:val="21"/>
                <w:szCs w:val="22"/>
                <w:lang w:val="en-US" w:eastAsia="zh-CN" w:bidi="ar-SA"/>
              </w:rPr>
              <w:t>位于破碎区、选矿车间南侧。</w:t>
            </w:r>
          </w:p>
        </w:tc>
        <w:tc>
          <w:tcPr>
            <w:tcW w:w="707" w:type="pct"/>
            <w:tcBorders>
              <w:tl2br w:val="nil"/>
              <w:tr2bl w:val="nil"/>
            </w:tcBorders>
            <w:vAlign w:val="center"/>
          </w:tcPr>
          <w:p w14:paraId="5D75AC88">
            <w:pPr>
              <w:keepNext w:val="0"/>
              <w:keepLines w:val="0"/>
              <w:widowControl/>
              <w:suppressLineNumbers w:val="0"/>
              <w:jc w:val="center"/>
              <w:rPr>
                <w:rFonts w:hint="eastAsia" w:cs="Times New Roman"/>
                <w:color w:val="000000"/>
                <w:kern w:val="2"/>
                <w:sz w:val="21"/>
                <w:szCs w:val="21"/>
                <w:vertAlign w:val="baseline"/>
                <w:lang w:val="en-US" w:eastAsia="zh-CN" w:bidi="ar-SA"/>
              </w:rPr>
            </w:pPr>
            <w:r>
              <w:rPr>
                <w:rFonts w:hint="eastAsia" w:cs="Times New Roman"/>
                <w:b w:val="0"/>
                <w:color w:val="auto"/>
                <w:kern w:val="2"/>
                <w:sz w:val="21"/>
                <w:szCs w:val="22"/>
                <w:lang w:val="en-US" w:eastAsia="zh-CN" w:bidi="ar-SA"/>
              </w:rPr>
              <w:t>依托现有</w:t>
            </w:r>
          </w:p>
        </w:tc>
      </w:tr>
      <w:tr w14:paraId="1010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35B5DE9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11C6093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b w:val="0"/>
                <w:color w:val="auto"/>
                <w:kern w:val="2"/>
                <w:sz w:val="21"/>
                <w:szCs w:val="22"/>
                <w:lang w:val="en-US" w:eastAsia="zh-CN" w:bidi="ar-SA"/>
              </w:rPr>
              <w:t>干排</w:t>
            </w:r>
            <w:r>
              <w:rPr>
                <w:rFonts w:hint="default" w:ascii="Times New Roman" w:hAnsi="Times New Roman" w:eastAsia="宋体" w:cs="Times New Roman"/>
                <w:b w:val="0"/>
                <w:color w:val="auto"/>
                <w:kern w:val="2"/>
                <w:sz w:val="21"/>
                <w:szCs w:val="22"/>
                <w:lang w:val="en-US" w:eastAsia="zh-CN" w:bidi="ar-SA"/>
              </w:rPr>
              <w:t>尾矿</w:t>
            </w:r>
            <w:r>
              <w:rPr>
                <w:rFonts w:hint="eastAsia" w:cs="Times New Roman"/>
                <w:b w:val="0"/>
                <w:color w:val="auto"/>
                <w:kern w:val="2"/>
                <w:sz w:val="21"/>
                <w:szCs w:val="22"/>
                <w:lang w:val="en-US" w:eastAsia="zh-CN" w:bidi="ar-SA"/>
              </w:rPr>
              <w:t>贮存</w:t>
            </w:r>
          </w:p>
        </w:tc>
        <w:tc>
          <w:tcPr>
            <w:tcW w:w="3251" w:type="pct"/>
            <w:gridSpan w:val="2"/>
            <w:tcBorders>
              <w:tl2br w:val="nil"/>
              <w:tr2bl w:val="nil"/>
            </w:tcBorders>
            <w:vAlign w:val="center"/>
          </w:tcPr>
          <w:p w14:paraId="6B95BEB8">
            <w:pPr>
              <w:widowControl w:val="0"/>
              <w:spacing w:line="240" w:lineRule="auto"/>
              <w:jc w:val="center"/>
              <w:rPr>
                <w:rFonts w:hint="default" w:ascii="Times New Roman" w:hAnsi="Times New Roman" w:eastAsia="宋体" w:cs="Times New Roman"/>
                <w:b w:val="0"/>
                <w:color w:val="auto"/>
                <w:kern w:val="2"/>
                <w:sz w:val="21"/>
                <w:szCs w:val="20"/>
                <w:highlight w:val="none"/>
                <w:vertAlign w:val="superscript"/>
                <w:lang w:val="en-US" w:eastAsia="zh-CN" w:bidi="ar-SA"/>
              </w:rPr>
            </w:pPr>
            <w:r>
              <w:rPr>
                <w:rFonts w:hint="eastAsia" w:cs="Times New Roman"/>
                <w:b w:val="0"/>
                <w:color w:val="auto"/>
                <w:kern w:val="2"/>
                <w:sz w:val="21"/>
                <w:szCs w:val="20"/>
                <w:highlight w:val="none"/>
                <w:lang w:val="en-US" w:eastAsia="zh-CN" w:bidi="ar-SA"/>
              </w:rPr>
              <w:t>干排尾矿暂存于干排车间内，干排车间为全封闭式彩钢结构。</w:t>
            </w:r>
          </w:p>
        </w:tc>
        <w:tc>
          <w:tcPr>
            <w:tcW w:w="707" w:type="pct"/>
            <w:tcBorders>
              <w:tl2br w:val="nil"/>
              <w:tr2bl w:val="nil"/>
            </w:tcBorders>
            <w:vAlign w:val="center"/>
          </w:tcPr>
          <w:p w14:paraId="1D122EA6">
            <w:pPr>
              <w:widowControl w:val="0"/>
              <w:spacing w:line="240" w:lineRule="auto"/>
              <w:jc w:val="center"/>
              <w:rPr>
                <w:rFonts w:hint="eastAsia" w:cs="Times New Roman"/>
                <w:b w:val="0"/>
                <w:color w:val="auto"/>
                <w:kern w:val="2"/>
                <w:sz w:val="21"/>
                <w:szCs w:val="20"/>
                <w:highlight w:val="none"/>
                <w:lang w:val="en-US" w:eastAsia="zh-CN" w:bidi="ar-SA"/>
              </w:rPr>
            </w:pPr>
            <w:r>
              <w:rPr>
                <w:rFonts w:hint="eastAsia" w:cs="Times New Roman"/>
                <w:b w:val="0"/>
                <w:color w:val="auto"/>
                <w:kern w:val="2"/>
                <w:sz w:val="21"/>
                <w:szCs w:val="22"/>
                <w:lang w:val="en-US" w:eastAsia="zh-CN" w:bidi="ar-SA"/>
              </w:rPr>
              <w:t>依托现有</w:t>
            </w:r>
          </w:p>
        </w:tc>
      </w:tr>
      <w:tr w14:paraId="04E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restart"/>
            <w:tcBorders>
              <w:tl2br w:val="nil"/>
              <w:tr2bl w:val="nil"/>
            </w:tcBorders>
            <w:vAlign w:val="center"/>
          </w:tcPr>
          <w:p w14:paraId="40D19F09">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公用工程</w:t>
            </w:r>
          </w:p>
        </w:tc>
        <w:tc>
          <w:tcPr>
            <w:tcW w:w="602" w:type="pct"/>
            <w:tcBorders>
              <w:tl2br w:val="nil"/>
              <w:tr2bl w:val="nil"/>
            </w:tcBorders>
            <w:vAlign w:val="center"/>
          </w:tcPr>
          <w:p w14:paraId="1D8766F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供水</w:t>
            </w:r>
          </w:p>
        </w:tc>
        <w:tc>
          <w:tcPr>
            <w:tcW w:w="3251" w:type="pct"/>
            <w:gridSpan w:val="2"/>
            <w:tcBorders>
              <w:tl2br w:val="nil"/>
              <w:tr2bl w:val="nil"/>
            </w:tcBorders>
            <w:vAlign w:val="center"/>
          </w:tcPr>
          <w:p w14:paraId="3785CF04">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厂区利用原企业自备水井供给</w:t>
            </w:r>
            <w:r>
              <w:rPr>
                <w:rFonts w:hint="eastAsia" w:cs="Times New Roman"/>
                <w:color w:val="000000"/>
                <w:kern w:val="0"/>
                <w:sz w:val="21"/>
                <w:szCs w:val="21"/>
                <w:lang w:val="en-US" w:eastAsia="zh-CN" w:bidi="ar"/>
              </w:rPr>
              <w:t>。</w:t>
            </w:r>
          </w:p>
        </w:tc>
        <w:tc>
          <w:tcPr>
            <w:tcW w:w="707" w:type="pct"/>
            <w:tcBorders>
              <w:tl2br w:val="nil"/>
              <w:tr2bl w:val="nil"/>
            </w:tcBorders>
            <w:vAlign w:val="center"/>
          </w:tcPr>
          <w:p w14:paraId="34353B65">
            <w:pPr>
              <w:widowControl w:val="0"/>
              <w:spacing w:line="240" w:lineRule="auto"/>
              <w:jc w:val="center"/>
              <w:rPr>
                <w:rFonts w:hint="eastAsia" w:ascii="Times New Roman" w:hAnsi="Times New Roman" w:eastAsia="宋体" w:cs="Times New Roman"/>
                <w:color w:val="000000"/>
                <w:kern w:val="0"/>
                <w:sz w:val="21"/>
                <w:szCs w:val="21"/>
                <w:lang w:val="en-US" w:eastAsia="zh-CN" w:bidi="ar"/>
              </w:rPr>
            </w:pPr>
            <w:r>
              <w:rPr>
                <w:rFonts w:hint="eastAsia" w:cs="Times New Roman"/>
                <w:b w:val="0"/>
                <w:color w:val="auto"/>
                <w:kern w:val="2"/>
                <w:sz w:val="21"/>
                <w:szCs w:val="22"/>
                <w:lang w:val="en-US" w:eastAsia="zh-CN" w:bidi="ar-SA"/>
              </w:rPr>
              <w:t>依托现有</w:t>
            </w:r>
          </w:p>
        </w:tc>
      </w:tr>
      <w:tr w14:paraId="16A2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1BE10E9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5230BD3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排水</w:t>
            </w:r>
          </w:p>
        </w:tc>
        <w:tc>
          <w:tcPr>
            <w:tcW w:w="3251" w:type="pct"/>
            <w:gridSpan w:val="2"/>
            <w:tcBorders>
              <w:tl2br w:val="nil"/>
              <w:tr2bl w:val="nil"/>
            </w:tcBorders>
            <w:vAlign w:val="center"/>
          </w:tcPr>
          <w:p w14:paraId="15C8408A">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eastAsia" w:ascii="Times New Roman" w:hAnsi="Times New Roman" w:eastAsia="宋体" w:cs="Times New Roman"/>
                <w:color w:val="000000"/>
                <w:kern w:val="0"/>
                <w:sz w:val="21"/>
                <w:szCs w:val="21"/>
                <w:lang w:val="en-US" w:eastAsia="zh-CN" w:bidi="ar"/>
              </w:rPr>
              <w:t>本项目生产废水</w:t>
            </w:r>
            <w:r>
              <w:rPr>
                <w:rFonts w:hint="eastAsia" w:cs="Times New Roman"/>
                <w:color w:val="000000"/>
                <w:kern w:val="0"/>
                <w:sz w:val="21"/>
                <w:szCs w:val="21"/>
                <w:lang w:val="en-US" w:eastAsia="zh-CN" w:bidi="ar"/>
              </w:rPr>
              <w:t>全部回用；</w:t>
            </w:r>
            <w:r>
              <w:rPr>
                <w:rFonts w:hint="eastAsia" w:ascii="Times New Roman" w:hAnsi="Times New Roman" w:eastAsia="宋体" w:cs="Times New Roman"/>
                <w:color w:val="000000"/>
                <w:kern w:val="0"/>
                <w:sz w:val="21"/>
                <w:szCs w:val="21"/>
                <w:lang w:val="en-US" w:eastAsia="zh-CN" w:bidi="ar"/>
              </w:rPr>
              <w:t>生活污水排入</w:t>
            </w:r>
            <w:r>
              <w:rPr>
                <w:rFonts w:hint="eastAsia" w:cs="Times New Roman"/>
                <w:color w:val="000000"/>
                <w:kern w:val="0"/>
                <w:sz w:val="21"/>
                <w:szCs w:val="21"/>
                <w:lang w:val="en-US" w:eastAsia="zh-CN" w:bidi="ar"/>
              </w:rPr>
              <w:t>现有防渗</w:t>
            </w:r>
            <w:r>
              <w:rPr>
                <w:rFonts w:hint="eastAsia" w:ascii="Times New Roman" w:hAnsi="Times New Roman" w:eastAsia="宋体" w:cs="Times New Roman"/>
                <w:color w:val="000000"/>
                <w:kern w:val="0"/>
                <w:sz w:val="21"/>
                <w:szCs w:val="21"/>
                <w:lang w:val="en-US" w:eastAsia="zh-CN" w:bidi="ar"/>
              </w:rPr>
              <w:t>旱厕，定期清掏。</w:t>
            </w:r>
            <w:r>
              <w:rPr>
                <w:rFonts w:hint="eastAsia" w:cs="Times New Roman"/>
                <w:color w:val="000000"/>
                <w:kern w:val="0"/>
                <w:sz w:val="21"/>
                <w:szCs w:val="21"/>
                <w:lang w:val="en-US" w:eastAsia="zh-CN" w:bidi="ar"/>
              </w:rPr>
              <w:t>本项目无外排废水。</w:t>
            </w:r>
          </w:p>
        </w:tc>
        <w:tc>
          <w:tcPr>
            <w:tcW w:w="707" w:type="pct"/>
            <w:tcBorders>
              <w:tl2br w:val="nil"/>
              <w:tr2bl w:val="nil"/>
            </w:tcBorders>
            <w:vAlign w:val="center"/>
          </w:tcPr>
          <w:p w14:paraId="541ADF3A">
            <w:pPr>
              <w:widowControl w:val="0"/>
              <w:spacing w:line="240" w:lineRule="auto"/>
              <w:jc w:val="center"/>
              <w:rPr>
                <w:rFonts w:hint="eastAsia" w:ascii="Times New Roman" w:hAnsi="Times New Roman" w:eastAsia="宋体" w:cs="Times New Roman"/>
                <w:color w:val="000000"/>
                <w:kern w:val="0"/>
                <w:sz w:val="21"/>
                <w:szCs w:val="21"/>
                <w:lang w:val="en-US" w:eastAsia="zh-CN" w:bidi="ar"/>
              </w:rPr>
            </w:pPr>
            <w:r>
              <w:rPr>
                <w:rFonts w:hint="eastAsia" w:cs="Times New Roman"/>
                <w:b w:val="0"/>
                <w:color w:val="auto"/>
                <w:kern w:val="2"/>
                <w:sz w:val="21"/>
                <w:szCs w:val="22"/>
                <w:lang w:val="en-US" w:eastAsia="zh-CN" w:bidi="ar-SA"/>
              </w:rPr>
              <w:t>依托现有</w:t>
            </w:r>
          </w:p>
        </w:tc>
      </w:tr>
      <w:tr w14:paraId="6CCD0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1E92029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7B3C411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供电</w:t>
            </w:r>
          </w:p>
        </w:tc>
        <w:tc>
          <w:tcPr>
            <w:tcW w:w="3251" w:type="pct"/>
            <w:gridSpan w:val="2"/>
            <w:tcBorders>
              <w:tl2br w:val="nil"/>
              <w:tr2bl w:val="nil"/>
            </w:tcBorders>
            <w:vAlign w:val="center"/>
          </w:tcPr>
          <w:p w14:paraId="753E3754">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color w:val="000000" w:themeColor="text1"/>
                <w14:textFill>
                  <w14:solidFill>
                    <w14:schemeClr w14:val="tx1"/>
                  </w14:solidFill>
                </w14:textFill>
              </w:rPr>
              <w:t>项目区供电引自</w:t>
            </w:r>
            <w:r>
              <w:rPr>
                <w:rFonts w:hint="eastAsia"/>
                <w:color w:val="000000" w:themeColor="text1"/>
                <w:lang w:val="en-US" w:eastAsia="zh-CN"/>
                <w14:textFill>
                  <w14:solidFill>
                    <w14:schemeClr w14:val="tx1"/>
                  </w14:solidFill>
                </w14:textFill>
              </w:rPr>
              <w:t>当地电网，厂内设置变压器。</w:t>
            </w:r>
          </w:p>
        </w:tc>
        <w:tc>
          <w:tcPr>
            <w:tcW w:w="707" w:type="pct"/>
            <w:tcBorders>
              <w:tl2br w:val="nil"/>
              <w:tr2bl w:val="nil"/>
            </w:tcBorders>
            <w:vAlign w:val="center"/>
          </w:tcPr>
          <w:p w14:paraId="2DE38DDE">
            <w:pPr>
              <w:widowControl w:val="0"/>
              <w:spacing w:line="240" w:lineRule="auto"/>
              <w:jc w:val="center"/>
              <w:rPr>
                <w:color w:val="000000" w:themeColor="text1"/>
                <w14:textFill>
                  <w14:solidFill>
                    <w14:schemeClr w14:val="tx1"/>
                  </w14:solidFill>
                </w14:textFill>
              </w:rPr>
            </w:pPr>
            <w:r>
              <w:rPr>
                <w:rFonts w:hint="eastAsia" w:cs="Times New Roman"/>
                <w:b w:val="0"/>
                <w:color w:val="auto"/>
                <w:kern w:val="2"/>
                <w:sz w:val="21"/>
                <w:szCs w:val="22"/>
                <w:lang w:val="en-US" w:eastAsia="zh-CN" w:bidi="ar-SA"/>
              </w:rPr>
              <w:t>依托现有</w:t>
            </w:r>
          </w:p>
        </w:tc>
      </w:tr>
      <w:tr w14:paraId="7B1A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76D2FC9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542C158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供热</w:t>
            </w:r>
          </w:p>
        </w:tc>
        <w:tc>
          <w:tcPr>
            <w:tcW w:w="3251" w:type="pct"/>
            <w:gridSpan w:val="2"/>
            <w:tcBorders>
              <w:tl2br w:val="nil"/>
              <w:tr2bl w:val="nil"/>
            </w:tcBorders>
            <w:vAlign w:val="center"/>
          </w:tcPr>
          <w:p w14:paraId="7EAA5F15">
            <w:pPr>
              <w:widowControl w:val="0"/>
              <w:spacing w:line="240" w:lineRule="auto"/>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项目办公</w:t>
            </w:r>
            <w:r>
              <w:rPr>
                <w:rFonts w:hint="eastAsia" w:cs="Times New Roman"/>
                <w:b w:val="0"/>
                <w:color w:val="auto"/>
                <w:kern w:val="2"/>
                <w:sz w:val="21"/>
                <w:szCs w:val="20"/>
                <w:lang w:val="en-US" w:eastAsia="zh-CN" w:bidi="ar-SA"/>
              </w:rPr>
              <w:t>室冬季采用电供暖。</w:t>
            </w:r>
          </w:p>
        </w:tc>
        <w:tc>
          <w:tcPr>
            <w:tcW w:w="707" w:type="pct"/>
            <w:tcBorders>
              <w:tl2br w:val="nil"/>
              <w:tr2bl w:val="nil"/>
            </w:tcBorders>
            <w:vAlign w:val="center"/>
          </w:tcPr>
          <w:p w14:paraId="7AB629C3">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2"/>
                <w:lang w:val="en-US" w:eastAsia="zh-CN" w:bidi="ar-SA"/>
              </w:rPr>
              <w:t>依托现有</w:t>
            </w:r>
          </w:p>
        </w:tc>
      </w:tr>
      <w:tr w14:paraId="3343D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restart"/>
            <w:tcBorders>
              <w:tl2br w:val="nil"/>
              <w:tr2bl w:val="nil"/>
            </w:tcBorders>
            <w:vAlign w:val="center"/>
          </w:tcPr>
          <w:p w14:paraId="0522CD8A">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环保工程</w:t>
            </w:r>
          </w:p>
        </w:tc>
        <w:tc>
          <w:tcPr>
            <w:tcW w:w="602" w:type="pct"/>
            <w:vMerge w:val="restart"/>
            <w:tcBorders>
              <w:tl2br w:val="nil"/>
              <w:tr2bl w:val="nil"/>
            </w:tcBorders>
            <w:vAlign w:val="center"/>
          </w:tcPr>
          <w:p w14:paraId="44B892B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废水</w:t>
            </w:r>
          </w:p>
        </w:tc>
        <w:tc>
          <w:tcPr>
            <w:tcW w:w="670" w:type="pct"/>
            <w:tcBorders>
              <w:tl2br w:val="nil"/>
              <w:tr2bl w:val="nil"/>
            </w:tcBorders>
            <w:vAlign w:val="center"/>
          </w:tcPr>
          <w:p w14:paraId="3C4BDAA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eastAsia" w:cs="Times New Roman"/>
                <w:b w:val="0"/>
                <w:color w:val="auto"/>
                <w:kern w:val="2"/>
                <w:sz w:val="21"/>
                <w:szCs w:val="20"/>
                <w:lang w:val="en-US" w:eastAsia="zh-CN" w:bidi="ar-SA"/>
              </w:rPr>
              <w:t>生产</w:t>
            </w:r>
            <w:r>
              <w:rPr>
                <w:rFonts w:hint="default" w:ascii="Times New Roman" w:hAnsi="Times New Roman" w:eastAsia="宋体" w:cs="Times New Roman"/>
                <w:b w:val="0"/>
                <w:color w:val="auto"/>
                <w:kern w:val="2"/>
                <w:sz w:val="21"/>
                <w:szCs w:val="20"/>
                <w:lang w:val="en-US" w:eastAsia="zh-CN" w:bidi="ar-SA"/>
              </w:rPr>
              <w:t>废水</w:t>
            </w:r>
          </w:p>
        </w:tc>
        <w:tc>
          <w:tcPr>
            <w:tcW w:w="2581" w:type="pct"/>
            <w:tcBorders>
              <w:tl2br w:val="nil"/>
              <w:tr2bl w:val="nil"/>
            </w:tcBorders>
            <w:vAlign w:val="center"/>
          </w:tcPr>
          <w:p w14:paraId="355EADF9">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2"/>
                <w:lang w:val="en-US" w:eastAsia="zh-CN" w:bidi="ar-SA"/>
              </w:rPr>
              <w:t>生产废水（包括选矿废水和车间地面冲洗水）经泵打入循环水池（2</w:t>
            </w:r>
            <w:r>
              <w:rPr>
                <w:rFonts w:hint="eastAsia" w:cs="Times New Roman"/>
                <w:b w:val="0"/>
                <w:color w:val="auto"/>
                <w:kern w:val="2"/>
                <w:sz w:val="21"/>
                <w:szCs w:val="22"/>
                <w:highlight w:val="none"/>
                <w:lang w:val="en-US" w:eastAsia="zh-CN" w:bidi="ar-SA"/>
              </w:rPr>
              <w:t>座，单个容积为1000m</w:t>
            </w:r>
            <w:r>
              <w:rPr>
                <w:rFonts w:hint="eastAsia" w:cs="Times New Roman"/>
                <w:b w:val="0"/>
                <w:color w:val="auto"/>
                <w:kern w:val="2"/>
                <w:sz w:val="21"/>
                <w:szCs w:val="22"/>
                <w:highlight w:val="none"/>
                <w:vertAlign w:val="superscript"/>
                <w:lang w:val="en-US" w:eastAsia="zh-CN" w:bidi="ar-SA"/>
              </w:rPr>
              <w:t>2</w:t>
            </w:r>
            <w:r>
              <w:rPr>
                <w:rFonts w:hint="eastAsia" w:cs="Times New Roman"/>
                <w:b w:val="0"/>
                <w:color w:val="auto"/>
                <w:kern w:val="2"/>
                <w:sz w:val="21"/>
                <w:szCs w:val="22"/>
                <w:lang w:val="en-US" w:eastAsia="zh-CN" w:bidi="ar-SA"/>
              </w:rPr>
              <w:t>）回用于选矿工艺</w:t>
            </w:r>
            <w:r>
              <w:rPr>
                <w:rFonts w:hint="eastAsia" w:cs="Times New Roman"/>
                <w:b w:val="0"/>
                <w:color w:val="auto"/>
                <w:kern w:val="2"/>
                <w:sz w:val="21"/>
                <w:szCs w:val="22"/>
                <w:highlight w:val="none"/>
                <w:lang w:val="en-US" w:eastAsia="zh-CN" w:bidi="ar-SA"/>
              </w:rPr>
              <w:t>，不外排。</w:t>
            </w:r>
          </w:p>
        </w:tc>
        <w:tc>
          <w:tcPr>
            <w:tcW w:w="707" w:type="pct"/>
            <w:tcBorders>
              <w:tl2br w:val="nil"/>
              <w:tr2bl w:val="nil"/>
            </w:tcBorders>
            <w:vAlign w:val="center"/>
          </w:tcPr>
          <w:p w14:paraId="474FC7D9">
            <w:pPr>
              <w:widowControl w:val="0"/>
              <w:spacing w:line="240" w:lineRule="auto"/>
              <w:jc w:val="center"/>
              <w:rPr>
                <w:rFonts w:hint="default" w:cs="Times New Roman"/>
                <w:b w:val="0"/>
                <w:color w:val="auto"/>
                <w:kern w:val="2"/>
                <w:sz w:val="21"/>
                <w:szCs w:val="22"/>
                <w:lang w:val="en-US" w:eastAsia="zh-CN" w:bidi="ar-SA"/>
              </w:rPr>
            </w:pPr>
            <w:r>
              <w:rPr>
                <w:rFonts w:hint="eastAsia" w:cs="Times New Roman"/>
                <w:b w:val="0"/>
                <w:color w:val="auto"/>
                <w:kern w:val="2"/>
                <w:sz w:val="21"/>
                <w:szCs w:val="22"/>
                <w:lang w:val="en-US" w:eastAsia="zh-CN" w:bidi="ar-SA"/>
              </w:rPr>
              <w:t>本次新增生产废水依托现有循环水池，本次改扩建项目不新增水池</w:t>
            </w:r>
          </w:p>
        </w:tc>
      </w:tr>
      <w:tr w14:paraId="7AE6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76B3DF8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2C3E0671">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794841E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生活污水</w:t>
            </w:r>
          </w:p>
        </w:tc>
        <w:tc>
          <w:tcPr>
            <w:tcW w:w="2581" w:type="pct"/>
            <w:tcBorders>
              <w:tl2br w:val="nil"/>
              <w:tr2bl w:val="nil"/>
            </w:tcBorders>
            <w:vAlign w:val="center"/>
          </w:tcPr>
          <w:p w14:paraId="60C9BFAF">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排入防渗旱厕，定期清掏</w:t>
            </w:r>
            <w:r>
              <w:rPr>
                <w:rFonts w:hint="eastAsia" w:cs="Times New Roman"/>
                <w:b w:val="0"/>
                <w:color w:val="auto"/>
                <w:kern w:val="2"/>
                <w:sz w:val="21"/>
                <w:szCs w:val="20"/>
                <w:lang w:val="en-US" w:eastAsia="zh-CN" w:bidi="ar-SA"/>
              </w:rPr>
              <w:t>，不外排。</w:t>
            </w:r>
          </w:p>
        </w:tc>
        <w:tc>
          <w:tcPr>
            <w:tcW w:w="707" w:type="pct"/>
            <w:tcBorders>
              <w:tl2br w:val="nil"/>
              <w:tr2bl w:val="nil"/>
            </w:tcBorders>
            <w:vAlign w:val="center"/>
          </w:tcPr>
          <w:p w14:paraId="200ECC5C">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旱厕依托现有</w:t>
            </w:r>
          </w:p>
        </w:tc>
      </w:tr>
      <w:tr w14:paraId="08EE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1491981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restart"/>
            <w:tcBorders>
              <w:tl2br w:val="nil"/>
              <w:tr2bl w:val="nil"/>
            </w:tcBorders>
            <w:vAlign w:val="center"/>
          </w:tcPr>
          <w:p w14:paraId="6E862CF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2"/>
                <w:lang w:val="en-US" w:eastAsia="zh-CN" w:bidi="ar-SA"/>
              </w:rPr>
              <w:t>废气</w:t>
            </w:r>
          </w:p>
        </w:tc>
        <w:tc>
          <w:tcPr>
            <w:tcW w:w="670" w:type="pct"/>
            <w:tcBorders>
              <w:tl2br w:val="nil"/>
              <w:tr2bl w:val="nil"/>
            </w:tcBorders>
            <w:vAlign w:val="center"/>
          </w:tcPr>
          <w:p w14:paraId="48E63084">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破碎粉尘</w:t>
            </w:r>
          </w:p>
        </w:tc>
        <w:tc>
          <w:tcPr>
            <w:tcW w:w="2581" w:type="pct"/>
            <w:vMerge w:val="restart"/>
            <w:tcBorders>
              <w:tl2br w:val="nil"/>
              <w:tr2bl w:val="nil"/>
            </w:tcBorders>
            <w:vAlign w:val="center"/>
          </w:tcPr>
          <w:p w14:paraId="7E7EC312">
            <w:pPr>
              <w:widowControl w:val="0"/>
              <w:spacing w:line="240" w:lineRule="auto"/>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采用</w:t>
            </w:r>
            <w:r>
              <w:rPr>
                <w:rFonts w:hint="default" w:ascii="Times New Roman" w:hAnsi="Times New Roman" w:eastAsia="宋体" w:cs="Times New Roman"/>
                <w:b w:val="0"/>
                <w:color w:val="auto"/>
                <w:kern w:val="2"/>
                <w:sz w:val="21"/>
                <w:szCs w:val="20"/>
                <w:lang w:val="en-US" w:eastAsia="zh-CN" w:bidi="ar-SA"/>
              </w:rPr>
              <w:t>布袋除尘器</w:t>
            </w:r>
            <w:r>
              <w:rPr>
                <w:rFonts w:hint="eastAsia" w:cs="Times New Roman"/>
                <w:b w:val="0"/>
                <w:color w:val="auto"/>
                <w:kern w:val="2"/>
                <w:sz w:val="21"/>
                <w:szCs w:val="20"/>
                <w:lang w:val="en-US" w:eastAsia="zh-CN" w:bidi="ar-SA"/>
              </w:rPr>
              <w:t>（TA001）</w:t>
            </w:r>
            <w:r>
              <w:rPr>
                <w:rFonts w:hint="default" w:ascii="Times New Roman" w:hAnsi="Times New Roman" w:eastAsia="宋体" w:cs="Times New Roman"/>
                <w:b w:val="0"/>
                <w:color w:val="auto"/>
                <w:kern w:val="2"/>
                <w:sz w:val="21"/>
                <w:szCs w:val="20"/>
                <w:lang w:val="en-US" w:eastAsia="zh-CN" w:bidi="ar-SA"/>
              </w:rPr>
              <w:t>处理后通过</w:t>
            </w:r>
            <w:r>
              <w:rPr>
                <w:rFonts w:hint="eastAsia" w:cs="Times New Roman"/>
                <w:b w:val="0"/>
                <w:color w:val="auto"/>
                <w:kern w:val="2"/>
                <w:sz w:val="21"/>
                <w:szCs w:val="20"/>
                <w:lang w:val="en-US" w:eastAsia="zh-CN" w:bidi="ar-SA"/>
              </w:rPr>
              <w:t>1</w:t>
            </w:r>
            <w:r>
              <w:rPr>
                <w:rFonts w:hint="default" w:ascii="Times New Roman" w:hAnsi="Times New Roman" w:eastAsia="宋体" w:cs="Times New Roman"/>
                <w:b w:val="0"/>
                <w:color w:val="auto"/>
                <w:kern w:val="2"/>
                <w:sz w:val="21"/>
                <w:szCs w:val="20"/>
                <w:lang w:val="en-US" w:eastAsia="zh-CN" w:bidi="ar-SA"/>
              </w:rPr>
              <w:t>根</w:t>
            </w:r>
            <w:r>
              <w:rPr>
                <w:rFonts w:hint="eastAsia" w:cs="Times New Roman"/>
                <w:b w:val="0"/>
                <w:color w:val="auto"/>
                <w:kern w:val="2"/>
                <w:sz w:val="21"/>
                <w:szCs w:val="20"/>
                <w:lang w:val="en-US" w:eastAsia="zh-CN" w:bidi="ar-SA"/>
              </w:rPr>
              <w:t>15m高</w:t>
            </w:r>
            <w:r>
              <w:rPr>
                <w:rFonts w:hint="default" w:ascii="Times New Roman" w:hAnsi="Times New Roman" w:eastAsia="宋体" w:cs="Times New Roman"/>
                <w:b w:val="0"/>
                <w:color w:val="auto"/>
                <w:kern w:val="2"/>
                <w:sz w:val="21"/>
                <w:szCs w:val="20"/>
                <w:lang w:val="en-US" w:eastAsia="zh-CN" w:bidi="ar-SA"/>
              </w:rPr>
              <w:t>排气筒</w:t>
            </w:r>
            <w:r>
              <w:rPr>
                <w:rFonts w:hint="eastAsia" w:cs="Times New Roman"/>
                <w:b w:val="0"/>
                <w:color w:val="auto"/>
                <w:kern w:val="2"/>
                <w:sz w:val="21"/>
                <w:szCs w:val="20"/>
                <w:lang w:val="en-US" w:eastAsia="zh-CN" w:bidi="ar-SA"/>
              </w:rPr>
              <w:t>（DA001）有组织排放。</w:t>
            </w:r>
          </w:p>
        </w:tc>
        <w:tc>
          <w:tcPr>
            <w:tcW w:w="707" w:type="pct"/>
            <w:vMerge w:val="restart"/>
            <w:tcBorders>
              <w:tl2br w:val="nil"/>
              <w:tr2bl w:val="nil"/>
            </w:tcBorders>
            <w:vAlign w:val="center"/>
          </w:tcPr>
          <w:p w14:paraId="3D969F01">
            <w:pPr>
              <w:widowControl w:val="0"/>
              <w:spacing w:line="240" w:lineRule="auto"/>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依托现有</w:t>
            </w:r>
          </w:p>
        </w:tc>
      </w:tr>
      <w:tr w14:paraId="69555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5E25814A">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50D57639">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01602F03">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eastAsia="宋体" w:cs="Times New Roman"/>
                <w:b w:val="0"/>
                <w:color w:val="auto"/>
                <w:kern w:val="2"/>
                <w:sz w:val="21"/>
                <w:szCs w:val="20"/>
                <w:lang w:val="en-US" w:eastAsia="zh-CN" w:bidi="ar-SA"/>
              </w:rPr>
              <w:t>球磨</w:t>
            </w:r>
            <w:r>
              <w:rPr>
                <w:rFonts w:hint="eastAsia" w:cs="Times New Roman"/>
                <w:b w:val="0"/>
                <w:color w:val="auto"/>
                <w:kern w:val="2"/>
                <w:sz w:val="21"/>
                <w:szCs w:val="20"/>
                <w:lang w:val="en-US" w:eastAsia="zh-CN" w:bidi="ar-SA"/>
              </w:rPr>
              <w:t>粉尘</w:t>
            </w:r>
          </w:p>
        </w:tc>
        <w:tc>
          <w:tcPr>
            <w:tcW w:w="2581" w:type="pct"/>
            <w:vMerge w:val="continue"/>
            <w:tcBorders>
              <w:tl2br w:val="nil"/>
              <w:tr2bl w:val="nil"/>
            </w:tcBorders>
            <w:vAlign w:val="center"/>
          </w:tcPr>
          <w:p w14:paraId="57247411">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p>
        </w:tc>
        <w:tc>
          <w:tcPr>
            <w:tcW w:w="707" w:type="pct"/>
            <w:vMerge w:val="continue"/>
            <w:tcBorders>
              <w:tl2br w:val="nil"/>
              <w:tr2bl w:val="nil"/>
            </w:tcBorders>
            <w:vAlign w:val="center"/>
          </w:tcPr>
          <w:p w14:paraId="1AE7BF7D">
            <w:pPr>
              <w:widowControl w:val="0"/>
              <w:spacing w:line="240" w:lineRule="auto"/>
              <w:jc w:val="center"/>
              <w:rPr>
                <w:rFonts w:hint="default" w:cs="Times New Roman"/>
                <w:b w:val="0"/>
                <w:color w:val="auto"/>
                <w:kern w:val="2"/>
                <w:sz w:val="21"/>
                <w:szCs w:val="20"/>
                <w:lang w:val="en-US" w:eastAsia="zh-CN" w:bidi="ar-SA"/>
              </w:rPr>
            </w:pPr>
          </w:p>
        </w:tc>
      </w:tr>
      <w:tr w14:paraId="285C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240F643C">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0D4BCE52">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117E1C5D">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皮带输送粉尘</w:t>
            </w:r>
          </w:p>
        </w:tc>
        <w:tc>
          <w:tcPr>
            <w:tcW w:w="2581" w:type="pct"/>
            <w:tcBorders>
              <w:tl2br w:val="nil"/>
              <w:tr2bl w:val="nil"/>
            </w:tcBorders>
            <w:vAlign w:val="center"/>
          </w:tcPr>
          <w:p w14:paraId="3C86A9D6">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输送过程全密闭。</w:t>
            </w:r>
          </w:p>
        </w:tc>
        <w:tc>
          <w:tcPr>
            <w:tcW w:w="707" w:type="pct"/>
            <w:tcBorders>
              <w:tl2br w:val="nil"/>
              <w:tr2bl w:val="nil"/>
            </w:tcBorders>
            <w:vAlign w:val="center"/>
          </w:tcPr>
          <w:p w14:paraId="37916E9F">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新增</w:t>
            </w:r>
          </w:p>
        </w:tc>
      </w:tr>
      <w:tr w14:paraId="166C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0248BC21">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1096ACF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3B0D55D6">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道路</w:t>
            </w:r>
            <w:r>
              <w:rPr>
                <w:rFonts w:hint="eastAsia" w:ascii="Times New Roman" w:hAnsi="Times New Roman" w:eastAsia="宋体" w:cs="Times New Roman"/>
                <w:b w:val="0"/>
                <w:color w:val="auto"/>
                <w:kern w:val="2"/>
                <w:sz w:val="21"/>
                <w:szCs w:val="20"/>
                <w:lang w:val="en-US" w:eastAsia="zh-CN" w:bidi="ar-SA"/>
              </w:rPr>
              <w:t>运输</w:t>
            </w:r>
            <w:r>
              <w:rPr>
                <w:rFonts w:hint="eastAsia" w:cs="Times New Roman"/>
                <w:b w:val="0"/>
                <w:color w:val="auto"/>
                <w:kern w:val="2"/>
                <w:sz w:val="21"/>
                <w:szCs w:val="20"/>
                <w:lang w:val="en-US" w:eastAsia="zh-CN" w:bidi="ar-SA"/>
              </w:rPr>
              <w:t>粉尘</w:t>
            </w:r>
          </w:p>
        </w:tc>
        <w:tc>
          <w:tcPr>
            <w:tcW w:w="2581" w:type="pct"/>
            <w:tcBorders>
              <w:tl2br w:val="nil"/>
              <w:tr2bl w:val="nil"/>
            </w:tcBorders>
            <w:vAlign w:val="center"/>
          </w:tcPr>
          <w:p w14:paraId="07AFFA52">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车辆采用苫布遮盖、道路洒水降尘。</w:t>
            </w:r>
          </w:p>
        </w:tc>
        <w:tc>
          <w:tcPr>
            <w:tcW w:w="707" w:type="pct"/>
            <w:tcBorders>
              <w:tl2br w:val="nil"/>
              <w:tr2bl w:val="nil"/>
            </w:tcBorders>
            <w:vAlign w:val="center"/>
          </w:tcPr>
          <w:p w14:paraId="28CE1592">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新增</w:t>
            </w:r>
          </w:p>
        </w:tc>
      </w:tr>
      <w:tr w14:paraId="4882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7EB29839">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622A3BB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3A99A9DE">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、中间料堆场装卸扬尘</w:t>
            </w:r>
          </w:p>
        </w:tc>
        <w:tc>
          <w:tcPr>
            <w:tcW w:w="2581" w:type="pct"/>
            <w:tcBorders>
              <w:tl2br w:val="nil"/>
              <w:tr2bl w:val="nil"/>
            </w:tcBorders>
            <w:vAlign w:val="center"/>
          </w:tcPr>
          <w:p w14:paraId="5077B0EB">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olor w:val="000000" w:themeColor="text1"/>
                <w:szCs w:val="20"/>
                <w:lang w:val="en-US" w:eastAsia="zh-CN"/>
                <w14:textFill>
                  <w14:solidFill>
                    <w14:schemeClr w14:val="tx1"/>
                  </w14:solidFill>
                </w14:textFill>
              </w:rPr>
              <w:t>采取</w:t>
            </w:r>
            <w:r>
              <w:rPr>
                <w:rFonts w:hint="eastAsia"/>
                <w:color w:val="000000" w:themeColor="text1"/>
                <w:szCs w:val="20"/>
                <w14:textFill>
                  <w14:solidFill>
                    <w14:schemeClr w14:val="tx1"/>
                  </w14:solidFill>
                </w14:textFill>
              </w:rPr>
              <w:t>洒水抑尘</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降低装卸高度、苫布苫盖等措施。</w:t>
            </w:r>
          </w:p>
        </w:tc>
        <w:tc>
          <w:tcPr>
            <w:tcW w:w="707" w:type="pct"/>
            <w:tcBorders>
              <w:tl2br w:val="nil"/>
              <w:tr2bl w:val="nil"/>
            </w:tcBorders>
            <w:vAlign w:val="center"/>
          </w:tcPr>
          <w:p w14:paraId="25AB88E4">
            <w:pPr>
              <w:widowControl w:val="0"/>
              <w:spacing w:line="240" w:lineRule="auto"/>
              <w:ind w:firstLine="0" w:firstLineChars="0"/>
              <w:jc w:val="center"/>
              <w:rPr>
                <w:rFonts w:hint="default"/>
                <w:color w:val="000000" w:themeColor="text1"/>
                <w:szCs w:val="20"/>
                <w:lang w:val="en-US" w:eastAsia="zh-CN"/>
                <w14:textFill>
                  <w14:solidFill>
                    <w14:schemeClr w14:val="tx1"/>
                  </w14:solidFill>
                </w14:textFill>
              </w:rPr>
            </w:pPr>
            <w:r>
              <w:rPr>
                <w:rFonts w:hint="eastAsia"/>
                <w:color w:val="000000" w:themeColor="text1"/>
                <w:szCs w:val="20"/>
                <w:lang w:val="en-US" w:eastAsia="zh-CN"/>
                <w14:textFill>
                  <w14:solidFill>
                    <w14:schemeClr w14:val="tx1"/>
                  </w14:solidFill>
                </w14:textFill>
              </w:rPr>
              <w:t>新增</w:t>
            </w:r>
          </w:p>
        </w:tc>
      </w:tr>
      <w:tr w14:paraId="31ED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6F38CF67">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56B2B2FA">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33597DCC">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成品</w:t>
            </w:r>
            <w:r>
              <w:rPr>
                <w:rFonts w:hint="eastAsia" w:eastAsia="宋体" w:cs="Times New Roman"/>
                <w:b w:val="0"/>
                <w:color w:val="auto"/>
                <w:kern w:val="2"/>
                <w:sz w:val="21"/>
                <w:szCs w:val="20"/>
                <w:lang w:val="en-US" w:eastAsia="zh-CN" w:bidi="ar-SA"/>
              </w:rPr>
              <w:t>库房</w:t>
            </w:r>
            <w:r>
              <w:rPr>
                <w:rFonts w:hint="eastAsia" w:cs="Times New Roman"/>
                <w:b w:val="0"/>
                <w:color w:val="auto"/>
                <w:kern w:val="2"/>
                <w:sz w:val="21"/>
                <w:szCs w:val="20"/>
                <w:lang w:val="en-US" w:eastAsia="zh-CN" w:bidi="ar-SA"/>
              </w:rPr>
              <w:t>装卸扬尘</w:t>
            </w:r>
          </w:p>
        </w:tc>
        <w:tc>
          <w:tcPr>
            <w:tcW w:w="2581" w:type="pct"/>
            <w:tcBorders>
              <w:tl2br w:val="nil"/>
              <w:tr2bl w:val="nil"/>
            </w:tcBorders>
            <w:vAlign w:val="center"/>
          </w:tcPr>
          <w:p w14:paraId="4A648F99">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库房全封闭。</w:t>
            </w:r>
          </w:p>
        </w:tc>
        <w:tc>
          <w:tcPr>
            <w:tcW w:w="707" w:type="pct"/>
            <w:tcBorders>
              <w:tl2br w:val="nil"/>
              <w:tr2bl w:val="nil"/>
            </w:tcBorders>
            <w:vAlign w:val="center"/>
          </w:tcPr>
          <w:p w14:paraId="6BA89C18">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依托现有</w:t>
            </w:r>
          </w:p>
        </w:tc>
      </w:tr>
      <w:tr w14:paraId="0DE9F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42EDB65B">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38C5BFE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534CD003">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尾矿暂存扬尘</w:t>
            </w:r>
          </w:p>
        </w:tc>
        <w:tc>
          <w:tcPr>
            <w:tcW w:w="2581" w:type="pct"/>
            <w:tcBorders>
              <w:tl2br w:val="nil"/>
              <w:tr2bl w:val="nil"/>
            </w:tcBorders>
            <w:vAlign w:val="center"/>
          </w:tcPr>
          <w:p w14:paraId="49BE4A32">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干排尾矿暂存于干排车间内，干排车间为全封闭结构，并</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、降低装卸高度等。</w:t>
            </w:r>
          </w:p>
        </w:tc>
        <w:tc>
          <w:tcPr>
            <w:tcW w:w="707" w:type="pct"/>
            <w:tcBorders>
              <w:tl2br w:val="nil"/>
              <w:tr2bl w:val="nil"/>
            </w:tcBorders>
            <w:vAlign w:val="center"/>
          </w:tcPr>
          <w:p w14:paraId="5284AF32">
            <w:pPr>
              <w:widowControl w:val="0"/>
              <w:spacing w:line="240" w:lineRule="auto"/>
              <w:ind w:firstLine="0" w:firstLineChars="0"/>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依托现有</w:t>
            </w:r>
          </w:p>
        </w:tc>
      </w:tr>
      <w:tr w14:paraId="62831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1DEB933D">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tcBorders>
              <w:tl2br w:val="nil"/>
              <w:tr2bl w:val="nil"/>
            </w:tcBorders>
            <w:vAlign w:val="center"/>
          </w:tcPr>
          <w:p w14:paraId="0709DC9F">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r>
              <w:rPr>
                <w:rFonts w:hint="default" w:ascii="Times New Roman" w:hAnsi="Times New Roman" w:eastAsia="宋体" w:cs="Times New Roman"/>
                <w:b w:val="0"/>
                <w:color w:val="auto"/>
                <w:kern w:val="2"/>
                <w:sz w:val="21"/>
                <w:szCs w:val="20"/>
                <w:lang w:val="en-US" w:eastAsia="zh-CN" w:bidi="ar-SA"/>
              </w:rPr>
              <w:t>噪声</w:t>
            </w:r>
          </w:p>
        </w:tc>
        <w:tc>
          <w:tcPr>
            <w:tcW w:w="670" w:type="pct"/>
            <w:tcBorders>
              <w:tl2br w:val="nil"/>
              <w:tr2bl w:val="nil"/>
            </w:tcBorders>
            <w:vAlign w:val="center"/>
          </w:tcPr>
          <w:p w14:paraId="40C3ACF8">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产噪设备</w:t>
            </w:r>
          </w:p>
        </w:tc>
        <w:tc>
          <w:tcPr>
            <w:tcW w:w="2581" w:type="pct"/>
            <w:tcBorders>
              <w:tl2br w:val="nil"/>
              <w:tr2bl w:val="nil"/>
            </w:tcBorders>
            <w:vAlign w:val="center"/>
          </w:tcPr>
          <w:p w14:paraId="04A54695">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采取隔声、减振等降噪措施。</w:t>
            </w:r>
          </w:p>
        </w:tc>
        <w:tc>
          <w:tcPr>
            <w:tcW w:w="707" w:type="pct"/>
            <w:tcBorders>
              <w:tl2br w:val="nil"/>
              <w:tr2bl w:val="nil"/>
            </w:tcBorders>
            <w:vAlign w:val="center"/>
          </w:tcPr>
          <w:p w14:paraId="29885FD0">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新增</w:t>
            </w:r>
          </w:p>
        </w:tc>
      </w:tr>
      <w:tr w14:paraId="2CEF8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04E786E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restart"/>
            <w:tcBorders>
              <w:tl2br w:val="nil"/>
              <w:tr2bl w:val="nil"/>
            </w:tcBorders>
            <w:vAlign w:val="center"/>
          </w:tcPr>
          <w:p w14:paraId="67702F12">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固体</w:t>
            </w:r>
          </w:p>
          <w:p w14:paraId="56996ABE">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废物</w:t>
            </w:r>
          </w:p>
        </w:tc>
        <w:tc>
          <w:tcPr>
            <w:tcW w:w="670" w:type="pct"/>
            <w:tcBorders>
              <w:tl2br w:val="nil"/>
              <w:tr2bl w:val="nil"/>
            </w:tcBorders>
            <w:vAlign w:val="center"/>
          </w:tcPr>
          <w:p w14:paraId="3D4C2605">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①</w:t>
            </w:r>
            <w:r>
              <w:rPr>
                <w:rFonts w:hint="eastAsia" w:ascii="Times New Roman" w:hAnsi="Times New Roman" w:eastAsia="宋体" w:cs="Times New Roman"/>
                <w:b w:val="0"/>
                <w:color w:val="auto"/>
                <w:kern w:val="2"/>
                <w:sz w:val="21"/>
                <w:szCs w:val="20"/>
                <w:lang w:val="en-US" w:eastAsia="zh-CN" w:bidi="ar-SA"/>
              </w:rPr>
              <w:t>干排</w:t>
            </w:r>
            <w:r>
              <w:rPr>
                <w:rFonts w:hint="default" w:ascii="Times New Roman" w:hAnsi="Times New Roman" w:eastAsia="宋体" w:cs="Times New Roman"/>
                <w:b w:val="0"/>
                <w:color w:val="auto"/>
                <w:kern w:val="2"/>
                <w:sz w:val="21"/>
                <w:szCs w:val="20"/>
                <w:lang w:val="en-US" w:eastAsia="zh-CN" w:bidi="ar-SA"/>
              </w:rPr>
              <w:t>尾</w:t>
            </w:r>
            <w:r>
              <w:rPr>
                <w:rFonts w:hint="eastAsia" w:cs="Times New Roman"/>
                <w:b w:val="0"/>
                <w:color w:val="auto"/>
                <w:kern w:val="2"/>
                <w:sz w:val="21"/>
                <w:szCs w:val="20"/>
                <w:lang w:val="en-US" w:eastAsia="zh-CN" w:bidi="ar-SA"/>
              </w:rPr>
              <w:t>矿</w:t>
            </w:r>
          </w:p>
        </w:tc>
        <w:tc>
          <w:tcPr>
            <w:tcW w:w="2581" w:type="pct"/>
            <w:tcBorders>
              <w:tl2br w:val="nil"/>
              <w:tr2bl w:val="nil"/>
            </w:tcBorders>
            <w:vAlign w:val="center"/>
          </w:tcPr>
          <w:p w14:paraId="1726840E">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ascii="Times New Roman" w:hAnsi="Times New Roman" w:eastAsia="宋体" w:cs="Times New Roman"/>
                <w:b w:val="0"/>
                <w:color w:val="auto"/>
                <w:kern w:val="2"/>
                <w:sz w:val="21"/>
                <w:szCs w:val="20"/>
                <w:lang w:val="en-US" w:eastAsia="zh-CN" w:bidi="ar-SA"/>
              </w:rPr>
              <w:t>干排尾矿</w:t>
            </w:r>
            <w:r>
              <w:rPr>
                <w:rFonts w:hint="eastAsia" w:cs="Times New Roman"/>
                <w:b w:val="0"/>
                <w:color w:val="auto"/>
                <w:kern w:val="2"/>
                <w:sz w:val="21"/>
                <w:szCs w:val="20"/>
                <w:lang w:val="en-US" w:eastAsia="zh-CN" w:bidi="ar-SA"/>
              </w:rPr>
              <w:t>暂存于干排车间内</w:t>
            </w:r>
            <w:r>
              <w:rPr>
                <w:rFonts w:hint="default" w:ascii="Times New Roman" w:hAnsi="Times New Roman" w:eastAsia="宋体" w:cs="Times New Roman"/>
                <w:b w:val="0"/>
                <w:color w:val="auto"/>
                <w:kern w:val="2"/>
                <w:sz w:val="21"/>
                <w:szCs w:val="20"/>
                <w:lang w:val="en-US" w:eastAsia="zh-CN" w:bidi="ar-SA"/>
              </w:rPr>
              <w:t>，</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外运</w:t>
            </w:r>
            <w:r>
              <w:rPr>
                <w:rFonts w:hint="eastAsia" w:eastAsia="宋体" w:cs="Times New Roman"/>
                <w:b w:val="0"/>
                <w:color w:val="auto"/>
                <w:kern w:val="2"/>
                <w:sz w:val="21"/>
                <w:szCs w:val="20"/>
                <w:lang w:val="en-US" w:eastAsia="zh-CN" w:bidi="ar-SA"/>
              </w:rPr>
              <w:t>综合利用。</w:t>
            </w:r>
          </w:p>
        </w:tc>
        <w:tc>
          <w:tcPr>
            <w:tcW w:w="707" w:type="pct"/>
            <w:tcBorders>
              <w:tl2br w:val="nil"/>
              <w:tr2bl w:val="nil"/>
            </w:tcBorders>
            <w:vAlign w:val="center"/>
          </w:tcPr>
          <w:p w14:paraId="5871C3B8">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新增干排尾矿，干排车间已在验收变更情况中说明，不在本次环评评价范围内</w:t>
            </w:r>
          </w:p>
        </w:tc>
      </w:tr>
      <w:tr w14:paraId="2D94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4FD10DD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012E54A9">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1615898A">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②除尘灰</w:t>
            </w:r>
          </w:p>
        </w:tc>
        <w:tc>
          <w:tcPr>
            <w:tcW w:w="2581" w:type="pct"/>
            <w:tcBorders>
              <w:tl2br w:val="nil"/>
              <w:tr2bl w:val="nil"/>
            </w:tcBorders>
            <w:vAlign w:val="center"/>
          </w:tcPr>
          <w:p w14:paraId="62760DC3">
            <w:pPr>
              <w:widowControl w:val="0"/>
              <w:spacing w:line="240" w:lineRule="auto"/>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除尘灰收集后返回工艺，不外排。</w:t>
            </w:r>
          </w:p>
        </w:tc>
        <w:tc>
          <w:tcPr>
            <w:tcW w:w="707" w:type="pct"/>
            <w:tcBorders>
              <w:tl2br w:val="nil"/>
              <w:tr2bl w:val="nil"/>
            </w:tcBorders>
            <w:vAlign w:val="center"/>
          </w:tcPr>
          <w:p w14:paraId="507EC1B4">
            <w:pPr>
              <w:widowControl w:val="0"/>
              <w:spacing w:line="240" w:lineRule="auto"/>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新增</w:t>
            </w:r>
          </w:p>
        </w:tc>
      </w:tr>
      <w:tr w14:paraId="3E1D2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7C9D9108">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47C3A0BE">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1FD72526">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③</w:t>
            </w:r>
            <w:r>
              <w:rPr>
                <w:rFonts w:hint="default" w:ascii="Times New Roman" w:hAnsi="Times New Roman" w:eastAsia="宋体" w:cs="Times New Roman"/>
                <w:b w:val="0"/>
                <w:color w:val="auto"/>
                <w:kern w:val="2"/>
                <w:sz w:val="21"/>
                <w:szCs w:val="20"/>
                <w:lang w:val="en-US" w:eastAsia="zh-CN" w:bidi="ar-SA"/>
              </w:rPr>
              <w:t>废机油</w:t>
            </w:r>
          </w:p>
        </w:tc>
        <w:tc>
          <w:tcPr>
            <w:tcW w:w="2581" w:type="pct"/>
            <w:tcBorders>
              <w:tl2br w:val="nil"/>
              <w:tr2bl w:val="nil"/>
            </w:tcBorders>
            <w:vAlign w:val="center"/>
          </w:tcPr>
          <w:p w14:paraId="431FD33E">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暂存于危废贮存点，委托有资质的单位处理。</w:t>
            </w:r>
          </w:p>
        </w:tc>
        <w:tc>
          <w:tcPr>
            <w:tcW w:w="707" w:type="pct"/>
            <w:vMerge w:val="restart"/>
            <w:tcBorders>
              <w:tl2br w:val="nil"/>
              <w:tr2bl w:val="nil"/>
            </w:tcBorders>
            <w:vAlign w:val="center"/>
          </w:tcPr>
          <w:p w14:paraId="24F62B72">
            <w:pPr>
              <w:widowControl w:val="0"/>
              <w:spacing w:line="240" w:lineRule="auto"/>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危废新增、危废贮存点依托现有</w:t>
            </w:r>
          </w:p>
        </w:tc>
      </w:tr>
      <w:tr w14:paraId="5AAEC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3A1D9650">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73C4F68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35A04853">
            <w:pPr>
              <w:widowControl w:val="0"/>
              <w:spacing w:line="240" w:lineRule="auto"/>
              <w:ind w:firstLine="0" w:firstLineChars="0"/>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④废机油桶</w:t>
            </w:r>
          </w:p>
        </w:tc>
        <w:tc>
          <w:tcPr>
            <w:tcW w:w="2581" w:type="pct"/>
            <w:tcBorders>
              <w:tl2br w:val="nil"/>
              <w:tr2bl w:val="nil"/>
            </w:tcBorders>
            <w:vAlign w:val="center"/>
          </w:tcPr>
          <w:p w14:paraId="6F905D8B">
            <w:pPr>
              <w:widowControl w:val="0"/>
              <w:spacing w:line="240" w:lineRule="auto"/>
              <w:jc w:val="center"/>
              <w:rPr>
                <w:rFonts w:hint="eastAsia"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暂存于危废贮存点，委托有资质的单位处理。</w:t>
            </w:r>
          </w:p>
        </w:tc>
        <w:tc>
          <w:tcPr>
            <w:tcW w:w="707" w:type="pct"/>
            <w:vMerge w:val="continue"/>
            <w:tcBorders>
              <w:tl2br w:val="nil"/>
              <w:tr2bl w:val="nil"/>
            </w:tcBorders>
            <w:vAlign w:val="center"/>
          </w:tcPr>
          <w:p w14:paraId="66861180">
            <w:pPr>
              <w:widowControl w:val="0"/>
              <w:spacing w:line="240" w:lineRule="auto"/>
              <w:jc w:val="center"/>
              <w:rPr>
                <w:rFonts w:hint="eastAsia" w:cs="Times New Roman"/>
                <w:b w:val="0"/>
                <w:color w:val="auto"/>
                <w:kern w:val="2"/>
                <w:sz w:val="21"/>
                <w:szCs w:val="20"/>
                <w:lang w:val="en-US" w:eastAsia="zh-CN" w:bidi="ar-SA"/>
              </w:rPr>
            </w:pPr>
          </w:p>
        </w:tc>
      </w:tr>
      <w:tr w14:paraId="2506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01C5DF8E">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15B06004">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5379E5B7">
            <w:pPr>
              <w:widowControl w:val="0"/>
              <w:spacing w:line="240" w:lineRule="auto"/>
              <w:ind w:firstLine="0" w:firstLineChars="0"/>
              <w:jc w:val="center"/>
              <w:rPr>
                <w:rFonts w:hint="default"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⑤浮选药剂废包装</w:t>
            </w:r>
          </w:p>
        </w:tc>
        <w:tc>
          <w:tcPr>
            <w:tcW w:w="2581" w:type="pct"/>
            <w:tcBorders>
              <w:tl2br w:val="nil"/>
              <w:tr2bl w:val="nil"/>
            </w:tcBorders>
            <w:vAlign w:val="center"/>
          </w:tcPr>
          <w:p w14:paraId="09649FBD">
            <w:pPr>
              <w:widowControl w:val="0"/>
              <w:spacing w:line="240" w:lineRule="auto"/>
              <w:jc w:val="center"/>
              <w:rPr>
                <w:rFonts w:hint="eastAsia"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暂存于危废贮存点，委托有资质的单位处理。</w:t>
            </w:r>
          </w:p>
        </w:tc>
        <w:tc>
          <w:tcPr>
            <w:tcW w:w="707" w:type="pct"/>
            <w:vMerge w:val="continue"/>
            <w:tcBorders>
              <w:tl2br w:val="nil"/>
              <w:tr2bl w:val="nil"/>
            </w:tcBorders>
            <w:vAlign w:val="center"/>
          </w:tcPr>
          <w:p w14:paraId="141AB4A4">
            <w:pPr>
              <w:widowControl w:val="0"/>
              <w:spacing w:line="240" w:lineRule="auto"/>
              <w:jc w:val="center"/>
              <w:rPr>
                <w:rFonts w:hint="eastAsia" w:cs="Times New Roman"/>
                <w:b w:val="0"/>
                <w:color w:val="auto"/>
                <w:kern w:val="2"/>
                <w:sz w:val="21"/>
                <w:szCs w:val="20"/>
                <w:lang w:val="en-US" w:eastAsia="zh-CN" w:bidi="ar-SA"/>
              </w:rPr>
            </w:pPr>
          </w:p>
        </w:tc>
      </w:tr>
      <w:tr w14:paraId="4D59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8" w:type="pct"/>
            <w:vMerge w:val="continue"/>
            <w:tcBorders>
              <w:tl2br w:val="nil"/>
              <w:tr2bl w:val="nil"/>
            </w:tcBorders>
            <w:vAlign w:val="center"/>
          </w:tcPr>
          <w:p w14:paraId="2AC83CF6">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02" w:type="pct"/>
            <w:vMerge w:val="continue"/>
            <w:tcBorders>
              <w:tl2br w:val="nil"/>
              <w:tr2bl w:val="nil"/>
            </w:tcBorders>
            <w:vAlign w:val="center"/>
          </w:tcPr>
          <w:p w14:paraId="0DB98DF3">
            <w:pPr>
              <w:widowControl w:val="0"/>
              <w:spacing w:line="240" w:lineRule="auto"/>
              <w:ind w:firstLine="0" w:firstLineChars="0"/>
              <w:jc w:val="center"/>
              <w:rPr>
                <w:rFonts w:hint="default" w:ascii="Times New Roman" w:hAnsi="Times New Roman" w:eastAsia="宋体" w:cs="Times New Roman"/>
                <w:b w:val="0"/>
                <w:color w:val="auto"/>
                <w:kern w:val="2"/>
                <w:sz w:val="21"/>
                <w:szCs w:val="22"/>
                <w:lang w:val="en-US" w:eastAsia="zh-CN" w:bidi="ar-SA"/>
              </w:rPr>
            </w:pPr>
          </w:p>
        </w:tc>
        <w:tc>
          <w:tcPr>
            <w:tcW w:w="670" w:type="pct"/>
            <w:tcBorders>
              <w:tl2br w:val="nil"/>
              <w:tr2bl w:val="nil"/>
            </w:tcBorders>
            <w:vAlign w:val="center"/>
          </w:tcPr>
          <w:p w14:paraId="72D968A8">
            <w:pPr>
              <w:widowControl w:val="0"/>
              <w:spacing w:line="240" w:lineRule="auto"/>
              <w:ind w:firstLine="0" w:firstLineChars="0"/>
              <w:jc w:val="center"/>
              <w:rPr>
                <w:rFonts w:hint="eastAsia"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⑥</w:t>
            </w:r>
            <w:r>
              <w:rPr>
                <w:rFonts w:hint="default" w:ascii="Times New Roman" w:hAnsi="Times New Roman" w:eastAsia="宋体" w:cs="Times New Roman"/>
                <w:b w:val="0"/>
                <w:color w:val="auto"/>
                <w:kern w:val="2"/>
                <w:sz w:val="21"/>
                <w:szCs w:val="20"/>
                <w:lang w:val="en-US" w:eastAsia="zh-CN" w:bidi="ar-SA"/>
              </w:rPr>
              <w:t>生活垃圾</w:t>
            </w:r>
          </w:p>
        </w:tc>
        <w:tc>
          <w:tcPr>
            <w:tcW w:w="2581" w:type="pct"/>
            <w:tcBorders>
              <w:tl2br w:val="nil"/>
              <w:tr2bl w:val="nil"/>
            </w:tcBorders>
            <w:vAlign w:val="center"/>
          </w:tcPr>
          <w:p w14:paraId="7F226344">
            <w:pPr>
              <w:widowControl w:val="0"/>
              <w:spacing w:line="240" w:lineRule="auto"/>
              <w:jc w:val="center"/>
              <w:rPr>
                <w:rFonts w:hint="eastAsia" w:ascii="Times New Roman" w:hAnsi="Times New Roman" w:eastAsia="宋体" w:cs="Times New Roman"/>
                <w:b w:val="0"/>
                <w:color w:val="auto"/>
                <w:kern w:val="2"/>
                <w:sz w:val="21"/>
                <w:szCs w:val="20"/>
                <w:lang w:val="en-US" w:eastAsia="zh-CN" w:bidi="ar-SA"/>
              </w:rPr>
            </w:pPr>
            <w:r>
              <w:rPr>
                <w:rFonts w:hint="default" w:ascii="Times New Roman" w:hAnsi="Times New Roman" w:eastAsia="宋体" w:cs="Times New Roman"/>
                <w:b w:val="0"/>
                <w:color w:val="auto"/>
                <w:kern w:val="2"/>
                <w:sz w:val="21"/>
                <w:szCs w:val="20"/>
                <w:lang w:val="en-US" w:eastAsia="zh-CN" w:bidi="ar-SA"/>
              </w:rPr>
              <w:t>设置</w:t>
            </w:r>
            <w:r>
              <w:rPr>
                <w:rFonts w:hint="eastAsia" w:cs="Times New Roman"/>
                <w:b w:val="0"/>
                <w:color w:val="auto"/>
                <w:kern w:val="2"/>
                <w:sz w:val="21"/>
                <w:szCs w:val="20"/>
                <w:lang w:val="en-US" w:eastAsia="zh-CN" w:bidi="ar-SA"/>
              </w:rPr>
              <w:t>生活</w:t>
            </w:r>
            <w:r>
              <w:rPr>
                <w:rFonts w:hint="default" w:ascii="Times New Roman" w:hAnsi="Times New Roman" w:eastAsia="宋体" w:cs="Times New Roman"/>
                <w:b w:val="0"/>
                <w:color w:val="auto"/>
                <w:kern w:val="2"/>
                <w:sz w:val="21"/>
                <w:szCs w:val="20"/>
                <w:lang w:val="en-US" w:eastAsia="zh-CN" w:bidi="ar-SA"/>
              </w:rPr>
              <w:t>垃圾桶，定期由环卫部门处理。</w:t>
            </w:r>
          </w:p>
        </w:tc>
        <w:tc>
          <w:tcPr>
            <w:tcW w:w="707" w:type="pct"/>
            <w:tcBorders>
              <w:tl2br w:val="nil"/>
              <w:tr2bl w:val="nil"/>
            </w:tcBorders>
            <w:vAlign w:val="center"/>
          </w:tcPr>
          <w:p w14:paraId="6BF9438E">
            <w:pPr>
              <w:widowControl w:val="0"/>
              <w:spacing w:line="240" w:lineRule="auto"/>
              <w:jc w:val="center"/>
              <w:rPr>
                <w:rFonts w:hint="default" w:ascii="Times New Roman" w:hAnsi="Times New Roman" w:eastAsia="宋体" w:cs="Times New Roman"/>
                <w:b w:val="0"/>
                <w:color w:val="auto"/>
                <w:kern w:val="2"/>
                <w:sz w:val="21"/>
                <w:szCs w:val="20"/>
                <w:lang w:val="en-US" w:eastAsia="zh-CN" w:bidi="ar-SA"/>
              </w:rPr>
            </w:pPr>
            <w:r>
              <w:rPr>
                <w:rFonts w:hint="eastAsia" w:cs="Times New Roman"/>
                <w:b w:val="0"/>
                <w:color w:val="auto"/>
                <w:kern w:val="2"/>
                <w:sz w:val="21"/>
                <w:szCs w:val="20"/>
                <w:lang w:val="en-US" w:eastAsia="zh-CN" w:bidi="ar-SA"/>
              </w:rPr>
              <w:t>新增生活垃圾，生活垃圾箱依托现有</w:t>
            </w:r>
          </w:p>
        </w:tc>
      </w:tr>
    </w:tbl>
    <w:p w14:paraId="006AA11B">
      <w:pPr>
        <w:spacing w:line="360" w:lineRule="auto"/>
        <w:rPr>
          <w:rFonts w:hint="default"/>
          <w:b/>
          <w:bCs/>
          <w:color w:val="auto"/>
          <w:sz w:val="24"/>
          <w:highlight w:val="none"/>
          <w:lang w:val="en-US" w:eastAsia="zh-CN"/>
        </w:rPr>
      </w:pPr>
      <w:r>
        <w:rPr>
          <w:rFonts w:hint="eastAsia"/>
          <w:b/>
          <w:bCs/>
          <w:color w:val="auto"/>
          <w:sz w:val="24"/>
          <w:highlight w:val="none"/>
          <w:lang w:val="en-US" w:eastAsia="zh-CN"/>
        </w:rPr>
        <w:t>3.2.2.2主要构建筑物情况</w:t>
      </w:r>
    </w:p>
    <w:p w14:paraId="1147F7A2">
      <w:pPr>
        <w:spacing w:line="360" w:lineRule="auto"/>
        <w:ind w:left="105" w:leftChars="50" w:firstLine="360" w:firstLineChars="150"/>
        <w:rPr>
          <w:color w:val="auto"/>
          <w:sz w:val="24"/>
          <w:highlight w:val="none"/>
        </w:rPr>
      </w:pPr>
      <w:r>
        <w:rPr>
          <w:rFonts w:hint="eastAsia"/>
          <w:color w:val="auto"/>
          <w:sz w:val="24"/>
          <w:highlight w:val="none"/>
          <w:lang w:val="en-US" w:eastAsia="zh-CN"/>
        </w:rPr>
        <w:t>本次改扩建项目在现有建筑内建设，仅新增浮选工艺配套的生产设备，主要构建筑物全部依托现有，不新增，</w:t>
      </w:r>
      <w:r>
        <w:rPr>
          <w:color w:val="auto"/>
          <w:sz w:val="24"/>
          <w:highlight w:val="none"/>
        </w:rPr>
        <w:t>具体见</w:t>
      </w:r>
      <w:r>
        <w:rPr>
          <w:rFonts w:hint="eastAsia"/>
          <w:color w:val="auto"/>
          <w:sz w:val="24"/>
          <w:highlight w:val="none"/>
          <w:lang w:eastAsia="zh-CN"/>
        </w:rPr>
        <w:t>下</w:t>
      </w:r>
      <w:r>
        <w:rPr>
          <w:color w:val="auto"/>
          <w:sz w:val="24"/>
          <w:highlight w:val="none"/>
        </w:rPr>
        <w:t>表。</w:t>
      </w:r>
    </w:p>
    <w:p w14:paraId="5E8ABD30">
      <w:pPr>
        <w:spacing w:line="360" w:lineRule="auto"/>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3.2-2</w:t>
      </w:r>
      <w:r>
        <w:rPr>
          <w:rFonts w:hint="default" w:ascii="Times New Roman" w:hAnsi="Times New Roman" w:eastAsia="宋体" w:cs="Times New Roman"/>
          <w:b/>
          <w:color w:val="auto"/>
          <w:kern w:val="2"/>
          <w:sz w:val="24"/>
          <w:szCs w:val="24"/>
          <w:lang w:val="en-US" w:eastAsia="zh-CN" w:bidi="ar-SA"/>
        </w:rPr>
        <w:t xml:space="preserve">     </w:t>
      </w:r>
      <w:r>
        <w:rPr>
          <w:rFonts w:hint="eastAsia" w:cs="Times New Roman"/>
          <w:b/>
          <w:color w:val="auto"/>
          <w:kern w:val="2"/>
          <w:sz w:val="24"/>
          <w:szCs w:val="24"/>
          <w:lang w:val="en-US" w:eastAsia="zh-CN" w:bidi="ar-SA"/>
        </w:rPr>
        <w:t>本次改扩建项目依托的</w:t>
      </w:r>
      <w:r>
        <w:rPr>
          <w:rFonts w:hint="default" w:ascii="Times New Roman" w:hAnsi="Times New Roman" w:eastAsia="宋体" w:cs="Times New Roman"/>
          <w:b/>
          <w:color w:val="auto"/>
          <w:kern w:val="2"/>
          <w:sz w:val="24"/>
          <w:szCs w:val="24"/>
          <w:lang w:val="en-US" w:eastAsia="zh-CN" w:bidi="ar-SA"/>
        </w:rPr>
        <w:t>主要建（构）筑物一览表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9"/>
        <w:gridCol w:w="2893"/>
        <w:gridCol w:w="2023"/>
        <w:gridCol w:w="2392"/>
      </w:tblGrid>
      <w:tr w14:paraId="7EF8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35F0B228">
            <w:pPr>
              <w:widowControl/>
              <w:snapToGrid w:val="0"/>
              <w:jc w:val="center"/>
              <w:rPr>
                <w:rFonts w:hint="eastAsia" w:ascii="宋体" w:hAnsi="宋体" w:eastAsia="宋体" w:cs="宋体"/>
                <w:color w:val="auto"/>
                <w:szCs w:val="21"/>
              </w:rPr>
            </w:pPr>
            <w:r>
              <w:rPr>
                <w:rFonts w:hint="eastAsia" w:ascii="宋体" w:hAnsi="宋体" w:eastAsia="宋体" w:cs="宋体"/>
                <w:color w:val="auto"/>
                <w:szCs w:val="21"/>
              </w:rPr>
              <w:t>序号</w:t>
            </w:r>
          </w:p>
        </w:tc>
        <w:tc>
          <w:tcPr>
            <w:tcW w:w="1659" w:type="pct"/>
            <w:tcBorders>
              <w:tl2br w:val="nil"/>
              <w:tr2bl w:val="nil"/>
            </w:tcBorders>
            <w:vAlign w:val="center"/>
          </w:tcPr>
          <w:p w14:paraId="4EF093AA">
            <w:pPr>
              <w:pStyle w:val="1489"/>
              <w:ind w:firstLine="0" w:firstLineChars="0"/>
              <w:rPr>
                <w:rFonts w:hint="eastAsia" w:ascii="宋体" w:hAnsi="宋体" w:eastAsia="宋体" w:cs="宋体"/>
                <w:b w:val="0"/>
                <w:bCs/>
                <w:color w:val="auto"/>
                <w:szCs w:val="21"/>
                <w:lang w:eastAsia="zh-CN"/>
              </w:rPr>
            </w:pPr>
            <w:r>
              <w:rPr>
                <w:rFonts w:hint="eastAsia" w:ascii="宋体" w:hAnsi="宋体" w:eastAsia="宋体" w:cs="宋体"/>
                <w:b w:val="0"/>
                <w:bCs/>
                <w:lang w:eastAsia="zh-CN"/>
              </w:rPr>
              <w:t>建筑名称</w:t>
            </w:r>
          </w:p>
        </w:tc>
        <w:tc>
          <w:tcPr>
            <w:tcW w:w="1160" w:type="pct"/>
            <w:tcBorders>
              <w:tl2br w:val="nil"/>
              <w:tr2bl w:val="nil"/>
            </w:tcBorders>
            <w:vAlign w:val="center"/>
          </w:tcPr>
          <w:p w14:paraId="153C0BBB">
            <w:pPr>
              <w:pStyle w:val="1489"/>
              <w:ind w:firstLine="0" w:firstLineChars="0"/>
              <w:rPr>
                <w:rFonts w:hint="eastAsia" w:ascii="宋体" w:hAnsi="宋体" w:eastAsia="宋体" w:cs="宋体"/>
                <w:b w:val="0"/>
                <w:bCs/>
                <w:color w:val="auto"/>
                <w:szCs w:val="21"/>
                <w:lang w:val="en-US" w:eastAsia="zh-CN"/>
              </w:rPr>
            </w:pPr>
            <w:r>
              <w:rPr>
                <w:rFonts w:hint="eastAsia" w:ascii="宋体" w:hAnsi="宋体" w:eastAsia="宋体" w:cs="宋体"/>
                <w:b w:val="0"/>
                <w:bCs/>
                <w:lang w:val="en-US" w:eastAsia="zh-CN"/>
              </w:rPr>
              <w:t>建筑</w:t>
            </w:r>
            <w:r>
              <w:rPr>
                <w:rFonts w:hint="eastAsia" w:ascii="宋体" w:hAnsi="宋体" w:eastAsia="宋体" w:cs="宋体"/>
                <w:b w:val="0"/>
                <w:bCs/>
              </w:rPr>
              <w:t>面积</w:t>
            </w:r>
            <w:r>
              <w:rPr>
                <w:rFonts w:hint="default" w:ascii="Times New Roman" w:hAnsi="Times New Roman" w:eastAsia="宋体" w:cs="Times New Roman"/>
                <w:b w:val="0"/>
                <w:bCs/>
                <w:lang w:val="en-US" w:eastAsia="zh-CN"/>
              </w:rPr>
              <w:t>/m</w:t>
            </w:r>
            <w:r>
              <w:rPr>
                <w:rFonts w:hint="default" w:ascii="Times New Roman" w:hAnsi="Times New Roman" w:eastAsia="宋体" w:cs="Times New Roman"/>
                <w:b w:val="0"/>
                <w:bCs/>
                <w:vertAlign w:val="superscript"/>
                <w:lang w:val="en-US" w:eastAsia="zh-CN"/>
              </w:rPr>
              <w:t>2</w:t>
            </w:r>
          </w:p>
        </w:tc>
        <w:tc>
          <w:tcPr>
            <w:tcW w:w="1371" w:type="pct"/>
            <w:tcBorders>
              <w:tl2br w:val="nil"/>
              <w:tr2bl w:val="nil"/>
            </w:tcBorders>
            <w:vAlign w:val="center"/>
          </w:tcPr>
          <w:p w14:paraId="7641C493">
            <w:pPr>
              <w:pStyle w:val="1489"/>
              <w:ind w:firstLine="0" w:firstLineChars="0"/>
              <w:rPr>
                <w:rFonts w:hint="default" w:ascii="宋体" w:hAnsi="宋体" w:eastAsia="宋体" w:cs="宋体"/>
                <w:b w:val="0"/>
                <w:bCs/>
                <w:lang w:val="en-US" w:eastAsia="zh-CN"/>
              </w:rPr>
            </w:pPr>
            <w:r>
              <w:rPr>
                <w:rFonts w:hint="eastAsia" w:ascii="宋体" w:hAnsi="宋体" w:eastAsia="宋体" w:cs="宋体"/>
                <w:b w:val="0"/>
                <w:bCs/>
                <w:lang w:val="en-US" w:eastAsia="zh-CN"/>
              </w:rPr>
              <w:t>建筑结构</w:t>
            </w:r>
          </w:p>
        </w:tc>
      </w:tr>
      <w:tr w14:paraId="5C16E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7828D0EC">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1659" w:type="pct"/>
            <w:tcBorders>
              <w:tl2br w:val="nil"/>
              <w:tr2bl w:val="nil"/>
            </w:tcBorders>
            <w:vAlign w:val="center"/>
          </w:tcPr>
          <w:p w14:paraId="0F319ED2">
            <w:pPr>
              <w:pStyle w:val="1489"/>
              <w:ind w:firstLine="0" w:firstLineChars="0"/>
              <w:rPr>
                <w:rFonts w:hint="eastAsia" w:ascii="宋体" w:hAnsi="宋体" w:eastAsia="宋体" w:cs="宋体"/>
                <w:b w:val="0"/>
                <w:bCs/>
                <w:color w:val="auto"/>
                <w:szCs w:val="21"/>
                <w:lang w:eastAsia="zh-CN"/>
              </w:rPr>
            </w:pPr>
            <w:r>
              <w:rPr>
                <w:rFonts w:hint="eastAsia" w:ascii="宋体" w:hAnsi="宋体" w:eastAsia="宋体" w:cs="宋体"/>
                <w:b w:val="0"/>
                <w:bCs/>
                <w:color w:val="auto"/>
                <w:szCs w:val="21"/>
                <w:lang w:val="en-US" w:eastAsia="zh-CN"/>
              </w:rPr>
              <w:t>选矿车间</w:t>
            </w:r>
          </w:p>
        </w:tc>
        <w:tc>
          <w:tcPr>
            <w:tcW w:w="1160" w:type="pct"/>
            <w:tcBorders>
              <w:tl2br w:val="nil"/>
              <w:tr2bl w:val="nil"/>
            </w:tcBorders>
            <w:vAlign w:val="center"/>
          </w:tcPr>
          <w:p w14:paraId="235D19CE">
            <w:pPr>
              <w:pStyle w:val="1489"/>
              <w:ind w:firstLine="0" w:firstLineChars="0"/>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300</w:t>
            </w:r>
          </w:p>
        </w:tc>
        <w:tc>
          <w:tcPr>
            <w:tcW w:w="1371" w:type="pct"/>
            <w:tcBorders>
              <w:tl2br w:val="nil"/>
              <w:tr2bl w:val="nil"/>
            </w:tcBorders>
            <w:vAlign w:val="center"/>
          </w:tcPr>
          <w:p w14:paraId="46723F3F">
            <w:pPr>
              <w:pStyle w:val="1489"/>
              <w:ind w:firstLine="0" w:firstLineChars="0"/>
              <w:rPr>
                <w:rFonts w:hint="default" w:ascii="Times New Roman" w:hAnsi="Times New Roman" w:eastAsia="宋体" w:cs="Times New Roman"/>
                <w:b w:val="0"/>
                <w:bCs/>
                <w:lang w:val="en-US" w:eastAsia="zh-CN"/>
              </w:rPr>
            </w:pPr>
            <w:r>
              <w:rPr>
                <w:rFonts w:hint="default" w:ascii="Times New Roman" w:hAnsi="Times New Roman" w:eastAsia="宋体" w:cs="Times New Roman"/>
                <w:b w:val="0"/>
                <w:bCs/>
                <w:lang w:val="en-US" w:eastAsia="zh-CN"/>
              </w:rPr>
              <w:t>钢结构</w:t>
            </w:r>
          </w:p>
        </w:tc>
      </w:tr>
      <w:tr w14:paraId="07CF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704C3E07">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1659" w:type="pct"/>
            <w:tcBorders>
              <w:tl2br w:val="nil"/>
              <w:tr2bl w:val="nil"/>
            </w:tcBorders>
            <w:vAlign w:val="center"/>
          </w:tcPr>
          <w:p w14:paraId="1A7832E7">
            <w:pPr>
              <w:pStyle w:val="1489"/>
              <w:ind w:firstLine="0" w:firstLineChars="0"/>
              <w:rPr>
                <w:rFonts w:hint="default"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干排车间</w:t>
            </w:r>
          </w:p>
        </w:tc>
        <w:tc>
          <w:tcPr>
            <w:tcW w:w="1160" w:type="pct"/>
            <w:tcBorders>
              <w:tl2br w:val="nil"/>
              <w:tr2bl w:val="nil"/>
            </w:tcBorders>
            <w:vAlign w:val="center"/>
          </w:tcPr>
          <w:p w14:paraId="2B973BB7">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240</w:t>
            </w:r>
          </w:p>
        </w:tc>
        <w:tc>
          <w:tcPr>
            <w:tcW w:w="1371" w:type="pct"/>
            <w:tcBorders>
              <w:tl2br w:val="nil"/>
              <w:tr2bl w:val="nil"/>
            </w:tcBorders>
            <w:vAlign w:val="center"/>
          </w:tcPr>
          <w:p w14:paraId="78E59C42">
            <w:pPr>
              <w:pStyle w:val="1489"/>
              <w:ind w:firstLine="0" w:firstLineChars="0"/>
              <w:rPr>
                <w:rFonts w:hint="default" w:eastAsia="宋体" w:cs="Times New Roman"/>
                <w:b w:val="0"/>
                <w:bCs/>
                <w:lang w:val="en-US" w:eastAsia="zh-CN"/>
              </w:rPr>
            </w:pPr>
            <w:r>
              <w:rPr>
                <w:rFonts w:hint="default" w:ascii="Times New Roman" w:hAnsi="Times New Roman" w:eastAsia="宋体" w:cs="Times New Roman"/>
                <w:b w:val="0"/>
                <w:bCs/>
                <w:lang w:val="en-US" w:eastAsia="zh-CN"/>
              </w:rPr>
              <w:t>钢结构</w:t>
            </w:r>
          </w:p>
        </w:tc>
      </w:tr>
      <w:tr w14:paraId="60F9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0E11A27C">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w:t>
            </w:r>
          </w:p>
        </w:tc>
        <w:tc>
          <w:tcPr>
            <w:tcW w:w="1659" w:type="pct"/>
            <w:tcBorders>
              <w:tl2br w:val="nil"/>
              <w:tr2bl w:val="nil"/>
            </w:tcBorders>
            <w:vAlign w:val="center"/>
          </w:tcPr>
          <w:p w14:paraId="0ECA08CD">
            <w:pPr>
              <w:pStyle w:val="1489"/>
              <w:ind w:firstLine="0" w:firstLineChars="0"/>
              <w:rPr>
                <w:rFonts w:hint="default" w:ascii="宋体" w:hAnsi="宋体" w:eastAsia="宋体" w:cs="宋体"/>
                <w:b w:val="0"/>
                <w:bCs/>
                <w:color w:val="auto"/>
                <w:szCs w:val="21"/>
                <w:lang w:val="en-US" w:eastAsia="zh-CN"/>
              </w:rPr>
            </w:pPr>
            <w:r>
              <w:rPr>
                <w:rFonts w:hint="eastAsia" w:ascii="宋体" w:hAnsi="宋体" w:eastAsia="宋体" w:cs="宋体"/>
                <w:b w:val="0"/>
                <w:bCs/>
                <w:color w:val="auto"/>
                <w:szCs w:val="21"/>
                <w:lang w:val="en-US" w:eastAsia="zh-CN"/>
              </w:rPr>
              <w:t>办公室</w:t>
            </w:r>
          </w:p>
        </w:tc>
        <w:tc>
          <w:tcPr>
            <w:tcW w:w="1160" w:type="pct"/>
            <w:tcBorders>
              <w:tl2br w:val="nil"/>
              <w:tr2bl w:val="nil"/>
            </w:tcBorders>
            <w:vAlign w:val="center"/>
          </w:tcPr>
          <w:p w14:paraId="55849EB7">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170</w:t>
            </w:r>
          </w:p>
        </w:tc>
        <w:tc>
          <w:tcPr>
            <w:tcW w:w="1371" w:type="pct"/>
            <w:tcBorders>
              <w:tl2br w:val="nil"/>
              <w:tr2bl w:val="nil"/>
            </w:tcBorders>
            <w:vAlign w:val="center"/>
          </w:tcPr>
          <w:p w14:paraId="227466F3">
            <w:pPr>
              <w:pStyle w:val="1489"/>
              <w:ind w:firstLine="0" w:firstLineChars="0"/>
              <w:rPr>
                <w:rFonts w:hint="default" w:ascii="Times New Roman" w:hAnsi="Times New Roman" w:eastAsia="宋体" w:cs="Times New Roman"/>
                <w:b w:val="0"/>
                <w:bCs/>
                <w:lang w:val="en-US" w:eastAsia="zh-CN"/>
              </w:rPr>
            </w:pPr>
            <w:r>
              <w:rPr>
                <w:rFonts w:hint="eastAsia" w:eastAsia="宋体" w:cs="Times New Roman"/>
                <w:b w:val="0"/>
                <w:bCs/>
                <w:lang w:val="en-US" w:eastAsia="zh-CN"/>
              </w:rPr>
              <w:t>混凝土钢结构</w:t>
            </w:r>
          </w:p>
        </w:tc>
      </w:tr>
      <w:tr w14:paraId="653C6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27F1B4B1">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w:t>
            </w:r>
          </w:p>
        </w:tc>
        <w:tc>
          <w:tcPr>
            <w:tcW w:w="1659" w:type="pct"/>
            <w:tcBorders>
              <w:tl2br w:val="nil"/>
              <w:tr2bl w:val="nil"/>
            </w:tcBorders>
            <w:vAlign w:val="center"/>
          </w:tcPr>
          <w:p w14:paraId="78F4AC36">
            <w:pPr>
              <w:keepNext w:val="0"/>
              <w:keepLines w:val="0"/>
              <w:widowControl/>
              <w:suppressLineNumbers w:val="0"/>
              <w:jc w:val="center"/>
              <w:rPr>
                <w:rFonts w:hint="eastAsia" w:ascii="宋体" w:hAnsi="宋体" w:eastAsia="宋体" w:cs="宋体"/>
                <w:b w:val="0"/>
                <w:bCs/>
                <w:color w:val="auto"/>
                <w:szCs w:val="21"/>
                <w:lang w:val="en-US" w:eastAsia="zh-CN"/>
              </w:rPr>
            </w:pPr>
            <w:r>
              <w:rPr>
                <w:rFonts w:hint="eastAsia" w:ascii="Times New Roman" w:hAnsi="Times New Roman" w:eastAsia="宋体" w:cs="Times New Roman"/>
                <w:color w:val="000000"/>
                <w:kern w:val="0"/>
                <w:sz w:val="21"/>
                <w:szCs w:val="21"/>
                <w:lang w:val="en-US" w:eastAsia="zh-CN" w:bidi="ar"/>
              </w:rPr>
              <w:t>机修车间</w:t>
            </w:r>
          </w:p>
        </w:tc>
        <w:tc>
          <w:tcPr>
            <w:tcW w:w="1160" w:type="pct"/>
            <w:tcBorders>
              <w:tl2br w:val="nil"/>
              <w:tr2bl w:val="nil"/>
            </w:tcBorders>
            <w:vAlign w:val="center"/>
          </w:tcPr>
          <w:p w14:paraId="44C84E31">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30</w:t>
            </w:r>
          </w:p>
        </w:tc>
        <w:tc>
          <w:tcPr>
            <w:tcW w:w="1371" w:type="pct"/>
            <w:tcBorders>
              <w:tl2br w:val="nil"/>
              <w:tr2bl w:val="nil"/>
            </w:tcBorders>
            <w:vAlign w:val="center"/>
          </w:tcPr>
          <w:p w14:paraId="428FB259">
            <w:pPr>
              <w:pStyle w:val="1489"/>
              <w:ind w:firstLine="0" w:firstLineChars="0"/>
              <w:rPr>
                <w:rFonts w:hint="eastAsia" w:eastAsia="宋体" w:cs="Times New Roman"/>
                <w:b w:val="0"/>
                <w:bCs/>
                <w:lang w:val="en-US" w:eastAsia="zh-CN"/>
              </w:rPr>
            </w:pPr>
            <w:r>
              <w:rPr>
                <w:rFonts w:hint="eastAsia" w:eastAsia="宋体" w:cs="Times New Roman"/>
                <w:b w:val="0"/>
                <w:bCs/>
                <w:lang w:val="en-US" w:eastAsia="zh-CN"/>
              </w:rPr>
              <w:t>混凝土钢结构</w:t>
            </w:r>
          </w:p>
        </w:tc>
      </w:tr>
      <w:tr w14:paraId="746F5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7DD35893">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w:t>
            </w:r>
          </w:p>
        </w:tc>
        <w:tc>
          <w:tcPr>
            <w:tcW w:w="1659" w:type="pct"/>
            <w:tcBorders>
              <w:tl2br w:val="nil"/>
              <w:tr2bl w:val="nil"/>
            </w:tcBorders>
            <w:vAlign w:val="center"/>
          </w:tcPr>
          <w:p w14:paraId="15E37716">
            <w:pPr>
              <w:keepNext w:val="0"/>
              <w:keepLines w:val="0"/>
              <w:widowControl/>
              <w:suppressLineNumbers w:val="0"/>
              <w:jc w:val="center"/>
              <w:rPr>
                <w:rFonts w:hint="eastAsia" w:ascii="宋体" w:hAnsi="宋体" w:eastAsia="宋体" w:cs="宋体"/>
                <w:b w:val="0"/>
                <w:bCs/>
                <w:color w:val="auto"/>
                <w:szCs w:val="21"/>
              </w:rPr>
            </w:pPr>
            <w:r>
              <w:rPr>
                <w:rFonts w:hint="eastAsia" w:ascii="Times New Roman" w:hAnsi="Times New Roman" w:eastAsia="宋体" w:cs="Times New Roman"/>
                <w:color w:val="000000"/>
                <w:kern w:val="0"/>
                <w:sz w:val="21"/>
                <w:szCs w:val="21"/>
                <w:lang w:val="en-US" w:eastAsia="zh-CN" w:bidi="ar"/>
              </w:rPr>
              <w:t>化验室</w:t>
            </w:r>
          </w:p>
        </w:tc>
        <w:tc>
          <w:tcPr>
            <w:tcW w:w="1160" w:type="pct"/>
            <w:tcBorders>
              <w:tl2br w:val="nil"/>
              <w:tr2bl w:val="nil"/>
            </w:tcBorders>
            <w:vAlign w:val="center"/>
          </w:tcPr>
          <w:p w14:paraId="2CE05021">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30</w:t>
            </w:r>
          </w:p>
        </w:tc>
        <w:tc>
          <w:tcPr>
            <w:tcW w:w="1371" w:type="pct"/>
            <w:tcBorders>
              <w:tl2br w:val="nil"/>
              <w:tr2bl w:val="nil"/>
            </w:tcBorders>
            <w:vAlign w:val="center"/>
          </w:tcPr>
          <w:p w14:paraId="4F7ED12C">
            <w:pPr>
              <w:pStyle w:val="1489"/>
              <w:ind w:firstLine="0" w:firstLineChars="0"/>
              <w:rPr>
                <w:rFonts w:hint="eastAsia" w:eastAsia="宋体" w:cs="Times New Roman"/>
                <w:b w:val="0"/>
                <w:bCs/>
                <w:lang w:val="en-US" w:eastAsia="zh-CN"/>
              </w:rPr>
            </w:pPr>
            <w:r>
              <w:rPr>
                <w:rFonts w:hint="eastAsia" w:eastAsia="宋体" w:cs="Times New Roman"/>
                <w:b w:val="0"/>
                <w:bCs/>
                <w:lang w:val="en-US" w:eastAsia="zh-CN"/>
              </w:rPr>
              <w:t>混凝土钢结构</w:t>
            </w:r>
          </w:p>
        </w:tc>
      </w:tr>
      <w:tr w14:paraId="1A00A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5ECF1419">
            <w:pPr>
              <w:widowControl/>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w:t>
            </w:r>
          </w:p>
        </w:tc>
        <w:tc>
          <w:tcPr>
            <w:tcW w:w="1659" w:type="pct"/>
            <w:tcBorders>
              <w:tl2br w:val="nil"/>
              <w:tr2bl w:val="nil"/>
            </w:tcBorders>
            <w:vAlign w:val="center"/>
          </w:tcPr>
          <w:p w14:paraId="5C68F0B8">
            <w:pPr>
              <w:keepNext w:val="0"/>
              <w:keepLines w:val="0"/>
              <w:widowControl/>
              <w:suppressLineNumbers w:val="0"/>
              <w:jc w:val="center"/>
              <w:rPr>
                <w:rFonts w:hint="default" w:ascii="宋体" w:hAnsi="宋体" w:eastAsia="宋体" w:cs="宋体"/>
                <w:b w:val="0"/>
                <w:bCs/>
                <w:color w:val="auto"/>
                <w:szCs w:val="21"/>
                <w:lang w:val="en-US" w:eastAsia="zh-CN"/>
              </w:rPr>
            </w:pPr>
            <w:r>
              <w:rPr>
                <w:rFonts w:hint="eastAsia" w:ascii="Times New Roman" w:hAnsi="Times New Roman" w:eastAsia="宋体" w:cs="Times New Roman"/>
                <w:color w:val="000000"/>
                <w:kern w:val="0"/>
                <w:sz w:val="21"/>
                <w:szCs w:val="21"/>
                <w:lang w:val="en-US" w:eastAsia="zh-CN" w:bidi="ar"/>
              </w:rPr>
              <w:t>配电室</w:t>
            </w:r>
          </w:p>
        </w:tc>
        <w:tc>
          <w:tcPr>
            <w:tcW w:w="1160" w:type="pct"/>
            <w:tcBorders>
              <w:tl2br w:val="nil"/>
              <w:tr2bl w:val="nil"/>
            </w:tcBorders>
            <w:vAlign w:val="center"/>
          </w:tcPr>
          <w:p w14:paraId="1D5BE80E">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25</w:t>
            </w:r>
          </w:p>
        </w:tc>
        <w:tc>
          <w:tcPr>
            <w:tcW w:w="1371" w:type="pct"/>
            <w:tcBorders>
              <w:tl2br w:val="nil"/>
              <w:tr2bl w:val="nil"/>
            </w:tcBorders>
            <w:vAlign w:val="center"/>
          </w:tcPr>
          <w:p w14:paraId="681A876B">
            <w:pPr>
              <w:pStyle w:val="1489"/>
              <w:ind w:firstLine="0" w:firstLineChars="0"/>
              <w:rPr>
                <w:rFonts w:hint="eastAsia" w:eastAsia="宋体" w:cs="Times New Roman"/>
                <w:b w:val="0"/>
                <w:bCs/>
                <w:lang w:val="en-US" w:eastAsia="zh-CN"/>
              </w:rPr>
            </w:pPr>
            <w:r>
              <w:rPr>
                <w:rFonts w:hint="eastAsia" w:eastAsia="宋体" w:cs="Times New Roman"/>
                <w:b w:val="0"/>
                <w:bCs/>
                <w:lang w:val="en-US" w:eastAsia="zh-CN"/>
              </w:rPr>
              <w:t>混凝土钢结构</w:t>
            </w:r>
          </w:p>
        </w:tc>
      </w:tr>
      <w:tr w14:paraId="6D8F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9" w:type="dxa"/>
            <w:tcBorders>
              <w:tl2br w:val="nil"/>
              <w:tr2bl w:val="nil"/>
            </w:tcBorders>
            <w:vAlign w:val="center"/>
          </w:tcPr>
          <w:p w14:paraId="4ADE65F3">
            <w:pPr>
              <w:widowControl/>
              <w:snapToGrid w:val="0"/>
              <w:jc w:val="center"/>
              <w:rPr>
                <w:rFonts w:hint="default" w:ascii="Times New Roman" w:hAnsi="Times New Roman" w:eastAsia="宋体" w:cs="Times New Roman"/>
                <w:color w:val="auto"/>
                <w:szCs w:val="21"/>
              </w:rPr>
            </w:pPr>
            <w:r>
              <w:rPr>
                <w:rFonts w:hint="eastAsia" w:cs="Times New Roman"/>
                <w:color w:val="auto"/>
                <w:szCs w:val="21"/>
                <w:lang w:val="en-US" w:eastAsia="zh-CN"/>
              </w:rPr>
              <w:t>7</w:t>
            </w:r>
          </w:p>
        </w:tc>
        <w:tc>
          <w:tcPr>
            <w:tcW w:w="1659" w:type="pct"/>
            <w:tcBorders>
              <w:tl2br w:val="nil"/>
              <w:tr2bl w:val="nil"/>
            </w:tcBorders>
            <w:vAlign w:val="center"/>
          </w:tcPr>
          <w:p w14:paraId="38CA2A7A">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危废贮存点</w:t>
            </w:r>
          </w:p>
        </w:tc>
        <w:tc>
          <w:tcPr>
            <w:tcW w:w="1160" w:type="pct"/>
            <w:tcBorders>
              <w:tl2br w:val="nil"/>
              <w:tr2bl w:val="nil"/>
            </w:tcBorders>
            <w:vAlign w:val="center"/>
          </w:tcPr>
          <w:p w14:paraId="5F712CF6">
            <w:pPr>
              <w:pStyle w:val="1489"/>
              <w:ind w:firstLine="0" w:firstLineChars="0"/>
              <w:rPr>
                <w:rFonts w:hint="default" w:eastAsia="宋体" w:cs="Times New Roman"/>
                <w:b w:val="0"/>
                <w:bCs/>
                <w:color w:val="auto"/>
                <w:szCs w:val="21"/>
                <w:lang w:val="en-US" w:eastAsia="zh-CN"/>
              </w:rPr>
            </w:pPr>
            <w:r>
              <w:rPr>
                <w:rFonts w:hint="eastAsia" w:eastAsia="宋体" w:cs="Times New Roman"/>
                <w:b w:val="0"/>
                <w:bCs/>
                <w:color w:val="auto"/>
                <w:szCs w:val="21"/>
                <w:lang w:val="en-US" w:eastAsia="zh-CN"/>
              </w:rPr>
              <w:t>25</w:t>
            </w:r>
          </w:p>
        </w:tc>
        <w:tc>
          <w:tcPr>
            <w:tcW w:w="1371" w:type="pct"/>
            <w:tcBorders>
              <w:tl2br w:val="nil"/>
              <w:tr2bl w:val="nil"/>
            </w:tcBorders>
            <w:vAlign w:val="center"/>
          </w:tcPr>
          <w:p w14:paraId="0809BC1A">
            <w:pPr>
              <w:pStyle w:val="1489"/>
              <w:ind w:firstLine="0" w:firstLineChars="0"/>
              <w:rPr>
                <w:rFonts w:hint="eastAsia" w:eastAsia="宋体" w:cs="Times New Roman"/>
                <w:b w:val="0"/>
                <w:bCs/>
                <w:lang w:val="en-US" w:eastAsia="zh-CN"/>
              </w:rPr>
            </w:pPr>
            <w:r>
              <w:rPr>
                <w:rFonts w:hint="eastAsia" w:eastAsia="宋体" w:cs="Times New Roman"/>
                <w:b w:val="0"/>
                <w:bCs/>
                <w:lang w:val="en-US" w:eastAsia="zh-CN"/>
              </w:rPr>
              <w:t>混凝土钢结构</w:t>
            </w:r>
          </w:p>
        </w:tc>
      </w:tr>
      <w:tr w14:paraId="11BF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09" w:type="dxa"/>
            <w:tcBorders>
              <w:tl2br w:val="nil"/>
              <w:tr2bl w:val="nil"/>
            </w:tcBorders>
            <w:vAlign w:val="center"/>
          </w:tcPr>
          <w:p w14:paraId="49D35D43">
            <w:pPr>
              <w:widowControl/>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1659" w:type="pct"/>
            <w:tcBorders>
              <w:tl2br w:val="nil"/>
              <w:tr2bl w:val="nil"/>
            </w:tcBorders>
            <w:vAlign w:val="center"/>
          </w:tcPr>
          <w:p w14:paraId="678C100F">
            <w:pPr>
              <w:keepNext w:val="0"/>
              <w:keepLines w:val="0"/>
              <w:widowControl/>
              <w:suppressLineNumbers w:val="0"/>
              <w:jc w:val="center"/>
              <w:rPr>
                <w:rFonts w:hint="default" w:ascii="宋体" w:hAnsi="宋体" w:eastAsia="宋体" w:cs="宋体"/>
                <w:b w:val="0"/>
                <w:bCs/>
                <w:lang w:val="en-US" w:eastAsia="zh-CN"/>
              </w:rPr>
            </w:pPr>
            <w:r>
              <w:rPr>
                <w:rFonts w:hint="eastAsia" w:cs="Times New Roman"/>
                <w:color w:val="000000"/>
                <w:kern w:val="0"/>
                <w:sz w:val="21"/>
                <w:szCs w:val="21"/>
                <w:lang w:val="en-US" w:eastAsia="zh-CN" w:bidi="ar"/>
              </w:rPr>
              <w:t>产品</w:t>
            </w:r>
            <w:r>
              <w:rPr>
                <w:rFonts w:hint="eastAsia" w:eastAsia="宋体" w:cs="Times New Roman"/>
                <w:color w:val="000000"/>
                <w:kern w:val="0"/>
                <w:sz w:val="21"/>
                <w:szCs w:val="21"/>
                <w:lang w:val="en-US" w:eastAsia="zh-CN" w:bidi="ar"/>
              </w:rPr>
              <w:t>库房</w:t>
            </w:r>
          </w:p>
        </w:tc>
        <w:tc>
          <w:tcPr>
            <w:tcW w:w="1160" w:type="pct"/>
            <w:tcBorders>
              <w:tl2br w:val="nil"/>
              <w:tr2bl w:val="nil"/>
            </w:tcBorders>
            <w:vAlign w:val="center"/>
          </w:tcPr>
          <w:p w14:paraId="61931E07">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200</w:t>
            </w:r>
          </w:p>
        </w:tc>
        <w:tc>
          <w:tcPr>
            <w:tcW w:w="1371" w:type="pct"/>
            <w:tcBorders>
              <w:tl2br w:val="nil"/>
              <w:tr2bl w:val="nil"/>
            </w:tcBorders>
            <w:vAlign w:val="center"/>
          </w:tcPr>
          <w:p w14:paraId="120AF505">
            <w:pPr>
              <w:pStyle w:val="1489"/>
              <w:ind w:firstLine="0" w:firstLineChars="0"/>
              <w:rPr>
                <w:rFonts w:hint="default" w:eastAsia="宋体" w:cs="Times New Roman"/>
                <w:b w:val="0"/>
                <w:bCs/>
                <w:color w:val="auto"/>
                <w:szCs w:val="21"/>
                <w:lang w:val="en-US" w:eastAsia="zh-CN"/>
              </w:rPr>
            </w:pPr>
            <w:r>
              <w:rPr>
                <w:rFonts w:hint="default" w:ascii="Times New Roman" w:hAnsi="Times New Roman" w:eastAsia="宋体" w:cs="Times New Roman"/>
                <w:b w:val="0"/>
                <w:bCs/>
                <w:lang w:val="en-US" w:eastAsia="zh-CN"/>
              </w:rPr>
              <w:t>钢结构</w:t>
            </w:r>
          </w:p>
        </w:tc>
      </w:tr>
      <w:tr w14:paraId="0492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76077815">
            <w:pPr>
              <w:widowControl/>
              <w:snapToGrid w:val="0"/>
              <w:jc w:val="center"/>
              <w:rPr>
                <w:rFonts w:hint="default" w:cs="Times New Roman"/>
                <w:color w:val="auto"/>
                <w:szCs w:val="21"/>
                <w:lang w:val="en-US" w:eastAsia="zh-CN"/>
              </w:rPr>
            </w:pPr>
            <w:r>
              <w:rPr>
                <w:rFonts w:hint="eastAsia" w:cs="Times New Roman"/>
                <w:color w:val="auto"/>
                <w:szCs w:val="21"/>
                <w:lang w:val="en-US" w:eastAsia="zh-CN"/>
              </w:rPr>
              <w:t>9</w:t>
            </w:r>
          </w:p>
        </w:tc>
        <w:tc>
          <w:tcPr>
            <w:tcW w:w="1659" w:type="pct"/>
            <w:tcBorders>
              <w:tl2br w:val="nil"/>
              <w:tr2bl w:val="nil"/>
            </w:tcBorders>
            <w:vAlign w:val="center"/>
          </w:tcPr>
          <w:p w14:paraId="55894534">
            <w:pPr>
              <w:keepNext w:val="0"/>
              <w:keepLines w:val="0"/>
              <w:widowControl/>
              <w:suppressLineNumbers w:val="0"/>
              <w:jc w:val="center"/>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循环水池</w:t>
            </w:r>
          </w:p>
        </w:tc>
        <w:tc>
          <w:tcPr>
            <w:tcW w:w="1160" w:type="pct"/>
            <w:tcBorders>
              <w:tl2br w:val="nil"/>
              <w:tr2bl w:val="nil"/>
            </w:tcBorders>
            <w:vAlign w:val="center"/>
          </w:tcPr>
          <w:p w14:paraId="447279BA">
            <w:pPr>
              <w:pStyle w:val="1489"/>
              <w:ind w:firstLine="0" w:firstLineChars="0"/>
              <w:rPr>
                <w:rFonts w:hint="default" w:ascii="Times New Roman" w:hAnsi="Times New Roman" w:eastAsia="宋体" w:cs="Times New Roman"/>
                <w:b w:val="0"/>
                <w:bCs/>
                <w:color w:val="auto"/>
                <w:szCs w:val="21"/>
                <w:lang w:val="en-US" w:eastAsia="zh-CN"/>
              </w:rPr>
            </w:pPr>
            <w:r>
              <w:rPr>
                <w:rFonts w:hint="eastAsia" w:eastAsia="宋体" w:cs="Times New Roman"/>
                <w:b w:val="0"/>
                <w:bCs/>
                <w:color w:val="auto"/>
                <w:szCs w:val="21"/>
                <w:lang w:val="en-US" w:eastAsia="zh-CN"/>
              </w:rPr>
              <w:t>1000</w:t>
            </w:r>
          </w:p>
        </w:tc>
        <w:tc>
          <w:tcPr>
            <w:tcW w:w="1371" w:type="pct"/>
            <w:tcBorders>
              <w:tl2br w:val="nil"/>
              <w:tr2bl w:val="nil"/>
            </w:tcBorders>
            <w:vAlign w:val="center"/>
          </w:tcPr>
          <w:p w14:paraId="44202302">
            <w:pPr>
              <w:pStyle w:val="1489"/>
              <w:ind w:firstLine="0" w:firstLineChars="0"/>
              <w:rPr>
                <w:rFonts w:hint="default" w:eastAsia="宋体" w:cs="Times New Roman"/>
                <w:b w:val="0"/>
                <w:bCs/>
                <w:color w:val="auto"/>
                <w:szCs w:val="21"/>
                <w:lang w:val="en-US" w:eastAsia="zh-CN"/>
              </w:rPr>
            </w:pPr>
            <w:r>
              <w:rPr>
                <w:rFonts w:hint="eastAsia" w:eastAsia="宋体" w:cs="Times New Roman"/>
                <w:b w:val="0"/>
                <w:bCs/>
                <w:color w:val="auto"/>
                <w:szCs w:val="21"/>
                <w:lang w:val="en-US" w:eastAsia="zh-CN"/>
              </w:rPr>
              <w:t>地下，共2座，单池容积为1000m</w:t>
            </w:r>
            <w:r>
              <w:rPr>
                <w:rFonts w:hint="eastAsia" w:eastAsia="宋体" w:cs="Times New Roman"/>
                <w:b w:val="0"/>
                <w:bCs/>
                <w:color w:val="auto"/>
                <w:szCs w:val="21"/>
                <w:vertAlign w:val="superscript"/>
                <w:lang w:val="en-US" w:eastAsia="zh-CN"/>
              </w:rPr>
              <w:t>3</w:t>
            </w:r>
          </w:p>
        </w:tc>
      </w:tr>
      <w:tr w14:paraId="4CAC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8" w:type="pct"/>
            <w:tcBorders>
              <w:tl2br w:val="nil"/>
              <w:tr2bl w:val="nil"/>
            </w:tcBorders>
            <w:vAlign w:val="center"/>
          </w:tcPr>
          <w:p w14:paraId="16C26854">
            <w:pPr>
              <w:widowControl/>
              <w:snapToGrid w:val="0"/>
              <w:jc w:val="center"/>
              <w:rPr>
                <w:rFonts w:hint="default" w:cs="Times New Roman"/>
                <w:color w:val="auto"/>
                <w:szCs w:val="21"/>
                <w:lang w:val="en-US" w:eastAsia="zh-CN"/>
              </w:rPr>
            </w:pPr>
            <w:r>
              <w:rPr>
                <w:rFonts w:hint="eastAsia" w:cs="Times New Roman"/>
                <w:color w:val="auto"/>
                <w:szCs w:val="21"/>
                <w:lang w:val="en-US" w:eastAsia="zh-CN"/>
              </w:rPr>
              <w:t>10</w:t>
            </w:r>
          </w:p>
        </w:tc>
        <w:tc>
          <w:tcPr>
            <w:tcW w:w="1659" w:type="pct"/>
            <w:tcBorders>
              <w:tl2br w:val="nil"/>
              <w:tr2bl w:val="nil"/>
            </w:tcBorders>
            <w:vAlign w:val="center"/>
          </w:tcPr>
          <w:p w14:paraId="3B2E6CA9">
            <w:pPr>
              <w:keepNext w:val="0"/>
              <w:keepLines w:val="0"/>
              <w:widowControl/>
              <w:suppressLineNumbers w:val="0"/>
              <w:jc w:val="center"/>
              <w:rPr>
                <w:rFonts w:hint="default" w:cs="Times New Roman"/>
                <w:color w:val="000000"/>
                <w:kern w:val="0"/>
                <w:sz w:val="21"/>
                <w:szCs w:val="21"/>
                <w:lang w:val="en-US" w:eastAsia="zh-CN" w:bidi="ar"/>
              </w:rPr>
            </w:pPr>
            <w:r>
              <w:rPr>
                <w:rFonts w:hint="eastAsia" w:cs="Times New Roman"/>
                <w:color w:val="000000"/>
                <w:kern w:val="0"/>
                <w:sz w:val="21"/>
                <w:szCs w:val="21"/>
                <w:lang w:val="en-US" w:eastAsia="zh-CN" w:bidi="ar"/>
              </w:rPr>
              <w:t>事故池</w:t>
            </w:r>
          </w:p>
        </w:tc>
        <w:tc>
          <w:tcPr>
            <w:tcW w:w="1160" w:type="pct"/>
            <w:tcBorders>
              <w:tl2br w:val="nil"/>
              <w:tr2bl w:val="nil"/>
            </w:tcBorders>
            <w:vAlign w:val="center"/>
          </w:tcPr>
          <w:p w14:paraId="47414B67">
            <w:pPr>
              <w:pStyle w:val="1489"/>
              <w:ind w:firstLine="0" w:firstLineChars="0"/>
              <w:rPr>
                <w:rFonts w:hint="default" w:eastAsia="宋体" w:cs="Times New Roman"/>
                <w:b w:val="0"/>
                <w:bCs/>
                <w:color w:val="auto"/>
                <w:szCs w:val="21"/>
                <w:lang w:val="en-US" w:eastAsia="zh-CN"/>
              </w:rPr>
            </w:pPr>
            <w:r>
              <w:rPr>
                <w:rFonts w:hint="eastAsia" w:eastAsia="宋体" w:cs="Times New Roman"/>
                <w:b w:val="0"/>
                <w:bCs/>
                <w:color w:val="auto"/>
                <w:szCs w:val="21"/>
                <w:lang w:val="en-US" w:eastAsia="zh-CN"/>
              </w:rPr>
              <w:t>1000</w:t>
            </w:r>
          </w:p>
        </w:tc>
        <w:tc>
          <w:tcPr>
            <w:tcW w:w="1371" w:type="pct"/>
            <w:tcBorders>
              <w:tl2br w:val="nil"/>
              <w:tr2bl w:val="nil"/>
            </w:tcBorders>
            <w:vAlign w:val="center"/>
          </w:tcPr>
          <w:p w14:paraId="2FD08016">
            <w:pPr>
              <w:pStyle w:val="1489"/>
              <w:ind w:firstLine="0" w:firstLineChars="0"/>
              <w:rPr>
                <w:rFonts w:hint="eastAsia" w:eastAsia="宋体" w:cs="Times New Roman"/>
                <w:b w:val="0"/>
                <w:bCs/>
                <w:color w:val="auto"/>
                <w:szCs w:val="21"/>
                <w:lang w:val="en-US" w:eastAsia="zh-CN"/>
              </w:rPr>
            </w:pPr>
            <w:r>
              <w:rPr>
                <w:rFonts w:hint="eastAsia" w:eastAsia="宋体" w:cs="Times New Roman"/>
                <w:b w:val="0"/>
                <w:bCs/>
                <w:color w:val="auto"/>
                <w:szCs w:val="21"/>
                <w:lang w:val="en-US" w:eastAsia="zh-CN"/>
              </w:rPr>
              <w:t>地下，共1座，单池容积为1000m</w:t>
            </w:r>
            <w:r>
              <w:rPr>
                <w:rFonts w:hint="eastAsia" w:eastAsia="宋体" w:cs="Times New Roman"/>
                <w:b w:val="0"/>
                <w:bCs/>
                <w:color w:val="auto"/>
                <w:szCs w:val="21"/>
                <w:vertAlign w:val="superscript"/>
                <w:lang w:val="en-US" w:eastAsia="zh-CN"/>
              </w:rPr>
              <w:t>3</w:t>
            </w:r>
          </w:p>
        </w:tc>
      </w:tr>
    </w:tbl>
    <w:p w14:paraId="6F126BDE">
      <w:pPr>
        <w:spacing w:line="360" w:lineRule="auto"/>
        <w:rPr>
          <w:rFonts w:hint="default"/>
          <w:b/>
          <w:bCs/>
          <w:color w:val="auto"/>
          <w:sz w:val="24"/>
          <w:highlight w:val="none"/>
          <w:lang w:val="en-US" w:eastAsia="zh-CN"/>
        </w:rPr>
      </w:pPr>
      <w:r>
        <w:rPr>
          <w:rFonts w:hint="eastAsia"/>
          <w:b/>
          <w:bCs/>
          <w:color w:val="auto"/>
          <w:sz w:val="24"/>
          <w:highlight w:val="none"/>
          <w:lang w:val="en-US" w:eastAsia="zh-CN"/>
        </w:rPr>
        <w:t>3.2.2.3主要生产设备</w:t>
      </w:r>
    </w:p>
    <w:p w14:paraId="14725FE5">
      <w:pPr>
        <w:pStyle w:val="31"/>
        <w:kinsoku w:val="0"/>
        <w:overflowPunct w:val="0"/>
        <w:spacing w:after="0" w:line="360" w:lineRule="auto"/>
        <w:ind w:firstLine="480" w:firstLineChars="200"/>
        <w:rPr>
          <w:color w:val="auto"/>
          <w:sz w:val="24"/>
        </w:rPr>
      </w:pPr>
      <w:r>
        <w:rPr>
          <w:rFonts w:hint="eastAsia"/>
          <w:color w:val="auto"/>
          <w:sz w:val="24"/>
          <w:highlight w:val="none"/>
          <w:lang w:eastAsia="zh-CN"/>
        </w:rPr>
        <w:t>本次改扩建</w:t>
      </w:r>
      <w:r>
        <w:rPr>
          <w:rFonts w:hint="eastAsia"/>
          <w:color w:val="auto"/>
          <w:sz w:val="24"/>
          <w:highlight w:val="none"/>
          <w:lang w:val="en-US" w:eastAsia="zh-CN"/>
        </w:rPr>
        <w:t>项目在现有车间内新增浮选工艺配套的相应生产设备</w:t>
      </w:r>
      <w:r>
        <w:rPr>
          <w:rFonts w:hint="eastAsia"/>
          <w:color w:val="auto"/>
          <w:sz w:val="24"/>
          <w:lang w:eastAsia="zh-CN"/>
        </w:rPr>
        <w:t>，</w:t>
      </w:r>
      <w:r>
        <w:rPr>
          <w:rFonts w:hint="eastAsia"/>
          <w:color w:val="auto"/>
          <w:sz w:val="24"/>
        </w:rPr>
        <w:t>主要</w:t>
      </w:r>
      <w:r>
        <w:rPr>
          <w:color w:val="auto"/>
          <w:sz w:val="24"/>
        </w:rPr>
        <w:t>生产设备情况见</w:t>
      </w:r>
      <w:r>
        <w:rPr>
          <w:rFonts w:hint="eastAsia"/>
          <w:color w:val="auto"/>
          <w:sz w:val="24"/>
        </w:rPr>
        <w:t>下</w:t>
      </w:r>
      <w:r>
        <w:rPr>
          <w:color w:val="auto"/>
          <w:sz w:val="24"/>
        </w:rPr>
        <w:t>表。</w:t>
      </w:r>
    </w:p>
    <w:p w14:paraId="1A52A995">
      <w:pPr>
        <w:pStyle w:val="31"/>
        <w:tabs>
          <w:tab w:val="left" w:pos="3790"/>
        </w:tabs>
        <w:kinsoku w:val="0"/>
        <w:overflowPunct w:val="0"/>
        <w:spacing w:after="0" w:line="360" w:lineRule="auto"/>
        <w:jc w:val="center"/>
        <w:rPr>
          <w:b/>
          <w:bCs/>
          <w:color w:val="auto"/>
          <w:sz w:val="24"/>
          <w:szCs w:val="24"/>
        </w:rPr>
      </w:pPr>
      <w:r>
        <w:rPr>
          <w:b/>
          <w:bCs/>
          <w:color w:val="auto"/>
          <w:sz w:val="24"/>
          <w:szCs w:val="24"/>
        </w:rPr>
        <w:t>表3.</w:t>
      </w:r>
      <w:r>
        <w:rPr>
          <w:rFonts w:hint="eastAsia"/>
          <w:b/>
          <w:bCs/>
          <w:color w:val="auto"/>
          <w:sz w:val="24"/>
          <w:szCs w:val="24"/>
          <w:lang w:val="en-US" w:eastAsia="zh-CN"/>
        </w:rPr>
        <w:t>2</w:t>
      </w:r>
      <w:r>
        <w:rPr>
          <w:b/>
          <w:bCs/>
          <w:color w:val="auto"/>
          <w:sz w:val="24"/>
          <w:szCs w:val="24"/>
        </w:rPr>
        <w:t>-</w:t>
      </w:r>
      <w:r>
        <w:rPr>
          <w:rFonts w:hint="eastAsia"/>
          <w:b/>
          <w:bCs/>
          <w:color w:val="auto"/>
          <w:sz w:val="24"/>
          <w:szCs w:val="24"/>
          <w:lang w:val="en-US" w:eastAsia="zh-CN"/>
        </w:rPr>
        <w:t>3</w:t>
      </w:r>
      <w:r>
        <w:rPr>
          <w:b/>
          <w:bCs/>
          <w:color w:val="auto"/>
          <w:sz w:val="24"/>
          <w:szCs w:val="24"/>
        </w:rPr>
        <w:t xml:space="preserve">  </w:t>
      </w:r>
      <w:r>
        <w:rPr>
          <w:rFonts w:hint="eastAsia"/>
          <w:b/>
          <w:bCs/>
          <w:color w:val="auto"/>
          <w:sz w:val="24"/>
          <w:szCs w:val="24"/>
        </w:rPr>
        <w:t>本</w:t>
      </w:r>
      <w:r>
        <w:rPr>
          <w:rFonts w:hint="eastAsia"/>
          <w:b/>
          <w:bCs/>
          <w:color w:val="auto"/>
          <w:sz w:val="24"/>
          <w:szCs w:val="24"/>
          <w:lang w:eastAsia="zh-CN"/>
        </w:rPr>
        <w:t>次改扩建</w:t>
      </w:r>
      <w:r>
        <w:rPr>
          <w:b/>
          <w:bCs/>
          <w:color w:val="auto"/>
          <w:sz w:val="24"/>
          <w:szCs w:val="24"/>
        </w:rPr>
        <w:t>项目主要生产设备表</w:t>
      </w:r>
      <w:r>
        <w:rPr>
          <w:rFonts w:hint="eastAsia"/>
          <w:b/>
          <w:bCs/>
          <w:color w:val="auto"/>
          <w:sz w:val="24"/>
          <w:szCs w:val="24"/>
        </w:rPr>
        <w:t xml:space="preserve">  单位：台/套</w:t>
      </w:r>
    </w:p>
    <w:tbl>
      <w:tblPr>
        <w:tblStyle w:val="7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485"/>
        <w:gridCol w:w="1068"/>
        <w:gridCol w:w="956"/>
        <w:gridCol w:w="1399"/>
        <w:gridCol w:w="1579"/>
        <w:gridCol w:w="1579"/>
      </w:tblGrid>
      <w:tr w14:paraId="3016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72" w:type="pct"/>
            <w:tcBorders>
              <w:tl2br w:val="nil"/>
              <w:tr2bl w:val="nil"/>
            </w:tcBorders>
            <w:noWrap w:val="0"/>
            <w:vAlign w:val="center"/>
          </w:tcPr>
          <w:p w14:paraId="256E1FE3">
            <w:pPr>
              <w:jc w:val="center"/>
              <w:rPr>
                <w:color w:val="auto"/>
                <w:szCs w:val="21"/>
                <w:highlight w:val="none"/>
              </w:rPr>
            </w:pPr>
            <w:r>
              <w:rPr>
                <w:color w:val="auto"/>
                <w:szCs w:val="21"/>
                <w:highlight w:val="none"/>
              </w:rPr>
              <w:t>序号</w:t>
            </w:r>
          </w:p>
        </w:tc>
        <w:tc>
          <w:tcPr>
            <w:tcW w:w="851" w:type="pct"/>
            <w:tcBorders>
              <w:tl2br w:val="nil"/>
              <w:tr2bl w:val="nil"/>
            </w:tcBorders>
            <w:noWrap w:val="0"/>
            <w:vAlign w:val="center"/>
          </w:tcPr>
          <w:p w14:paraId="72DF5F70">
            <w:pPr>
              <w:jc w:val="center"/>
              <w:rPr>
                <w:rFonts w:hint="eastAsia" w:eastAsia="宋体"/>
                <w:color w:val="auto"/>
                <w:szCs w:val="21"/>
                <w:highlight w:val="none"/>
                <w:lang w:eastAsia="zh-CN"/>
              </w:rPr>
            </w:pPr>
            <w:r>
              <w:rPr>
                <w:rFonts w:hint="eastAsia"/>
                <w:color w:val="auto"/>
                <w:szCs w:val="21"/>
                <w:highlight w:val="none"/>
                <w:lang w:eastAsia="zh-CN"/>
              </w:rPr>
              <w:t>设备</w:t>
            </w:r>
            <w:r>
              <w:rPr>
                <w:color w:val="auto"/>
                <w:szCs w:val="21"/>
                <w:highlight w:val="none"/>
              </w:rPr>
              <w:t>名称</w:t>
            </w:r>
          </w:p>
        </w:tc>
        <w:tc>
          <w:tcPr>
            <w:tcW w:w="612" w:type="pct"/>
            <w:tcBorders>
              <w:tl2br w:val="nil"/>
              <w:tr2bl w:val="nil"/>
            </w:tcBorders>
            <w:noWrap w:val="0"/>
            <w:vAlign w:val="center"/>
          </w:tcPr>
          <w:p w14:paraId="692B64B8">
            <w:pPr>
              <w:jc w:val="center"/>
              <w:rPr>
                <w:color w:val="auto"/>
                <w:szCs w:val="21"/>
                <w:highlight w:val="none"/>
              </w:rPr>
            </w:pPr>
            <w:r>
              <w:rPr>
                <w:color w:val="auto"/>
                <w:szCs w:val="21"/>
                <w:highlight w:val="none"/>
              </w:rPr>
              <w:t>规格型号</w:t>
            </w:r>
          </w:p>
        </w:tc>
        <w:tc>
          <w:tcPr>
            <w:tcW w:w="548" w:type="pct"/>
            <w:tcBorders>
              <w:tl2br w:val="nil"/>
              <w:tr2bl w:val="nil"/>
            </w:tcBorders>
            <w:noWrap w:val="0"/>
            <w:vAlign w:val="center"/>
          </w:tcPr>
          <w:p w14:paraId="4EA31F1D">
            <w:pPr>
              <w:jc w:val="center"/>
              <w:rPr>
                <w:rFonts w:hint="eastAsia" w:eastAsia="宋体"/>
                <w:color w:val="auto"/>
                <w:szCs w:val="21"/>
                <w:highlight w:val="none"/>
                <w:lang w:val="en-US" w:eastAsia="zh-CN"/>
              </w:rPr>
            </w:pPr>
            <w:r>
              <w:rPr>
                <w:rFonts w:hint="eastAsia"/>
                <w:color w:val="auto"/>
                <w:szCs w:val="21"/>
                <w:highlight w:val="none"/>
                <w:lang w:val="en-US" w:eastAsia="zh-CN"/>
              </w:rPr>
              <w:t>数量</w:t>
            </w:r>
          </w:p>
        </w:tc>
        <w:tc>
          <w:tcPr>
            <w:tcW w:w="802" w:type="pct"/>
            <w:tcBorders>
              <w:tl2br w:val="nil"/>
              <w:tr2bl w:val="nil"/>
            </w:tcBorders>
            <w:noWrap w:val="0"/>
            <w:vAlign w:val="center"/>
          </w:tcPr>
          <w:p w14:paraId="685685D7">
            <w:pPr>
              <w:jc w:val="center"/>
              <w:rPr>
                <w:rFonts w:hint="eastAsia"/>
                <w:color w:val="auto"/>
                <w:szCs w:val="21"/>
                <w:highlight w:val="none"/>
              </w:rPr>
            </w:pPr>
            <w:r>
              <w:rPr>
                <w:rFonts w:hint="eastAsia"/>
                <w:color w:val="auto"/>
                <w:szCs w:val="21"/>
                <w:highlight w:val="none"/>
                <w:lang w:eastAsia="zh-CN"/>
              </w:rPr>
              <w:t>工序</w:t>
            </w:r>
          </w:p>
        </w:tc>
        <w:tc>
          <w:tcPr>
            <w:tcW w:w="905" w:type="pct"/>
            <w:tcBorders>
              <w:tl2br w:val="nil"/>
              <w:tr2bl w:val="nil"/>
            </w:tcBorders>
            <w:noWrap w:val="0"/>
            <w:vAlign w:val="center"/>
          </w:tcPr>
          <w:p w14:paraId="4A37F7D7">
            <w:pPr>
              <w:jc w:val="center"/>
              <w:rPr>
                <w:rFonts w:hint="eastAsia" w:eastAsia="宋体"/>
                <w:color w:val="auto"/>
                <w:szCs w:val="21"/>
                <w:highlight w:val="none"/>
                <w:lang w:eastAsia="zh-CN"/>
              </w:rPr>
            </w:pPr>
            <w:r>
              <w:rPr>
                <w:rFonts w:hint="eastAsia" w:eastAsia="宋体"/>
                <w:color w:val="auto"/>
                <w:szCs w:val="21"/>
                <w:highlight w:val="none"/>
                <w:lang w:eastAsia="zh-CN"/>
              </w:rPr>
              <w:t>设备位置</w:t>
            </w:r>
          </w:p>
        </w:tc>
        <w:tc>
          <w:tcPr>
            <w:tcW w:w="905" w:type="pct"/>
            <w:tcBorders>
              <w:tl2br w:val="nil"/>
              <w:tr2bl w:val="nil"/>
            </w:tcBorders>
            <w:noWrap w:val="0"/>
            <w:vAlign w:val="center"/>
          </w:tcPr>
          <w:p w14:paraId="04C4227D">
            <w:pPr>
              <w:jc w:val="center"/>
              <w:rPr>
                <w:rFonts w:hint="default" w:eastAsia="宋体"/>
                <w:color w:val="auto"/>
                <w:szCs w:val="21"/>
                <w:highlight w:val="none"/>
                <w:lang w:val="en-US" w:eastAsia="zh-CN"/>
              </w:rPr>
            </w:pPr>
            <w:r>
              <w:rPr>
                <w:rFonts w:hint="eastAsia"/>
                <w:color w:val="auto"/>
                <w:szCs w:val="21"/>
                <w:highlight w:val="none"/>
                <w:lang w:val="en-US" w:eastAsia="zh-CN"/>
              </w:rPr>
              <w:t>备注</w:t>
            </w:r>
          </w:p>
        </w:tc>
      </w:tr>
      <w:tr w14:paraId="71A0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tcBorders>
              <w:tl2br w:val="nil"/>
              <w:tr2bl w:val="nil"/>
            </w:tcBorders>
            <w:noWrap w:val="0"/>
            <w:vAlign w:val="center"/>
          </w:tcPr>
          <w:p w14:paraId="4C4AB635">
            <w:pPr>
              <w:jc w:val="center"/>
              <w:rPr>
                <w:rFonts w:hint="default" w:eastAsia="宋体"/>
                <w:color w:val="auto"/>
                <w:szCs w:val="21"/>
                <w:highlight w:val="none"/>
                <w:lang w:val="en-US" w:eastAsia="zh-CN"/>
              </w:rPr>
            </w:pPr>
            <w:r>
              <w:rPr>
                <w:rFonts w:hint="eastAsia"/>
                <w:color w:val="auto"/>
                <w:szCs w:val="21"/>
                <w:highlight w:val="none"/>
                <w:lang w:val="en-US" w:eastAsia="zh-CN"/>
              </w:rPr>
              <w:t>1</w:t>
            </w:r>
          </w:p>
        </w:tc>
        <w:tc>
          <w:tcPr>
            <w:tcW w:w="851" w:type="pct"/>
            <w:tcBorders>
              <w:tl2br w:val="nil"/>
              <w:tr2bl w:val="nil"/>
            </w:tcBorders>
            <w:noWrap w:val="0"/>
            <w:vAlign w:val="center"/>
          </w:tcPr>
          <w:p w14:paraId="20D4187F">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破碎机</w:t>
            </w:r>
          </w:p>
        </w:tc>
        <w:tc>
          <w:tcPr>
            <w:tcW w:w="612" w:type="pct"/>
            <w:tcBorders>
              <w:tl2br w:val="nil"/>
              <w:tr2bl w:val="nil"/>
            </w:tcBorders>
            <w:noWrap w:val="0"/>
            <w:vAlign w:val="center"/>
          </w:tcPr>
          <w:p w14:paraId="5D97102B">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w:t>
            </w:r>
          </w:p>
        </w:tc>
        <w:tc>
          <w:tcPr>
            <w:tcW w:w="548" w:type="pct"/>
            <w:tcBorders>
              <w:tl2br w:val="nil"/>
              <w:tr2bl w:val="nil"/>
            </w:tcBorders>
            <w:noWrap w:val="0"/>
            <w:vAlign w:val="center"/>
          </w:tcPr>
          <w:p w14:paraId="52EEDF41">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2台</w:t>
            </w:r>
          </w:p>
        </w:tc>
        <w:tc>
          <w:tcPr>
            <w:tcW w:w="802" w:type="pct"/>
            <w:tcBorders>
              <w:tl2br w:val="nil"/>
              <w:tr2bl w:val="nil"/>
            </w:tcBorders>
            <w:noWrap w:val="0"/>
            <w:vAlign w:val="center"/>
          </w:tcPr>
          <w:p w14:paraId="3920B5C2">
            <w:pPr>
              <w:jc w:val="center"/>
              <w:rPr>
                <w:rFonts w:hint="default"/>
                <w:color w:val="auto"/>
                <w:szCs w:val="21"/>
                <w:highlight w:val="none"/>
                <w:lang w:val="en-US" w:eastAsia="zh-CN"/>
              </w:rPr>
            </w:pPr>
            <w:r>
              <w:rPr>
                <w:rFonts w:hint="eastAsia" w:cs="Times New Roman"/>
                <w:color w:val="auto"/>
                <w:highlight w:val="none"/>
                <w:lang w:val="en-US" w:eastAsia="zh-CN"/>
              </w:rPr>
              <w:t>破碎</w:t>
            </w:r>
          </w:p>
        </w:tc>
        <w:tc>
          <w:tcPr>
            <w:tcW w:w="905" w:type="pct"/>
            <w:tcBorders>
              <w:tl2br w:val="nil"/>
              <w:tr2bl w:val="nil"/>
            </w:tcBorders>
            <w:noWrap w:val="0"/>
            <w:vAlign w:val="center"/>
          </w:tcPr>
          <w:p w14:paraId="1900CC8E">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破碎区</w:t>
            </w:r>
          </w:p>
        </w:tc>
        <w:tc>
          <w:tcPr>
            <w:tcW w:w="905" w:type="pct"/>
            <w:tcBorders>
              <w:tl2br w:val="nil"/>
              <w:tr2bl w:val="nil"/>
            </w:tcBorders>
            <w:noWrap w:val="0"/>
            <w:vAlign w:val="center"/>
          </w:tcPr>
          <w:p w14:paraId="1709A382">
            <w:pPr>
              <w:jc w:val="center"/>
              <w:rPr>
                <w:rFonts w:hint="default" w:cs="Times New Roman"/>
                <w:color w:val="auto"/>
                <w:highlight w:val="none"/>
                <w:lang w:val="en-US" w:eastAsia="zh-CN"/>
              </w:rPr>
            </w:pPr>
            <w:r>
              <w:rPr>
                <w:rFonts w:hint="eastAsia" w:cs="Times New Roman"/>
                <w:color w:val="auto"/>
                <w:highlight w:val="none"/>
                <w:lang w:val="en-US" w:eastAsia="zh-CN"/>
              </w:rPr>
              <w:t>依托现有</w:t>
            </w:r>
          </w:p>
        </w:tc>
      </w:tr>
      <w:tr w14:paraId="66BC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tcBorders>
              <w:tl2br w:val="nil"/>
              <w:tr2bl w:val="nil"/>
            </w:tcBorders>
            <w:noWrap w:val="0"/>
            <w:vAlign w:val="center"/>
          </w:tcPr>
          <w:p w14:paraId="15732FF0">
            <w:pPr>
              <w:jc w:val="center"/>
              <w:rPr>
                <w:rFonts w:hint="default" w:eastAsia="宋体"/>
                <w:color w:val="auto"/>
                <w:szCs w:val="21"/>
                <w:highlight w:val="none"/>
                <w:lang w:val="en-US" w:eastAsia="zh-CN"/>
              </w:rPr>
            </w:pPr>
            <w:r>
              <w:rPr>
                <w:rFonts w:hint="eastAsia"/>
                <w:color w:val="auto"/>
                <w:szCs w:val="21"/>
                <w:highlight w:val="none"/>
                <w:lang w:val="en-US" w:eastAsia="zh-CN"/>
              </w:rPr>
              <w:t>2</w:t>
            </w:r>
          </w:p>
        </w:tc>
        <w:tc>
          <w:tcPr>
            <w:tcW w:w="851" w:type="pct"/>
            <w:tcBorders>
              <w:tl2br w:val="nil"/>
              <w:tr2bl w:val="nil"/>
            </w:tcBorders>
            <w:noWrap w:val="0"/>
            <w:vAlign w:val="center"/>
          </w:tcPr>
          <w:p w14:paraId="3DA34F67">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球磨</w:t>
            </w:r>
            <w:r>
              <w:rPr>
                <w:rFonts w:hint="eastAsia" w:ascii="Times New Roman" w:hAnsi="Times New Roman" w:eastAsia="宋体" w:cs="Times New Roman"/>
                <w:color w:val="auto"/>
                <w:highlight w:val="none"/>
                <w:lang w:eastAsia="zh-CN"/>
              </w:rPr>
              <w:t>机</w:t>
            </w:r>
          </w:p>
        </w:tc>
        <w:tc>
          <w:tcPr>
            <w:tcW w:w="612" w:type="pct"/>
            <w:tcBorders>
              <w:tl2br w:val="nil"/>
              <w:tr2bl w:val="nil"/>
            </w:tcBorders>
            <w:noWrap w:val="0"/>
            <w:vAlign w:val="center"/>
          </w:tcPr>
          <w:p w14:paraId="55851D10">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p>
        </w:tc>
        <w:tc>
          <w:tcPr>
            <w:tcW w:w="548" w:type="pct"/>
            <w:tcBorders>
              <w:tl2br w:val="nil"/>
              <w:tr2bl w:val="nil"/>
            </w:tcBorders>
            <w:noWrap w:val="0"/>
            <w:vAlign w:val="center"/>
          </w:tcPr>
          <w:p w14:paraId="1834D69B">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1台</w:t>
            </w:r>
          </w:p>
        </w:tc>
        <w:tc>
          <w:tcPr>
            <w:tcW w:w="802" w:type="pct"/>
            <w:tcBorders>
              <w:tl2br w:val="nil"/>
              <w:tr2bl w:val="nil"/>
            </w:tcBorders>
            <w:noWrap w:val="0"/>
            <w:vAlign w:val="center"/>
          </w:tcPr>
          <w:p w14:paraId="0688AEF3">
            <w:pPr>
              <w:jc w:val="center"/>
              <w:rPr>
                <w:rFonts w:hint="default"/>
                <w:color w:val="auto"/>
                <w:szCs w:val="21"/>
                <w:highlight w:val="none"/>
                <w:lang w:val="en-US" w:eastAsia="zh-CN"/>
              </w:rPr>
            </w:pPr>
            <w:r>
              <w:rPr>
                <w:rFonts w:hint="eastAsia" w:cs="Times New Roman"/>
                <w:color w:val="auto"/>
                <w:highlight w:val="none"/>
                <w:lang w:val="en-US" w:eastAsia="zh-CN"/>
              </w:rPr>
              <w:t>磨粉</w:t>
            </w:r>
          </w:p>
        </w:tc>
        <w:tc>
          <w:tcPr>
            <w:tcW w:w="905" w:type="pct"/>
            <w:tcBorders>
              <w:tl2br w:val="nil"/>
              <w:tr2bl w:val="nil"/>
            </w:tcBorders>
            <w:noWrap w:val="0"/>
            <w:vAlign w:val="center"/>
          </w:tcPr>
          <w:p w14:paraId="5E50EB20">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选矿车间</w:t>
            </w:r>
          </w:p>
        </w:tc>
        <w:tc>
          <w:tcPr>
            <w:tcW w:w="905" w:type="pct"/>
            <w:tcBorders>
              <w:tl2br w:val="nil"/>
              <w:tr2bl w:val="nil"/>
            </w:tcBorders>
            <w:noWrap w:val="0"/>
            <w:vAlign w:val="center"/>
          </w:tcPr>
          <w:p w14:paraId="16DFE292">
            <w:pPr>
              <w:jc w:val="center"/>
              <w:rPr>
                <w:rFonts w:hint="eastAsia" w:cs="Times New Roman"/>
                <w:color w:val="auto"/>
                <w:highlight w:val="none"/>
                <w:lang w:val="en-US" w:eastAsia="zh-CN"/>
              </w:rPr>
            </w:pPr>
            <w:r>
              <w:rPr>
                <w:rFonts w:hint="eastAsia" w:cs="Times New Roman"/>
                <w:color w:val="auto"/>
                <w:highlight w:val="none"/>
                <w:lang w:val="en-US" w:eastAsia="zh-CN"/>
              </w:rPr>
              <w:t>依托现有</w:t>
            </w:r>
          </w:p>
        </w:tc>
      </w:tr>
      <w:tr w14:paraId="427B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tcBorders>
              <w:tl2br w:val="nil"/>
              <w:tr2bl w:val="nil"/>
            </w:tcBorders>
            <w:noWrap w:val="0"/>
            <w:vAlign w:val="center"/>
          </w:tcPr>
          <w:p w14:paraId="0BC0A741">
            <w:pPr>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851" w:type="pct"/>
            <w:tcBorders>
              <w:tl2br w:val="nil"/>
              <w:tr2bl w:val="nil"/>
            </w:tcBorders>
            <w:noWrap w:val="0"/>
            <w:vAlign w:val="center"/>
          </w:tcPr>
          <w:p w14:paraId="406A3BCB">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分级机</w:t>
            </w:r>
          </w:p>
        </w:tc>
        <w:tc>
          <w:tcPr>
            <w:tcW w:w="612" w:type="pct"/>
            <w:tcBorders>
              <w:tl2br w:val="nil"/>
              <w:tr2bl w:val="nil"/>
            </w:tcBorders>
            <w:noWrap w:val="0"/>
            <w:vAlign w:val="center"/>
          </w:tcPr>
          <w:p w14:paraId="647776DA">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p>
        </w:tc>
        <w:tc>
          <w:tcPr>
            <w:tcW w:w="548" w:type="pct"/>
            <w:tcBorders>
              <w:tl2br w:val="nil"/>
              <w:tr2bl w:val="nil"/>
            </w:tcBorders>
            <w:noWrap w:val="0"/>
            <w:vAlign w:val="center"/>
          </w:tcPr>
          <w:p w14:paraId="7E68D3B4">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1台</w:t>
            </w:r>
          </w:p>
        </w:tc>
        <w:tc>
          <w:tcPr>
            <w:tcW w:w="802" w:type="pct"/>
            <w:tcBorders>
              <w:tl2br w:val="nil"/>
              <w:tr2bl w:val="nil"/>
            </w:tcBorders>
            <w:noWrap w:val="0"/>
            <w:vAlign w:val="center"/>
          </w:tcPr>
          <w:p w14:paraId="32B2499E">
            <w:pPr>
              <w:jc w:val="center"/>
              <w:rPr>
                <w:rFonts w:hint="default"/>
                <w:color w:val="auto"/>
                <w:szCs w:val="21"/>
                <w:highlight w:val="none"/>
                <w:lang w:val="en-US" w:eastAsia="zh-CN"/>
              </w:rPr>
            </w:pPr>
            <w:r>
              <w:rPr>
                <w:rFonts w:hint="eastAsia" w:ascii="Times New Roman" w:hAnsi="Times New Roman" w:eastAsia="宋体" w:cs="Times New Roman"/>
                <w:color w:val="auto"/>
                <w:highlight w:val="none"/>
                <w:lang w:eastAsia="zh-CN"/>
              </w:rPr>
              <w:t>分级</w:t>
            </w:r>
          </w:p>
        </w:tc>
        <w:tc>
          <w:tcPr>
            <w:tcW w:w="905" w:type="pct"/>
            <w:tcBorders>
              <w:tl2br w:val="nil"/>
              <w:tr2bl w:val="nil"/>
            </w:tcBorders>
            <w:noWrap w:val="0"/>
            <w:vAlign w:val="center"/>
          </w:tcPr>
          <w:p w14:paraId="463542D6">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选矿车间</w:t>
            </w:r>
          </w:p>
        </w:tc>
        <w:tc>
          <w:tcPr>
            <w:tcW w:w="905" w:type="pct"/>
            <w:tcBorders>
              <w:tl2br w:val="nil"/>
              <w:tr2bl w:val="nil"/>
            </w:tcBorders>
            <w:noWrap w:val="0"/>
            <w:vAlign w:val="center"/>
          </w:tcPr>
          <w:p w14:paraId="5EB067D7">
            <w:pPr>
              <w:jc w:val="center"/>
              <w:rPr>
                <w:rFonts w:hint="eastAsia" w:cs="Times New Roman"/>
                <w:color w:val="auto"/>
                <w:highlight w:val="none"/>
                <w:lang w:val="en-US" w:eastAsia="zh-CN"/>
              </w:rPr>
            </w:pPr>
            <w:r>
              <w:rPr>
                <w:rFonts w:hint="eastAsia" w:cs="Times New Roman"/>
                <w:color w:val="auto"/>
                <w:highlight w:val="none"/>
                <w:lang w:val="en-US" w:eastAsia="zh-CN"/>
              </w:rPr>
              <w:t>依托现有</w:t>
            </w:r>
          </w:p>
        </w:tc>
      </w:tr>
      <w:tr w14:paraId="148D7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tcBorders>
              <w:tl2br w:val="nil"/>
              <w:tr2bl w:val="nil"/>
            </w:tcBorders>
            <w:noWrap w:val="0"/>
            <w:vAlign w:val="center"/>
          </w:tcPr>
          <w:p w14:paraId="42EB2F90">
            <w:pPr>
              <w:jc w:val="center"/>
              <w:rPr>
                <w:rFonts w:hint="default" w:eastAsia="宋体"/>
                <w:color w:val="auto"/>
                <w:szCs w:val="21"/>
                <w:highlight w:val="none"/>
                <w:lang w:val="en-US" w:eastAsia="zh-CN"/>
              </w:rPr>
            </w:pPr>
            <w:r>
              <w:rPr>
                <w:rFonts w:hint="eastAsia"/>
                <w:color w:val="auto"/>
                <w:szCs w:val="21"/>
                <w:highlight w:val="none"/>
                <w:lang w:val="en-US" w:eastAsia="zh-CN"/>
              </w:rPr>
              <w:t>4</w:t>
            </w:r>
          </w:p>
        </w:tc>
        <w:tc>
          <w:tcPr>
            <w:tcW w:w="851" w:type="pct"/>
            <w:tcBorders>
              <w:tl2br w:val="nil"/>
              <w:tr2bl w:val="nil"/>
            </w:tcBorders>
            <w:noWrap w:val="0"/>
            <w:vAlign w:val="center"/>
          </w:tcPr>
          <w:p w14:paraId="51F3CDD5">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浮选机</w:t>
            </w:r>
          </w:p>
        </w:tc>
        <w:tc>
          <w:tcPr>
            <w:tcW w:w="612" w:type="pct"/>
            <w:tcBorders>
              <w:tl2br w:val="nil"/>
              <w:tr2bl w:val="nil"/>
            </w:tcBorders>
            <w:noWrap w:val="0"/>
            <w:vAlign w:val="center"/>
          </w:tcPr>
          <w:p w14:paraId="72DD8C07">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p>
        </w:tc>
        <w:tc>
          <w:tcPr>
            <w:tcW w:w="548" w:type="pct"/>
            <w:tcBorders>
              <w:tl2br w:val="nil"/>
              <w:tr2bl w:val="nil"/>
            </w:tcBorders>
            <w:noWrap w:val="0"/>
            <w:vAlign w:val="center"/>
          </w:tcPr>
          <w:p w14:paraId="1AAD4037">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14组</w:t>
            </w:r>
          </w:p>
        </w:tc>
        <w:tc>
          <w:tcPr>
            <w:tcW w:w="802" w:type="pct"/>
            <w:tcBorders>
              <w:tl2br w:val="nil"/>
              <w:tr2bl w:val="nil"/>
            </w:tcBorders>
            <w:noWrap w:val="0"/>
            <w:vAlign w:val="center"/>
          </w:tcPr>
          <w:p w14:paraId="7BB5BEE6">
            <w:pPr>
              <w:jc w:val="center"/>
              <w:rPr>
                <w:rFonts w:hint="default"/>
                <w:color w:val="auto"/>
                <w:szCs w:val="21"/>
                <w:highlight w:val="none"/>
                <w:lang w:val="en-US" w:eastAsia="zh-CN"/>
              </w:rPr>
            </w:pPr>
            <w:r>
              <w:rPr>
                <w:rFonts w:hint="eastAsia" w:ascii="Times New Roman" w:hAnsi="Times New Roman" w:eastAsia="宋体" w:cs="Times New Roman"/>
                <w:color w:val="auto"/>
                <w:highlight w:val="none"/>
                <w:lang w:eastAsia="zh-CN"/>
              </w:rPr>
              <w:t>浮选</w:t>
            </w:r>
          </w:p>
        </w:tc>
        <w:tc>
          <w:tcPr>
            <w:tcW w:w="905" w:type="pct"/>
            <w:tcBorders>
              <w:tl2br w:val="nil"/>
              <w:tr2bl w:val="nil"/>
            </w:tcBorders>
            <w:noWrap w:val="0"/>
            <w:vAlign w:val="center"/>
          </w:tcPr>
          <w:p w14:paraId="6721EDC6">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选矿车间</w:t>
            </w:r>
          </w:p>
        </w:tc>
        <w:tc>
          <w:tcPr>
            <w:tcW w:w="905" w:type="pct"/>
            <w:tcBorders>
              <w:tl2br w:val="nil"/>
              <w:tr2bl w:val="nil"/>
            </w:tcBorders>
            <w:noWrap w:val="0"/>
            <w:vAlign w:val="center"/>
          </w:tcPr>
          <w:p w14:paraId="5ACBB788">
            <w:pPr>
              <w:jc w:val="center"/>
              <w:rPr>
                <w:rFonts w:hint="default" w:cs="Times New Roman"/>
                <w:color w:val="auto"/>
                <w:highlight w:val="none"/>
                <w:lang w:val="en-US" w:eastAsia="zh-CN"/>
              </w:rPr>
            </w:pPr>
            <w:r>
              <w:rPr>
                <w:rFonts w:hint="eastAsia" w:cs="Times New Roman"/>
                <w:color w:val="auto"/>
                <w:highlight w:val="none"/>
                <w:lang w:val="en-US" w:eastAsia="zh-CN"/>
              </w:rPr>
              <w:t>新增</w:t>
            </w:r>
          </w:p>
        </w:tc>
      </w:tr>
      <w:tr w14:paraId="70AC3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tcBorders>
              <w:tl2br w:val="nil"/>
              <w:tr2bl w:val="nil"/>
            </w:tcBorders>
            <w:noWrap w:val="0"/>
            <w:vAlign w:val="center"/>
          </w:tcPr>
          <w:p w14:paraId="2CED255D">
            <w:pPr>
              <w:jc w:val="center"/>
              <w:rPr>
                <w:rFonts w:hint="default" w:eastAsia="宋体"/>
                <w:color w:val="auto"/>
                <w:szCs w:val="21"/>
                <w:highlight w:val="none"/>
                <w:lang w:val="en-US" w:eastAsia="zh-CN"/>
              </w:rPr>
            </w:pPr>
            <w:r>
              <w:rPr>
                <w:rFonts w:hint="eastAsia"/>
                <w:color w:val="auto"/>
                <w:szCs w:val="21"/>
                <w:highlight w:val="none"/>
                <w:lang w:val="en-US" w:eastAsia="zh-CN"/>
              </w:rPr>
              <w:t>5</w:t>
            </w:r>
          </w:p>
        </w:tc>
        <w:tc>
          <w:tcPr>
            <w:tcW w:w="851" w:type="pct"/>
            <w:tcBorders>
              <w:tl2br w:val="nil"/>
              <w:tr2bl w:val="nil"/>
            </w:tcBorders>
            <w:noWrap w:val="0"/>
            <w:vAlign w:val="center"/>
          </w:tcPr>
          <w:p w14:paraId="0ED7B8EA">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精粉压滤机</w:t>
            </w:r>
          </w:p>
        </w:tc>
        <w:tc>
          <w:tcPr>
            <w:tcW w:w="612" w:type="pct"/>
            <w:tcBorders>
              <w:tl2br w:val="nil"/>
              <w:tr2bl w:val="nil"/>
            </w:tcBorders>
            <w:noWrap w:val="0"/>
            <w:vAlign w:val="center"/>
          </w:tcPr>
          <w:p w14:paraId="0AE7DF0E">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p>
        </w:tc>
        <w:tc>
          <w:tcPr>
            <w:tcW w:w="548" w:type="pct"/>
            <w:tcBorders>
              <w:tl2br w:val="nil"/>
              <w:tr2bl w:val="nil"/>
            </w:tcBorders>
            <w:noWrap w:val="0"/>
            <w:vAlign w:val="center"/>
          </w:tcPr>
          <w:p w14:paraId="5FECC425">
            <w:pPr>
              <w:jc w:val="center"/>
              <w:rPr>
                <w:rFonts w:hint="eastAsia" w:ascii="Times New Roman" w:hAnsi="Times New Roman" w:eastAsia="宋体" w:cs="Times New Roman"/>
                <w:color w:val="auto"/>
                <w:highlight w:val="none"/>
                <w:lang w:val="en-US" w:eastAsia="zh-CN"/>
              </w:rPr>
            </w:pPr>
            <w:r>
              <w:rPr>
                <w:rFonts w:hint="eastAsia" w:cs="Times New Roman"/>
                <w:color w:val="auto"/>
                <w:highlight w:val="none"/>
                <w:lang w:val="en-US" w:eastAsia="zh-CN"/>
              </w:rPr>
              <w:t>1组</w:t>
            </w:r>
          </w:p>
        </w:tc>
        <w:tc>
          <w:tcPr>
            <w:tcW w:w="802" w:type="pct"/>
            <w:tcBorders>
              <w:tl2br w:val="nil"/>
              <w:tr2bl w:val="nil"/>
            </w:tcBorders>
            <w:noWrap w:val="0"/>
            <w:vAlign w:val="center"/>
          </w:tcPr>
          <w:p w14:paraId="7DADD3F6">
            <w:pPr>
              <w:jc w:val="center"/>
              <w:rPr>
                <w:rFonts w:hint="default"/>
                <w:color w:val="auto"/>
                <w:szCs w:val="21"/>
                <w:highlight w:val="none"/>
                <w:lang w:val="en-US" w:eastAsia="zh-CN"/>
              </w:rPr>
            </w:pPr>
            <w:r>
              <w:rPr>
                <w:rFonts w:hint="eastAsia" w:ascii="Times New Roman" w:hAnsi="Times New Roman" w:eastAsia="宋体" w:cs="Times New Roman"/>
                <w:color w:val="auto"/>
                <w:highlight w:val="none"/>
                <w:lang w:eastAsia="zh-CN"/>
              </w:rPr>
              <w:t>压滤</w:t>
            </w:r>
            <w:r>
              <w:rPr>
                <w:rFonts w:hint="eastAsia" w:cs="Times New Roman"/>
                <w:color w:val="auto"/>
                <w:highlight w:val="none"/>
                <w:lang w:val="en-US" w:eastAsia="zh-CN"/>
              </w:rPr>
              <w:t>出精粉</w:t>
            </w:r>
          </w:p>
        </w:tc>
        <w:tc>
          <w:tcPr>
            <w:tcW w:w="905" w:type="pct"/>
            <w:tcBorders>
              <w:tl2br w:val="nil"/>
              <w:tr2bl w:val="nil"/>
            </w:tcBorders>
            <w:noWrap w:val="0"/>
            <w:vAlign w:val="center"/>
          </w:tcPr>
          <w:p w14:paraId="64A02E08">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选矿车间</w:t>
            </w:r>
          </w:p>
        </w:tc>
        <w:tc>
          <w:tcPr>
            <w:tcW w:w="905" w:type="pct"/>
            <w:tcBorders>
              <w:tl2br w:val="nil"/>
              <w:tr2bl w:val="nil"/>
            </w:tcBorders>
            <w:noWrap w:val="0"/>
            <w:vAlign w:val="center"/>
          </w:tcPr>
          <w:p w14:paraId="314E875C">
            <w:pPr>
              <w:jc w:val="center"/>
              <w:rPr>
                <w:rFonts w:hint="eastAsia" w:cs="Times New Roman"/>
                <w:color w:val="auto"/>
                <w:highlight w:val="none"/>
                <w:lang w:val="en-US" w:eastAsia="zh-CN"/>
              </w:rPr>
            </w:pPr>
            <w:r>
              <w:rPr>
                <w:rFonts w:hint="eastAsia" w:cs="Times New Roman"/>
                <w:color w:val="auto"/>
                <w:highlight w:val="none"/>
                <w:lang w:val="en-US" w:eastAsia="zh-CN"/>
              </w:rPr>
              <w:t>新增</w:t>
            </w:r>
          </w:p>
        </w:tc>
      </w:tr>
      <w:tr w14:paraId="53FF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72" w:type="pct"/>
            <w:tcBorders>
              <w:tl2br w:val="nil"/>
              <w:tr2bl w:val="nil"/>
            </w:tcBorders>
            <w:noWrap w:val="0"/>
            <w:vAlign w:val="center"/>
          </w:tcPr>
          <w:p w14:paraId="026EEA44">
            <w:pPr>
              <w:jc w:val="center"/>
              <w:rPr>
                <w:rFonts w:hint="default" w:eastAsia="宋体"/>
                <w:color w:val="auto"/>
                <w:szCs w:val="21"/>
                <w:highlight w:val="none"/>
                <w:lang w:val="en-US" w:eastAsia="zh-CN"/>
              </w:rPr>
            </w:pPr>
            <w:r>
              <w:rPr>
                <w:rFonts w:hint="eastAsia"/>
                <w:color w:val="auto"/>
                <w:szCs w:val="21"/>
                <w:highlight w:val="none"/>
                <w:lang w:val="en-US" w:eastAsia="zh-CN"/>
              </w:rPr>
              <w:t>6</w:t>
            </w:r>
          </w:p>
        </w:tc>
        <w:tc>
          <w:tcPr>
            <w:tcW w:w="851" w:type="pct"/>
            <w:tcBorders>
              <w:tl2br w:val="nil"/>
              <w:tr2bl w:val="nil"/>
            </w:tcBorders>
            <w:noWrap w:val="0"/>
            <w:vAlign w:val="center"/>
          </w:tcPr>
          <w:p w14:paraId="672B1E8E">
            <w:pPr>
              <w:jc w:val="center"/>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干排压滤机</w:t>
            </w:r>
          </w:p>
        </w:tc>
        <w:tc>
          <w:tcPr>
            <w:tcW w:w="612" w:type="pct"/>
            <w:tcBorders>
              <w:tl2br w:val="nil"/>
              <w:tr2bl w:val="nil"/>
            </w:tcBorders>
            <w:noWrap w:val="0"/>
            <w:vAlign w:val="center"/>
          </w:tcPr>
          <w:p w14:paraId="794184E3">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w:t>
            </w:r>
          </w:p>
        </w:tc>
        <w:tc>
          <w:tcPr>
            <w:tcW w:w="548" w:type="pct"/>
            <w:tcBorders>
              <w:tl2br w:val="nil"/>
              <w:tr2bl w:val="nil"/>
            </w:tcBorders>
            <w:noWrap w:val="0"/>
            <w:vAlign w:val="center"/>
          </w:tcPr>
          <w:p w14:paraId="0344D2C6">
            <w:pPr>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1组</w:t>
            </w:r>
          </w:p>
        </w:tc>
        <w:tc>
          <w:tcPr>
            <w:tcW w:w="802" w:type="pct"/>
            <w:tcBorders>
              <w:tl2br w:val="nil"/>
              <w:tr2bl w:val="nil"/>
            </w:tcBorders>
            <w:noWrap w:val="0"/>
            <w:vAlign w:val="center"/>
          </w:tcPr>
          <w:p w14:paraId="46E4D5F8">
            <w:pPr>
              <w:jc w:val="center"/>
              <w:rPr>
                <w:rFonts w:hint="default"/>
                <w:color w:val="auto"/>
                <w:szCs w:val="21"/>
                <w:highlight w:val="none"/>
                <w:lang w:val="en-US" w:eastAsia="zh-CN"/>
              </w:rPr>
            </w:pPr>
            <w:r>
              <w:rPr>
                <w:rFonts w:hint="eastAsia" w:ascii="Times New Roman" w:hAnsi="Times New Roman" w:eastAsia="宋体" w:cs="Times New Roman"/>
                <w:color w:val="auto"/>
                <w:highlight w:val="none"/>
                <w:lang w:eastAsia="zh-CN"/>
              </w:rPr>
              <w:t>压滤</w:t>
            </w:r>
            <w:r>
              <w:rPr>
                <w:rFonts w:hint="eastAsia" w:cs="Times New Roman"/>
                <w:color w:val="auto"/>
                <w:highlight w:val="none"/>
                <w:lang w:val="en-US" w:eastAsia="zh-CN"/>
              </w:rPr>
              <w:t>出尾矿</w:t>
            </w:r>
          </w:p>
        </w:tc>
        <w:tc>
          <w:tcPr>
            <w:tcW w:w="905" w:type="pct"/>
            <w:tcBorders>
              <w:tl2br w:val="nil"/>
              <w:tr2bl w:val="nil"/>
            </w:tcBorders>
            <w:noWrap w:val="0"/>
            <w:vAlign w:val="center"/>
          </w:tcPr>
          <w:p w14:paraId="421ABC81">
            <w:pPr>
              <w:jc w:val="center"/>
              <w:rPr>
                <w:rFonts w:hint="eastAsia" w:ascii="Times New Roman" w:hAnsi="Times New Roman" w:eastAsia="宋体" w:cs="Times New Roman"/>
                <w:color w:val="auto"/>
                <w:highlight w:val="none"/>
                <w:lang w:eastAsia="zh-CN"/>
              </w:rPr>
            </w:pPr>
            <w:r>
              <w:rPr>
                <w:rFonts w:hint="eastAsia" w:cs="Times New Roman"/>
                <w:color w:val="auto"/>
                <w:highlight w:val="none"/>
                <w:lang w:val="en-US" w:eastAsia="zh-CN"/>
              </w:rPr>
              <w:t>干排车间</w:t>
            </w:r>
          </w:p>
        </w:tc>
        <w:tc>
          <w:tcPr>
            <w:tcW w:w="905" w:type="pct"/>
            <w:tcBorders>
              <w:tl2br w:val="nil"/>
              <w:tr2bl w:val="nil"/>
            </w:tcBorders>
            <w:noWrap w:val="0"/>
            <w:vAlign w:val="center"/>
          </w:tcPr>
          <w:p w14:paraId="7C6F2E4C">
            <w:pPr>
              <w:jc w:val="center"/>
              <w:rPr>
                <w:rFonts w:hint="eastAsia" w:cs="Times New Roman"/>
                <w:color w:val="auto"/>
                <w:highlight w:val="none"/>
                <w:lang w:val="en-US" w:eastAsia="zh-CN"/>
              </w:rPr>
            </w:pPr>
            <w:r>
              <w:rPr>
                <w:rFonts w:hint="eastAsia" w:cs="Times New Roman"/>
                <w:color w:val="auto"/>
                <w:highlight w:val="none"/>
                <w:lang w:val="en-US" w:eastAsia="zh-CN"/>
              </w:rPr>
              <w:t>依托现有</w:t>
            </w:r>
          </w:p>
        </w:tc>
      </w:tr>
    </w:tbl>
    <w:p w14:paraId="20B6AC31">
      <w:pPr>
        <w:pStyle w:val="5"/>
        <w:bidi w:val="0"/>
        <w:rPr>
          <w:rFonts w:hint="eastAsia"/>
          <w:lang w:val="en-US" w:eastAsia="zh-CN"/>
        </w:rPr>
      </w:pPr>
      <w:r>
        <w:rPr>
          <w:rFonts w:hint="eastAsia"/>
          <w:lang w:val="en-US" w:eastAsia="zh-CN"/>
        </w:rPr>
        <w:t>3.2.3项目产品方案</w:t>
      </w:r>
    </w:p>
    <w:p w14:paraId="7D04F97B">
      <w:pPr>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选矿厂</w:t>
      </w:r>
      <w:r>
        <w:rPr>
          <w:rFonts w:hint="eastAsia" w:cs="Times New Roman"/>
          <w:color w:val="auto"/>
          <w:kern w:val="2"/>
          <w:sz w:val="24"/>
          <w:szCs w:val="22"/>
          <w:lang w:val="en-US" w:eastAsia="zh-CN" w:bidi="ar-SA"/>
        </w:rPr>
        <w:t>在本次改扩建项目中新增</w:t>
      </w:r>
      <w:r>
        <w:rPr>
          <w:rFonts w:hint="eastAsia" w:ascii="Times New Roman" w:hAnsi="Times New Roman" w:eastAsia="宋体" w:cs="Times New Roman"/>
          <w:color w:val="auto"/>
          <w:kern w:val="2"/>
          <w:sz w:val="24"/>
          <w:szCs w:val="22"/>
          <w:lang w:val="en-US" w:eastAsia="zh-CN" w:bidi="ar-SA"/>
        </w:rPr>
        <w:t>入选矿石20万t/a，原矿品位为1.85g/t，精矿品位为25g/t，产品方案如下。</w:t>
      </w:r>
    </w:p>
    <w:p w14:paraId="32D64F2C">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cs="Times New Roman"/>
          <w:b/>
          <w:bCs/>
          <w:color w:val="auto"/>
          <w:kern w:val="2"/>
          <w:sz w:val="24"/>
          <w:szCs w:val="22"/>
          <w:lang w:val="en-US" w:eastAsia="zh-CN" w:bidi="ar-SA"/>
        </w:rPr>
      </w:pPr>
      <w:r>
        <w:rPr>
          <w:rFonts w:hint="eastAsia" w:cs="Times New Roman"/>
          <w:b/>
          <w:bCs/>
          <w:color w:val="auto"/>
          <w:kern w:val="2"/>
          <w:sz w:val="24"/>
          <w:szCs w:val="22"/>
          <w:lang w:val="en-US" w:eastAsia="zh-CN" w:bidi="ar-SA"/>
        </w:rPr>
        <w:t>表3.2-4  本项目产品方案</w:t>
      </w:r>
    </w:p>
    <w:tbl>
      <w:tblPr>
        <w:tblStyle w:val="7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4"/>
        <w:gridCol w:w="2907"/>
        <w:gridCol w:w="2907"/>
      </w:tblGrid>
      <w:tr w14:paraId="6BD2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6DD05897">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41" w:name="_Toc29305"/>
            <w:bookmarkStart w:id="42" w:name="_Toc9544"/>
            <w:r>
              <w:rPr>
                <w:rFonts w:hint="eastAsia" w:ascii="Times New Roman" w:hAnsi="Times New Roman" w:cs="Times New Roman" w:eastAsiaTheme="minorEastAsia"/>
                <w:b w:val="0"/>
                <w:bCs w:val="0"/>
                <w:sz w:val="21"/>
                <w:szCs w:val="21"/>
                <w:vertAlign w:val="baseline"/>
                <w:lang w:val="en-US" w:eastAsia="zh-CN"/>
              </w:rPr>
              <w:t>名称</w:t>
            </w:r>
            <w:bookmarkEnd w:id="41"/>
            <w:bookmarkEnd w:id="42"/>
          </w:p>
        </w:tc>
        <w:tc>
          <w:tcPr>
            <w:tcW w:w="1667" w:type="pct"/>
          </w:tcPr>
          <w:p w14:paraId="2AF1C75F">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43" w:name="_Toc4998"/>
            <w:bookmarkStart w:id="44" w:name="_Toc24275"/>
            <w:r>
              <w:rPr>
                <w:rFonts w:hint="eastAsia" w:ascii="Times New Roman" w:hAnsi="Times New Roman" w:cs="Times New Roman" w:eastAsiaTheme="minorEastAsia"/>
                <w:b w:val="0"/>
                <w:bCs w:val="0"/>
                <w:sz w:val="21"/>
                <w:szCs w:val="21"/>
                <w:vertAlign w:val="baseline"/>
                <w:lang w:val="en-US" w:eastAsia="zh-CN"/>
              </w:rPr>
              <w:t>产量</w:t>
            </w:r>
            <w:bookmarkEnd w:id="43"/>
            <w:bookmarkEnd w:id="44"/>
          </w:p>
        </w:tc>
        <w:tc>
          <w:tcPr>
            <w:tcW w:w="1667" w:type="pct"/>
          </w:tcPr>
          <w:p w14:paraId="33641354">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45" w:name="_Toc27701"/>
            <w:bookmarkStart w:id="46" w:name="_Toc21704"/>
            <w:r>
              <w:rPr>
                <w:rFonts w:hint="eastAsia" w:ascii="Times New Roman" w:hAnsi="Times New Roman" w:cs="Times New Roman" w:eastAsiaTheme="minorEastAsia"/>
                <w:b w:val="0"/>
                <w:bCs w:val="0"/>
                <w:sz w:val="21"/>
                <w:szCs w:val="21"/>
                <w:vertAlign w:val="baseline"/>
                <w:lang w:val="en-US" w:eastAsia="zh-CN"/>
              </w:rPr>
              <w:t>品位</w:t>
            </w:r>
            <w:bookmarkEnd w:id="45"/>
            <w:bookmarkEnd w:id="46"/>
          </w:p>
        </w:tc>
      </w:tr>
      <w:tr w14:paraId="5DC1B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2BA56E7C">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47" w:name="_Toc6223"/>
            <w:bookmarkStart w:id="48" w:name="_Toc6814"/>
            <w:r>
              <w:rPr>
                <w:rFonts w:hint="eastAsia" w:ascii="Times New Roman" w:hAnsi="Times New Roman" w:cs="Times New Roman" w:eastAsiaTheme="minorEastAsia"/>
                <w:b w:val="0"/>
                <w:bCs w:val="0"/>
                <w:sz w:val="21"/>
                <w:szCs w:val="21"/>
                <w:vertAlign w:val="baseline"/>
                <w:lang w:val="en-US" w:eastAsia="zh-CN"/>
              </w:rPr>
              <w:t>原矿</w:t>
            </w:r>
            <w:bookmarkEnd w:id="47"/>
            <w:bookmarkEnd w:id="48"/>
          </w:p>
        </w:tc>
        <w:tc>
          <w:tcPr>
            <w:tcW w:w="1667" w:type="pct"/>
          </w:tcPr>
          <w:p w14:paraId="7E5ABCCB">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49" w:name="_Toc6708"/>
            <w:bookmarkStart w:id="50" w:name="_Toc15860"/>
            <w:r>
              <w:rPr>
                <w:rFonts w:hint="eastAsia" w:ascii="Times New Roman" w:hAnsi="Times New Roman" w:cs="Times New Roman" w:eastAsiaTheme="minorEastAsia"/>
                <w:b w:val="0"/>
                <w:bCs w:val="0"/>
                <w:sz w:val="21"/>
                <w:szCs w:val="21"/>
                <w:vertAlign w:val="baseline"/>
                <w:lang w:val="en-US" w:eastAsia="zh-CN"/>
              </w:rPr>
              <w:t>20万t/a</w:t>
            </w:r>
            <w:bookmarkEnd w:id="49"/>
            <w:bookmarkEnd w:id="50"/>
          </w:p>
        </w:tc>
        <w:tc>
          <w:tcPr>
            <w:tcW w:w="1667" w:type="pct"/>
          </w:tcPr>
          <w:p w14:paraId="3AA53531">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eastAsiaTheme="minorEastAsia"/>
                <w:b w:val="0"/>
                <w:bCs w:val="0"/>
                <w:sz w:val="21"/>
                <w:szCs w:val="21"/>
                <w:vertAlign w:val="baseline"/>
                <w:lang w:val="en-US" w:eastAsia="zh-CN"/>
              </w:rPr>
            </w:pPr>
            <w:bookmarkStart w:id="51" w:name="_Toc14600"/>
            <w:bookmarkStart w:id="52" w:name="_Toc114"/>
            <w:r>
              <w:rPr>
                <w:rFonts w:hint="eastAsia" w:ascii="Times New Roman" w:hAnsi="Times New Roman" w:cs="Times New Roman" w:eastAsiaTheme="minorEastAsia"/>
                <w:b w:val="0"/>
                <w:bCs w:val="0"/>
                <w:sz w:val="21"/>
                <w:szCs w:val="21"/>
                <w:vertAlign w:val="baseline"/>
                <w:lang w:val="en-US" w:eastAsia="zh-CN"/>
              </w:rPr>
              <w:t>1.85g/t</w:t>
            </w:r>
            <w:bookmarkEnd w:id="51"/>
            <w:bookmarkEnd w:id="52"/>
          </w:p>
        </w:tc>
      </w:tr>
      <w:tr w14:paraId="327AC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072451F7">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53" w:name="_Toc4403"/>
            <w:bookmarkStart w:id="54" w:name="_Toc19177"/>
            <w:r>
              <w:rPr>
                <w:rFonts w:hint="eastAsia" w:ascii="Times New Roman" w:hAnsi="Times New Roman" w:cs="Times New Roman" w:eastAsiaTheme="minorEastAsia"/>
                <w:b w:val="0"/>
                <w:bCs w:val="0"/>
                <w:sz w:val="21"/>
                <w:szCs w:val="21"/>
                <w:vertAlign w:val="baseline"/>
                <w:lang w:val="en-US" w:eastAsia="zh-CN"/>
              </w:rPr>
              <w:t>金精粉</w:t>
            </w:r>
            <w:bookmarkEnd w:id="53"/>
            <w:bookmarkEnd w:id="54"/>
          </w:p>
        </w:tc>
        <w:tc>
          <w:tcPr>
            <w:tcW w:w="1667" w:type="pct"/>
          </w:tcPr>
          <w:p w14:paraId="68567AED">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55" w:name="_Toc17453"/>
            <w:bookmarkStart w:id="56" w:name="_Toc12125"/>
            <w:r>
              <w:rPr>
                <w:rFonts w:hint="eastAsia" w:ascii="Times New Roman" w:hAnsi="Times New Roman" w:cs="Times New Roman" w:eastAsiaTheme="minorEastAsia"/>
                <w:b w:val="0"/>
                <w:bCs w:val="0"/>
                <w:sz w:val="21"/>
                <w:szCs w:val="21"/>
                <w:vertAlign w:val="baseline"/>
                <w:lang w:val="en-US" w:eastAsia="zh-CN"/>
              </w:rPr>
              <w:t>1.406万t/a</w:t>
            </w:r>
            <w:bookmarkEnd w:id="55"/>
            <w:bookmarkEnd w:id="56"/>
          </w:p>
        </w:tc>
        <w:tc>
          <w:tcPr>
            <w:tcW w:w="1667" w:type="pct"/>
          </w:tcPr>
          <w:p w14:paraId="6895E603">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eastAsia" w:ascii="Times New Roman" w:hAnsi="Times New Roman" w:cs="Times New Roman" w:eastAsiaTheme="minorEastAsia"/>
                <w:b w:val="0"/>
                <w:bCs w:val="0"/>
                <w:sz w:val="21"/>
                <w:szCs w:val="21"/>
                <w:vertAlign w:val="baseline"/>
                <w:lang w:val="en-US" w:eastAsia="zh-CN"/>
              </w:rPr>
            </w:pPr>
            <w:bookmarkStart w:id="57" w:name="_Toc2410"/>
            <w:bookmarkStart w:id="58" w:name="_Toc11395"/>
            <w:r>
              <w:rPr>
                <w:rFonts w:hint="eastAsia" w:ascii="Times New Roman" w:hAnsi="Times New Roman" w:cs="Times New Roman" w:eastAsiaTheme="minorEastAsia"/>
                <w:b w:val="0"/>
                <w:bCs w:val="0"/>
                <w:sz w:val="21"/>
                <w:szCs w:val="21"/>
                <w:vertAlign w:val="baseline"/>
                <w:lang w:val="en-US" w:eastAsia="zh-CN"/>
              </w:rPr>
              <w:t>25g/t</w:t>
            </w:r>
            <w:bookmarkEnd w:id="57"/>
            <w:bookmarkEnd w:id="58"/>
          </w:p>
        </w:tc>
      </w:tr>
      <w:tr w14:paraId="7F8B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2202811B">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59" w:name="_Toc5283"/>
            <w:bookmarkStart w:id="60" w:name="_Toc11323"/>
            <w:r>
              <w:rPr>
                <w:rFonts w:hint="eastAsia" w:ascii="Times New Roman" w:hAnsi="Times New Roman" w:cs="Times New Roman" w:eastAsiaTheme="minorEastAsia"/>
                <w:b w:val="0"/>
                <w:bCs w:val="0"/>
                <w:sz w:val="21"/>
                <w:szCs w:val="21"/>
                <w:vertAlign w:val="baseline"/>
                <w:lang w:val="en-US" w:eastAsia="zh-CN"/>
              </w:rPr>
              <w:t>尾矿</w:t>
            </w:r>
            <w:bookmarkEnd w:id="59"/>
            <w:bookmarkEnd w:id="60"/>
          </w:p>
        </w:tc>
        <w:tc>
          <w:tcPr>
            <w:tcW w:w="1667" w:type="pct"/>
          </w:tcPr>
          <w:p w14:paraId="49DC7566">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61" w:name="_Toc6991"/>
            <w:bookmarkStart w:id="62" w:name="_Toc18954"/>
            <w:r>
              <w:rPr>
                <w:rFonts w:hint="eastAsia" w:ascii="Times New Roman" w:hAnsi="Times New Roman" w:cs="Times New Roman" w:eastAsiaTheme="minorEastAsia"/>
                <w:b w:val="0"/>
                <w:bCs w:val="0"/>
                <w:sz w:val="21"/>
                <w:szCs w:val="21"/>
                <w:vertAlign w:val="baseline"/>
                <w:lang w:val="en-US" w:eastAsia="zh-CN"/>
              </w:rPr>
              <w:t>18.594万t/a</w:t>
            </w:r>
            <w:bookmarkEnd w:id="61"/>
            <w:bookmarkEnd w:id="62"/>
          </w:p>
        </w:tc>
        <w:tc>
          <w:tcPr>
            <w:tcW w:w="1667" w:type="pct"/>
          </w:tcPr>
          <w:p w14:paraId="5CE37D14">
            <w:pPr>
              <w:pStyle w:val="71"/>
              <w:keepNext w:val="0"/>
              <w:keepLines w:val="0"/>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cs="Times New Roman" w:eastAsiaTheme="minorEastAsia"/>
                <w:b w:val="0"/>
                <w:bCs w:val="0"/>
                <w:sz w:val="21"/>
                <w:szCs w:val="21"/>
                <w:vertAlign w:val="baseline"/>
                <w:lang w:val="en-US" w:eastAsia="zh-CN"/>
              </w:rPr>
            </w:pPr>
            <w:bookmarkStart w:id="63" w:name="_Toc11502"/>
            <w:bookmarkStart w:id="64" w:name="_Toc18474"/>
            <w:r>
              <w:rPr>
                <w:rFonts w:hint="eastAsia" w:ascii="Times New Roman" w:hAnsi="Times New Roman" w:cs="Times New Roman" w:eastAsiaTheme="minorEastAsia"/>
                <w:b w:val="0"/>
                <w:bCs w:val="0"/>
                <w:sz w:val="21"/>
                <w:szCs w:val="21"/>
                <w:vertAlign w:val="baseline"/>
                <w:lang w:val="en-US" w:eastAsia="zh-CN"/>
              </w:rPr>
              <w:t>/</w:t>
            </w:r>
            <w:bookmarkEnd w:id="63"/>
            <w:bookmarkEnd w:id="64"/>
          </w:p>
        </w:tc>
      </w:tr>
    </w:tbl>
    <w:p w14:paraId="4BE3BE36">
      <w:pPr>
        <w:pStyle w:val="5"/>
        <w:bidi w:val="0"/>
        <w:rPr>
          <w:rFonts w:hint="default"/>
          <w:lang w:val="en-US" w:eastAsia="zh-CN"/>
        </w:rPr>
      </w:pPr>
      <w:r>
        <w:rPr>
          <w:rFonts w:hint="eastAsia"/>
          <w:lang w:val="en-US" w:eastAsia="zh-CN"/>
        </w:rPr>
        <w:t>3</w:t>
      </w:r>
      <w:r>
        <w:rPr>
          <w:rFonts w:hint="default"/>
          <w:lang w:val="en-US" w:eastAsia="zh-CN"/>
        </w:rPr>
        <w:t>.</w:t>
      </w:r>
      <w:r>
        <w:rPr>
          <w:rFonts w:hint="eastAsia"/>
          <w:lang w:val="en-US" w:eastAsia="zh-CN"/>
        </w:rPr>
        <w:t>2.4</w:t>
      </w:r>
      <w:r>
        <w:rPr>
          <w:rFonts w:hint="default"/>
          <w:lang w:val="en-US" w:eastAsia="zh-CN"/>
        </w:rPr>
        <w:t>原辅材料及能源消耗</w:t>
      </w:r>
    </w:p>
    <w:p w14:paraId="5141EB31">
      <w:pPr>
        <w:pStyle w:val="42"/>
        <w:spacing w:line="360" w:lineRule="auto"/>
        <w:ind w:firstLine="480"/>
      </w:pPr>
      <w:r>
        <w:rPr>
          <w:rFonts w:hint="eastAsia" w:ascii="Times New Roman"/>
          <w:color w:val="auto"/>
          <w:sz w:val="24"/>
          <w:lang w:val="en-US" w:eastAsia="zh-CN"/>
        </w:rPr>
        <w:t>本次改扩建项目新增原辅料及能源消耗，现有选铁生产线不变，</w:t>
      </w:r>
      <w:r>
        <w:rPr>
          <w:rFonts w:ascii="Times New Roman"/>
          <w:color w:val="auto"/>
          <w:sz w:val="24"/>
        </w:rPr>
        <w:t>具体</w:t>
      </w:r>
      <w:r>
        <w:rPr>
          <w:rFonts w:hint="eastAsia" w:ascii="Times New Roman"/>
          <w:color w:val="auto"/>
          <w:sz w:val="24"/>
          <w:lang w:val="en-US" w:eastAsia="zh-CN"/>
        </w:rPr>
        <w:t>新增</w:t>
      </w:r>
      <w:r>
        <w:rPr>
          <w:rFonts w:ascii="Times New Roman"/>
          <w:color w:val="auto"/>
          <w:sz w:val="24"/>
        </w:rPr>
        <w:t>原辅材料</w:t>
      </w:r>
      <w:r>
        <w:rPr>
          <w:rFonts w:hint="eastAsia" w:ascii="Times New Roman"/>
          <w:color w:val="auto"/>
          <w:sz w:val="24"/>
          <w:lang w:val="en-US" w:eastAsia="zh-CN"/>
        </w:rPr>
        <w:t>及能源</w:t>
      </w:r>
      <w:r>
        <w:rPr>
          <w:rFonts w:ascii="Times New Roman"/>
          <w:color w:val="auto"/>
          <w:sz w:val="24"/>
        </w:rPr>
        <w:t>见</w:t>
      </w:r>
      <w:r>
        <w:rPr>
          <w:rFonts w:hint="eastAsia" w:ascii="Times New Roman"/>
          <w:color w:val="auto"/>
          <w:sz w:val="24"/>
          <w:lang w:eastAsia="zh-CN"/>
        </w:rPr>
        <w:t>下</w:t>
      </w:r>
      <w:r>
        <w:rPr>
          <w:rFonts w:ascii="Times New Roman"/>
          <w:color w:val="auto"/>
          <w:sz w:val="24"/>
        </w:rPr>
        <w:t>表。</w:t>
      </w:r>
    </w:p>
    <w:p w14:paraId="2FD8F2DF">
      <w:pPr>
        <w:bidi w:val="0"/>
        <w:spacing w:line="360" w:lineRule="auto"/>
        <w:jc w:val="center"/>
        <w:rPr>
          <w:rFonts w:hint="eastAsia"/>
          <w:b/>
          <w:bCs/>
          <w:sz w:val="24"/>
          <w:szCs w:val="32"/>
          <w:lang w:val="en-US" w:eastAsia="zh-CN"/>
        </w:rPr>
      </w:pPr>
      <w:r>
        <w:rPr>
          <w:rFonts w:hint="eastAsia"/>
          <w:b/>
          <w:bCs/>
          <w:sz w:val="24"/>
          <w:szCs w:val="32"/>
          <w:lang w:val="en-US" w:eastAsia="zh-CN"/>
        </w:rPr>
        <w:t>表3.2-5 本项目新增能源消耗一览表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1"/>
        <w:gridCol w:w="2146"/>
        <w:gridCol w:w="1744"/>
        <w:gridCol w:w="1744"/>
        <w:gridCol w:w="1744"/>
      </w:tblGrid>
      <w:tr w14:paraId="64987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vAlign w:val="center"/>
          </w:tcPr>
          <w:p w14:paraId="501D68DC">
            <w:pPr>
              <w:bidi w:val="0"/>
              <w:spacing w:line="360" w:lineRule="auto"/>
              <w:jc w:val="center"/>
              <w:rPr>
                <w:rFonts w:hint="default"/>
                <w:vertAlign w:val="baseline"/>
                <w:lang w:val="en-US" w:eastAsia="zh-CN"/>
              </w:rPr>
            </w:pPr>
            <w:r>
              <w:rPr>
                <w:rFonts w:hint="eastAsia"/>
                <w:vertAlign w:val="baseline"/>
                <w:lang w:val="en-US" w:eastAsia="zh-CN"/>
              </w:rPr>
              <w:t>序号</w:t>
            </w:r>
          </w:p>
        </w:tc>
        <w:tc>
          <w:tcPr>
            <w:tcW w:w="2146" w:type="dxa"/>
            <w:vAlign w:val="center"/>
          </w:tcPr>
          <w:p w14:paraId="494A90B1">
            <w:pPr>
              <w:bidi w:val="0"/>
              <w:spacing w:line="360" w:lineRule="auto"/>
              <w:jc w:val="center"/>
              <w:rPr>
                <w:rFonts w:hint="default"/>
                <w:vertAlign w:val="baseline"/>
                <w:lang w:val="en-US" w:eastAsia="zh-CN"/>
              </w:rPr>
            </w:pPr>
            <w:r>
              <w:rPr>
                <w:rFonts w:hint="eastAsia"/>
                <w:vertAlign w:val="baseline"/>
                <w:lang w:val="en-US" w:eastAsia="zh-CN"/>
              </w:rPr>
              <w:t>名称</w:t>
            </w:r>
          </w:p>
        </w:tc>
        <w:tc>
          <w:tcPr>
            <w:tcW w:w="1744" w:type="dxa"/>
            <w:vAlign w:val="center"/>
          </w:tcPr>
          <w:p w14:paraId="002203F9">
            <w:pPr>
              <w:bidi w:val="0"/>
              <w:spacing w:line="360" w:lineRule="auto"/>
              <w:jc w:val="center"/>
              <w:rPr>
                <w:rFonts w:hint="default"/>
                <w:vertAlign w:val="baseline"/>
                <w:lang w:val="en-US" w:eastAsia="zh-CN"/>
              </w:rPr>
            </w:pPr>
            <w:r>
              <w:rPr>
                <w:rFonts w:hint="eastAsia"/>
                <w:vertAlign w:val="baseline"/>
                <w:lang w:val="en-US" w:eastAsia="zh-CN"/>
              </w:rPr>
              <w:t>单位</w:t>
            </w:r>
          </w:p>
        </w:tc>
        <w:tc>
          <w:tcPr>
            <w:tcW w:w="1744" w:type="dxa"/>
            <w:vAlign w:val="center"/>
          </w:tcPr>
          <w:p w14:paraId="1C51B02F">
            <w:pPr>
              <w:bidi w:val="0"/>
              <w:spacing w:line="360" w:lineRule="auto"/>
              <w:jc w:val="center"/>
              <w:rPr>
                <w:rFonts w:hint="default"/>
                <w:vertAlign w:val="baseline"/>
                <w:lang w:val="en-US" w:eastAsia="zh-CN"/>
              </w:rPr>
            </w:pPr>
            <w:r>
              <w:rPr>
                <w:rFonts w:hint="eastAsia"/>
                <w:vertAlign w:val="baseline"/>
                <w:lang w:val="en-US" w:eastAsia="zh-CN"/>
              </w:rPr>
              <w:t>年消耗量</w:t>
            </w:r>
          </w:p>
        </w:tc>
        <w:tc>
          <w:tcPr>
            <w:tcW w:w="1744" w:type="dxa"/>
            <w:vAlign w:val="center"/>
          </w:tcPr>
          <w:p w14:paraId="53D8BF58">
            <w:pPr>
              <w:bidi w:val="0"/>
              <w:spacing w:line="360" w:lineRule="auto"/>
              <w:jc w:val="center"/>
              <w:rPr>
                <w:rFonts w:hint="default"/>
                <w:vertAlign w:val="baseline"/>
                <w:lang w:val="en-US" w:eastAsia="zh-CN"/>
              </w:rPr>
            </w:pPr>
            <w:r>
              <w:rPr>
                <w:rFonts w:hint="eastAsia"/>
                <w:vertAlign w:val="baseline"/>
                <w:lang w:val="en-US" w:eastAsia="zh-CN"/>
              </w:rPr>
              <w:t>来源</w:t>
            </w:r>
          </w:p>
        </w:tc>
      </w:tr>
      <w:tr w14:paraId="2D575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vAlign w:val="center"/>
          </w:tcPr>
          <w:p w14:paraId="10A97A31">
            <w:pPr>
              <w:bidi w:val="0"/>
              <w:spacing w:line="360" w:lineRule="auto"/>
              <w:jc w:val="center"/>
              <w:rPr>
                <w:rFonts w:hint="default"/>
                <w:vertAlign w:val="baseline"/>
                <w:lang w:val="en-US" w:eastAsia="zh-CN"/>
              </w:rPr>
            </w:pPr>
            <w:r>
              <w:rPr>
                <w:rFonts w:hint="eastAsia"/>
                <w:vertAlign w:val="baseline"/>
                <w:lang w:val="en-US" w:eastAsia="zh-CN"/>
              </w:rPr>
              <w:t>1</w:t>
            </w:r>
          </w:p>
        </w:tc>
        <w:tc>
          <w:tcPr>
            <w:tcW w:w="2146" w:type="dxa"/>
            <w:vAlign w:val="center"/>
          </w:tcPr>
          <w:p w14:paraId="52C5E1A2">
            <w:pPr>
              <w:bidi w:val="0"/>
              <w:spacing w:line="360" w:lineRule="auto"/>
              <w:jc w:val="center"/>
              <w:rPr>
                <w:rFonts w:hint="default"/>
                <w:vertAlign w:val="baseline"/>
                <w:lang w:val="en-US" w:eastAsia="zh-CN"/>
              </w:rPr>
            </w:pPr>
            <w:r>
              <w:rPr>
                <w:rFonts w:hint="eastAsia"/>
                <w:vertAlign w:val="baseline"/>
                <w:lang w:val="en-US" w:eastAsia="zh-CN"/>
              </w:rPr>
              <w:t>电</w:t>
            </w:r>
          </w:p>
        </w:tc>
        <w:tc>
          <w:tcPr>
            <w:tcW w:w="1744" w:type="dxa"/>
            <w:vAlign w:val="center"/>
          </w:tcPr>
          <w:p w14:paraId="47A69B8C">
            <w:pPr>
              <w:bidi w:val="0"/>
              <w:spacing w:line="360" w:lineRule="auto"/>
              <w:jc w:val="center"/>
              <w:rPr>
                <w:rFonts w:hint="default"/>
                <w:vertAlign w:val="baseline"/>
                <w:lang w:val="en-US" w:eastAsia="zh-CN"/>
              </w:rPr>
            </w:pPr>
            <w:r>
              <w:rPr>
                <w:rFonts w:hint="eastAsia"/>
                <w:vertAlign w:val="baseline"/>
                <w:lang w:val="en-US" w:eastAsia="zh-CN"/>
              </w:rPr>
              <w:t>kW·h/a</w:t>
            </w:r>
          </w:p>
        </w:tc>
        <w:tc>
          <w:tcPr>
            <w:tcW w:w="1744" w:type="dxa"/>
            <w:vAlign w:val="center"/>
          </w:tcPr>
          <w:p w14:paraId="5A0360F6">
            <w:pPr>
              <w:bidi w:val="0"/>
              <w:spacing w:line="360" w:lineRule="auto"/>
              <w:jc w:val="center"/>
              <w:rPr>
                <w:rFonts w:hint="default"/>
                <w:vertAlign w:val="baseline"/>
                <w:lang w:val="en-US" w:eastAsia="zh-CN"/>
              </w:rPr>
            </w:pPr>
            <w:r>
              <w:rPr>
                <w:rFonts w:hint="eastAsia"/>
                <w:vertAlign w:val="baseline"/>
                <w:lang w:val="en-US" w:eastAsia="zh-CN"/>
              </w:rPr>
              <w:t>800万</w:t>
            </w:r>
          </w:p>
        </w:tc>
        <w:tc>
          <w:tcPr>
            <w:tcW w:w="1744" w:type="dxa"/>
            <w:vAlign w:val="center"/>
          </w:tcPr>
          <w:p w14:paraId="7BB704E6">
            <w:pPr>
              <w:bidi w:val="0"/>
              <w:spacing w:line="360" w:lineRule="auto"/>
              <w:jc w:val="center"/>
              <w:rPr>
                <w:rFonts w:hint="default"/>
                <w:vertAlign w:val="baseline"/>
                <w:lang w:val="en-US" w:eastAsia="zh-CN"/>
              </w:rPr>
            </w:pPr>
            <w:r>
              <w:rPr>
                <w:rFonts w:hint="eastAsia"/>
                <w:vertAlign w:val="baseline"/>
                <w:lang w:val="en-US" w:eastAsia="zh-CN"/>
              </w:rPr>
              <w:t>当地电网</w:t>
            </w:r>
          </w:p>
        </w:tc>
      </w:tr>
      <w:tr w14:paraId="65AF9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1" w:type="dxa"/>
            <w:vAlign w:val="center"/>
          </w:tcPr>
          <w:p w14:paraId="211B3DE1">
            <w:pPr>
              <w:bidi w:val="0"/>
              <w:spacing w:line="360" w:lineRule="auto"/>
              <w:jc w:val="center"/>
              <w:rPr>
                <w:rFonts w:hint="default"/>
                <w:vertAlign w:val="baseline"/>
                <w:lang w:val="en-US" w:eastAsia="zh-CN"/>
              </w:rPr>
            </w:pPr>
            <w:r>
              <w:rPr>
                <w:rFonts w:hint="eastAsia"/>
                <w:vertAlign w:val="baseline"/>
                <w:lang w:val="en-US" w:eastAsia="zh-CN"/>
              </w:rPr>
              <w:t>2</w:t>
            </w:r>
          </w:p>
        </w:tc>
        <w:tc>
          <w:tcPr>
            <w:tcW w:w="2146" w:type="dxa"/>
            <w:vAlign w:val="center"/>
          </w:tcPr>
          <w:p w14:paraId="5987BA80">
            <w:pPr>
              <w:bidi w:val="0"/>
              <w:spacing w:line="360" w:lineRule="auto"/>
              <w:jc w:val="center"/>
              <w:rPr>
                <w:rFonts w:hint="default"/>
                <w:vertAlign w:val="baseline"/>
                <w:lang w:val="en-US" w:eastAsia="zh-CN"/>
              </w:rPr>
            </w:pPr>
            <w:r>
              <w:rPr>
                <w:rFonts w:hint="eastAsia"/>
                <w:vertAlign w:val="baseline"/>
                <w:lang w:val="en-US" w:eastAsia="zh-CN"/>
              </w:rPr>
              <w:t>新鲜水</w:t>
            </w:r>
          </w:p>
        </w:tc>
        <w:tc>
          <w:tcPr>
            <w:tcW w:w="1744" w:type="dxa"/>
            <w:vAlign w:val="center"/>
          </w:tcPr>
          <w:p w14:paraId="3DB3EBF3">
            <w:pPr>
              <w:bidi w:val="0"/>
              <w:spacing w:line="360" w:lineRule="auto"/>
              <w:jc w:val="center"/>
              <w:rPr>
                <w:rFonts w:hint="default"/>
                <w:vertAlign w:val="baseline"/>
                <w:lang w:val="en-US" w:eastAsia="zh-CN"/>
              </w:rPr>
            </w:pPr>
            <w:r>
              <w:rPr>
                <w:rFonts w:hint="eastAsia"/>
                <w:vertAlign w:val="baseline"/>
                <w:lang w:val="en-US" w:eastAsia="zh-CN"/>
              </w:rPr>
              <w:t>t/a</w:t>
            </w:r>
          </w:p>
        </w:tc>
        <w:tc>
          <w:tcPr>
            <w:tcW w:w="1744" w:type="dxa"/>
            <w:vAlign w:val="center"/>
          </w:tcPr>
          <w:p w14:paraId="1C20CFEB">
            <w:pPr>
              <w:bidi w:val="0"/>
              <w:spacing w:line="360" w:lineRule="auto"/>
              <w:jc w:val="center"/>
              <w:rPr>
                <w:rFonts w:hint="default"/>
                <w:vertAlign w:val="baseline"/>
                <w:lang w:val="en-US" w:eastAsia="zh-CN"/>
              </w:rPr>
            </w:pPr>
            <w:r>
              <w:rPr>
                <w:rFonts w:hint="eastAsia"/>
                <w:vertAlign w:val="baseline"/>
                <w:lang w:val="en-US" w:eastAsia="zh-CN"/>
              </w:rPr>
              <w:t>7.46万</w:t>
            </w:r>
          </w:p>
        </w:tc>
        <w:tc>
          <w:tcPr>
            <w:tcW w:w="1744" w:type="dxa"/>
            <w:vAlign w:val="center"/>
          </w:tcPr>
          <w:p w14:paraId="1B896072">
            <w:pPr>
              <w:bidi w:val="0"/>
              <w:spacing w:line="360" w:lineRule="auto"/>
              <w:jc w:val="center"/>
              <w:rPr>
                <w:rFonts w:hint="default"/>
                <w:vertAlign w:val="baseline"/>
                <w:lang w:val="en-US" w:eastAsia="zh-CN"/>
              </w:rPr>
            </w:pPr>
            <w:r>
              <w:rPr>
                <w:rFonts w:hint="eastAsia"/>
                <w:vertAlign w:val="baseline"/>
                <w:lang w:val="en-US" w:eastAsia="zh-CN"/>
              </w:rPr>
              <w:t>厂区自备水井</w:t>
            </w:r>
          </w:p>
        </w:tc>
      </w:tr>
    </w:tbl>
    <w:p w14:paraId="2C0673B2">
      <w:pPr>
        <w:bidi w:val="0"/>
        <w:spacing w:line="360" w:lineRule="auto"/>
        <w:jc w:val="both"/>
        <w:rPr>
          <w:rFonts w:hint="default"/>
          <w:b w:val="0"/>
          <w:bCs w:val="0"/>
          <w:sz w:val="21"/>
          <w:szCs w:val="24"/>
          <w:lang w:val="en-US" w:eastAsia="zh-CN"/>
        </w:rPr>
      </w:pPr>
      <w:r>
        <w:rPr>
          <w:rFonts w:hint="eastAsia"/>
          <w:b w:val="0"/>
          <w:bCs w:val="0"/>
          <w:sz w:val="21"/>
          <w:szCs w:val="24"/>
          <w:lang w:val="en-US" w:eastAsia="zh-CN"/>
        </w:rPr>
        <w:t>注：冬季路面不洒水，冬季按100d计。</w:t>
      </w:r>
    </w:p>
    <w:p w14:paraId="3AA3896A">
      <w:pPr>
        <w:bidi w:val="0"/>
        <w:spacing w:line="360" w:lineRule="auto"/>
        <w:jc w:val="center"/>
        <w:rPr>
          <w:rFonts w:hint="default"/>
          <w:b/>
          <w:bCs/>
          <w:sz w:val="24"/>
          <w:szCs w:val="32"/>
          <w:lang w:val="en-US" w:eastAsia="zh-CN"/>
        </w:rPr>
      </w:pPr>
      <w:r>
        <w:rPr>
          <w:rFonts w:hint="eastAsia"/>
          <w:b/>
          <w:bCs/>
          <w:sz w:val="24"/>
          <w:szCs w:val="32"/>
          <w:lang w:val="en-US" w:eastAsia="zh-CN"/>
        </w:rPr>
        <w:t>表3.2-6  本项目新增原辅材料一览表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603"/>
        <w:gridCol w:w="1141"/>
        <w:gridCol w:w="1744"/>
        <w:gridCol w:w="1744"/>
        <w:gridCol w:w="1744"/>
      </w:tblGrid>
      <w:tr w14:paraId="7CAC9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51997320">
            <w:pPr>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序号</w:t>
            </w:r>
          </w:p>
        </w:tc>
        <w:tc>
          <w:tcPr>
            <w:tcW w:w="1744" w:type="dxa"/>
            <w:gridSpan w:val="2"/>
          </w:tcPr>
          <w:p w14:paraId="08413884">
            <w:pPr>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名称</w:t>
            </w:r>
          </w:p>
        </w:tc>
        <w:tc>
          <w:tcPr>
            <w:tcW w:w="1744" w:type="dxa"/>
          </w:tcPr>
          <w:p w14:paraId="3AE57BB6">
            <w:pPr>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包装形式</w:t>
            </w:r>
          </w:p>
        </w:tc>
        <w:tc>
          <w:tcPr>
            <w:tcW w:w="1744" w:type="dxa"/>
          </w:tcPr>
          <w:p w14:paraId="45443059">
            <w:pPr>
              <w:spacing w:line="240" w:lineRule="auto"/>
              <w:jc w:val="center"/>
              <w:rPr>
                <w:rFonts w:hint="default" w:ascii="Times New Roman" w:hAnsi="Times New Roman" w:eastAsia="宋体"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规格</w:t>
            </w:r>
          </w:p>
        </w:tc>
        <w:tc>
          <w:tcPr>
            <w:tcW w:w="1744" w:type="dxa"/>
          </w:tcPr>
          <w:p w14:paraId="45266B39">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用量</w:t>
            </w:r>
          </w:p>
        </w:tc>
      </w:tr>
      <w:tr w14:paraId="16DE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30A4845C">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1</w:t>
            </w:r>
          </w:p>
        </w:tc>
        <w:tc>
          <w:tcPr>
            <w:tcW w:w="1744" w:type="dxa"/>
            <w:gridSpan w:val="2"/>
          </w:tcPr>
          <w:p w14:paraId="184E886E">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原矿</w:t>
            </w:r>
          </w:p>
        </w:tc>
        <w:tc>
          <w:tcPr>
            <w:tcW w:w="1744" w:type="dxa"/>
          </w:tcPr>
          <w:p w14:paraId="50A6F3CF">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w:t>
            </w:r>
          </w:p>
        </w:tc>
        <w:tc>
          <w:tcPr>
            <w:tcW w:w="1744" w:type="dxa"/>
          </w:tcPr>
          <w:p w14:paraId="04C0DBC2">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w:t>
            </w:r>
          </w:p>
        </w:tc>
        <w:tc>
          <w:tcPr>
            <w:tcW w:w="1744" w:type="dxa"/>
          </w:tcPr>
          <w:p w14:paraId="028C6926">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20万t/a</w:t>
            </w:r>
          </w:p>
        </w:tc>
      </w:tr>
      <w:tr w14:paraId="649A0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7A794AAD">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w:t>
            </w:r>
          </w:p>
        </w:tc>
        <w:tc>
          <w:tcPr>
            <w:tcW w:w="603" w:type="dxa"/>
            <w:vMerge w:val="restart"/>
          </w:tcPr>
          <w:p w14:paraId="0F7CAC0B">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浮选药剂</w:t>
            </w:r>
          </w:p>
        </w:tc>
        <w:tc>
          <w:tcPr>
            <w:tcW w:w="1141" w:type="dxa"/>
            <w:vAlign w:val="top"/>
          </w:tcPr>
          <w:p w14:paraId="3F37AE93">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丁铵黑药</w:t>
            </w:r>
          </w:p>
        </w:tc>
        <w:tc>
          <w:tcPr>
            <w:tcW w:w="1744" w:type="dxa"/>
          </w:tcPr>
          <w:p w14:paraId="5CF745E6">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袋装</w:t>
            </w:r>
          </w:p>
        </w:tc>
        <w:tc>
          <w:tcPr>
            <w:tcW w:w="1744" w:type="dxa"/>
          </w:tcPr>
          <w:p w14:paraId="688C4439">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50kg/袋</w:t>
            </w:r>
          </w:p>
        </w:tc>
        <w:tc>
          <w:tcPr>
            <w:tcW w:w="1744" w:type="dxa"/>
          </w:tcPr>
          <w:p w14:paraId="561C5492">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7t/a</w:t>
            </w:r>
          </w:p>
        </w:tc>
      </w:tr>
      <w:tr w14:paraId="5CC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79C4C261">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3</w:t>
            </w:r>
          </w:p>
        </w:tc>
        <w:tc>
          <w:tcPr>
            <w:tcW w:w="603" w:type="dxa"/>
            <w:vMerge w:val="continue"/>
          </w:tcPr>
          <w:p w14:paraId="700639E0">
            <w:pPr>
              <w:spacing w:line="240" w:lineRule="auto"/>
              <w:jc w:val="center"/>
              <w:rPr>
                <w:rFonts w:hint="default" w:cs="Times New Roman"/>
                <w:b w:val="0"/>
                <w:bCs/>
                <w:color w:val="auto"/>
                <w:kern w:val="2"/>
                <w:sz w:val="21"/>
                <w:szCs w:val="21"/>
                <w:vertAlign w:val="baseline"/>
                <w:lang w:val="en-US" w:eastAsia="zh-CN" w:bidi="ar-SA"/>
              </w:rPr>
            </w:pPr>
          </w:p>
        </w:tc>
        <w:tc>
          <w:tcPr>
            <w:tcW w:w="1141" w:type="dxa"/>
            <w:vAlign w:val="top"/>
          </w:tcPr>
          <w:p w14:paraId="51BFDE3F">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丁基黄药</w:t>
            </w:r>
          </w:p>
        </w:tc>
        <w:tc>
          <w:tcPr>
            <w:tcW w:w="1744" w:type="dxa"/>
          </w:tcPr>
          <w:p w14:paraId="23BE4737">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袋装</w:t>
            </w:r>
          </w:p>
        </w:tc>
        <w:tc>
          <w:tcPr>
            <w:tcW w:w="1744" w:type="dxa"/>
          </w:tcPr>
          <w:p w14:paraId="7B0F591D">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50kg/袋</w:t>
            </w:r>
          </w:p>
        </w:tc>
        <w:tc>
          <w:tcPr>
            <w:tcW w:w="1744" w:type="dxa"/>
          </w:tcPr>
          <w:p w14:paraId="4E4BA3D3">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3.2t/a</w:t>
            </w:r>
          </w:p>
        </w:tc>
      </w:tr>
      <w:tr w14:paraId="7660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74878158">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4</w:t>
            </w:r>
          </w:p>
        </w:tc>
        <w:tc>
          <w:tcPr>
            <w:tcW w:w="603" w:type="dxa"/>
            <w:vMerge w:val="continue"/>
          </w:tcPr>
          <w:p w14:paraId="154EB4A2">
            <w:pPr>
              <w:spacing w:line="240" w:lineRule="auto"/>
              <w:jc w:val="center"/>
              <w:rPr>
                <w:rFonts w:hint="default" w:cs="Times New Roman"/>
                <w:b w:val="0"/>
                <w:bCs/>
                <w:color w:val="auto"/>
                <w:kern w:val="2"/>
                <w:sz w:val="21"/>
                <w:szCs w:val="21"/>
                <w:vertAlign w:val="baseline"/>
                <w:lang w:val="en-US" w:eastAsia="zh-CN" w:bidi="ar-SA"/>
              </w:rPr>
            </w:pPr>
          </w:p>
        </w:tc>
        <w:tc>
          <w:tcPr>
            <w:tcW w:w="1141" w:type="dxa"/>
            <w:vAlign w:val="top"/>
          </w:tcPr>
          <w:p w14:paraId="0053DDC5">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2号油</w:t>
            </w:r>
          </w:p>
        </w:tc>
        <w:tc>
          <w:tcPr>
            <w:tcW w:w="1744" w:type="dxa"/>
          </w:tcPr>
          <w:p w14:paraId="4CE987D4">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桶装</w:t>
            </w:r>
          </w:p>
        </w:tc>
        <w:tc>
          <w:tcPr>
            <w:tcW w:w="1744" w:type="dxa"/>
          </w:tcPr>
          <w:p w14:paraId="03178C74">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25kg/桶</w:t>
            </w:r>
          </w:p>
        </w:tc>
        <w:tc>
          <w:tcPr>
            <w:tcW w:w="1744" w:type="dxa"/>
          </w:tcPr>
          <w:p w14:paraId="41DDCDED">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6t/a</w:t>
            </w:r>
          </w:p>
        </w:tc>
      </w:tr>
      <w:tr w14:paraId="3236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28BCBDC5">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5</w:t>
            </w:r>
          </w:p>
        </w:tc>
        <w:tc>
          <w:tcPr>
            <w:tcW w:w="1744" w:type="dxa"/>
            <w:gridSpan w:val="2"/>
            <w:vAlign w:val="top"/>
          </w:tcPr>
          <w:p w14:paraId="6944AE2B">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钢球</w:t>
            </w:r>
          </w:p>
        </w:tc>
        <w:tc>
          <w:tcPr>
            <w:tcW w:w="1744" w:type="dxa"/>
          </w:tcPr>
          <w:p w14:paraId="32E327C5">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w:t>
            </w:r>
          </w:p>
        </w:tc>
        <w:tc>
          <w:tcPr>
            <w:tcW w:w="1744" w:type="dxa"/>
          </w:tcPr>
          <w:p w14:paraId="7F54132D">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w:t>
            </w:r>
          </w:p>
        </w:tc>
        <w:tc>
          <w:tcPr>
            <w:tcW w:w="1744" w:type="dxa"/>
          </w:tcPr>
          <w:p w14:paraId="18613E6D">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30t/a</w:t>
            </w:r>
          </w:p>
        </w:tc>
      </w:tr>
      <w:tr w14:paraId="3D96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Pr>
          <w:p w14:paraId="256B0936">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6</w:t>
            </w:r>
          </w:p>
        </w:tc>
        <w:tc>
          <w:tcPr>
            <w:tcW w:w="1744" w:type="dxa"/>
            <w:gridSpan w:val="2"/>
            <w:vAlign w:val="top"/>
          </w:tcPr>
          <w:p w14:paraId="0E456496">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机油</w:t>
            </w:r>
          </w:p>
        </w:tc>
        <w:tc>
          <w:tcPr>
            <w:tcW w:w="1744" w:type="dxa"/>
          </w:tcPr>
          <w:p w14:paraId="632905BA">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桶装</w:t>
            </w:r>
          </w:p>
        </w:tc>
        <w:tc>
          <w:tcPr>
            <w:tcW w:w="1744" w:type="dxa"/>
          </w:tcPr>
          <w:p w14:paraId="0DA37088">
            <w:pPr>
              <w:spacing w:line="240" w:lineRule="auto"/>
              <w:jc w:val="center"/>
              <w:rPr>
                <w:rFonts w:hint="eastAsia"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25kg/桶</w:t>
            </w:r>
          </w:p>
        </w:tc>
        <w:tc>
          <w:tcPr>
            <w:tcW w:w="1744" w:type="dxa"/>
          </w:tcPr>
          <w:p w14:paraId="7ABC3F19">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highlight w:val="none"/>
                <w:vertAlign w:val="baseline"/>
                <w:lang w:val="en-US" w:eastAsia="zh-CN" w:bidi="ar-SA"/>
              </w:rPr>
              <w:t>1t/a</w:t>
            </w:r>
          </w:p>
        </w:tc>
      </w:tr>
    </w:tbl>
    <w:p w14:paraId="32AA6B94">
      <w:pPr>
        <w:bidi w:val="0"/>
        <w:spacing w:line="360" w:lineRule="auto"/>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原辅料理化性质：</w:t>
      </w:r>
    </w:p>
    <w:p w14:paraId="7CF2CAB2">
      <w:pPr>
        <w:keepNext w:val="0"/>
        <w:keepLines w:val="0"/>
        <w:widowControl/>
        <w:numPr>
          <w:ilvl w:val="0"/>
          <w:numId w:val="0"/>
        </w:numPr>
        <w:suppressLineNumbers w:val="0"/>
        <w:jc w:val="left"/>
        <w:rPr>
          <w:rFonts w:hint="eastAsia" w:asciiTheme="minorEastAsia" w:hAnsiTheme="minorEastAsia" w:eastAsiaTheme="minorEastAsia" w:cstheme="minorEastAsia"/>
          <w:b/>
          <w:bCs/>
          <w:sz w:val="24"/>
          <w:szCs w:val="32"/>
          <w:lang w:val="en-US" w:eastAsia="zh-CN"/>
        </w:rPr>
      </w:pPr>
      <w:r>
        <w:rPr>
          <w:rFonts w:hint="eastAsia" w:asciiTheme="minorEastAsia" w:hAnsiTheme="minorEastAsia" w:eastAsiaTheme="minorEastAsia" w:cstheme="minorEastAsia"/>
          <w:b/>
          <w:bCs/>
          <w:sz w:val="24"/>
          <w:szCs w:val="32"/>
          <w:lang w:val="en-US" w:eastAsia="zh-CN"/>
        </w:rPr>
        <w:t>1、原矿</w:t>
      </w:r>
    </w:p>
    <w:p w14:paraId="16F3ECA3">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本项目原矿来自周边矿山，由汽车从井口运输到选矿厂，暂存于原料堆场，入选矿石量为</w:t>
      </w:r>
      <w:r>
        <w:rPr>
          <w:rFonts w:hint="default"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万</w:t>
      </w:r>
      <w:r>
        <w:rPr>
          <w:rFonts w:hint="default" w:ascii="Times New Roman" w:hAnsi="Times New Roman" w:eastAsia="宋体" w:cs="Times New Roman"/>
          <w:color w:val="000000"/>
          <w:kern w:val="0"/>
          <w:sz w:val="24"/>
          <w:szCs w:val="24"/>
          <w:lang w:val="en-US" w:eastAsia="zh-CN" w:bidi="ar"/>
        </w:rPr>
        <w:t>t/a</w:t>
      </w:r>
      <w:r>
        <w:rPr>
          <w:rFonts w:hint="eastAsia" w:ascii="宋体" w:hAnsi="宋体" w:eastAsia="宋体" w:cs="宋体"/>
          <w:color w:val="000000"/>
          <w:kern w:val="0"/>
          <w:sz w:val="24"/>
          <w:szCs w:val="24"/>
          <w:lang w:val="en-US" w:eastAsia="zh-CN" w:bidi="ar"/>
        </w:rPr>
        <w:t>，矿石块度</w:t>
      </w:r>
      <w:r>
        <w:rPr>
          <w:rFonts w:hint="default" w:ascii="Times New Roman" w:hAnsi="Times New Roman" w:eastAsia="宋体" w:cs="Times New Roman"/>
          <w:color w:val="000000"/>
          <w:kern w:val="0"/>
          <w:sz w:val="24"/>
          <w:szCs w:val="24"/>
          <w:lang w:val="en-US" w:eastAsia="zh-CN" w:bidi="ar"/>
        </w:rPr>
        <w:t>400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0mm</w:t>
      </w:r>
      <w:r>
        <w:rPr>
          <w:rFonts w:hint="eastAsia" w:ascii="宋体" w:hAnsi="宋体" w:eastAsia="宋体" w:cs="宋体"/>
          <w:color w:val="000000"/>
          <w:kern w:val="0"/>
          <w:sz w:val="24"/>
          <w:szCs w:val="24"/>
          <w:lang w:val="en-US" w:eastAsia="zh-CN" w:bidi="ar"/>
        </w:rPr>
        <w:t>。</w:t>
      </w:r>
    </w:p>
    <w:p w14:paraId="16422CC8">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（1）矿石类型 </w:t>
      </w:r>
    </w:p>
    <w:p w14:paraId="4911BA38">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矿区银矿石自然类型为石英～硫化物银矿石，根据矿石中硫化物类型及其相对含量可分为：石英～黄铁矿银矿石、石英～黄铁矿～方铅矿银矿石及石英～黄铁矿～方铅矿～闪锌矿～黄铜矿银矿石。银矿石的工业类型确定为含金、铅的石英-硫化物银矿石，其中金与银紧密伴生，为最主要的伴生元素。 </w:t>
      </w:r>
    </w:p>
    <w:p w14:paraId="5E24D984">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（2）矿石矿物组成 </w:t>
      </w:r>
    </w:p>
    <w:p w14:paraId="42111618">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矿区的银矿石是以银作为主要有用组分，同时伴生有金、铅和硫等可利用元素。 </w:t>
      </w:r>
    </w:p>
    <w:p w14:paraId="48124E9F">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（3）矿石结构构造 </w:t>
      </w:r>
    </w:p>
    <w:p w14:paraId="6FB0D772">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部分光片鉴定结果并结合对矿石的肉眼观察，矿石结构主要为自形粒状结构、他形粒状结构、乳滴状结构、交结结构、不混溶连晶结构等。矿石构造主要为条带状构造、脉状构造、细粒浸染构造、斑点状构造等。</w:t>
      </w:r>
    </w:p>
    <w:p w14:paraId="1C211C1F">
      <w:pPr>
        <w:keepNext w:val="0"/>
        <w:keepLines w:val="0"/>
        <w:widowControl/>
        <w:numPr>
          <w:ilvl w:val="0"/>
          <w:numId w:val="0"/>
        </w:numPr>
        <w:suppressLineNumbers w:val="0"/>
        <w:spacing w:line="360" w:lineRule="auto"/>
        <w:ind w:leftChars="0"/>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cs="Times New Roman"/>
          <w:b/>
          <w:bCs/>
          <w:color w:val="000000"/>
          <w:kern w:val="0"/>
          <w:sz w:val="24"/>
          <w:szCs w:val="24"/>
          <w:highlight w:val="none"/>
          <w:lang w:val="en-US" w:eastAsia="zh-CN" w:bidi="ar"/>
        </w:rPr>
        <w:t>2、</w:t>
      </w:r>
      <w:r>
        <w:rPr>
          <w:rFonts w:hint="default" w:ascii="Times New Roman" w:hAnsi="Times New Roman" w:eastAsia="宋体" w:cs="Times New Roman"/>
          <w:b/>
          <w:bCs/>
          <w:color w:val="000000"/>
          <w:kern w:val="0"/>
          <w:sz w:val="24"/>
          <w:szCs w:val="24"/>
          <w:highlight w:val="none"/>
          <w:lang w:val="en-US" w:eastAsia="zh-CN" w:bidi="ar"/>
        </w:rPr>
        <w:t>丁铵黑药</w:t>
      </w:r>
    </w:p>
    <w:p w14:paraId="218BB056">
      <w:pPr>
        <w:keepNext w:val="0"/>
        <w:keepLines w:val="0"/>
        <w:widowControl/>
        <w:numPr>
          <w:ilvl w:val="0"/>
          <w:numId w:val="0"/>
        </w:numPr>
        <w:suppressLineNumbers w:val="0"/>
        <w:spacing w:line="360" w:lineRule="auto"/>
        <w:ind w:leftChars="0" w:firstLine="480" w:firstLineChars="200"/>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主要成分二丁基二硫代磷酸铵，</w:t>
      </w:r>
      <w:r>
        <w:rPr>
          <w:rFonts w:hint="default" w:ascii="Times New Roman" w:hAnsi="Times New Roman" w:eastAsia="宋体" w:cs="Times New Roman"/>
          <w:color w:val="000000"/>
          <w:kern w:val="0"/>
          <w:sz w:val="24"/>
          <w:szCs w:val="24"/>
          <w:highlight w:val="none"/>
          <w:lang w:val="en-US" w:eastAsia="zh-CN" w:bidi="ar"/>
        </w:rPr>
        <w:t>分子式（C</w:t>
      </w:r>
      <w:r>
        <w:rPr>
          <w:rFonts w:hint="default" w:ascii="Times New Roman" w:hAnsi="Times New Roman" w:eastAsia="宋体" w:cs="Times New Roman"/>
          <w:color w:val="000000"/>
          <w:kern w:val="0"/>
          <w:sz w:val="24"/>
          <w:szCs w:val="24"/>
          <w:highlight w:val="none"/>
          <w:vertAlign w:val="subscript"/>
          <w:lang w:val="en-US" w:eastAsia="zh-CN" w:bidi="ar"/>
        </w:rPr>
        <w:t>4</w:t>
      </w:r>
      <w:r>
        <w:rPr>
          <w:rFonts w:hint="default" w:ascii="Times New Roman" w:hAnsi="Times New Roman" w:eastAsia="宋体" w:cs="Times New Roman"/>
          <w:color w:val="000000"/>
          <w:kern w:val="0"/>
          <w:sz w:val="24"/>
          <w:szCs w:val="24"/>
          <w:highlight w:val="none"/>
          <w:lang w:val="en-US" w:eastAsia="zh-CN" w:bidi="ar"/>
        </w:rPr>
        <w:t>H</w:t>
      </w:r>
      <w:r>
        <w:rPr>
          <w:rFonts w:hint="default" w:ascii="Times New Roman" w:hAnsi="Times New Roman" w:eastAsia="宋体" w:cs="Times New Roman"/>
          <w:color w:val="000000"/>
          <w:kern w:val="0"/>
          <w:sz w:val="24"/>
          <w:szCs w:val="24"/>
          <w:highlight w:val="none"/>
          <w:vertAlign w:val="subscript"/>
          <w:lang w:val="en-US" w:eastAsia="zh-CN" w:bidi="ar"/>
        </w:rPr>
        <w:t>9</w:t>
      </w:r>
      <w:r>
        <w:rPr>
          <w:rFonts w:hint="default" w:ascii="Times New Roman" w:hAnsi="Times New Roman" w:eastAsia="宋体" w:cs="Times New Roman"/>
          <w:color w:val="000000"/>
          <w:kern w:val="0"/>
          <w:sz w:val="24"/>
          <w:szCs w:val="24"/>
          <w:highlight w:val="none"/>
          <w:lang w:val="en-US" w:eastAsia="zh-CN" w:bidi="ar"/>
        </w:rPr>
        <w:t>O）2PSSNH</w:t>
      </w:r>
      <w:r>
        <w:rPr>
          <w:rFonts w:hint="default" w:ascii="Times New Roman" w:hAnsi="Times New Roman" w:eastAsia="宋体" w:cs="Times New Roman"/>
          <w:color w:val="000000"/>
          <w:kern w:val="0"/>
          <w:sz w:val="24"/>
          <w:szCs w:val="24"/>
          <w:highlight w:val="none"/>
          <w:vertAlign w:val="subscript"/>
          <w:lang w:val="en-US" w:eastAsia="zh-CN" w:bidi="ar"/>
        </w:rPr>
        <w:t>4</w:t>
      </w:r>
      <w:r>
        <w:rPr>
          <w:rFonts w:hint="default" w:ascii="Times New Roman" w:hAnsi="Times New Roman" w:eastAsia="宋体" w:cs="Times New Roman"/>
          <w:color w:val="000000"/>
          <w:kern w:val="0"/>
          <w:sz w:val="24"/>
          <w:szCs w:val="24"/>
          <w:highlight w:val="none"/>
          <w:lang w:val="en-US" w:eastAsia="zh-CN" w:bidi="ar"/>
        </w:rPr>
        <w:t>，白色粉</w:t>
      </w:r>
      <w:r>
        <w:rPr>
          <w:rFonts w:hint="eastAsia" w:ascii="宋体" w:hAnsi="宋体" w:eastAsia="宋体" w:cs="宋体"/>
          <w:color w:val="000000"/>
          <w:kern w:val="0"/>
          <w:sz w:val="24"/>
          <w:szCs w:val="24"/>
          <w:highlight w:val="none"/>
          <w:lang w:val="en-US" w:eastAsia="zh-CN" w:bidi="ar"/>
        </w:rPr>
        <w:t>状固体，无臭，在空气中潮解。丁铵黑药是有色金属矿石的优良捕收剂兼起泡剂。对铜、铅、银及活化了的锌的硫化矿以及难选多金属矿有特殊的分选效果。溶于水。易燃，对皮肤有轻微刺激性，轻微毒性。产品应放在阴凉、通风处，防潮、防火、防暴晒。</w:t>
      </w:r>
    </w:p>
    <w:p w14:paraId="72434947">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cs="Times New Roman"/>
          <w:b/>
          <w:bCs/>
          <w:color w:val="000000"/>
          <w:kern w:val="0"/>
          <w:sz w:val="24"/>
          <w:szCs w:val="24"/>
          <w:lang w:val="en-US" w:eastAsia="zh-CN" w:bidi="ar"/>
        </w:rPr>
        <w:t>3、</w:t>
      </w:r>
      <w:r>
        <w:rPr>
          <w:rFonts w:hint="default" w:ascii="Times New Roman" w:hAnsi="Times New Roman" w:eastAsia="宋体" w:cs="Times New Roman"/>
          <w:b/>
          <w:bCs/>
          <w:color w:val="000000"/>
          <w:kern w:val="0"/>
          <w:sz w:val="24"/>
          <w:szCs w:val="24"/>
          <w:lang w:val="en-US" w:eastAsia="zh-CN" w:bidi="ar"/>
        </w:rPr>
        <w:t>丁基黄药</w:t>
      </w:r>
    </w:p>
    <w:p w14:paraId="0C5EE9E8">
      <w:pPr>
        <w:keepNext w:val="0"/>
        <w:keepLines w:val="0"/>
        <w:widowControl/>
        <w:numPr>
          <w:ilvl w:val="0"/>
          <w:numId w:val="0"/>
        </w:numPr>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丁基黄药是浮选硫化矿物（方铅矿、黄铜矿、闪锌矿，黄铁矿等）最常用的捕收剂。黄药捕收力随其分子中烃基碳原子数的增加而增大，其溶解度减少。对所有重金属硫化矿都有捕收作用。对非硫化矿物（氧化物、碳酸盐、硫酸盐、硅酸盐等）需使用高级黄药才能取得好的捕收效果。丁基黄药的化学成分为丁基黄原酸盐。</w:t>
      </w:r>
      <w:r>
        <w:rPr>
          <w:rFonts w:hint="eastAsia" w:ascii="宋体" w:hAnsi="宋体" w:cs="宋体"/>
          <w:color w:val="000000"/>
          <w:kern w:val="0"/>
          <w:sz w:val="24"/>
          <w:szCs w:val="24"/>
          <w:lang w:val="en-US" w:eastAsia="zh-CN" w:bidi="ar"/>
        </w:rPr>
        <w:t>常温</w:t>
      </w:r>
      <w:r>
        <w:rPr>
          <w:rFonts w:hint="eastAsia" w:ascii="宋体" w:hAnsi="宋体" w:eastAsia="宋体" w:cs="宋体"/>
          <w:color w:val="000000"/>
          <w:kern w:val="0"/>
          <w:sz w:val="24"/>
          <w:szCs w:val="24"/>
          <w:lang w:val="en-US" w:eastAsia="zh-CN" w:bidi="ar"/>
        </w:rPr>
        <w:t>下是固体的黄色粉末，带有刺激性臭味，有毒；黄药易吸水潮解，不稳定，受热、受潮、遇酸碱分解应贮存于阴凉、干燥地；黄药为可燃物，易点火燃烧，在黄药车间附近和室内应设有防火工具和灭火器（如砂、水和泡沫灭火器等），一旦发生火警，以便急救；黄药易溶于水，溶解水中解离成黄原酸根阴离子和轻金属阳离子；黄原酸根阴离子在水溶液中遇金属阳离子生成对应的重金属黄原酸盐沉淀，为此具有捕收力；黄原酸离子水解又生成黄原酸，黄原酸为弱酸，不稳定，易分解成不起捕收作用的二硫化碳和醇。</w:t>
      </w:r>
    </w:p>
    <w:p w14:paraId="2F916C42">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000000"/>
          <w:kern w:val="0"/>
          <w:sz w:val="24"/>
          <w:szCs w:val="24"/>
          <w:highlight w:val="none"/>
          <w:lang w:val="en-US" w:eastAsia="zh-CN" w:bidi="ar"/>
        </w:rPr>
      </w:pPr>
      <w:r>
        <w:rPr>
          <w:rFonts w:hint="default" w:ascii="Times New Roman" w:hAnsi="Times New Roman" w:cs="Times New Roman"/>
          <w:b/>
          <w:bCs/>
          <w:color w:val="000000"/>
          <w:kern w:val="0"/>
          <w:sz w:val="24"/>
          <w:szCs w:val="24"/>
          <w:highlight w:val="none"/>
          <w:lang w:val="en-US" w:eastAsia="zh-CN" w:bidi="ar"/>
        </w:rPr>
        <w:t>4、2号油</w:t>
      </w:r>
    </w:p>
    <w:p w14:paraId="2863B755">
      <w:pPr>
        <w:keepNext w:val="0"/>
        <w:keepLines w:val="0"/>
        <w:widowControl/>
        <w:numPr>
          <w:ilvl w:val="0"/>
          <w:numId w:val="0"/>
        </w:numPr>
        <w:suppressLineNumbers w:val="0"/>
        <w:spacing w:line="360" w:lineRule="auto"/>
        <w:ind w:firstLine="480" w:firstLineChars="200"/>
        <w:jc w:val="left"/>
        <w:rPr>
          <w:rFonts w:hint="default" w:ascii="宋体" w:hAnsi="宋体" w:eastAsia="宋体" w:cs="宋体"/>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2号油</w:t>
      </w:r>
      <w:r>
        <w:rPr>
          <w:rFonts w:hint="default" w:ascii="Times New Roman" w:hAnsi="Times New Roman" w:eastAsia="宋体" w:cs="Times New Roman"/>
          <w:color w:val="000000"/>
          <w:kern w:val="0"/>
          <w:sz w:val="24"/>
          <w:szCs w:val="24"/>
          <w:highlight w:val="none"/>
          <w:lang w:val="en-US" w:eastAsia="zh-CN" w:bidi="ar"/>
        </w:rPr>
        <w:t>学名松醇油，是一种复合高级醇，分子式</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ROH(R-烷烃基)。淡黄色到棕红色液体，比重小于水，有刺激性气味。松醇油是可做为有色金属的优良起泡剂，俗称二号油，具</w:t>
      </w:r>
      <w:r>
        <w:rPr>
          <w:rFonts w:hint="default" w:ascii="宋体" w:hAnsi="宋体" w:eastAsia="宋体" w:cs="宋体"/>
          <w:color w:val="000000"/>
          <w:kern w:val="0"/>
          <w:sz w:val="24"/>
          <w:szCs w:val="24"/>
          <w:highlight w:val="none"/>
          <w:lang w:val="en-US" w:eastAsia="zh-CN" w:bidi="ar"/>
        </w:rPr>
        <w:t>有泡沫少，精矿品位高等特点。应避免火花及明火，贮存在阴凉处。</w:t>
      </w:r>
    </w:p>
    <w:p w14:paraId="232ECAF2">
      <w:pPr>
        <w:pStyle w:val="5"/>
        <w:bidi w:val="0"/>
        <w:rPr>
          <w:rFonts w:hint="default"/>
          <w:lang w:val="en-US" w:eastAsia="zh-CN"/>
        </w:rPr>
      </w:pPr>
      <w:r>
        <w:rPr>
          <w:rFonts w:hint="eastAsia"/>
          <w:lang w:val="en-US" w:eastAsia="zh-CN"/>
        </w:rPr>
        <w:t>3.2.5</w:t>
      </w:r>
      <w:r>
        <w:rPr>
          <w:rFonts w:hint="default"/>
          <w:lang w:val="en-US" w:eastAsia="zh-CN"/>
        </w:rPr>
        <w:t>总平面布置</w:t>
      </w:r>
      <w:r>
        <w:rPr>
          <w:rFonts w:hint="eastAsia"/>
          <w:lang w:val="en-US" w:eastAsia="zh-CN"/>
        </w:rPr>
        <w:t>情况</w:t>
      </w:r>
    </w:p>
    <w:p w14:paraId="532B1638">
      <w:pPr>
        <w:widowControl/>
        <w:spacing w:line="360" w:lineRule="auto"/>
        <w:ind w:firstLine="480" w:firstLineChars="200"/>
        <w:rPr>
          <w:rFonts w:hint="eastAsia" w:hAnsi="宋体"/>
          <w:bCs/>
          <w:color w:val="auto"/>
          <w:sz w:val="24"/>
          <w:highlight w:val="none"/>
          <w:lang w:val="en-US" w:eastAsia="zh-CN"/>
        </w:rPr>
        <w:sectPr>
          <w:footerReference r:id="rId5" w:type="default"/>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bookmarkStart w:id="65" w:name="_Toc436571627"/>
      <w:r>
        <w:rPr>
          <w:rFonts w:hint="eastAsia" w:cs="Times New Roman"/>
          <w:color w:val="auto"/>
          <w:kern w:val="2"/>
          <w:sz w:val="24"/>
          <w:szCs w:val="20"/>
          <w:lang w:val="en-US" w:eastAsia="zh-CN" w:bidi="ar-SA"/>
        </w:rPr>
        <w:t>本次改扩建项目在现有厂区及厂房内建设，不新增占地面积和构筑物，厂区总平面布置保持不变，企业</w:t>
      </w:r>
      <w:r>
        <w:rPr>
          <w:rFonts w:hint="eastAsia" w:eastAsia="宋体" w:cs="Times New Roman"/>
          <w:color w:val="auto"/>
          <w:kern w:val="2"/>
          <w:sz w:val="24"/>
          <w:szCs w:val="20"/>
          <w:lang w:val="en-US" w:eastAsia="zh-CN" w:bidi="ar-SA"/>
        </w:rPr>
        <w:t>生产区平面布局呈矩形状，由南向北依次为破碎区、选矿区，干排车间位于选矿区东侧，各生产设施布局紧凑合</w:t>
      </w:r>
      <w:r>
        <w:rPr>
          <w:rFonts w:hint="eastAsia" w:eastAsia="宋体" w:cs="Times New Roman"/>
          <w:color w:val="auto"/>
          <w:kern w:val="2"/>
          <w:sz w:val="24"/>
          <w:szCs w:val="20"/>
          <w:highlight w:val="none"/>
          <w:lang w:val="en-US" w:eastAsia="zh-CN" w:bidi="ar-SA"/>
        </w:rPr>
        <w:t>理。办公生活区位于生产区北侧，与生产区独立设置，厂区内布局合理</w:t>
      </w:r>
      <w:r>
        <w:rPr>
          <w:rFonts w:hAnsi="宋体"/>
          <w:bCs/>
          <w:color w:val="auto"/>
          <w:sz w:val="24"/>
          <w:highlight w:val="none"/>
        </w:rPr>
        <w:t>。</w:t>
      </w:r>
      <w:r>
        <w:rPr>
          <w:rFonts w:hint="eastAsia" w:hAnsi="宋体"/>
          <w:bCs/>
          <w:color w:val="auto"/>
          <w:sz w:val="24"/>
          <w:highlight w:val="none"/>
          <w:lang w:val="en-US" w:eastAsia="zh-CN"/>
        </w:rPr>
        <w:t>平面布置图如下。</w:t>
      </w:r>
    </w:p>
    <w:p w14:paraId="324ECD06">
      <w:pPr>
        <w:widowControl/>
        <w:spacing w:line="240" w:lineRule="auto"/>
      </w:pPr>
      <w:r>
        <w:drawing>
          <wp:anchor distT="0" distB="0" distL="114300" distR="114300" simplePos="0" relativeHeight="251880448" behindDoc="0" locked="0" layoutInCell="1" allowOverlap="1">
            <wp:simplePos x="0" y="0"/>
            <wp:positionH relativeFrom="column">
              <wp:posOffset>7955915</wp:posOffset>
            </wp:positionH>
            <wp:positionV relativeFrom="paragraph">
              <wp:posOffset>255270</wp:posOffset>
            </wp:positionV>
            <wp:extent cx="410210" cy="756285"/>
            <wp:effectExtent l="0" t="0" r="0" b="0"/>
            <wp:wrapNone/>
            <wp:docPr id="25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5"/>
                    <pic:cNvPicPr>
                      <a:picLocks noChangeAspect="1"/>
                    </pic:cNvPicPr>
                  </pic:nvPicPr>
                  <pic:blipFill>
                    <a:blip r:embed="rId34"/>
                    <a:srcRect t="915"/>
                    <a:stretch>
                      <a:fillRect/>
                    </a:stretch>
                  </pic:blipFill>
                  <pic:spPr>
                    <a:xfrm>
                      <a:off x="0" y="0"/>
                      <a:ext cx="410210" cy="756285"/>
                    </a:xfrm>
                    <a:prstGeom prst="rect">
                      <a:avLst/>
                    </a:prstGeom>
                    <a:noFill/>
                    <a:ln>
                      <a:noFill/>
                    </a:ln>
                  </pic:spPr>
                </pic:pic>
              </a:graphicData>
            </a:graphic>
          </wp:anchor>
        </w:drawing>
      </w:r>
      <w:r>
        <w:rPr>
          <w:sz w:val="21"/>
        </w:rPr>
        <mc:AlternateContent>
          <mc:Choice Requires="wps">
            <w:drawing>
              <wp:anchor distT="0" distB="0" distL="114300" distR="114300" simplePos="0" relativeHeight="251879424" behindDoc="0" locked="0" layoutInCell="1" allowOverlap="1">
                <wp:simplePos x="0" y="0"/>
                <wp:positionH relativeFrom="column">
                  <wp:posOffset>3526155</wp:posOffset>
                </wp:positionH>
                <wp:positionV relativeFrom="paragraph">
                  <wp:posOffset>3342005</wp:posOffset>
                </wp:positionV>
                <wp:extent cx="797560" cy="326390"/>
                <wp:effectExtent l="235585" t="0" r="0" b="0"/>
                <wp:wrapNone/>
                <wp:docPr id="258" name="文本框 258"/>
                <wp:cNvGraphicFramePr/>
                <a:graphic xmlns:a="http://schemas.openxmlformats.org/drawingml/2006/main">
                  <a:graphicData uri="http://schemas.microsoft.com/office/word/2010/wordprocessingShape">
                    <wps:wsp>
                      <wps:cNvSpPr txBox="1"/>
                      <wps:spPr>
                        <a:xfrm rot="2940000">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C8AA3C">
                            <w:pPr>
                              <w:rPr>
                                <w:rFonts w:hint="default" w:eastAsia="宋体"/>
                                <w:lang w:val="en-US" w:eastAsia="zh-CN"/>
                              </w:rPr>
                            </w:pPr>
                            <w:r>
                              <w:rPr>
                                <w:rFonts w:hint="eastAsia"/>
                                <w:lang w:val="en-US" w:eastAsia="zh-CN"/>
                              </w:rPr>
                              <w:t>输送带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7.65pt;margin-top:263.15pt;height:25.7pt;width:62.8pt;rotation:3211264f;z-index:251879424;mso-width-relative:page;mso-height-relative:page;" filled="f" stroked="f" coordsize="21600,21600" o:gfxdata="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uDYOdwAAAALAQAADwAAAAAAAAAB&#10;ACAAAAAiAAAAZHJzL2Rvd25yZXYueG1sUEsBAhQAFAAAAAgAh07iQNBwUodFAgAAdwQAAA4AAAAA&#10;AAAAAQAgAAAAKwEAAGRycy9lMm9Eb2MueG1sUEsFBgAAAAAGAAYAWQEAAOIFAAAAAA==&#10;">
                <v:fill on="f" focussize="0,0"/>
                <v:stroke on="f" weight="0.5pt"/>
                <v:imagedata o:title=""/>
                <o:lock v:ext="edit" aspectratio="f"/>
                <v:textbox>
                  <w:txbxContent>
                    <w:p w14:paraId="23C8AA3C">
                      <w:pPr>
                        <w:rPr>
                          <w:rFonts w:hint="default" w:eastAsia="宋体"/>
                          <w:lang w:val="en-US" w:eastAsia="zh-CN"/>
                        </w:rPr>
                      </w:pPr>
                      <w:r>
                        <w:rPr>
                          <w:rFonts w:hint="eastAsia"/>
                          <w:lang w:val="en-US" w:eastAsia="zh-CN"/>
                        </w:rPr>
                        <w:t>输送带</w:t>
                      </w:r>
                    </w:p>
                  </w:txbxContent>
                </v:textbox>
              </v:shape>
            </w:pict>
          </mc:Fallback>
        </mc:AlternateContent>
      </w:r>
      <w:r>
        <w:rPr>
          <w:sz w:val="21"/>
        </w:rPr>
        <mc:AlternateContent>
          <mc:Choice Requires="wps">
            <w:drawing>
              <wp:anchor distT="0" distB="0" distL="114300" distR="114300" simplePos="0" relativeHeight="251878400" behindDoc="0" locked="0" layoutInCell="1" allowOverlap="1">
                <wp:simplePos x="0" y="0"/>
                <wp:positionH relativeFrom="column">
                  <wp:posOffset>6514465</wp:posOffset>
                </wp:positionH>
                <wp:positionV relativeFrom="paragraph">
                  <wp:posOffset>4410710</wp:posOffset>
                </wp:positionV>
                <wp:extent cx="781685" cy="32639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78168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748698">
                            <w:pPr>
                              <w:rPr>
                                <w:rFonts w:hint="default" w:eastAsia="宋体"/>
                                <w:lang w:val="en-US" w:eastAsia="zh-CN"/>
                              </w:rPr>
                            </w:pPr>
                            <w:r>
                              <w:rPr>
                                <w:rFonts w:hint="eastAsia"/>
                                <w:lang w:val="en-US" w:eastAsia="zh-CN"/>
                              </w:rPr>
                              <w:t>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2.95pt;margin-top:347.3pt;height:25.7pt;width:61.55pt;z-index:251878400;mso-width-relative:page;mso-height-relative:page;" filled="f" stroked="f" coordsize="21600,21600" o:gfxdata="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FYoAX3dAAAADQEAAA8AAAAAAAAAAQAgAAAA&#10;IgAAAGRycy9kb3ducmV2LnhtbFBLAQIUABQAAAAIAIdO4kAIGUVzPwIAAGkEAAAOAAAAAAAAAAEA&#10;IAAAACwBAABkcnMvZTJvRG9jLnhtbFBLBQYAAAAABgAGAFkBAADdBQAAAAA=&#10;">
                <v:fill on="f" focussize="0,0"/>
                <v:stroke on="f" weight="0.5pt"/>
                <v:imagedata o:title=""/>
                <o:lock v:ext="edit" aspectratio="f"/>
                <v:textbox>
                  <w:txbxContent>
                    <w:p w14:paraId="3A748698">
                      <w:pPr>
                        <w:rPr>
                          <w:rFonts w:hint="default" w:eastAsia="宋体"/>
                          <w:lang w:val="en-US" w:eastAsia="zh-CN"/>
                        </w:rPr>
                      </w:pPr>
                      <w:r>
                        <w:rPr>
                          <w:rFonts w:hint="eastAsia"/>
                          <w:lang w:val="en-US" w:eastAsia="zh-CN"/>
                        </w:rPr>
                        <w:t>50m</w:t>
                      </w:r>
                    </w:p>
                  </w:txbxContent>
                </v:textbox>
              </v:shape>
            </w:pict>
          </mc:Fallback>
        </mc:AlternateContent>
      </w:r>
      <w:r>
        <w:rPr>
          <w:sz w:val="21"/>
        </w:rPr>
        <mc:AlternateContent>
          <mc:Choice Requires="wps">
            <w:drawing>
              <wp:anchor distT="0" distB="0" distL="114300" distR="114300" simplePos="0" relativeHeight="251877376" behindDoc="0" locked="0" layoutInCell="1" allowOverlap="1">
                <wp:simplePos x="0" y="0"/>
                <wp:positionH relativeFrom="column">
                  <wp:posOffset>3081655</wp:posOffset>
                </wp:positionH>
                <wp:positionV relativeFrom="paragraph">
                  <wp:posOffset>826135</wp:posOffset>
                </wp:positionV>
                <wp:extent cx="948055" cy="32639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94805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68EDB">
                            <w:pPr>
                              <w:rPr>
                                <w:rFonts w:hint="default" w:eastAsia="宋体"/>
                                <w:lang w:val="en-US" w:eastAsia="zh-CN"/>
                              </w:rPr>
                            </w:pPr>
                            <w:r>
                              <w:rPr>
                                <w:rFonts w:hint="eastAsia"/>
                                <w:lang w:val="en-US" w:eastAsia="zh-CN"/>
                              </w:rPr>
                              <w:t>危废贮存点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2.65pt;margin-top:65.05pt;height:25.7pt;width:74.65pt;z-index:251877376;mso-width-relative:page;mso-height-relative:page;" filled="f" stroked="f" coordsize="21600,21600" o:gfxdata="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3V8b92wAAAAsBAAAPAAAAAAAAAAEAIAAAACIA&#10;AABkcnMvZG93bnJldi54bWxQSwECFAAUAAAACACHTuJAnbgbtD8CAABpBAAADgAAAAAAAAABACAA&#10;AAAqAQAAZHJzL2Uyb0RvYy54bWxQSwUGAAAAAAYABgBZAQAA2wUAAAAA&#10;">
                <v:fill on="f" focussize="0,0"/>
                <v:stroke on="f" weight="0.5pt"/>
                <v:imagedata o:title=""/>
                <o:lock v:ext="edit" aspectratio="f"/>
                <v:textbox>
                  <w:txbxContent>
                    <w:p w14:paraId="31168EDB">
                      <w:pPr>
                        <w:rPr>
                          <w:rFonts w:hint="default" w:eastAsia="宋体"/>
                          <w:lang w:val="en-US" w:eastAsia="zh-CN"/>
                        </w:rPr>
                      </w:pPr>
                      <w:r>
                        <w:rPr>
                          <w:rFonts w:hint="eastAsia"/>
                          <w:lang w:val="en-US" w:eastAsia="zh-CN"/>
                        </w:rPr>
                        <w:t>危废贮存点</w:t>
                      </w:r>
                    </w:p>
                  </w:txbxContent>
                </v:textbox>
              </v:shape>
            </w:pict>
          </mc:Fallback>
        </mc:AlternateContent>
      </w:r>
      <w:r>
        <w:rPr>
          <w:sz w:val="21"/>
        </w:rPr>
        <mc:AlternateContent>
          <mc:Choice Requires="wps">
            <w:drawing>
              <wp:anchor distT="0" distB="0" distL="114300" distR="114300" simplePos="0" relativeHeight="251876352" behindDoc="0" locked="0" layoutInCell="1" allowOverlap="1">
                <wp:simplePos x="0" y="0"/>
                <wp:positionH relativeFrom="column">
                  <wp:posOffset>4104005</wp:posOffset>
                </wp:positionH>
                <wp:positionV relativeFrom="paragraph">
                  <wp:posOffset>3102610</wp:posOffset>
                </wp:positionV>
                <wp:extent cx="797560" cy="32639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F617E">
                            <w:pPr>
                              <w:rPr>
                                <w:rFonts w:hint="default" w:eastAsia="宋体"/>
                                <w:lang w:val="en-US" w:eastAsia="zh-CN"/>
                              </w:rPr>
                            </w:pPr>
                            <w:r>
                              <w:rPr>
                                <w:rFonts w:hint="eastAsia"/>
                                <w:lang w:val="en-US" w:eastAsia="zh-CN"/>
                              </w:rPr>
                              <w:t>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15pt;margin-top:244.3pt;height:25.7pt;width:62.8pt;z-index:251876352;mso-width-relative:page;mso-height-relative:page;" filled="f" stroked="f" coordsize="21600,21600" o:gfxdata="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SSPh9wAAAALAQAADwAAAAAAAAABACAAAAAi&#10;AAAAZHJzL2Rvd25yZXYueG1sUEsBAhQAFAAAAAgAh07iQBblArw/AgAAaQQAAA4AAAAAAAAAAQAg&#10;AAAAKwEAAGRycy9lMm9Eb2MueG1sUEsFBgAAAAAGAAYAWQEAANwFAAAAAA==&#10;">
                <v:fill on="f" focussize="0,0"/>
                <v:stroke on="f" weight="0.5pt"/>
                <v:imagedata o:title=""/>
                <o:lock v:ext="edit" aspectratio="f"/>
                <v:textbox>
                  <w:txbxContent>
                    <w:p w14:paraId="0C5F617E">
                      <w:pPr>
                        <w:rPr>
                          <w:rFonts w:hint="default" w:eastAsia="宋体"/>
                          <w:lang w:val="en-US" w:eastAsia="zh-CN"/>
                        </w:rPr>
                      </w:pPr>
                      <w:r>
                        <w:rPr>
                          <w:rFonts w:hint="eastAsia"/>
                          <w:lang w:val="en-US" w:eastAsia="zh-CN"/>
                        </w:rPr>
                        <w:t>排气筒</w:t>
                      </w:r>
                    </w:p>
                  </w:txbxContent>
                </v:textbox>
              </v:shape>
            </w:pict>
          </mc:Fallback>
        </mc:AlternateContent>
      </w:r>
      <w:r>
        <w:rPr>
          <w:sz w:val="21"/>
        </w:rPr>
        <mc:AlternateContent>
          <mc:Choice Requires="wps">
            <w:drawing>
              <wp:anchor distT="0" distB="0" distL="114300" distR="114300" simplePos="0" relativeHeight="251875328" behindDoc="0" locked="0" layoutInCell="1" allowOverlap="1">
                <wp:simplePos x="0" y="0"/>
                <wp:positionH relativeFrom="column">
                  <wp:posOffset>3808730</wp:posOffset>
                </wp:positionH>
                <wp:positionV relativeFrom="paragraph">
                  <wp:posOffset>2950210</wp:posOffset>
                </wp:positionV>
                <wp:extent cx="797560" cy="32639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638294">
                            <w:pPr>
                              <w:rPr>
                                <w:rFonts w:hint="default" w:eastAsia="宋体"/>
                                <w:lang w:val="en-US" w:eastAsia="zh-CN"/>
                              </w:rPr>
                            </w:pPr>
                            <w:r>
                              <w:rPr>
                                <w:rFonts w:hint="eastAsia"/>
                                <w:lang w:val="en-US" w:eastAsia="zh-CN"/>
                              </w:rPr>
                              <w:t>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9pt;margin-top:232.3pt;height:25.7pt;width:62.8pt;z-index:251875328;mso-width-relative:page;mso-height-relative:page;" filled="f" stroked="f" coordsize="21600,21600" o:gfxdata="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uhT0NwAAAALAQAADwAAAAAAAAABACAAAAAi&#10;AAAAZHJzL2Rvd25yZXYueG1sUEsBAhQAFAAAAAgAh07iQJvqGoo/AgAAaQQAAA4AAAAAAAAAAQAg&#10;AAAAKwEAAGRycy9lMm9Eb2MueG1sUEsFBgAAAAAGAAYAWQEAANwFAAAAAA==&#10;">
                <v:fill on="f" focussize="0,0"/>
                <v:stroke on="f" weight="0.5pt"/>
                <v:imagedata o:title=""/>
                <o:lock v:ext="edit" aspectratio="f"/>
                <v:textbox>
                  <w:txbxContent>
                    <w:p w14:paraId="55638294">
                      <w:pPr>
                        <w:rPr>
                          <w:rFonts w:hint="default" w:eastAsia="宋体"/>
                          <w:lang w:val="en-US" w:eastAsia="zh-CN"/>
                        </w:rPr>
                      </w:pPr>
                      <w:r>
                        <w:rPr>
                          <w:rFonts w:hint="eastAsia"/>
                          <w:lang w:val="en-US" w:eastAsia="zh-CN"/>
                        </w:rPr>
                        <w:t>除尘器</w:t>
                      </w:r>
                    </w:p>
                  </w:txbxContent>
                </v:textbox>
              </v:shape>
            </w:pict>
          </mc:Fallback>
        </mc:AlternateContent>
      </w:r>
      <w:r>
        <w:rPr>
          <w:sz w:val="21"/>
        </w:rPr>
        <mc:AlternateContent>
          <mc:Choice Requires="wps">
            <w:drawing>
              <wp:anchor distT="0" distB="0" distL="114300" distR="114300" simplePos="0" relativeHeight="251874304" behindDoc="0" locked="0" layoutInCell="1" allowOverlap="1">
                <wp:simplePos x="0" y="0"/>
                <wp:positionH relativeFrom="column">
                  <wp:posOffset>4386580</wp:posOffset>
                </wp:positionH>
                <wp:positionV relativeFrom="paragraph">
                  <wp:posOffset>2369820</wp:posOffset>
                </wp:positionV>
                <wp:extent cx="797560" cy="32639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59A514">
                            <w:pPr>
                              <w:rPr>
                                <w:rFonts w:hint="default" w:eastAsia="宋体"/>
                                <w:lang w:val="en-US" w:eastAsia="zh-CN"/>
                              </w:rPr>
                            </w:pPr>
                            <w:r>
                              <w:rPr>
                                <w:rFonts w:hint="eastAsia"/>
                                <w:lang w:val="en-US" w:eastAsia="zh-CN"/>
                              </w:rPr>
                              <w:t>干排车间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5.4pt;margin-top:186.6pt;height:25.7pt;width:62.8pt;z-index:251874304;mso-width-relative:page;mso-height-relative:page;" filled="f" stroked="f" coordsize="21600,21600" o:gfxdata="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5kjR9wAAAALAQAADwAAAAAAAAABACAAAAAi&#10;AAAAZHJzL2Rvd25yZXYueG1sUEsBAhQAFAAAAAgAh07iQCcsda0/AgAAaQQAAA4AAAAAAAAAAQAg&#10;AAAAKwEAAGRycy9lMm9Eb2MueG1sUEsFBgAAAAAGAAYAWQEAANwFAAAAAA==&#10;">
                <v:fill on="f" focussize="0,0"/>
                <v:stroke on="f" weight="0.5pt"/>
                <v:imagedata o:title=""/>
                <o:lock v:ext="edit" aspectratio="f"/>
                <v:textbox>
                  <w:txbxContent>
                    <w:p w14:paraId="2E59A514">
                      <w:pPr>
                        <w:rPr>
                          <w:rFonts w:hint="default" w:eastAsia="宋体"/>
                          <w:lang w:val="en-US" w:eastAsia="zh-CN"/>
                        </w:rPr>
                      </w:pPr>
                      <w:r>
                        <w:rPr>
                          <w:rFonts w:hint="eastAsia"/>
                          <w:lang w:val="en-US" w:eastAsia="zh-CN"/>
                        </w:rPr>
                        <w:t>干排车间</w:t>
                      </w:r>
                    </w:p>
                  </w:txbxContent>
                </v:textbox>
              </v:shape>
            </w:pict>
          </mc:Fallback>
        </mc:AlternateContent>
      </w:r>
      <w:r>
        <w:rPr>
          <w:sz w:val="21"/>
        </w:rPr>
        <mc:AlternateContent>
          <mc:Choice Requires="wps">
            <w:drawing>
              <wp:anchor distT="0" distB="0" distL="114300" distR="114300" simplePos="0" relativeHeight="251873280" behindDoc="0" locked="0" layoutInCell="1" allowOverlap="1">
                <wp:simplePos x="0" y="0"/>
                <wp:positionH relativeFrom="column">
                  <wp:posOffset>4225925</wp:posOffset>
                </wp:positionH>
                <wp:positionV relativeFrom="paragraph">
                  <wp:posOffset>3622675</wp:posOffset>
                </wp:positionV>
                <wp:extent cx="797560" cy="326390"/>
                <wp:effectExtent l="0" t="0" r="0" b="0"/>
                <wp:wrapNone/>
                <wp:docPr id="237" name="文本框 237"/>
                <wp:cNvGraphicFramePr/>
                <a:graphic xmlns:a="http://schemas.openxmlformats.org/drawingml/2006/main">
                  <a:graphicData uri="http://schemas.microsoft.com/office/word/2010/wordprocessingShape">
                    <wps:wsp>
                      <wps:cNvSpPr txBox="1"/>
                      <wps:spPr>
                        <a:xfrm>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F216A5">
                            <w:pPr>
                              <w:rPr>
                                <w:rFonts w:hint="default" w:eastAsia="宋体"/>
                                <w:lang w:val="en-US" w:eastAsia="zh-CN"/>
                              </w:rPr>
                            </w:pPr>
                            <w:r>
                              <w:rPr>
                                <w:rFonts w:hint="eastAsia"/>
                                <w:lang w:val="en-US" w:eastAsia="zh-CN"/>
                              </w:rPr>
                              <w:t>破碎区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75pt;margin-top:285.25pt;height:25.7pt;width:62.8pt;z-index:251873280;mso-width-relative:page;mso-height-relative:page;" filled="f" stroked="f" coordsize="21600,21600" o:gfxdata="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OQg92wAAAAsBAAAPAAAAAAAAAAEAIAAAACIA&#10;AABkcnMvZG93bnJldi54bWxQSwECFAAUAAAACACHTuJA4qdQDD8CAABpBAAADgAAAAAAAAABACAA&#10;AAAqAQAAZHJzL2Uyb0RvYy54bWxQSwUGAAAAAAYABgBZAQAA2wUAAAAA&#10;">
                <v:fill on="f" focussize="0,0"/>
                <v:stroke on="f" weight="0.5pt"/>
                <v:imagedata o:title=""/>
                <o:lock v:ext="edit" aspectratio="f"/>
                <v:textbox>
                  <w:txbxContent>
                    <w:p w14:paraId="03F216A5">
                      <w:pPr>
                        <w:rPr>
                          <w:rFonts w:hint="default" w:eastAsia="宋体"/>
                          <w:lang w:val="en-US" w:eastAsia="zh-CN"/>
                        </w:rPr>
                      </w:pPr>
                      <w:r>
                        <w:rPr>
                          <w:rFonts w:hint="eastAsia"/>
                          <w:lang w:val="en-US" w:eastAsia="zh-CN"/>
                        </w:rPr>
                        <w:t>破碎区</w:t>
                      </w:r>
                    </w:p>
                  </w:txbxContent>
                </v:textbox>
              </v:shape>
            </w:pict>
          </mc:Fallback>
        </mc:AlternateContent>
      </w:r>
      <w:r>
        <w:rPr>
          <w:sz w:val="21"/>
        </w:rPr>
        <mc:AlternateContent>
          <mc:Choice Requires="wps">
            <w:drawing>
              <wp:anchor distT="0" distB="0" distL="114300" distR="114300" simplePos="0" relativeHeight="251872256" behindDoc="0" locked="0" layoutInCell="1" allowOverlap="1">
                <wp:simplePos x="0" y="0"/>
                <wp:positionH relativeFrom="column">
                  <wp:posOffset>3011805</wp:posOffset>
                </wp:positionH>
                <wp:positionV relativeFrom="paragraph">
                  <wp:posOffset>3471545</wp:posOffset>
                </wp:positionV>
                <wp:extent cx="797560" cy="4445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797560" cy="444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07E34F">
                            <w:pPr>
                              <w:rPr>
                                <w:rFonts w:hint="default" w:eastAsia="宋体"/>
                                <w:lang w:val="en-US" w:eastAsia="zh-CN"/>
                              </w:rPr>
                            </w:pPr>
                            <w:r>
                              <w:rPr>
                                <w:rFonts w:hint="eastAsia"/>
                                <w:lang w:val="en-US" w:eastAsia="zh-CN"/>
                              </w:rPr>
                              <w:t>原料堆场（散堆）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7.15pt;margin-top:273.35pt;height:35pt;width:62.8pt;z-index:251872256;mso-width-relative:page;mso-height-relative:page;" filled="f" stroked="f" coordsize="21600,21600" o:gfxdata="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COEVdwAAAALAQAADwAAAAAAAAABACAAAAAi&#10;AAAAZHJzL2Rvd25yZXYueG1sUEsBAhQAFAAAAAgAh07iQA01iOI/AgAAaQQAAA4AAAAAAAAAAQAg&#10;AAAAKwEAAGRycy9lMm9Eb2MueG1sUEsFBgAAAAAGAAYAWQEAANwFAAAAAA==&#10;">
                <v:fill on="f" focussize="0,0"/>
                <v:stroke on="f" weight="0.5pt"/>
                <v:imagedata o:title=""/>
                <o:lock v:ext="edit" aspectratio="f"/>
                <v:textbox>
                  <w:txbxContent>
                    <w:p w14:paraId="4A07E34F">
                      <w:pPr>
                        <w:rPr>
                          <w:rFonts w:hint="default" w:eastAsia="宋体"/>
                          <w:lang w:val="en-US" w:eastAsia="zh-CN"/>
                        </w:rPr>
                      </w:pPr>
                      <w:r>
                        <w:rPr>
                          <w:rFonts w:hint="eastAsia"/>
                          <w:lang w:val="en-US" w:eastAsia="zh-CN"/>
                        </w:rPr>
                        <w:t>原料堆场（散堆）</w:t>
                      </w:r>
                    </w:p>
                  </w:txbxContent>
                </v:textbox>
              </v:shape>
            </w:pict>
          </mc:Fallback>
        </mc:AlternateContent>
      </w:r>
      <w:r>
        <w:rPr>
          <w:sz w:val="21"/>
        </w:rPr>
        <mc:AlternateContent>
          <mc:Choice Requires="wps">
            <w:drawing>
              <wp:anchor distT="0" distB="0" distL="114300" distR="114300" simplePos="0" relativeHeight="251871232" behindDoc="0" locked="0" layoutInCell="1" allowOverlap="1">
                <wp:simplePos x="0" y="0"/>
                <wp:positionH relativeFrom="column">
                  <wp:posOffset>3105150</wp:posOffset>
                </wp:positionH>
                <wp:positionV relativeFrom="paragraph">
                  <wp:posOffset>2684145</wp:posOffset>
                </wp:positionV>
                <wp:extent cx="797560" cy="32639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E3E02">
                            <w:pPr>
                              <w:rPr>
                                <w:rFonts w:hint="default" w:eastAsia="宋体"/>
                                <w:lang w:val="en-US" w:eastAsia="zh-CN"/>
                              </w:rPr>
                            </w:pPr>
                            <w:r>
                              <w:rPr>
                                <w:rFonts w:hint="eastAsia"/>
                                <w:lang w:val="en-US" w:eastAsia="zh-CN"/>
                              </w:rPr>
                              <w:t>选矿车间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5pt;margin-top:211.35pt;height:25.7pt;width:62.8pt;z-index:251871232;mso-width-relative:page;mso-height-relative:page;" filled="f" stroked="f" coordsize="21600,21600" o:gfxdata="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r1yBtwAAAALAQAADwAAAAAAAAABACAAAAAi&#10;AAAAZHJzL2Rvd25yZXYueG1sUEsBAhQAFAAAAAgAh07iQNaZMNQ/AgAAaQQAAA4AAAAAAAAAAQAg&#10;AAAAKwEAAGRycy9lMm9Eb2MueG1sUEsFBgAAAAAGAAYAWQEAANwFAAAAAA==&#10;">
                <v:fill on="f" focussize="0,0"/>
                <v:stroke on="f" weight="0.5pt"/>
                <v:imagedata o:title=""/>
                <o:lock v:ext="edit" aspectratio="f"/>
                <v:textbox>
                  <w:txbxContent>
                    <w:p w14:paraId="282E3E02">
                      <w:pPr>
                        <w:rPr>
                          <w:rFonts w:hint="default" w:eastAsia="宋体"/>
                          <w:lang w:val="en-US" w:eastAsia="zh-CN"/>
                        </w:rPr>
                      </w:pPr>
                      <w:r>
                        <w:rPr>
                          <w:rFonts w:hint="eastAsia"/>
                          <w:lang w:val="en-US" w:eastAsia="zh-CN"/>
                        </w:rPr>
                        <w:t>选矿车间</w:t>
                      </w:r>
                    </w:p>
                  </w:txbxContent>
                </v:textbox>
              </v:shape>
            </w:pict>
          </mc:Fallback>
        </mc:AlternateContent>
      </w:r>
      <w:r>
        <w:rPr>
          <w:sz w:val="21"/>
        </w:rPr>
        <mc:AlternateContent>
          <mc:Choice Requires="wps">
            <w:drawing>
              <wp:anchor distT="0" distB="0" distL="114300" distR="114300" simplePos="0" relativeHeight="251870208" behindDoc="0" locked="0" layoutInCell="1" allowOverlap="1">
                <wp:simplePos x="0" y="0"/>
                <wp:positionH relativeFrom="column">
                  <wp:posOffset>2343150</wp:posOffset>
                </wp:positionH>
                <wp:positionV relativeFrom="paragraph">
                  <wp:posOffset>2573020</wp:posOffset>
                </wp:positionV>
                <wp:extent cx="797560" cy="326390"/>
                <wp:effectExtent l="0" t="0" r="0" b="0"/>
                <wp:wrapNone/>
                <wp:docPr id="224" name="文本框 224"/>
                <wp:cNvGraphicFramePr/>
                <a:graphic xmlns:a="http://schemas.openxmlformats.org/drawingml/2006/main">
                  <a:graphicData uri="http://schemas.microsoft.com/office/word/2010/wordprocessingShape">
                    <wps:wsp>
                      <wps:cNvSpPr txBox="1"/>
                      <wps:spPr>
                        <a:xfrm rot="19140000">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97858">
                            <w:pPr>
                              <w:rPr>
                                <w:rFonts w:hint="default" w:eastAsia="宋体"/>
                                <w:lang w:val="en-US" w:eastAsia="zh-CN"/>
                              </w:rPr>
                            </w:pPr>
                            <w:r>
                              <w:rPr>
                                <w:rFonts w:hint="eastAsia"/>
                                <w:lang w:val="en-US" w:eastAsia="zh-CN"/>
                              </w:rPr>
                              <w:t>成品库房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4.5pt;margin-top:202.6pt;height:25.7pt;width:62.8pt;rotation:-2686976f;z-index:251870208;mso-width-relative:page;mso-height-relative:page;" filled="f" stroked="f" coordsize="21600,21600" o:gfxdata="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yHS+9sAAAALAQAADwAAAAAAAAAB&#10;ACAAAAAiAAAAZHJzL2Rvd25yZXYueG1sUEsBAhQAFAAAAAgAh07iQEZ+llpGAgAAeAQAAA4AAAAA&#10;AAAAAQAgAAAAKgEAAGRycy9lMm9Eb2MueG1sUEsFBgAAAAAGAAYAWQEAAOIFAAAAAA==&#10;">
                <v:fill on="f" focussize="0,0"/>
                <v:stroke on="f" weight="0.5pt"/>
                <v:imagedata o:title=""/>
                <o:lock v:ext="edit" aspectratio="f"/>
                <v:textbox>
                  <w:txbxContent>
                    <w:p w14:paraId="4E297858">
                      <w:pPr>
                        <w:rPr>
                          <w:rFonts w:hint="default" w:eastAsia="宋体"/>
                          <w:lang w:val="en-US" w:eastAsia="zh-CN"/>
                        </w:rPr>
                      </w:pPr>
                      <w:r>
                        <w:rPr>
                          <w:rFonts w:hint="eastAsia"/>
                          <w:lang w:val="en-US" w:eastAsia="zh-CN"/>
                        </w:rPr>
                        <w:t>成品库房</w:t>
                      </w:r>
                    </w:p>
                  </w:txbxContent>
                </v:textbox>
              </v:shape>
            </w:pict>
          </mc:Fallback>
        </mc:AlternateContent>
      </w:r>
      <w:r>
        <w:rPr>
          <w:sz w:val="21"/>
        </w:rPr>
        <mc:AlternateContent>
          <mc:Choice Requires="wps">
            <w:drawing>
              <wp:anchor distT="0" distB="0" distL="114300" distR="114300" simplePos="0" relativeHeight="251869184" behindDoc="0" locked="0" layoutInCell="1" allowOverlap="1">
                <wp:simplePos x="0" y="0"/>
                <wp:positionH relativeFrom="column">
                  <wp:posOffset>4210685</wp:posOffset>
                </wp:positionH>
                <wp:positionV relativeFrom="paragraph">
                  <wp:posOffset>1725930</wp:posOffset>
                </wp:positionV>
                <wp:extent cx="781685" cy="32639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78168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19E6F9">
                            <w:pPr>
                              <w:rPr>
                                <w:rFonts w:hint="default" w:eastAsia="宋体"/>
                                <w:lang w:val="en-US" w:eastAsia="zh-CN"/>
                              </w:rPr>
                            </w:pPr>
                            <w:r>
                              <w:rPr>
                                <w:rFonts w:hint="eastAsia"/>
                                <w:lang w:val="en-US" w:eastAsia="zh-CN"/>
                              </w:rPr>
                              <w:t>循环水池池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55pt;margin-top:135.9pt;height:25.7pt;width:61.55pt;z-index:251869184;mso-width-relative:page;mso-height-relative:page;" filled="f" stroked="f" coordsize="21600,21600" o:gfxdata="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VnngF9wAAAALAQAADwAAAAAAAAABACAAAAAi&#10;AAAAZHJzL2Rvd25yZXYueG1sUEsBAhQAFAAAAAgAh07iQJmSGT4/AgAAaQQAAA4AAAAAAAAAAQAg&#10;AAAAKwEAAGRycy9lMm9Eb2MueG1sUEsFBgAAAAAGAAYAWQEAANwFAAAAAA==&#10;">
                <v:fill on="f" focussize="0,0"/>
                <v:stroke on="f" weight="0.5pt"/>
                <v:imagedata o:title=""/>
                <o:lock v:ext="edit" aspectratio="f"/>
                <v:textbox>
                  <w:txbxContent>
                    <w:p w14:paraId="6F19E6F9">
                      <w:pPr>
                        <w:rPr>
                          <w:rFonts w:hint="default" w:eastAsia="宋体"/>
                          <w:lang w:val="en-US" w:eastAsia="zh-CN"/>
                        </w:rPr>
                      </w:pPr>
                      <w:r>
                        <w:rPr>
                          <w:rFonts w:hint="eastAsia"/>
                          <w:lang w:val="en-US" w:eastAsia="zh-CN"/>
                        </w:rPr>
                        <w:t>循环水池池</w:t>
                      </w:r>
                    </w:p>
                  </w:txbxContent>
                </v:textbox>
              </v:shape>
            </w:pict>
          </mc:Fallback>
        </mc:AlternateContent>
      </w:r>
      <w:r>
        <w:rPr>
          <w:sz w:val="21"/>
        </w:rPr>
        <mc:AlternateContent>
          <mc:Choice Requires="wps">
            <w:drawing>
              <wp:anchor distT="0" distB="0" distL="114300" distR="114300" simplePos="0" relativeHeight="251868160" behindDoc="0" locked="0" layoutInCell="1" allowOverlap="1">
                <wp:simplePos x="0" y="0"/>
                <wp:positionH relativeFrom="column">
                  <wp:posOffset>3970655</wp:posOffset>
                </wp:positionH>
                <wp:positionV relativeFrom="paragraph">
                  <wp:posOffset>1422400</wp:posOffset>
                </wp:positionV>
                <wp:extent cx="781685" cy="32639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781685"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A54F5">
                            <w:pPr>
                              <w:rPr>
                                <w:rFonts w:hint="default" w:eastAsia="宋体"/>
                                <w:lang w:val="en-US" w:eastAsia="zh-CN"/>
                              </w:rPr>
                            </w:pPr>
                            <w:r>
                              <w:rPr>
                                <w:rFonts w:hint="eastAsia"/>
                                <w:lang w:val="en-US" w:eastAsia="zh-CN"/>
                              </w:rPr>
                              <w:t>循环水池池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65pt;margin-top:112pt;height:25.7pt;width:61.55pt;z-index:251868160;mso-width-relative:page;mso-height-relative:page;" filled="f" stroked="f" coordsize="21600,21600" o:gfxdata="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spFn3AAAAAsBAAAPAAAAAAAAAAEAIAAAACIA&#10;AABkcnMvZG93bnJldi54bWxQSwECFAAUAAAACACHTuJAFJ0BCD4CAABpBAAADgAAAAAAAAABACAA&#10;AAArAQAAZHJzL2Uyb0RvYy54bWxQSwUGAAAAAAYABgBZAQAA2wUAAAAA&#10;">
                <v:fill on="f" focussize="0,0"/>
                <v:stroke on="f" weight="0.5pt"/>
                <v:imagedata o:title=""/>
                <o:lock v:ext="edit" aspectratio="f"/>
                <v:textbox>
                  <w:txbxContent>
                    <w:p w14:paraId="7DFA54F5">
                      <w:pPr>
                        <w:rPr>
                          <w:rFonts w:hint="default" w:eastAsia="宋体"/>
                          <w:lang w:val="en-US" w:eastAsia="zh-CN"/>
                        </w:rPr>
                      </w:pPr>
                      <w:r>
                        <w:rPr>
                          <w:rFonts w:hint="eastAsia"/>
                          <w:lang w:val="en-US" w:eastAsia="zh-CN"/>
                        </w:rPr>
                        <w:t>循环水池池</w:t>
                      </w:r>
                    </w:p>
                  </w:txbxContent>
                </v:textbox>
              </v:shape>
            </w:pict>
          </mc:Fallback>
        </mc:AlternateContent>
      </w:r>
      <w:r>
        <w:rPr>
          <w:sz w:val="21"/>
        </w:rPr>
        <mc:AlternateContent>
          <mc:Choice Requires="wps">
            <w:drawing>
              <wp:anchor distT="0" distB="0" distL="114300" distR="114300" simplePos="0" relativeHeight="251867136" behindDoc="0" locked="0" layoutInCell="1" allowOverlap="1">
                <wp:simplePos x="0" y="0"/>
                <wp:positionH relativeFrom="column">
                  <wp:posOffset>3802380</wp:posOffset>
                </wp:positionH>
                <wp:positionV relativeFrom="paragraph">
                  <wp:posOffset>1166495</wp:posOffset>
                </wp:positionV>
                <wp:extent cx="797560" cy="32639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9548D9">
                            <w:pPr>
                              <w:rPr>
                                <w:rFonts w:hint="default" w:eastAsia="宋体"/>
                                <w:lang w:val="en-US" w:eastAsia="zh-CN"/>
                              </w:rPr>
                            </w:pPr>
                            <w:r>
                              <w:rPr>
                                <w:rFonts w:hint="eastAsia"/>
                                <w:lang w:val="en-US" w:eastAsia="zh-CN"/>
                              </w:rPr>
                              <w:t>事故池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9.4pt;margin-top:91.85pt;height:25.7pt;width:62.8pt;z-index:251867136;mso-width-relative:page;mso-height-relative:page;" filled="f" stroked="f" coordsize="21600,21600" o:gfxdata="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5uKr9wAAAALAQAADwAAAAAAAAABACAAAAAi&#10;AAAAZHJzL2Rvd25yZXYueG1sUEsBAhQAFAAAAAgAh07iQD5fJh8/AgAAaQQAAA4AAAAAAAAAAQAg&#10;AAAAKwEAAGRycy9lMm9Eb2MueG1sUEsFBgAAAAAGAAYAWQEAANwFAAAAAA==&#10;">
                <v:fill on="f" focussize="0,0"/>
                <v:stroke on="f" weight="0.5pt"/>
                <v:imagedata o:title=""/>
                <o:lock v:ext="edit" aspectratio="f"/>
                <v:textbox>
                  <w:txbxContent>
                    <w:p w14:paraId="059548D9">
                      <w:pPr>
                        <w:rPr>
                          <w:rFonts w:hint="default" w:eastAsia="宋体"/>
                          <w:lang w:val="en-US" w:eastAsia="zh-CN"/>
                        </w:rPr>
                      </w:pPr>
                      <w:r>
                        <w:rPr>
                          <w:rFonts w:hint="eastAsia"/>
                          <w:lang w:val="en-US" w:eastAsia="zh-CN"/>
                        </w:rPr>
                        <w:t>事故池</w:t>
                      </w:r>
                    </w:p>
                  </w:txbxContent>
                </v:textbox>
              </v:shape>
            </w:pict>
          </mc:Fallback>
        </mc:AlternateContent>
      </w:r>
      <w:r>
        <w:rPr>
          <w:sz w:val="21"/>
        </w:rPr>
        <mc:AlternateContent>
          <mc:Choice Requires="wps">
            <w:drawing>
              <wp:anchor distT="0" distB="0" distL="114300" distR="114300" simplePos="0" relativeHeight="251866112" behindDoc="0" locked="0" layoutInCell="1" allowOverlap="1">
                <wp:simplePos x="0" y="0"/>
                <wp:positionH relativeFrom="column">
                  <wp:posOffset>2618105</wp:posOffset>
                </wp:positionH>
                <wp:positionV relativeFrom="paragraph">
                  <wp:posOffset>704215</wp:posOffset>
                </wp:positionV>
                <wp:extent cx="797560" cy="326390"/>
                <wp:effectExtent l="0" t="0" r="0" b="0"/>
                <wp:wrapNone/>
                <wp:docPr id="211" name="文本框 211"/>
                <wp:cNvGraphicFramePr/>
                <a:graphic xmlns:a="http://schemas.openxmlformats.org/drawingml/2006/main">
                  <a:graphicData uri="http://schemas.microsoft.com/office/word/2010/wordprocessingShape">
                    <wps:wsp>
                      <wps:cNvSpPr txBox="1"/>
                      <wps:spPr>
                        <a:xfrm rot="19200000">
                          <a:off x="4096385" y="2058035"/>
                          <a:ext cx="797560" cy="326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F1861B">
                            <w:pPr>
                              <w:rPr>
                                <w:rFonts w:hint="eastAsia" w:eastAsia="宋体"/>
                                <w:lang w:val="en-US" w:eastAsia="zh-CN"/>
                              </w:rPr>
                            </w:pPr>
                            <w:r>
                              <w:rPr>
                                <w:rFonts w:hint="eastAsia"/>
                                <w:lang w:val="en-US" w:eastAsia="zh-CN"/>
                              </w:rPr>
                              <w:t>办公室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55.45pt;height:25.7pt;width:62.8pt;rotation:-2621440f;z-index:251866112;mso-width-relative:page;mso-height-relative:page;" filled="f" stroked="f" coordsize="21600,21600" o:gfxdata="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d3PjNoAAAAL&#10;AQAADwAAAAAAAAABACAAAAAiAAAAZHJzL2Rvd25yZXYueG1sUEsBAhQAFAAAAAgAh07iQDQIOCBT&#10;AgAAhAQAAA4AAAAAAAAAAQAgAAAAKQEAAGRycy9lMm9Eb2MueG1sUEsFBgAAAAAGAAYAWQEAAO4F&#10;AAAAAA==&#10;">
                <v:fill on="f" focussize="0,0"/>
                <v:stroke on="f" weight="0.5pt"/>
                <v:imagedata o:title=""/>
                <o:lock v:ext="edit" aspectratio="f"/>
                <v:textbox>
                  <w:txbxContent>
                    <w:p w14:paraId="00F1861B">
                      <w:pPr>
                        <w:rPr>
                          <w:rFonts w:hint="eastAsia" w:eastAsia="宋体"/>
                          <w:lang w:val="en-US" w:eastAsia="zh-CN"/>
                        </w:rPr>
                      </w:pPr>
                      <w:r>
                        <w:rPr>
                          <w:rFonts w:hint="eastAsia"/>
                          <w:lang w:val="en-US" w:eastAsia="zh-CN"/>
                        </w:rPr>
                        <w:t>办公室</w:t>
                      </w:r>
                    </w:p>
                  </w:txbxContent>
                </v:textbox>
              </v:shape>
            </w:pict>
          </mc:Fallback>
        </mc:AlternateContent>
      </w:r>
      <w:r>
        <w:rPr>
          <w:rFonts w:hint="eastAsia"/>
          <w:lang w:val="en-US" w:eastAsia="zh-CN"/>
        </w:rPr>
        <w:t xml:space="preserve">          </w:t>
      </w:r>
      <w:r>
        <w:drawing>
          <wp:inline distT="0" distB="0" distL="114300" distR="114300">
            <wp:extent cx="8521065" cy="4717415"/>
            <wp:effectExtent l="0" t="0" r="13335" b="6985"/>
            <wp:docPr id="2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
                    <pic:cNvPicPr>
                      <a:picLocks noChangeAspect="1"/>
                    </pic:cNvPicPr>
                  </pic:nvPicPr>
                  <pic:blipFill>
                    <a:blip r:embed="rId38"/>
                    <a:stretch>
                      <a:fillRect/>
                    </a:stretch>
                  </pic:blipFill>
                  <pic:spPr>
                    <a:xfrm>
                      <a:off x="0" y="0"/>
                      <a:ext cx="8521065" cy="4717415"/>
                    </a:xfrm>
                    <a:prstGeom prst="rect">
                      <a:avLst/>
                    </a:prstGeom>
                    <a:noFill/>
                    <a:ln>
                      <a:noFill/>
                    </a:ln>
                  </pic:spPr>
                </pic:pic>
              </a:graphicData>
            </a:graphic>
          </wp:inline>
        </w:drawing>
      </w:r>
    </w:p>
    <w:p w14:paraId="2BDCEE7C">
      <w:pPr>
        <w:widowControl/>
        <w:spacing w:line="360" w:lineRule="auto"/>
        <w:jc w:val="center"/>
        <w:rPr>
          <w:rFonts w:hint="default" w:eastAsia="宋体"/>
          <w:b/>
          <w:bCs/>
          <w:sz w:val="24"/>
          <w:szCs w:val="32"/>
          <w:lang w:val="en-US" w:eastAsia="zh-CN"/>
        </w:rPr>
        <w:sectPr>
          <w:pgSz w:w="16838" w:h="11906"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b/>
          <w:bCs/>
          <w:sz w:val="24"/>
          <w:szCs w:val="32"/>
          <w:lang w:val="en-US" w:eastAsia="zh-CN"/>
        </w:rPr>
        <w:t>图3.2-1  平面布置图</w:t>
      </w:r>
    </w:p>
    <w:p w14:paraId="70A3FFB3">
      <w:pPr>
        <w:pStyle w:val="4"/>
        <w:bidi w:val="0"/>
        <w:rPr>
          <w:rFonts w:hint="default" w:ascii="Times New Roman" w:hAnsi="Times New Roman" w:cs="Times New Roman" w:eastAsiaTheme="majorEastAsia"/>
          <w:lang w:eastAsia="zh-CN"/>
        </w:rPr>
      </w:pPr>
      <w:bookmarkStart w:id="66" w:name="_Toc21932"/>
      <w:r>
        <w:rPr>
          <w:rFonts w:hint="default" w:ascii="Times New Roman" w:hAnsi="Times New Roman" w:cs="Times New Roman" w:eastAsiaTheme="majorEastAsia"/>
          <w:lang w:val="en-US" w:eastAsia="zh-CN"/>
        </w:rPr>
        <w:t>3.3</w:t>
      </w:r>
      <w:r>
        <w:rPr>
          <w:rFonts w:hint="default" w:ascii="Times New Roman" w:hAnsi="Times New Roman" w:cs="Times New Roman" w:eastAsiaTheme="majorEastAsia"/>
          <w:lang w:eastAsia="zh-CN"/>
        </w:rPr>
        <w:t>工程分析</w:t>
      </w:r>
      <w:bookmarkEnd w:id="66"/>
    </w:p>
    <w:p w14:paraId="4610ECC7">
      <w:pPr>
        <w:pStyle w:val="5"/>
        <w:bidi w:val="0"/>
        <w:rPr>
          <w:rFonts w:hint="default"/>
          <w:lang w:val="en-US" w:eastAsia="zh-CN"/>
        </w:rPr>
      </w:pPr>
      <w:r>
        <w:rPr>
          <w:rFonts w:hint="eastAsia"/>
          <w:lang w:val="en-US" w:eastAsia="zh-CN"/>
        </w:rPr>
        <w:t>3.3.1施工期工艺及产污环节</w:t>
      </w:r>
    </w:p>
    <w:p w14:paraId="3696C047">
      <w:pPr>
        <w:bidi w:val="0"/>
        <w:spacing w:line="360" w:lineRule="auto"/>
        <w:ind w:firstLine="480" w:firstLineChars="200"/>
        <w:rPr>
          <w:rFonts w:hint="default"/>
          <w:b w:val="0"/>
          <w:bCs w:val="0"/>
          <w:sz w:val="24"/>
          <w:szCs w:val="32"/>
          <w:lang w:val="en-US" w:eastAsia="zh-CN"/>
        </w:rPr>
      </w:pPr>
      <w:r>
        <w:rPr>
          <w:rFonts w:hint="eastAsia"/>
          <w:b w:val="0"/>
          <w:bCs w:val="0"/>
          <w:sz w:val="24"/>
          <w:szCs w:val="32"/>
          <w:lang w:val="en-US" w:eastAsia="zh-CN"/>
        </w:rPr>
        <w:t>本次改扩建项目属于未批先建，施工期已过，施工期间仅进行设备安装，不涉及新建厂房等土建施工，对环境影响较小，主要体现在噪声和施工人员生活污水，且施工期较短，施工过程中采取了相应的污染防治措施，随着工期结束，对环境的不利影响随即消失。</w:t>
      </w:r>
    </w:p>
    <w:p w14:paraId="6DCF4457">
      <w:pPr>
        <w:pStyle w:val="5"/>
        <w:bidi w:val="0"/>
        <w:rPr>
          <w:rFonts w:hint="eastAsia"/>
          <w:lang w:val="en-US" w:eastAsia="zh-CN"/>
        </w:rPr>
      </w:pPr>
      <w:r>
        <w:rPr>
          <w:rFonts w:hint="eastAsia"/>
          <w:lang w:val="en-US" w:eastAsia="zh-CN"/>
        </w:rPr>
        <w:t>3.3.2运营期工艺流程及产污节点</w:t>
      </w:r>
    </w:p>
    <w:p w14:paraId="42804FE6">
      <w:pPr>
        <w:spacing w:line="360" w:lineRule="auto"/>
        <w:rPr>
          <w:rFonts w:hint="default" w:eastAsiaTheme="minorEastAsia"/>
          <w:b/>
          <w:bCs/>
          <w:color w:val="auto"/>
          <w:sz w:val="24"/>
          <w:highlight w:val="none"/>
          <w:lang w:val="en-US" w:eastAsia="zh-CN"/>
        </w:rPr>
      </w:pPr>
      <w:r>
        <w:rPr>
          <w:rFonts w:hint="eastAsia" w:eastAsiaTheme="minorEastAsia"/>
          <w:b/>
          <w:bCs/>
          <w:color w:val="auto"/>
          <w:sz w:val="24"/>
          <w:highlight w:val="none"/>
          <w:lang w:val="en-US" w:eastAsia="zh-CN"/>
        </w:rPr>
        <w:t>破碎区工艺简述：</w:t>
      </w:r>
    </w:p>
    <w:p w14:paraId="6975D9C7">
      <w:pPr>
        <w:spacing w:line="360" w:lineRule="auto"/>
        <w:ind w:firstLine="480"/>
        <w:rPr>
          <w:rFonts w:hint="default" w:eastAsiaTheme="minorEastAsia"/>
          <w:b/>
          <w:bCs/>
          <w:color w:val="auto"/>
          <w:sz w:val="24"/>
          <w:highlight w:val="none"/>
          <w:lang w:val="en-US" w:eastAsia="zh-CN"/>
        </w:rPr>
      </w:pPr>
      <w:r>
        <w:rPr>
          <w:rFonts w:hint="eastAsia" w:eastAsiaTheme="minorEastAsia"/>
          <w:b w:val="0"/>
          <w:bCs w:val="0"/>
          <w:color w:val="auto"/>
          <w:sz w:val="24"/>
          <w:highlight w:val="none"/>
          <w:lang w:val="en-US" w:eastAsia="zh-CN"/>
        </w:rPr>
        <w:t>破碎区采用二级破碎，为粗破+细破，原矿由汽运暂存于厂区内原料暂存区，通过铲车将原矿送至上料仓进行一级破碎，破碎后矿石粒度为3~0mm，经一级破碎后的矿石经密闭输送廊道进行二级破碎，破碎粒度为2mm～0mm，经二级破碎后的矿石进行筛分，筛下料通过密闭廊道进入下到工序。筛上物料返回至二级破碎，重新破碎，直至满足下段工艺所需粒度要求。</w:t>
      </w:r>
    </w:p>
    <w:p w14:paraId="3B774558">
      <w:pPr>
        <w:autoSpaceDE/>
        <w:autoSpaceDN/>
        <w:spacing w:line="360" w:lineRule="auto"/>
        <w:rPr>
          <w:rFonts w:hint="default" w:ascii="Times New Roman" w:hAnsi="Times New Roman" w:eastAsia="宋体" w:cs="Times New Roman"/>
          <w:b/>
          <w:bCs/>
          <w:color w:val="000000"/>
          <w:spacing w:val="0"/>
          <w:kern w:val="2"/>
          <w:sz w:val="24"/>
          <w:lang w:val="en-US" w:eastAsia="zh-CN"/>
        </w:rPr>
      </w:pPr>
      <w:r>
        <w:rPr>
          <w:rFonts w:hint="eastAsia" w:cs="Times New Roman"/>
          <w:b/>
          <w:bCs/>
          <w:color w:val="000000"/>
          <w:spacing w:val="0"/>
          <w:kern w:val="2"/>
          <w:sz w:val="24"/>
          <w:lang w:val="en-US" w:eastAsia="zh-CN"/>
        </w:rPr>
        <w:t>浮选工艺简述：</w:t>
      </w:r>
    </w:p>
    <w:p w14:paraId="3BCBAFED">
      <w:pPr>
        <w:autoSpaceDE/>
        <w:autoSpaceDN/>
        <w:spacing w:line="360" w:lineRule="auto"/>
        <w:ind w:firstLine="480" w:firstLineChars="200"/>
        <w:rPr>
          <w:rFonts w:hint="eastAsia" w:ascii="Times New Roman" w:hAnsi="Times New Roman" w:eastAsia="宋体" w:cs="Times New Roman"/>
          <w:bCs w:val="0"/>
          <w:color w:val="000000"/>
          <w:spacing w:val="0"/>
          <w:kern w:val="2"/>
          <w:sz w:val="24"/>
          <w:lang w:eastAsia="zh-CN"/>
        </w:rPr>
      </w:pPr>
      <w:r>
        <w:rPr>
          <w:rFonts w:hint="eastAsia" w:cs="Times New Roman"/>
          <w:bCs w:val="0"/>
          <w:color w:val="000000"/>
          <w:spacing w:val="0"/>
          <w:kern w:val="2"/>
          <w:sz w:val="24"/>
          <w:lang w:val="en-US" w:eastAsia="zh-CN"/>
        </w:rPr>
        <w:t>（1）</w:t>
      </w:r>
      <w:r>
        <w:rPr>
          <w:rFonts w:hint="eastAsia" w:ascii="Times New Roman" w:hAnsi="Times New Roman" w:eastAsia="宋体" w:cs="Times New Roman"/>
          <w:bCs w:val="0"/>
          <w:color w:val="000000"/>
          <w:spacing w:val="0"/>
          <w:kern w:val="2"/>
          <w:sz w:val="24"/>
          <w:lang w:eastAsia="zh-CN"/>
        </w:rPr>
        <w:t>原料：</w:t>
      </w:r>
      <w:r>
        <w:rPr>
          <w:rFonts w:hint="eastAsia" w:cs="Times New Roman"/>
          <w:bCs w:val="0"/>
          <w:color w:val="000000"/>
          <w:spacing w:val="0"/>
          <w:kern w:val="2"/>
          <w:sz w:val="24"/>
          <w:lang w:val="en-US" w:eastAsia="zh-CN"/>
        </w:rPr>
        <w:t>原矿来源于附近矿山</w:t>
      </w:r>
      <w:r>
        <w:rPr>
          <w:rFonts w:hint="eastAsia" w:cs="Times New Roman"/>
          <w:bCs w:val="0"/>
          <w:color w:val="000000"/>
          <w:spacing w:val="0"/>
          <w:kern w:val="2"/>
          <w:sz w:val="24"/>
          <w:lang w:eastAsia="zh-CN"/>
        </w:rPr>
        <w:t>，</w:t>
      </w:r>
      <w:r>
        <w:rPr>
          <w:rFonts w:hint="eastAsia" w:cs="Times New Roman"/>
          <w:bCs w:val="0"/>
          <w:color w:val="000000"/>
          <w:spacing w:val="0"/>
          <w:kern w:val="2"/>
          <w:sz w:val="24"/>
          <w:lang w:val="en-US" w:eastAsia="zh-CN"/>
        </w:rPr>
        <w:t>采用汽运方式运至本选矿厂的原料堆场。该</w:t>
      </w:r>
      <w:r>
        <w:rPr>
          <w:rFonts w:hint="eastAsia" w:cs="Times New Roman"/>
          <w:bCs w:val="0"/>
          <w:color w:val="000000"/>
          <w:spacing w:val="0"/>
          <w:kern w:val="2"/>
          <w:sz w:val="24"/>
          <w:lang w:eastAsia="zh-CN"/>
        </w:rPr>
        <w:t>过程产生</w:t>
      </w:r>
      <w:r>
        <w:rPr>
          <w:rFonts w:hint="eastAsia" w:cs="Times New Roman"/>
          <w:bCs w:val="0"/>
          <w:color w:val="000000"/>
          <w:spacing w:val="0"/>
          <w:kern w:val="2"/>
          <w:sz w:val="24"/>
          <w:lang w:val="en-US" w:eastAsia="zh-CN"/>
        </w:rPr>
        <w:t>卸料扬尘、</w:t>
      </w:r>
      <w:r>
        <w:rPr>
          <w:rFonts w:hint="eastAsia" w:cs="Times New Roman"/>
          <w:bCs w:val="0"/>
          <w:color w:val="000000"/>
          <w:spacing w:val="0"/>
          <w:kern w:val="2"/>
          <w:sz w:val="24"/>
          <w:lang w:eastAsia="zh-CN"/>
        </w:rPr>
        <w:t>噪声</w:t>
      </w:r>
      <w:r>
        <w:rPr>
          <w:rFonts w:hint="eastAsia" w:ascii="Times New Roman" w:hAnsi="Times New Roman" w:eastAsia="宋体" w:cs="Times New Roman"/>
          <w:bCs w:val="0"/>
          <w:color w:val="000000"/>
          <w:spacing w:val="0"/>
          <w:kern w:val="2"/>
          <w:sz w:val="24"/>
          <w:lang w:eastAsia="zh-CN"/>
        </w:rPr>
        <w:t>。</w:t>
      </w:r>
    </w:p>
    <w:p w14:paraId="03B1F2BC">
      <w:pPr>
        <w:autoSpaceDE/>
        <w:autoSpaceDN/>
        <w:spacing w:line="360" w:lineRule="auto"/>
        <w:ind w:firstLine="480" w:firstLineChars="200"/>
        <w:rPr>
          <w:rFonts w:hint="default" w:eastAsia="宋体" w:cs="Times New Roman"/>
          <w:bCs w:val="0"/>
          <w:color w:val="000000"/>
          <w:spacing w:val="0"/>
          <w:kern w:val="2"/>
          <w:sz w:val="24"/>
          <w:lang w:val="en-US" w:eastAsia="zh-CN"/>
        </w:rPr>
      </w:pPr>
      <w:r>
        <w:rPr>
          <w:rFonts w:hint="eastAsia" w:cs="Times New Roman"/>
          <w:bCs w:val="0"/>
          <w:color w:val="000000"/>
          <w:spacing w:val="0"/>
          <w:kern w:val="2"/>
          <w:sz w:val="24"/>
          <w:lang w:val="en-US" w:eastAsia="zh-CN"/>
        </w:rPr>
        <w:t>（2）</w:t>
      </w:r>
      <w:r>
        <w:rPr>
          <w:rFonts w:hint="eastAsia" w:cs="Times New Roman"/>
          <w:bCs w:val="0"/>
          <w:color w:val="000000"/>
          <w:spacing w:val="0"/>
          <w:kern w:val="2"/>
          <w:sz w:val="24"/>
          <w:lang w:eastAsia="zh-CN"/>
        </w:rPr>
        <w:t>配制浮选剂：浮选剂按照比例由人工投入到药剂罐内，并按比例加入清水进行搅拌配药，配制完成的药剂经加药泵泵送至浮选机内。</w:t>
      </w:r>
      <w:r>
        <w:rPr>
          <w:rFonts w:hint="eastAsia" w:cs="Times New Roman"/>
          <w:bCs w:val="0"/>
          <w:color w:val="000000"/>
          <w:spacing w:val="0"/>
          <w:kern w:val="2"/>
          <w:sz w:val="24"/>
          <w:lang w:val="en-US" w:eastAsia="zh-CN"/>
        </w:rPr>
        <w:t>该过程产生药剂废包装。</w:t>
      </w:r>
    </w:p>
    <w:p w14:paraId="43E39A5D">
      <w:pPr>
        <w:autoSpaceDE/>
        <w:autoSpaceDN/>
        <w:spacing w:line="360" w:lineRule="auto"/>
        <w:ind w:firstLine="480" w:firstLineChars="200"/>
        <w:rPr>
          <w:rFonts w:cs="Times New Roman"/>
          <w:bCs w:val="0"/>
          <w:color w:val="000000"/>
          <w:spacing w:val="0"/>
          <w:kern w:val="2"/>
          <w:sz w:val="24"/>
        </w:rPr>
      </w:pPr>
      <w:r>
        <w:rPr>
          <w:rFonts w:hint="eastAsia" w:cs="Times New Roman"/>
          <w:bCs w:val="0"/>
          <w:color w:val="000000"/>
          <w:spacing w:val="0"/>
          <w:kern w:val="2"/>
          <w:sz w:val="24"/>
          <w:lang w:val="en-US" w:eastAsia="zh-CN"/>
        </w:rPr>
        <w:t>（3）</w:t>
      </w:r>
      <w:r>
        <w:rPr>
          <w:rFonts w:hint="eastAsia" w:cs="Times New Roman"/>
          <w:bCs w:val="0"/>
          <w:color w:val="000000"/>
          <w:spacing w:val="0"/>
          <w:kern w:val="2"/>
          <w:sz w:val="24"/>
        </w:rPr>
        <w:t>浮选：</w:t>
      </w:r>
      <w:r>
        <w:rPr>
          <w:rFonts w:hint="eastAsia" w:cs="Times New Roman"/>
          <w:bCs w:val="0"/>
          <w:color w:val="000000"/>
          <w:spacing w:val="0"/>
          <w:kern w:val="2"/>
          <w:sz w:val="24"/>
          <w:lang w:eastAsia="zh-CN"/>
        </w:rPr>
        <w:t>在粗选浮选机内的尾矿浆与药剂充分混合，将</w:t>
      </w:r>
      <w:r>
        <w:rPr>
          <w:rFonts w:hint="eastAsia" w:cs="Times New Roman"/>
          <w:bCs w:val="0"/>
          <w:color w:val="000000"/>
          <w:spacing w:val="0"/>
          <w:kern w:val="2"/>
          <w:sz w:val="24"/>
          <w:lang w:val="en-US" w:eastAsia="zh-CN"/>
        </w:rPr>
        <w:t>金</w:t>
      </w:r>
      <w:r>
        <w:rPr>
          <w:rFonts w:hint="eastAsia" w:cs="Times New Roman"/>
          <w:bCs w:val="0"/>
          <w:color w:val="000000"/>
          <w:spacing w:val="0"/>
          <w:kern w:val="2"/>
          <w:sz w:val="24"/>
          <w:lang w:eastAsia="zh-CN"/>
        </w:rPr>
        <w:t>元素从矿浆中分离出来，此过程由鼓风机进行鼓风，在浮选池内形成大量泡沫，从而将矿石浓缩到泡沫中</w:t>
      </w:r>
      <w:r>
        <w:rPr>
          <w:rFonts w:hint="eastAsia" w:cs="Times New Roman"/>
          <w:bCs w:val="0"/>
          <w:color w:val="000000"/>
          <w:spacing w:val="0"/>
          <w:kern w:val="2"/>
          <w:sz w:val="24"/>
        </w:rPr>
        <w:t>，</w:t>
      </w:r>
      <w:r>
        <w:rPr>
          <w:rFonts w:hint="eastAsia" w:cs="Times New Roman"/>
          <w:bCs w:val="0"/>
          <w:color w:val="000000"/>
          <w:spacing w:val="0"/>
          <w:kern w:val="2"/>
          <w:sz w:val="24"/>
          <w:lang w:eastAsia="zh-CN"/>
        </w:rPr>
        <w:t>通过浮选机上方的刮板，将上层泡沫送至二次精选工序；二次精选工序的浮选机同样通过加药泵加入浮选药剂，通过鼓风机在浮选池内形成大量泡沫，通过上方刮板将泡沫收集，通过泡沫泵送至</w:t>
      </w:r>
      <w:r>
        <w:rPr>
          <w:rFonts w:hint="eastAsia" w:cs="Times New Roman"/>
          <w:bCs w:val="0"/>
          <w:color w:val="000000"/>
          <w:spacing w:val="0"/>
          <w:kern w:val="2"/>
          <w:sz w:val="24"/>
          <w:lang w:val="en-US" w:eastAsia="zh-CN"/>
        </w:rPr>
        <w:t>金</w:t>
      </w:r>
      <w:r>
        <w:rPr>
          <w:rFonts w:hint="eastAsia" w:cs="Times New Roman"/>
          <w:bCs w:val="0"/>
          <w:color w:val="000000"/>
          <w:spacing w:val="0"/>
          <w:kern w:val="2"/>
          <w:sz w:val="24"/>
          <w:lang w:eastAsia="zh-CN"/>
        </w:rPr>
        <w:t>精矿过滤工序；一次浮选和二次浮选产生的底流自流进入斗式提升机浆池，由斗式提升机送至高频脱水筛，脱水的尾矿经皮带输送机送至干排</w:t>
      </w:r>
      <w:r>
        <w:rPr>
          <w:rFonts w:hint="eastAsia" w:cs="Times New Roman"/>
          <w:bCs w:val="0"/>
          <w:color w:val="000000"/>
          <w:spacing w:val="0"/>
          <w:kern w:val="2"/>
          <w:sz w:val="24"/>
          <w:lang w:val="en-US" w:eastAsia="zh-CN"/>
        </w:rPr>
        <w:t>车间进行压滤</w:t>
      </w:r>
      <w:r>
        <w:rPr>
          <w:rFonts w:hint="eastAsia" w:cs="Times New Roman"/>
          <w:bCs w:val="0"/>
          <w:color w:val="000000"/>
          <w:spacing w:val="0"/>
          <w:kern w:val="2"/>
          <w:sz w:val="24"/>
          <w:lang w:eastAsia="zh-CN"/>
        </w:rPr>
        <w:t>，高频脱水筛底流进入干排尾矿工序。</w:t>
      </w:r>
      <w:r>
        <w:rPr>
          <w:rFonts w:hint="eastAsia" w:cs="Times New Roman"/>
          <w:bCs w:val="0"/>
          <w:color w:val="000000"/>
          <w:spacing w:val="0"/>
          <w:kern w:val="2"/>
          <w:sz w:val="24"/>
          <w:lang w:val="en-US" w:eastAsia="zh-CN"/>
        </w:rPr>
        <w:t>该过程产生废水、</w:t>
      </w:r>
      <w:r>
        <w:rPr>
          <w:rFonts w:hint="eastAsia" w:cs="Times New Roman"/>
          <w:bCs w:val="0"/>
          <w:color w:val="000000"/>
          <w:spacing w:val="0"/>
          <w:kern w:val="2"/>
          <w:sz w:val="24"/>
          <w:lang w:eastAsia="zh-CN"/>
        </w:rPr>
        <w:t>噪声。</w:t>
      </w:r>
    </w:p>
    <w:p w14:paraId="4FBE51A3">
      <w:pPr>
        <w:autoSpaceDE/>
        <w:autoSpaceDN/>
        <w:spacing w:line="360" w:lineRule="auto"/>
        <w:ind w:firstLine="480" w:firstLineChars="200"/>
        <w:rPr>
          <w:rFonts w:hint="eastAsia" w:eastAsia="宋体" w:cs="Times New Roman"/>
          <w:bCs w:val="0"/>
          <w:color w:val="000000"/>
          <w:spacing w:val="0"/>
          <w:kern w:val="2"/>
          <w:sz w:val="24"/>
          <w:lang w:eastAsia="zh-CN"/>
        </w:rPr>
      </w:pPr>
      <w:r>
        <w:rPr>
          <w:rFonts w:hint="eastAsia" w:cs="Times New Roman"/>
          <w:bCs w:val="0"/>
          <w:color w:val="000000"/>
          <w:spacing w:val="0"/>
          <w:kern w:val="2"/>
          <w:sz w:val="24"/>
          <w:lang w:val="en-US" w:eastAsia="zh-CN"/>
        </w:rPr>
        <w:t>（4）金</w:t>
      </w:r>
      <w:r>
        <w:rPr>
          <w:rFonts w:hint="eastAsia" w:cs="Times New Roman"/>
          <w:bCs w:val="0"/>
          <w:color w:val="000000"/>
          <w:spacing w:val="0"/>
          <w:kern w:val="2"/>
          <w:sz w:val="24"/>
        </w:rPr>
        <w:t>精矿过滤：</w:t>
      </w:r>
      <w:r>
        <w:rPr>
          <w:rFonts w:hint="eastAsia" w:cs="Times New Roman"/>
          <w:bCs w:val="0"/>
          <w:color w:val="000000"/>
          <w:spacing w:val="0"/>
          <w:kern w:val="2"/>
          <w:sz w:val="24"/>
          <w:lang w:eastAsia="zh-CN"/>
        </w:rPr>
        <w:t>精选后富含</w:t>
      </w:r>
      <w:r>
        <w:rPr>
          <w:rFonts w:hint="eastAsia" w:cs="Times New Roman"/>
          <w:bCs w:val="0"/>
          <w:color w:val="000000"/>
          <w:spacing w:val="0"/>
          <w:kern w:val="2"/>
          <w:sz w:val="24"/>
          <w:lang w:val="en-US" w:eastAsia="zh-CN"/>
        </w:rPr>
        <w:t>金</w:t>
      </w:r>
      <w:r>
        <w:rPr>
          <w:rFonts w:hint="eastAsia" w:cs="Times New Roman"/>
          <w:bCs w:val="0"/>
          <w:color w:val="000000"/>
          <w:spacing w:val="0"/>
          <w:kern w:val="2"/>
          <w:sz w:val="24"/>
          <w:lang w:eastAsia="zh-CN"/>
        </w:rPr>
        <w:t>精矿的泡沫由泡沫泵泵送至精矿浓密机，处理后再进入精矿过滤机，</w:t>
      </w:r>
      <w:r>
        <w:rPr>
          <w:rFonts w:hint="eastAsia" w:cs="Times New Roman"/>
          <w:bCs w:val="0"/>
          <w:color w:val="000000"/>
          <w:spacing w:val="0"/>
          <w:kern w:val="2"/>
          <w:sz w:val="24"/>
        </w:rPr>
        <w:t>浮选精矿最后需经过滤机进行过滤，磷精矿浆在经过滤机过滤脱水，过滤后可将</w:t>
      </w:r>
      <w:r>
        <w:rPr>
          <w:rFonts w:hint="eastAsia" w:cs="Times New Roman"/>
          <w:bCs w:val="0"/>
          <w:color w:val="000000"/>
          <w:spacing w:val="0"/>
          <w:kern w:val="2"/>
          <w:sz w:val="24"/>
          <w:lang w:val="en-US" w:eastAsia="zh-CN"/>
        </w:rPr>
        <w:t>金</w:t>
      </w:r>
      <w:r>
        <w:rPr>
          <w:rFonts w:hint="eastAsia" w:cs="Times New Roman"/>
          <w:bCs w:val="0"/>
          <w:color w:val="000000"/>
          <w:spacing w:val="0"/>
          <w:kern w:val="2"/>
          <w:sz w:val="24"/>
        </w:rPr>
        <w:t>精矿含水率降至10％左右，经过脱水后的</w:t>
      </w:r>
      <w:r>
        <w:rPr>
          <w:rFonts w:hint="eastAsia" w:cs="Times New Roman"/>
          <w:bCs w:val="0"/>
          <w:color w:val="000000"/>
          <w:spacing w:val="0"/>
          <w:kern w:val="2"/>
          <w:sz w:val="24"/>
          <w:lang w:val="en-US" w:eastAsia="zh-CN"/>
        </w:rPr>
        <w:t>金</w:t>
      </w:r>
      <w:r>
        <w:rPr>
          <w:rFonts w:hint="eastAsia" w:cs="Times New Roman"/>
          <w:bCs w:val="0"/>
          <w:color w:val="000000"/>
          <w:spacing w:val="0"/>
          <w:kern w:val="2"/>
          <w:sz w:val="24"/>
        </w:rPr>
        <w:t>精矿即为成品精砂，</w:t>
      </w:r>
      <w:r>
        <w:rPr>
          <w:rFonts w:hint="eastAsia" w:cs="Times New Roman"/>
          <w:bCs w:val="0"/>
          <w:color w:val="000000"/>
          <w:spacing w:val="0"/>
          <w:kern w:val="2"/>
          <w:sz w:val="24"/>
          <w:lang w:val="en-US" w:eastAsia="zh-CN"/>
        </w:rPr>
        <w:t>金</w:t>
      </w:r>
      <w:r>
        <w:rPr>
          <w:rFonts w:hint="eastAsia" w:cs="Times New Roman"/>
          <w:bCs w:val="0"/>
          <w:color w:val="000000"/>
          <w:spacing w:val="0"/>
          <w:kern w:val="2"/>
          <w:sz w:val="24"/>
        </w:rPr>
        <w:t>精粉进入</w:t>
      </w:r>
      <w:r>
        <w:rPr>
          <w:rFonts w:hint="eastAsia" w:cs="Times New Roman"/>
          <w:bCs w:val="0"/>
          <w:color w:val="000000"/>
          <w:spacing w:val="0"/>
          <w:kern w:val="2"/>
          <w:sz w:val="24"/>
          <w:lang w:val="en-US" w:eastAsia="zh-CN"/>
        </w:rPr>
        <w:t>产品库房</w:t>
      </w:r>
      <w:r>
        <w:rPr>
          <w:rFonts w:hint="eastAsia" w:cs="Times New Roman"/>
          <w:bCs w:val="0"/>
          <w:color w:val="000000"/>
          <w:spacing w:val="0"/>
          <w:kern w:val="2"/>
          <w:sz w:val="24"/>
        </w:rPr>
        <w:t>暂存后外售。</w:t>
      </w:r>
      <w:r>
        <w:rPr>
          <w:rFonts w:hint="eastAsia" w:cs="Times New Roman"/>
          <w:bCs w:val="0"/>
          <w:color w:val="000000"/>
          <w:spacing w:val="0"/>
          <w:kern w:val="2"/>
          <w:sz w:val="24"/>
          <w:lang w:eastAsia="zh-CN"/>
        </w:rPr>
        <w:t>过滤机底流进入干排尾矿工序，</w:t>
      </w:r>
      <w:r>
        <w:rPr>
          <w:rFonts w:hint="eastAsia" w:cs="Times New Roman"/>
          <w:bCs w:val="0"/>
          <w:color w:val="000000"/>
          <w:spacing w:val="0"/>
          <w:kern w:val="2"/>
          <w:sz w:val="24"/>
          <w:lang w:val="en-US" w:eastAsia="zh-CN"/>
        </w:rPr>
        <w:t>该过程产生</w:t>
      </w:r>
      <w:r>
        <w:rPr>
          <w:rFonts w:hint="eastAsia" w:cs="Times New Roman"/>
          <w:bCs w:val="0"/>
          <w:color w:val="000000"/>
          <w:spacing w:val="0"/>
          <w:kern w:val="2"/>
          <w:sz w:val="24"/>
          <w:lang w:eastAsia="zh-CN"/>
        </w:rPr>
        <w:t>废水、噪声。</w:t>
      </w:r>
    </w:p>
    <w:p w14:paraId="584CEE02">
      <w:pPr>
        <w:pStyle w:val="95"/>
        <w:keepNext w:val="0"/>
        <w:keepLines w:val="0"/>
        <w:pageBreakBefore w:val="0"/>
        <w:numPr>
          <w:ilvl w:val="0"/>
          <w:numId w:val="0"/>
        </w:numPr>
        <w:kinsoku/>
        <w:overflowPunct/>
        <w:topLinePunct w:val="0"/>
        <w:autoSpaceDE/>
        <w:autoSpaceDN/>
        <w:bidi w:val="0"/>
        <w:adjustRightInd/>
        <w:spacing w:line="360" w:lineRule="auto"/>
        <w:ind w:left="0" w:leftChars="0" w:firstLine="480" w:firstLineChars="200"/>
        <w:rPr>
          <w:rFonts w:hint="eastAsia" w:cs="Times New Roman"/>
          <w:color w:val="auto"/>
          <w:kern w:val="2"/>
          <w:sz w:val="24"/>
          <w:szCs w:val="22"/>
          <w:highlight w:val="none"/>
          <w:lang w:val="en-US" w:eastAsia="zh-CN" w:bidi="ar-SA"/>
        </w:rPr>
      </w:pPr>
      <w:r>
        <w:rPr>
          <w:rFonts w:hint="eastAsia" w:cs="Times New Roman"/>
          <w:color w:val="auto"/>
          <w:kern w:val="2"/>
          <w:sz w:val="24"/>
          <w:szCs w:val="22"/>
          <w:lang w:val="en-US" w:eastAsia="zh-CN" w:bidi="ar-SA"/>
        </w:rPr>
        <w:t>（5）</w:t>
      </w:r>
      <w:r>
        <w:rPr>
          <w:rFonts w:hint="eastAsia" w:cs="Times New Roman"/>
          <w:color w:val="auto"/>
          <w:kern w:val="2"/>
          <w:sz w:val="24"/>
          <w:szCs w:val="22"/>
          <w:highlight w:val="none"/>
          <w:lang w:val="en-US" w:eastAsia="zh-CN" w:bidi="ar-SA"/>
        </w:rPr>
        <w:t>干排尾矿工序</w:t>
      </w:r>
    </w:p>
    <w:p w14:paraId="319C6381">
      <w:pPr>
        <w:pStyle w:val="95"/>
        <w:keepNext w:val="0"/>
        <w:keepLines w:val="0"/>
        <w:pageBreakBefore w:val="0"/>
        <w:numPr>
          <w:ilvl w:val="0"/>
          <w:numId w:val="0"/>
        </w:numPr>
        <w:kinsoku/>
        <w:overflowPunct/>
        <w:topLinePunct w:val="0"/>
        <w:autoSpaceDE/>
        <w:autoSpaceDN/>
        <w:bidi w:val="0"/>
        <w:adjustRightInd/>
        <w:spacing w:line="360" w:lineRule="auto"/>
        <w:ind w:left="0" w:leftChars="0" w:firstLine="480" w:firstLineChars="200"/>
        <w:rPr>
          <w:rFonts w:hint="eastAsia" w:cs="Times New Roman"/>
          <w:bCs w:val="0"/>
          <w:color w:val="000000"/>
          <w:spacing w:val="0"/>
          <w:kern w:val="2"/>
          <w:sz w:val="24"/>
          <w:lang w:val="en-US" w:eastAsia="zh-CN"/>
        </w:rPr>
      </w:pPr>
      <w:r>
        <w:rPr>
          <w:rFonts w:hint="eastAsia" w:cs="Times New Roman"/>
          <w:color w:val="auto"/>
          <w:kern w:val="2"/>
          <w:sz w:val="24"/>
          <w:szCs w:val="22"/>
          <w:highlight w:val="none"/>
          <w:lang w:val="en-US" w:eastAsia="zh-CN" w:bidi="ar-SA"/>
        </w:rPr>
        <w:t>本项目干排尾矿依托现有项目干排尾矿系统，高频脱水筛和过滤机产生的底流经砂浆泵进入尾矿旋流机，旋流机上流泥水泵送至尾矿浓密机，浓密机底流经泵送至板框压滤机，压滤为饼状的尾矿成为干排尾矿通过皮带输送机运出厂房外，落至干排车间内尾矿暂存处；旋流机底流及浓密机上流泥水进入高频脱水筛，筛上物落至皮带输送机送至干排车间内尾矿暂存处；干排尾矿即产即清，外运综合处置</w:t>
      </w:r>
      <w:r>
        <w:rPr>
          <w:rFonts w:hint="default" w:ascii="Times New Roman" w:hAnsi="Times New Roman" w:eastAsia="宋体" w:cs="Times New Roman"/>
          <w:color w:val="auto"/>
          <w:kern w:val="2"/>
          <w:sz w:val="24"/>
          <w:szCs w:val="22"/>
          <w:highlight w:val="none"/>
          <w:lang w:val="en-US" w:eastAsia="zh-CN" w:bidi="ar-SA"/>
        </w:rPr>
        <w:t>。</w:t>
      </w:r>
      <w:r>
        <w:rPr>
          <w:rFonts w:hint="eastAsia" w:cs="Times New Roman"/>
          <w:color w:val="auto"/>
          <w:kern w:val="2"/>
          <w:sz w:val="24"/>
          <w:szCs w:val="22"/>
          <w:highlight w:val="none"/>
          <w:lang w:val="en-US" w:eastAsia="zh-CN" w:bidi="ar-SA"/>
        </w:rPr>
        <w:t>尾矿脱水过程中产生的选矿废水</w:t>
      </w:r>
      <w:r>
        <w:rPr>
          <w:rFonts w:hint="eastAsia" w:cs="Times New Roman"/>
          <w:bCs w:val="0"/>
          <w:color w:val="000000"/>
          <w:spacing w:val="0"/>
          <w:kern w:val="2"/>
          <w:sz w:val="24"/>
          <w:lang w:eastAsia="zh-CN"/>
        </w:rPr>
        <w:t>可直接泵送至球磨机进行磨矿用水，当不能及时回用时泵送至</w:t>
      </w:r>
      <w:r>
        <w:rPr>
          <w:rFonts w:hint="eastAsia" w:cs="Times New Roman"/>
          <w:bCs w:val="0"/>
          <w:color w:val="000000"/>
          <w:spacing w:val="0"/>
          <w:kern w:val="2"/>
          <w:sz w:val="24"/>
          <w:lang w:val="en-US" w:eastAsia="zh-CN"/>
        </w:rPr>
        <w:t>循环水池</w:t>
      </w:r>
      <w:r>
        <w:rPr>
          <w:rFonts w:hint="eastAsia" w:cs="Times New Roman"/>
          <w:bCs w:val="0"/>
          <w:color w:val="000000"/>
          <w:spacing w:val="0"/>
          <w:kern w:val="2"/>
          <w:sz w:val="24"/>
          <w:lang w:eastAsia="zh-CN"/>
        </w:rPr>
        <w:t>，沉淀后回用于选矿工序</w:t>
      </w:r>
      <w:r>
        <w:rPr>
          <w:rFonts w:hint="eastAsia" w:cs="Times New Roman"/>
          <w:bCs w:val="0"/>
          <w:color w:val="000000"/>
          <w:spacing w:val="0"/>
          <w:kern w:val="2"/>
          <w:sz w:val="24"/>
        </w:rPr>
        <w:t>。</w:t>
      </w:r>
      <w:r>
        <w:rPr>
          <w:rFonts w:hint="eastAsia" w:cs="Times New Roman"/>
          <w:bCs w:val="0"/>
          <w:color w:val="000000"/>
          <w:spacing w:val="0"/>
          <w:kern w:val="2"/>
          <w:sz w:val="24"/>
          <w:lang w:val="en-US" w:eastAsia="zh-CN"/>
        </w:rPr>
        <w:t>该过程产生</w:t>
      </w:r>
      <w:r>
        <w:rPr>
          <w:rFonts w:hint="eastAsia" w:cs="Times New Roman"/>
          <w:bCs w:val="0"/>
          <w:color w:val="000000"/>
          <w:spacing w:val="0"/>
          <w:kern w:val="2"/>
          <w:sz w:val="24"/>
          <w:lang w:eastAsia="zh-CN"/>
        </w:rPr>
        <w:t>废水、固废</w:t>
      </w:r>
      <w:r>
        <w:rPr>
          <w:rFonts w:hint="eastAsia" w:cs="Times New Roman"/>
          <w:bCs w:val="0"/>
          <w:color w:val="000000"/>
          <w:spacing w:val="0"/>
          <w:kern w:val="2"/>
          <w:sz w:val="24"/>
          <w:lang w:val="en-US" w:eastAsia="zh-CN"/>
        </w:rPr>
        <w:t>、</w:t>
      </w:r>
      <w:r>
        <w:rPr>
          <w:rFonts w:hint="eastAsia" w:cs="Times New Roman"/>
          <w:bCs w:val="0"/>
          <w:color w:val="000000"/>
          <w:spacing w:val="0"/>
          <w:kern w:val="2"/>
          <w:sz w:val="24"/>
          <w:lang w:eastAsia="zh-CN"/>
        </w:rPr>
        <w:t>噪声</w:t>
      </w:r>
      <w:r>
        <w:rPr>
          <w:rFonts w:hint="eastAsia" w:cs="Times New Roman"/>
          <w:bCs w:val="0"/>
          <w:color w:val="000000"/>
          <w:spacing w:val="0"/>
          <w:kern w:val="2"/>
          <w:sz w:val="24"/>
          <w:lang w:val="en-US" w:eastAsia="zh-CN"/>
        </w:rPr>
        <w:t>。</w:t>
      </w:r>
    </w:p>
    <w:p w14:paraId="4141C151">
      <w:pPr>
        <w:rPr>
          <w:rFonts w:hint="eastAsia" w:cs="Times New Roman"/>
          <w:b/>
          <w:bCs/>
          <w:color w:val="auto"/>
          <w:sz w:val="24"/>
          <w:szCs w:val="24"/>
          <w:lang w:eastAsia="zh-CN"/>
        </w:rPr>
      </w:pPr>
    </w:p>
    <w:p w14:paraId="7BD9E71A">
      <w:pPr>
        <w:rPr>
          <w:rFonts w:hint="eastAsia" w:cs="Times New Roman"/>
          <w:b/>
          <w:bCs/>
          <w:color w:val="auto"/>
          <w:sz w:val="24"/>
          <w:szCs w:val="24"/>
          <w:lang w:eastAsia="zh-CN"/>
        </w:rPr>
      </w:pPr>
    </w:p>
    <w:p w14:paraId="78716C0F">
      <w:pPr>
        <w:rPr>
          <w:rFonts w:hint="eastAsia" w:cs="Times New Roman"/>
          <w:b/>
          <w:bCs/>
          <w:color w:val="auto"/>
          <w:sz w:val="24"/>
          <w:szCs w:val="24"/>
          <w:lang w:eastAsia="zh-CN"/>
        </w:rPr>
      </w:pPr>
    </w:p>
    <w:p w14:paraId="1C9CAFB6">
      <w:pPr>
        <w:rPr>
          <w:rFonts w:hint="eastAsia" w:cs="Times New Roman"/>
          <w:b/>
          <w:bCs/>
          <w:color w:val="auto"/>
          <w:sz w:val="24"/>
          <w:szCs w:val="24"/>
          <w:lang w:eastAsia="zh-CN"/>
        </w:rPr>
      </w:pPr>
    </w:p>
    <w:p w14:paraId="344276CF">
      <w:pPr>
        <w:rPr>
          <w:rFonts w:hint="eastAsia" w:cs="Times New Roman"/>
          <w:b/>
          <w:bCs/>
          <w:color w:val="auto"/>
          <w:sz w:val="24"/>
          <w:szCs w:val="24"/>
          <w:lang w:eastAsia="zh-CN"/>
        </w:rPr>
      </w:pPr>
    </w:p>
    <w:p w14:paraId="363CD641">
      <w:pPr>
        <w:rPr>
          <w:rFonts w:hint="eastAsia" w:cs="Times New Roman"/>
          <w:b/>
          <w:bCs/>
          <w:color w:val="auto"/>
          <w:sz w:val="24"/>
          <w:szCs w:val="24"/>
          <w:lang w:eastAsia="zh-CN"/>
        </w:rPr>
      </w:pPr>
    </w:p>
    <w:p w14:paraId="65FB0F4C">
      <w:pPr>
        <w:rPr>
          <w:rFonts w:hint="eastAsia" w:cs="Times New Roman"/>
          <w:b/>
          <w:bCs/>
          <w:color w:val="auto"/>
          <w:sz w:val="24"/>
          <w:szCs w:val="24"/>
          <w:lang w:eastAsia="zh-CN"/>
        </w:rPr>
      </w:pPr>
    </w:p>
    <w:p w14:paraId="163FDBDC">
      <w:pPr>
        <w:rPr>
          <w:rFonts w:hint="eastAsia" w:cs="Times New Roman"/>
          <w:b/>
          <w:bCs/>
          <w:color w:val="auto"/>
          <w:sz w:val="24"/>
          <w:szCs w:val="24"/>
          <w:lang w:eastAsia="zh-CN"/>
        </w:rPr>
      </w:pPr>
    </w:p>
    <w:p w14:paraId="4772FA5D">
      <w:pPr>
        <w:rPr>
          <w:rFonts w:hint="eastAsia" w:cs="Times New Roman"/>
          <w:b/>
          <w:bCs/>
          <w:color w:val="auto"/>
          <w:sz w:val="24"/>
          <w:szCs w:val="24"/>
          <w:lang w:eastAsia="zh-CN"/>
        </w:rPr>
      </w:pPr>
    </w:p>
    <w:p w14:paraId="1548AF61">
      <w:pPr>
        <w:rPr>
          <w:rFonts w:hint="eastAsia" w:cs="Times New Roman"/>
          <w:b/>
          <w:bCs/>
          <w:color w:val="auto"/>
          <w:sz w:val="24"/>
          <w:szCs w:val="24"/>
          <w:lang w:eastAsia="zh-CN"/>
        </w:rPr>
      </w:pPr>
    </w:p>
    <w:p w14:paraId="4D424841">
      <w:pPr>
        <w:rPr>
          <w:rFonts w:hint="eastAsia" w:cs="Times New Roman"/>
          <w:b/>
          <w:bCs/>
          <w:color w:val="auto"/>
          <w:sz w:val="24"/>
          <w:szCs w:val="24"/>
          <w:lang w:eastAsia="zh-CN"/>
        </w:rPr>
      </w:pPr>
    </w:p>
    <w:p w14:paraId="44B22848">
      <w:pPr>
        <w:rPr>
          <w:rFonts w:hint="eastAsia" w:cs="Times New Roman"/>
          <w:b/>
          <w:bCs/>
          <w:color w:val="auto"/>
          <w:sz w:val="24"/>
          <w:szCs w:val="24"/>
          <w:lang w:eastAsia="zh-CN"/>
        </w:rPr>
      </w:pPr>
    </w:p>
    <w:p w14:paraId="5F79880D">
      <w:pPr>
        <w:rPr>
          <w:rFonts w:hint="eastAsia" w:cs="Times New Roman"/>
          <w:b/>
          <w:bCs/>
          <w:color w:val="auto"/>
          <w:sz w:val="24"/>
          <w:szCs w:val="24"/>
          <w:lang w:eastAsia="zh-CN"/>
        </w:rPr>
      </w:pPr>
    </w:p>
    <w:p w14:paraId="397A32DF">
      <w:pPr>
        <w:rPr>
          <w:rFonts w:hint="eastAsia" w:cs="Times New Roman"/>
          <w:b/>
          <w:bCs/>
          <w:color w:val="auto"/>
          <w:sz w:val="24"/>
          <w:szCs w:val="24"/>
          <w:lang w:eastAsia="zh-CN"/>
        </w:rPr>
      </w:pPr>
    </w:p>
    <w:p w14:paraId="4ACF3589">
      <w:pPr>
        <w:rPr>
          <w:rFonts w:hint="eastAsia" w:cs="Times New Roman"/>
          <w:b/>
          <w:bCs/>
          <w:color w:val="auto"/>
          <w:sz w:val="24"/>
          <w:szCs w:val="24"/>
          <w:lang w:eastAsia="zh-CN"/>
        </w:rPr>
      </w:pPr>
    </w:p>
    <w:p w14:paraId="13FC1F68">
      <w:pPr>
        <w:rPr>
          <w:rFonts w:hint="eastAsia" w:cs="Times New Roman"/>
          <w:b/>
          <w:bCs/>
          <w:color w:val="auto"/>
          <w:sz w:val="24"/>
          <w:szCs w:val="24"/>
          <w:lang w:eastAsia="zh-CN"/>
        </w:rPr>
      </w:pPr>
    </w:p>
    <w:p w14:paraId="355DC77F">
      <w:pPr>
        <w:rPr>
          <w:rFonts w:hint="eastAsia" w:cs="Times New Roman"/>
          <w:b/>
          <w:bCs/>
          <w:color w:val="auto"/>
          <w:sz w:val="24"/>
          <w:szCs w:val="24"/>
          <w:lang w:eastAsia="zh-CN"/>
        </w:rPr>
      </w:pPr>
    </w:p>
    <w:p w14:paraId="095BA10B">
      <w:pPr>
        <w:rPr>
          <w:rFonts w:hint="eastAsia" w:cs="Times New Roman"/>
          <w:b/>
          <w:bCs/>
          <w:color w:val="auto"/>
          <w:sz w:val="24"/>
          <w:szCs w:val="24"/>
          <w:lang w:eastAsia="zh-CN"/>
        </w:rPr>
      </w:pPr>
    </w:p>
    <w:p w14:paraId="2D49C42D">
      <w:pPr>
        <w:rPr>
          <w:rFonts w:hint="eastAsia" w:cs="Times New Roman"/>
          <w:b/>
          <w:bCs/>
          <w:color w:val="auto"/>
          <w:sz w:val="24"/>
          <w:szCs w:val="24"/>
          <w:lang w:eastAsia="zh-CN"/>
        </w:rPr>
      </w:pPr>
    </w:p>
    <w:p w14:paraId="34692347">
      <w:pPr>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eastAsia="zh-CN"/>
        </w:rPr>
        <w:t>原矿预处理工艺流程及排污节点</w:t>
      </w:r>
      <w:r>
        <w:rPr>
          <w:rFonts w:hint="eastAsia" w:cs="Times New Roman"/>
          <w:b/>
          <w:bCs/>
          <w:color w:val="auto"/>
          <w:sz w:val="24"/>
          <w:szCs w:val="24"/>
          <w:lang w:val="en-US" w:eastAsia="zh-CN"/>
        </w:rPr>
        <w:t>图如下。</w:t>
      </w:r>
    </w:p>
    <w:p w14:paraId="7F61057B">
      <w:pPr>
        <w:rPr>
          <w:rFonts w:hint="default" w:ascii="Times New Roman" w:hAnsi="Times New Roman" w:eastAsia="宋体" w:cs="Times New Roman"/>
          <w:color w:val="auto"/>
          <w:kern w:val="2"/>
          <w:sz w:val="24"/>
          <w:szCs w:val="22"/>
          <w:lang w:val="en-US" w:eastAsia="zh-CN" w:bidi="ar-SA"/>
        </w:rPr>
      </w:pPr>
      <w:r>
        <w:rPr>
          <w:sz w:val="24"/>
        </w:rPr>
        <mc:AlternateContent>
          <mc:Choice Requires="wps">
            <w:drawing>
              <wp:anchor distT="0" distB="0" distL="114300" distR="114300" simplePos="0" relativeHeight="251790336" behindDoc="0" locked="0" layoutInCell="1" allowOverlap="1">
                <wp:simplePos x="0" y="0"/>
                <wp:positionH relativeFrom="column">
                  <wp:posOffset>1884680</wp:posOffset>
                </wp:positionH>
                <wp:positionV relativeFrom="paragraph">
                  <wp:posOffset>191770</wp:posOffset>
                </wp:positionV>
                <wp:extent cx="847725" cy="990600"/>
                <wp:effectExtent l="6350" t="6350" r="22225" b="12700"/>
                <wp:wrapNone/>
                <wp:docPr id="70" name="矩形 70"/>
                <wp:cNvGraphicFramePr/>
                <a:graphic xmlns:a="http://schemas.openxmlformats.org/drawingml/2006/main">
                  <a:graphicData uri="http://schemas.microsoft.com/office/word/2010/wordprocessingShape">
                    <wps:wsp>
                      <wps:cNvSpPr/>
                      <wps:spPr>
                        <a:xfrm>
                          <a:off x="4317365" y="1805305"/>
                          <a:ext cx="847725" cy="990600"/>
                        </a:xfrm>
                        <a:prstGeom prst="rect">
                          <a:avLst/>
                        </a:prstGeom>
                        <a:noFill/>
                        <a:ln w="1270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8.4pt;margin-top:15.1pt;height:78pt;width:66.75pt;z-index:251790336;v-text-anchor:middle;mso-width-relative:page;mso-height-relative:page;" filled="f" stroked="t" coordsize="21600,21600" o:gfxdata="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wDVm71wAAAAoBAAAPAAAAAAAAAAEAIAAAACIAAABkcnMvZG93bnJldi54bWxQ&#10;SwECFAAUAAAACACHTuJAmAugMmoCAADABAAADgAAAAAAAAABACAAAAAmAQAAZHJzL2Uyb0RvYy54&#10;bWxQSwUGAAAAAAYABgBZAQAAAgYAAAAA&#10;">
                <v:fill on="f" focussize="0,0"/>
                <v:stroke weight="1pt" color="#000000 [3213]" joinstyle="round" dashstyle="dash"/>
                <v:imagedata o:title=""/>
                <o:lock v:ext="edit" aspectratio="f"/>
              </v:rect>
            </w:pict>
          </mc:Fallback>
        </mc:AlternateContent>
      </w:r>
    </w:p>
    <w:p w14:paraId="6C23591D">
      <w:pPr>
        <w:pStyle w:val="95"/>
        <w:ind w:left="420" w:leftChars="200" w:firstLine="218" w:firstLineChars="91"/>
        <w:rPr>
          <w:color w:val="auto"/>
          <w:sz w:val="24"/>
        </w:rPr>
      </w:pPr>
      <w:r>
        <w:rPr>
          <w:sz w:val="24"/>
        </w:rPr>
        <mc:AlternateContent>
          <mc:Choice Requires="wps">
            <w:drawing>
              <wp:anchor distT="0" distB="0" distL="114300" distR="114300" simplePos="0" relativeHeight="251820032" behindDoc="0" locked="0" layoutInCell="1" allowOverlap="1">
                <wp:simplePos x="0" y="0"/>
                <wp:positionH relativeFrom="column">
                  <wp:posOffset>1504950</wp:posOffset>
                </wp:positionH>
                <wp:positionV relativeFrom="paragraph">
                  <wp:posOffset>138430</wp:posOffset>
                </wp:positionV>
                <wp:extent cx="381000" cy="314325"/>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4A4D2F">
                            <w:pPr>
                              <w:jc w:val="both"/>
                              <w:rPr>
                                <w:rFonts w:hint="default" w:eastAsia="宋体"/>
                                <w:lang w:val="en-US" w:eastAsia="zh-CN"/>
                              </w:rPr>
                            </w:pPr>
                            <w:r>
                              <w:rPr>
                                <w:rFonts w:hint="eastAsia"/>
                                <w:lang w:val="en-US" w:eastAsia="zh-CN"/>
                              </w:rPr>
                              <w:t>G1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8.5pt;margin-top:10.9pt;height:24.75pt;width:30pt;z-index:251820032;mso-width-relative:page;mso-height-relative:page;" filled="f" stroked="f" coordsize="21600,21600" o:gfxdata="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1ZDNY2gAAAAkBAAAPAAAAAAAAAAEAIAAAACIAAABk&#10;cnMvZG93bnJldi54bWxQSwECFAAUAAAACACHTuJAXqFa0T0CAABpBAAADgAAAAAAAAABACAAAAAp&#10;AQAAZHJzL2Uyb0RvYy54bWxQSwUGAAAAAAYABgBZAQAA2AUAAAAA&#10;">
                <v:fill on="f" focussize="0,0"/>
                <v:stroke on="f" weight="0.5pt"/>
                <v:imagedata o:title=""/>
                <o:lock v:ext="edit" aspectratio="f"/>
                <v:textbox>
                  <w:txbxContent>
                    <w:p w14:paraId="6D4A4D2F">
                      <w:pPr>
                        <w:jc w:val="both"/>
                        <w:rPr>
                          <w:rFonts w:hint="default" w:eastAsia="宋体"/>
                          <w:lang w:val="en-US" w:eastAsia="zh-CN"/>
                        </w:rPr>
                      </w:pPr>
                      <w:r>
                        <w:rPr>
                          <w:rFonts w:hint="eastAsia"/>
                          <w:lang w:val="en-US" w:eastAsia="zh-CN"/>
                        </w:rPr>
                        <w:t>G1</w:t>
                      </w:r>
                    </w:p>
                  </w:txbxContent>
                </v:textbox>
              </v:shape>
            </w:pict>
          </mc:Fallback>
        </mc:AlternateContent>
      </w:r>
      <w:r>
        <w:rPr>
          <w:sz w:val="24"/>
        </w:rPr>
        <mc:AlternateContent>
          <mc:Choice Requires="wps">
            <w:drawing>
              <wp:anchor distT="0" distB="0" distL="114300" distR="114300" simplePos="0" relativeHeight="251780096" behindDoc="0" locked="0" layoutInCell="1" allowOverlap="1">
                <wp:simplePos x="0" y="0"/>
                <wp:positionH relativeFrom="column">
                  <wp:posOffset>2028825</wp:posOffset>
                </wp:positionH>
                <wp:positionV relativeFrom="paragraph">
                  <wp:posOffset>5080</wp:posOffset>
                </wp:positionV>
                <wp:extent cx="600075" cy="314325"/>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49614">
                            <w:pPr>
                              <w:jc w:val="center"/>
                              <w:rPr>
                                <w:rFonts w:hint="eastAsia" w:eastAsia="宋体"/>
                                <w:lang w:eastAsia="zh-CN"/>
                              </w:rPr>
                            </w:pPr>
                            <w:r>
                              <w:rPr>
                                <w:rFonts w:hint="eastAsia" w:eastAsia="宋体"/>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75pt;margin-top:0.4pt;height:24.75pt;width:47.25pt;z-index:251780096;mso-width-relative:page;mso-height-relative:page;" filled="f" stroked="f" coordsize="21600,21600" o:gfxdata="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nY13JdkAAAAHAQAADwAAAAAAAAABACAAAAAiAAAAZHJz&#10;L2Rvd25yZXYueG1sUEsBAhQAFAAAAAgAh07iQD2QL2c8AgAAZwQAAA4AAAAAAAAAAQAgAAAAKAEA&#10;AGRycy9lMm9Eb2MueG1sUEsFBgAAAAAGAAYAWQEAANYFAAAAAA==&#10;">
                <v:fill on="f" focussize="0,0"/>
                <v:stroke on="f" weight="0.5pt"/>
                <v:imagedata o:title=""/>
                <o:lock v:ext="edit" aspectratio="f"/>
                <v:textbox>
                  <w:txbxContent>
                    <w:p w14:paraId="1D849614">
                      <w:pPr>
                        <w:jc w:val="center"/>
                        <w:rPr>
                          <w:rFonts w:hint="eastAsia" w:eastAsia="宋体"/>
                          <w:lang w:eastAsia="zh-CN"/>
                        </w:rPr>
                      </w:pPr>
                      <w:r>
                        <w:rPr>
                          <w:rFonts w:hint="eastAsia" w:eastAsia="宋体"/>
                          <w:lang w:eastAsia="zh-CN"/>
                        </w:rPr>
                        <w:t>粉尘</w:t>
                      </w:r>
                    </w:p>
                  </w:txbxContent>
                </v:textbox>
              </v:shape>
            </w:pict>
          </mc:Fallback>
        </mc:AlternateContent>
      </w:r>
      <w:r>
        <w:rPr>
          <w:sz w:val="24"/>
        </w:rPr>
        <mc:AlternateContent>
          <mc:Choice Requires="wps">
            <w:drawing>
              <wp:anchor distT="0" distB="0" distL="114300" distR="114300" simplePos="0" relativeHeight="251774976" behindDoc="0" locked="0" layoutInCell="1" allowOverlap="1">
                <wp:simplePos x="0" y="0"/>
                <wp:positionH relativeFrom="column">
                  <wp:posOffset>1019175</wp:posOffset>
                </wp:positionH>
                <wp:positionV relativeFrom="paragraph">
                  <wp:posOffset>5080</wp:posOffset>
                </wp:positionV>
                <wp:extent cx="600075" cy="314325"/>
                <wp:effectExtent l="4445" t="4445" r="5080" b="5080"/>
                <wp:wrapNone/>
                <wp:docPr id="87" name="文本框 87"/>
                <wp:cNvGraphicFramePr/>
                <a:graphic xmlns:a="http://schemas.openxmlformats.org/drawingml/2006/main">
                  <a:graphicData uri="http://schemas.microsoft.com/office/word/2010/wordprocessingShape">
                    <wps:wsp>
                      <wps:cNvSpPr txBox="1"/>
                      <wps:spPr>
                        <a:xfrm>
                          <a:off x="2442210" y="1628140"/>
                          <a:ext cx="6000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36B00F6">
                            <w:pPr>
                              <w:jc w:val="center"/>
                              <w:rPr>
                                <w:rFonts w:hint="eastAsia" w:eastAsia="宋体"/>
                                <w:lang w:eastAsia="zh-CN"/>
                              </w:rPr>
                            </w:pPr>
                            <w:r>
                              <w:rPr>
                                <w:rFonts w:hint="eastAsia"/>
                                <w:lang w:eastAsia="zh-CN"/>
                              </w:rPr>
                              <w:t>原矿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0.4pt;height:24.75pt;width:47.25pt;z-index:251774976;mso-width-relative:page;mso-height-relative:page;" fillcolor="#FFFFFF [3201]" filled="t" stroked="t" coordsize="21600,21600" o:gfxdata="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c&#10;Dk830gAAAAcBAAAPAAAAAAAAAAEAIAAAACIAAABkcnMvZG93bnJldi54bWxQSwECFAAUAAAACACH&#10;TuJAwTachGMCAADEBAAADgAAAAAAAAABACAAAAAhAQAAZHJzL2Uyb0RvYy54bWxQSwUGAAAAAAYA&#10;BgBZAQAA9gUAAAAA&#10;">
                <v:fill on="t" focussize="0,0"/>
                <v:stroke weight="0.5pt" color="#000000 [3204]" joinstyle="round"/>
                <v:imagedata o:title=""/>
                <o:lock v:ext="edit" aspectratio="f"/>
                <v:textbox>
                  <w:txbxContent>
                    <w:p w14:paraId="436B00F6">
                      <w:pPr>
                        <w:jc w:val="center"/>
                        <w:rPr>
                          <w:rFonts w:hint="eastAsia" w:eastAsia="宋体"/>
                          <w:lang w:eastAsia="zh-CN"/>
                        </w:rPr>
                      </w:pPr>
                      <w:r>
                        <w:rPr>
                          <w:rFonts w:hint="eastAsia"/>
                          <w:lang w:eastAsia="zh-CN"/>
                        </w:rPr>
                        <w:t>原矿</w:t>
                      </w:r>
                    </w:p>
                  </w:txbxContent>
                </v:textbox>
              </v:shape>
            </w:pict>
          </mc:Fallback>
        </mc:AlternateContent>
      </w:r>
      <w:r>
        <w:rPr>
          <w:sz w:val="24"/>
        </w:rPr>
        <mc:AlternateContent>
          <mc:Choice Requires="wps">
            <w:drawing>
              <wp:anchor distT="0" distB="0" distL="114300" distR="114300" simplePos="0" relativeHeight="251779072" behindDoc="0" locked="0" layoutInCell="1" allowOverlap="1">
                <wp:simplePos x="0" y="0"/>
                <wp:positionH relativeFrom="column">
                  <wp:posOffset>1619250</wp:posOffset>
                </wp:positionH>
                <wp:positionV relativeFrom="paragraph">
                  <wp:posOffset>157480</wp:posOffset>
                </wp:positionV>
                <wp:extent cx="423545" cy="5080"/>
                <wp:effectExtent l="0" t="37465" r="14605" b="33655"/>
                <wp:wrapNone/>
                <wp:docPr id="88" name="直接箭头连接符 88"/>
                <wp:cNvGraphicFramePr/>
                <a:graphic xmlns:a="http://schemas.openxmlformats.org/drawingml/2006/main">
                  <a:graphicData uri="http://schemas.microsoft.com/office/word/2010/wordprocessingShape">
                    <wps:wsp>
                      <wps:cNvCnPr/>
                      <wps:spPr>
                        <a:xfrm flipV="1">
                          <a:off x="4013835" y="178054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7.5pt;margin-top:12.4pt;height:0.4pt;width:33.35pt;z-index:251779072;mso-width-relative:page;mso-height-relative:page;" filled="f" stroked="t" coordsize="21600,21600" o:gfxdata="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9doENoAAAAJAQAADwAAAAAA&#10;AAABACAAAAAiAAAAZHJzL2Rvd25yZXYueG1sUEsBAhQAFAAAAAgAh07iQGMwCdURAgAA5AMAAA4A&#10;AAAAAAAAAQAgAAAAKQEAAGRycy9lMm9Eb2MueG1sUEsFBgAAAAAGAAYAWQEAAKwFAAAAAA==&#10;">
                <v:fill on="f" focussize="0,0"/>
                <v:stroke weight="1pt" color="#000000 [3213]" joinstyle="round" dashstyle="dash" endarrow="block"/>
                <v:imagedata o:title=""/>
                <o:lock v:ext="edit" aspectratio="f"/>
              </v:shape>
            </w:pict>
          </mc:Fallback>
        </mc:AlternateContent>
      </w:r>
    </w:p>
    <w:p w14:paraId="1034DBBA">
      <w:pPr>
        <w:pStyle w:val="74"/>
        <w:rPr>
          <w:color w:val="auto"/>
          <w:sz w:val="24"/>
        </w:rPr>
      </w:pPr>
      <w:r>
        <w:rPr>
          <w:sz w:val="24"/>
        </w:rPr>
        <mc:AlternateContent>
          <mc:Choice Requires="wps">
            <w:drawing>
              <wp:anchor distT="0" distB="0" distL="114300" distR="114300" simplePos="0" relativeHeight="251791360" behindDoc="0" locked="0" layoutInCell="1" allowOverlap="1">
                <wp:simplePos x="0" y="0"/>
                <wp:positionH relativeFrom="column">
                  <wp:posOffset>2752725</wp:posOffset>
                </wp:positionH>
                <wp:positionV relativeFrom="paragraph">
                  <wp:posOffset>130810</wp:posOffset>
                </wp:positionV>
                <wp:extent cx="742950" cy="3143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70EB68">
                            <w:pPr>
                              <w:jc w:val="both"/>
                              <w:rPr>
                                <w:rFonts w:hint="eastAsia" w:eastAsia="宋体"/>
                                <w:lang w:eastAsia="zh-CN"/>
                              </w:rPr>
                            </w:pPr>
                            <w:r>
                              <w:rPr>
                                <w:rFonts w:hint="eastAsia" w:eastAsia="宋体"/>
                                <w:lang w:eastAsia="zh-CN"/>
                              </w:rPr>
                              <w:t>洒水降尘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75pt;margin-top:10.3pt;height:24.75pt;width:58.5pt;z-index:251791360;mso-width-relative:page;mso-height-relative:page;" filled="f" stroked="f" coordsize="21600,21600" o:gfxdata="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coA+toAAAAJAQAADwAAAAAAAAABACAAAAAiAAAAZHJz&#10;L2Rvd25yZXYueG1sUEsBAhQAFAAAAAgAh07iQKpAJiE7AgAAZwQAAA4AAAAAAAAAAQAgAAAAKQEA&#10;AGRycy9lMm9Eb2MueG1sUEsFBgAAAAAGAAYAWQEAANYFAAAAAA==&#10;">
                <v:fill on="f" focussize="0,0"/>
                <v:stroke on="f" weight="0.5pt"/>
                <v:imagedata o:title=""/>
                <o:lock v:ext="edit" aspectratio="f"/>
                <v:textbox>
                  <w:txbxContent>
                    <w:p w14:paraId="5770EB68">
                      <w:pPr>
                        <w:jc w:val="both"/>
                        <w:rPr>
                          <w:rFonts w:hint="eastAsia" w:eastAsia="宋体"/>
                          <w:lang w:eastAsia="zh-CN"/>
                        </w:rPr>
                      </w:pPr>
                      <w:r>
                        <w:rPr>
                          <w:rFonts w:hint="eastAsia" w:eastAsia="宋体"/>
                          <w:lang w:eastAsia="zh-CN"/>
                        </w:rPr>
                        <w:t>洒水降尘</w:t>
                      </w:r>
                    </w:p>
                  </w:txbxContent>
                </v:textbox>
              </v:shape>
            </w:pict>
          </mc:Fallback>
        </mc:AlternateContent>
      </w:r>
      <w:r>
        <w:rPr>
          <w:sz w:val="24"/>
        </w:rPr>
        <mc:AlternateContent>
          <mc:Choice Requires="wps">
            <w:drawing>
              <wp:anchor distT="0" distB="0" distL="114300" distR="114300" simplePos="0" relativeHeight="251778048" behindDoc="0" locked="0" layoutInCell="1" allowOverlap="1">
                <wp:simplePos x="0" y="0"/>
                <wp:positionH relativeFrom="column">
                  <wp:posOffset>1209675</wp:posOffset>
                </wp:positionH>
                <wp:positionV relativeFrom="paragraph">
                  <wp:posOffset>130810</wp:posOffset>
                </wp:positionV>
                <wp:extent cx="600075" cy="31432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639AC0">
                            <w:pPr>
                              <w:jc w:val="center"/>
                              <w:rPr>
                                <w:rFonts w:hint="eastAsia" w:eastAsia="宋体"/>
                                <w:lang w:eastAsia="zh-CN"/>
                              </w:rPr>
                            </w:pPr>
                            <w:r>
                              <w:rPr>
                                <w:rFonts w:hint="eastAsia" w:eastAsia="宋体"/>
                                <w:lang w:eastAsia="zh-CN"/>
                              </w:rPr>
                              <w:t>铲车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25pt;margin-top:10.3pt;height:24.75pt;width:47.25pt;z-index:251778048;mso-width-relative:page;mso-height-relative:page;" filled="f" stroked="f" coordsize="21600,21600" o:gfxdata="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jt0iQtkAAAAJAQAADwAAAAAAAAABACAAAAAiAAAAZHJz&#10;L2Rvd25yZXYueG1sUEsBAhQAFAAAAAgAh07iQO2dohs8AgAAZwQAAA4AAAAAAAAAAQAgAAAAKAEA&#10;AGRycy9lMm9Eb2MueG1sUEsFBgAAAAAGAAYAWQEAANYFAAAAAA==&#10;">
                <v:fill on="f" focussize="0,0"/>
                <v:stroke on="f" weight="0.5pt"/>
                <v:imagedata o:title=""/>
                <o:lock v:ext="edit" aspectratio="f"/>
                <v:textbox>
                  <w:txbxContent>
                    <w:p w14:paraId="56639AC0">
                      <w:pPr>
                        <w:jc w:val="center"/>
                        <w:rPr>
                          <w:rFonts w:hint="eastAsia" w:eastAsia="宋体"/>
                          <w:lang w:eastAsia="zh-CN"/>
                        </w:rPr>
                      </w:pPr>
                      <w:r>
                        <w:rPr>
                          <w:rFonts w:hint="eastAsia" w:eastAsia="宋体"/>
                          <w:lang w:eastAsia="zh-CN"/>
                        </w:rPr>
                        <w:t>铲车</w:t>
                      </w:r>
                    </w:p>
                  </w:txbxContent>
                </v:textbox>
              </v:shape>
            </w:pict>
          </mc:Fallback>
        </mc:AlternateContent>
      </w:r>
      <w:r>
        <w:rPr>
          <w:sz w:val="24"/>
        </w:rPr>
        <mc:AlternateContent>
          <mc:Choice Requires="wps">
            <w:drawing>
              <wp:anchor distT="0" distB="0" distL="114300" distR="114300" simplePos="0" relativeHeight="251776000" behindDoc="0" locked="0" layoutInCell="1" allowOverlap="1">
                <wp:simplePos x="0" y="0"/>
                <wp:positionH relativeFrom="column">
                  <wp:posOffset>1319530</wp:posOffset>
                </wp:positionH>
                <wp:positionV relativeFrom="paragraph">
                  <wp:posOffset>121285</wp:posOffset>
                </wp:positionV>
                <wp:extent cx="4445" cy="371475"/>
                <wp:effectExtent l="34290" t="0" r="37465" b="9525"/>
                <wp:wrapNone/>
                <wp:docPr id="92" name="直接连接符 92"/>
                <wp:cNvGraphicFramePr/>
                <a:graphic xmlns:a="http://schemas.openxmlformats.org/drawingml/2006/main">
                  <a:graphicData uri="http://schemas.microsoft.com/office/word/2010/wordprocessingShape">
                    <wps:wsp>
                      <wps:cNvCnPr>
                        <a:stCxn id="87" idx="2"/>
                      </wps:cNvCnPr>
                      <wps:spPr>
                        <a:xfrm>
                          <a:off x="3714115" y="1942465"/>
                          <a:ext cx="4445" cy="371475"/>
                        </a:xfrm>
                        <a:prstGeom prst="line">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3.9pt;margin-top:9.55pt;height:29.25pt;width:0.35pt;z-index:251776000;mso-width-relative:page;mso-height-relative:page;" filled="f" stroked="t" coordsize="21600,21600" o:gfxdata="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LOfndgAAAAJAQAADwAAAAAAAAABACAAAAAi&#10;AAAAZHJzL2Rvd25yZXYueG1sUEsBAhQAFAAAAAgAh07iQDvLxL0KAgAA7gMAAA4AAAAAAAAAAQAg&#10;AAAAJwEAAGRycy9lMm9Eb2MueG1sUEsFBgAAAAAGAAYAWQEAAKMFAAAAAA==&#10;">
                <v:fill on="f" focussize="0,0"/>
                <v:stroke weight="1pt" color="#000000 [3213]" joinstyle="round" endarrow="block"/>
                <v:imagedata o:title=""/>
                <o:lock v:ext="edit" aspectratio="f"/>
              </v:line>
            </w:pict>
          </mc:Fallback>
        </mc:AlternateContent>
      </w:r>
    </w:p>
    <w:p w14:paraId="1C90A35B">
      <w:pPr>
        <w:rPr>
          <w:color w:val="auto"/>
          <w:sz w:val="24"/>
        </w:rPr>
      </w:pPr>
      <w:r>
        <w:rPr>
          <w:sz w:val="24"/>
        </w:rPr>
        <mc:AlternateContent>
          <mc:Choice Requires="wps">
            <w:drawing>
              <wp:anchor distT="0" distB="0" distL="114300" distR="114300" simplePos="0" relativeHeight="251782144" behindDoc="0" locked="0" layoutInCell="1" allowOverlap="1">
                <wp:simplePos x="0" y="0"/>
                <wp:positionH relativeFrom="column">
                  <wp:posOffset>2047875</wp:posOffset>
                </wp:positionH>
                <wp:positionV relativeFrom="paragraph">
                  <wp:posOffset>61595</wp:posOffset>
                </wp:positionV>
                <wp:extent cx="600075" cy="31432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1C5E1F">
                            <w:pPr>
                              <w:jc w:val="center"/>
                              <w:rPr>
                                <w:rFonts w:hint="eastAsia" w:eastAsia="宋体"/>
                                <w:lang w:eastAsia="zh-CN"/>
                              </w:rPr>
                            </w:pPr>
                            <w:r>
                              <w:rPr>
                                <w:rFonts w:hint="eastAsia" w:eastAsia="宋体"/>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25pt;margin-top:4.85pt;height:24.75pt;width:47.25pt;z-index:251782144;mso-width-relative:page;mso-height-relative:page;" filled="f" stroked="f" coordsize="21600,21600" o:gfxdata="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5hjc9oAAAAIAQAADwAAAAAAAAABACAAAAAiAAAAZHJz&#10;L2Rvd25yZXYueG1sUEsBAhQAFAAAAAgAh07iQLfiYfM7AgAAZwQAAA4AAAAAAAAAAQAgAAAAKQEA&#10;AGRycy9lMm9Eb2MueG1sUEsFBgAAAAAGAAYAWQEAANYFAAAAAA==&#10;">
                <v:fill on="f" focussize="0,0"/>
                <v:stroke on="f" weight="0.5pt"/>
                <v:imagedata o:title=""/>
                <o:lock v:ext="edit" aspectratio="f"/>
                <v:textbox>
                  <w:txbxContent>
                    <w:p w14:paraId="031C5E1F">
                      <w:pPr>
                        <w:jc w:val="center"/>
                        <w:rPr>
                          <w:rFonts w:hint="eastAsia" w:eastAsia="宋体"/>
                          <w:lang w:eastAsia="zh-CN"/>
                        </w:rPr>
                      </w:pPr>
                      <w:r>
                        <w:rPr>
                          <w:rFonts w:hint="eastAsia" w:eastAsia="宋体"/>
                          <w:lang w:eastAsia="zh-CN"/>
                        </w:rPr>
                        <w:t>粉尘</w:t>
                      </w:r>
                    </w:p>
                  </w:txbxContent>
                </v:textbox>
              </v:shape>
            </w:pict>
          </mc:Fallback>
        </mc:AlternateContent>
      </w:r>
      <w:r>
        <w:rPr>
          <w:sz w:val="24"/>
        </w:rPr>
        <mc:AlternateContent>
          <mc:Choice Requires="wps">
            <w:drawing>
              <wp:anchor distT="0" distB="0" distL="114300" distR="114300" simplePos="0" relativeHeight="251777024" behindDoc="0" locked="0" layoutInCell="1" allowOverlap="1">
                <wp:simplePos x="0" y="0"/>
                <wp:positionH relativeFrom="column">
                  <wp:posOffset>1019175</wp:posOffset>
                </wp:positionH>
                <wp:positionV relativeFrom="paragraph">
                  <wp:posOffset>71120</wp:posOffset>
                </wp:positionV>
                <wp:extent cx="600075" cy="314325"/>
                <wp:effectExtent l="4445" t="4445" r="5080" b="5080"/>
                <wp:wrapNone/>
                <wp:docPr id="94" name="文本框 94"/>
                <wp:cNvGraphicFramePr/>
                <a:graphic xmlns:a="http://schemas.openxmlformats.org/drawingml/2006/main">
                  <a:graphicData uri="http://schemas.microsoft.com/office/word/2010/wordprocessingShape">
                    <wps:wsp>
                      <wps:cNvSpPr txBox="1"/>
                      <wps:spPr>
                        <a:xfrm>
                          <a:off x="0" y="0"/>
                          <a:ext cx="6000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47D109">
                            <w:pPr>
                              <w:jc w:val="center"/>
                              <w:rPr>
                                <w:rFonts w:hint="eastAsia" w:eastAsia="宋体"/>
                                <w:lang w:eastAsia="zh-CN"/>
                              </w:rPr>
                            </w:pPr>
                            <w:r>
                              <w:rPr>
                                <w:rFonts w:hint="eastAsia"/>
                                <w:lang w:eastAsia="zh-CN"/>
                              </w:rPr>
                              <w:t>上料仓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25pt;margin-top:5.6pt;height:24.75pt;width:47.25pt;z-index:251777024;mso-width-relative:page;mso-height-relative:page;" fillcolor="#FFFFFF [3201]" filled="t" stroked="t" coordsize="21600,21600" o:gfxdata="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eqhXi1AAAAAkB&#10;AAAPAAAAAAAAAAEAIAAAACIAAABkcnMvZG93bnJldi54bWxQSwECFAAUAAAACACHTuJACmddUlgC&#10;AAC4BAAADgAAAAAAAAABACAAAAAjAQAAZHJzL2Uyb0RvYy54bWxQSwUGAAAAAAYABgBZAQAA7QUA&#10;AAAA&#10;">
                <v:fill on="t" focussize="0,0"/>
                <v:stroke weight="0.5pt" color="#000000 [3204]" joinstyle="round"/>
                <v:imagedata o:title=""/>
                <o:lock v:ext="edit" aspectratio="f"/>
                <v:textbox>
                  <w:txbxContent>
                    <w:p w14:paraId="5347D109">
                      <w:pPr>
                        <w:jc w:val="center"/>
                        <w:rPr>
                          <w:rFonts w:hint="eastAsia" w:eastAsia="宋体"/>
                          <w:lang w:eastAsia="zh-CN"/>
                        </w:rPr>
                      </w:pPr>
                      <w:r>
                        <w:rPr>
                          <w:rFonts w:hint="eastAsia"/>
                          <w:lang w:eastAsia="zh-CN"/>
                        </w:rPr>
                        <w:t>上料仓</w:t>
                      </w:r>
                    </w:p>
                  </w:txbxContent>
                </v:textbox>
              </v:shape>
            </w:pict>
          </mc:Fallback>
        </mc:AlternateContent>
      </w:r>
    </w:p>
    <w:p w14:paraId="5B3FBD6A">
      <w:pPr>
        <w:pStyle w:val="74"/>
        <w:rPr>
          <w:rFonts w:hint="eastAsia" w:eastAsia="宋体"/>
          <w:color w:val="auto"/>
          <w:sz w:val="24"/>
          <w:lang w:eastAsia="zh-CN"/>
        </w:rPr>
      </w:pPr>
      <w:r>
        <w:rPr>
          <w:sz w:val="24"/>
        </w:rPr>
        <mc:AlternateContent>
          <mc:Choice Requires="wps">
            <w:drawing>
              <wp:anchor distT="0" distB="0" distL="114300" distR="114300" simplePos="0" relativeHeight="251822080" behindDoc="0" locked="0" layoutInCell="1" allowOverlap="1">
                <wp:simplePos x="0" y="0"/>
                <wp:positionH relativeFrom="column">
                  <wp:posOffset>1524000</wp:posOffset>
                </wp:positionH>
                <wp:positionV relativeFrom="paragraph">
                  <wp:posOffset>44450</wp:posOffset>
                </wp:positionV>
                <wp:extent cx="381000" cy="314325"/>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F33BE6">
                            <w:pPr>
                              <w:jc w:val="both"/>
                              <w:rPr>
                                <w:rFonts w:hint="default" w:eastAsia="宋体"/>
                                <w:lang w:val="en-US" w:eastAsia="zh-CN"/>
                              </w:rPr>
                            </w:pPr>
                            <w:r>
                              <w:rPr>
                                <w:rFonts w:hint="eastAsia"/>
                                <w:lang w:val="en-US" w:eastAsia="zh-CN"/>
                              </w:rPr>
                              <w:t>G2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pt;margin-top:3.5pt;height:24.75pt;width:30pt;z-index:251822080;mso-width-relative:page;mso-height-relative:page;" filled="f" stroked="f" coordsize="21600,21600" o:gfxdata="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2LRh32QAAAAgBAAAPAAAAAAAAAAEAIAAAACIAAABk&#10;cnMvZG93bnJldi54bWxQSwECFAAUAAAACACHTuJAcIAKZT4CAABpBAAADgAAAAAAAAABACAAAAAo&#10;AQAAZHJzL2Uyb0RvYy54bWxQSwUGAAAAAAYABgBZAQAA2AUAAAAA&#10;">
                <v:fill on="f" focussize="0,0"/>
                <v:stroke on="f" weight="0.5pt"/>
                <v:imagedata o:title=""/>
                <o:lock v:ext="edit" aspectratio="f"/>
                <v:textbox>
                  <w:txbxContent>
                    <w:p w14:paraId="14F33BE6">
                      <w:pPr>
                        <w:jc w:val="both"/>
                        <w:rPr>
                          <w:rFonts w:hint="default" w:eastAsia="宋体"/>
                          <w:lang w:val="en-US" w:eastAsia="zh-CN"/>
                        </w:rPr>
                      </w:pPr>
                      <w:r>
                        <w:rPr>
                          <w:rFonts w:hint="eastAsia"/>
                          <w:lang w:val="en-US" w:eastAsia="zh-CN"/>
                        </w:rPr>
                        <w:t>G2</w:t>
                      </w:r>
                    </w:p>
                  </w:txbxContent>
                </v:textbox>
              </v:shape>
            </w:pict>
          </mc:Fallback>
        </mc:AlternateContent>
      </w:r>
      <w:r>
        <w:rPr>
          <w:sz w:val="24"/>
        </w:rPr>
        <mc:AlternateContent>
          <mc:Choice Requires="wps">
            <w:drawing>
              <wp:anchor distT="0" distB="0" distL="114300" distR="114300" simplePos="0" relativeHeight="251781120" behindDoc="0" locked="0" layoutInCell="1" allowOverlap="1">
                <wp:simplePos x="0" y="0"/>
                <wp:positionH relativeFrom="column">
                  <wp:posOffset>1638300</wp:posOffset>
                </wp:positionH>
                <wp:positionV relativeFrom="paragraph">
                  <wp:posOffset>25400</wp:posOffset>
                </wp:positionV>
                <wp:extent cx="423545" cy="5080"/>
                <wp:effectExtent l="0" t="37465" r="14605" b="33655"/>
                <wp:wrapNone/>
                <wp:docPr id="93" name="直接箭头连接符 93"/>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29pt;margin-top:2pt;height:0.4pt;width:33.35pt;z-index:251781120;mso-width-relative:page;mso-height-relative:page;" filled="f" stroked="t" coordsize="21600,21600" o:gfxdata="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9mPQ2AAAAAcBAAAPAAAAAAAAAAEAIAAAACIAAABk&#10;cnMvZG93bnJldi54bWxQSwECFAAUAAAACACHTuJA5V/qbwYCAADYAwAADgAAAAAAAAABACAAAAAn&#10;AQAAZHJzL2Uyb0RvYy54bWxQSwUGAAAAAAYABgBZAQAAnw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609600</wp:posOffset>
                </wp:positionH>
                <wp:positionV relativeFrom="paragraph">
                  <wp:posOffset>234950</wp:posOffset>
                </wp:positionV>
                <wp:extent cx="742950" cy="314325"/>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5CEDE">
                            <w:pPr>
                              <w:jc w:val="center"/>
                              <w:rPr>
                                <w:rFonts w:hint="eastAsia" w:eastAsia="宋体"/>
                                <w:lang w:eastAsia="zh-CN"/>
                              </w:rPr>
                            </w:pPr>
                            <w:r>
                              <w:rPr>
                                <w:rFonts w:hint="eastAsia" w:eastAsia="宋体"/>
                                <w:lang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pt;margin-top:18.5pt;height:24.75pt;width:58.5pt;z-index:251816960;mso-width-relative:page;mso-height-relative:page;" filled="f" stroked="f" coordsize="21600,21600" o:gfxdata="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G7NB9oAAAAIAQAADwAAAAAAAAABACAAAAAiAAAAZHJz&#10;L2Rvd25yZXYueG1sUEsBAhQAFAAAAAgAh07iQK6udHY7AgAAZwQAAA4AAAAAAAAAAQAgAAAAKQEA&#10;AGRycy9lMm9Eb2MueG1sUEsFBgAAAAAGAAYAWQEAANYFAAAAAA==&#10;">
                <v:fill on="f" focussize="0,0"/>
                <v:stroke on="f" weight="0.5pt"/>
                <v:imagedata o:title=""/>
                <o:lock v:ext="edit" aspectratio="f"/>
                <v:textbox>
                  <w:txbxContent>
                    <w:p w14:paraId="5C65CEDE">
                      <w:pPr>
                        <w:jc w:val="center"/>
                        <w:rPr>
                          <w:rFonts w:hint="eastAsia" w:eastAsia="宋体"/>
                          <w:lang w:eastAsia="zh-CN"/>
                        </w:rPr>
                      </w:pPr>
                      <w:r>
                        <w:rPr>
                          <w:rFonts w:hint="eastAsia" w:eastAsia="宋体"/>
                          <w:lang w:eastAsia="zh-CN"/>
                        </w:rPr>
                        <w:t>皮带输送</w:t>
                      </w:r>
                    </w:p>
                  </w:txbxContent>
                </v:textbox>
              </v:shape>
            </w:pict>
          </mc:Fallback>
        </mc:AlternateContent>
      </w:r>
      <w:r>
        <w:rPr>
          <w:sz w:val="24"/>
        </w:rPr>
        <mc:AlternateContent>
          <mc:Choice Requires="wps">
            <w:drawing>
              <wp:anchor distT="0" distB="0" distL="114300" distR="114300" simplePos="0" relativeHeight="251794432" behindDoc="0" locked="0" layoutInCell="1" allowOverlap="1">
                <wp:simplePos x="0" y="0"/>
                <wp:positionH relativeFrom="column">
                  <wp:posOffset>1695450</wp:posOffset>
                </wp:positionH>
                <wp:positionV relativeFrom="paragraph">
                  <wp:posOffset>406400</wp:posOffset>
                </wp:positionV>
                <wp:extent cx="600075" cy="314325"/>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B461EE">
                            <w:pPr>
                              <w:jc w:val="center"/>
                              <w:rPr>
                                <w:rFonts w:hint="eastAsia" w:eastAsia="宋体"/>
                                <w:lang w:eastAsia="zh-CN"/>
                              </w:rPr>
                            </w:pPr>
                            <w:r>
                              <w:rPr>
                                <w:rFonts w:hint="eastAsia" w:eastAsia="宋体"/>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3.5pt;margin-top:32pt;height:24.75pt;width:47.25pt;z-index:251794432;mso-width-relative:page;mso-height-relative:page;" filled="f" stroked="f" coordsize="21600,21600" o:gfxdata="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VMzxw2wAAAAoBAAAPAAAAAAAAAAEAIAAAACIAAABk&#10;cnMvZG93bnJldi54bWxQSwECFAAUAAAACACHTuJA8pS6BDwCAABnBAAADgAAAAAAAAABACAAAAAq&#10;AQAAZHJzL2Uyb0RvYy54bWxQSwUGAAAAAAYABgBZAQAA2AUAAAAA&#10;">
                <v:fill on="f" focussize="0,0"/>
                <v:stroke on="f" weight="0.5pt"/>
                <v:imagedata o:title=""/>
                <o:lock v:ext="edit" aspectratio="f"/>
                <v:textbox>
                  <w:txbxContent>
                    <w:p w14:paraId="02B461EE">
                      <w:pPr>
                        <w:jc w:val="center"/>
                        <w:rPr>
                          <w:rFonts w:hint="eastAsia" w:eastAsia="宋体"/>
                          <w:lang w:eastAsia="zh-CN"/>
                        </w:rPr>
                      </w:pPr>
                      <w:r>
                        <w:rPr>
                          <w:rFonts w:hint="eastAsia" w:eastAsia="宋体"/>
                          <w:lang w:eastAsia="zh-CN"/>
                        </w:rPr>
                        <w:t>粉尘</w:t>
                      </w:r>
                    </w:p>
                  </w:txbxContent>
                </v:textbox>
              </v:shape>
            </w:pict>
          </mc:Fallback>
        </mc:AlternateContent>
      </w:r>
      <w:r>
        <w:rPr>
          <w:sz w:val="24"/>
        </w:rPr>
        <mc:AlternateContent>
          <mc:Choice Requires="wps">
            <w:drawing>
              <wp:anchor distT="0" distB="0" distL="114300" distR="114300" simplePos="0" relativeHeight="251783168" behindDoc="0" locked="0" layoutInCell="1" allowOverlap="1">
                <wp:simplePos x="0" y="0"/>
                <wp:positionH relativeFrom="column">
                  <wp:posOffset>1318895</wp:posOffset>
                </wp:positionH>
                <wp:positionV relativeFrom="paragraph">
                  <wp:posOffset>187325</wp:posOffset>
                </wp:positionV>
                <wp:extent cx="635" cy="363855"/>
                <wp:effectExtent l="38100" t="0" r="37465" b="17145"/>
                <wp:wrapNone/>
                <wp:docPr id="98" name="直接箭头连接符 98"/>
                <wp:cNvGraphicFramePr/>
                <a:graphic xmlns:a="http://schemas.openxmlformats.org/drawingml/2006/main">
                  <a:graphicData uri="http://schemas.microsoft.com/office/word/2010/wordprocessingShape">
                    <wps:wsp>
                      <wps:cNvCnPr/>
                      <wps:spPr>
                        <a:xfrm flipH="1">
                          <a:off x="3713480" y="2618740"/>
                          <a:ext cx="635" cy="36385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3.85pt;margin-top:14.75pt;height:28.65pt;width:0.05pt;z-index:251783168;mso-width-relative:page;mso-height-relative:page;" filled="f" stroked="t" coordsize="21600,21600" o:gfxdata="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00XBi9sAAAAJAQAADwAA&#10;AAAAAAABACAAAAAiAAAAZHJzL2Rvd25yZXYueG1sUEsBAhQAFAAAAAgAh07iQOYbjJATAgAA5AMA&#10;AA4AAAAAAAAAAQAgAAAAKgEAAGRycy9lMm9Eb2MueG1sUEsFBgAAAAAGAAYAWQEAAK8FAAAAAA==&#10;">
                <v:fill on="f" focussize="0,0"/>
                <v:stroke weight="1pt" color="#000000 [3213]" joinstyle="round" endarrow="block"/>
                <v:imagedata o:title=""/>
                <o:lock v:ext="edit" aspectratio="f"/>
              </v:shape>
            </w:pict>
          </mc:Fallback>
        </mc:AlternateContent>
      </w:r>
    </w:p>
    <w:p w14:paraId="62E0F8E1">
      <w:pPr>
        <w:rPr>
          <w:color w:val="auto"/>
          <w:sz w:val="24"/>
        </w:rPr>
      </w:pPr>
      <w:r>
        <w:rPr>
          <w:sz w:val="24"/>
        </w:rPr>
        <mc:AlternateContent>
          <mc:Choice Requires="wps">
            <w:drawing>
              <wp:anchor distT="0" distB="0" distL="114300" distR="114300" simplePos="0" relativeHeight="251819008" behindDoc="0" locked="0" layoutInCell="1" allowOverlap="1">
                <wp:simplePos x="0" y="0"/>
                <wp:positionH relativeFrom="column">
                  <wp:posOffset>1838325</wp:posOffset>
                </wp:positionH>
                <wp:positionV relativeFrom="paragraph">
                  <wp:posOffset>3810</wp:posOffset>
                </wp:positionV>
                <wp:extent cx="3905885" cy="1905000"/>
                <wp:effectExtent l="9525" t="9525" r="27940" b="9525"/>
                <wp:wrapNone/>
                <wp:docPr id="290" name="文本框 290"/>
                <wp:cNvGraphicFramePr/>
                <a:graphic xmlns:a="http://schemas.openxmlformats.org/drawingml/2006/main">
                  <a:graphicData uri="http://schemas.microsoft.com/office/word/2010/wordprocessingShape">
                    <wps:wsp>
                      <wps:cNvSpPr txBox="1"/>
                      <wps:spPr>
                        <a:xfrm>
                          <a:off x="0" y="0"/>
                          <a:ext cx="3905885" cy="1905000"/>
                        </a:xfrm>
                        <a:prstGeom prst="rect">
                          <a:avLst/>
                        </a:prstGeom>
                        <a:noFill/>
                        <a:ln w="19050">
                          <a:solidFill>
                            <a:srgbClr val="0813F6"/>
                          </a:solidFill>
                          <a:prstDash val="dash"/>
                        </a:ln>
                      </wps:spPr>
                      <wps:style>
                        <a:lnRef idx="0">
                          <a:schemeClr val="accent1"/>
                        </a:lnRef>
                        <a:fillRef idx="0">
                          <a:schemeClr val="accent1"/>
                        </a:fillRef>
                        <a:effectRef idx="0">
                          <a:schemeClr val="accent1"/>
                        </a:effectRef>
                        <a:fontRef idx="minor">
                          <a:schemeClr val="dk1"/>
                        </a:fontRef>
                      </wps:style>
                      <wps:txbx>
                        <w:txbxContent>
                          <w:p w14:paraId="491B4ECA">
                            <w:pPr>
                              <w:jc w:val="center"/>
                              <w:rPr>
                                <w:rFonts w:hint="eastAsia"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75pt;margin-top:0.3pt;height:150pt;width:307.55pt;z-index:251819008;mso-width-relative:page;mso-height-relative:page;" filled="f" stroked="t" coordsize="21600,21600" o:gfxdata="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ots3&#10;XNgAAAAIAQAADwAAAAAAAAABACAAAAAiAAAAZHJzL2Rvd25yZXYueG1sUEsBAhQAFAAAAAgAh07i&#10;QEaU3SdbAgAArQQAAA4AAAAAAAAAAQAgAAAAJwEAAGRycy9lMm9Eb2MueG1sUEsFBgAAAAAGAAYA&#10;WQEAAPQFAAAAAA==&#10;">
                <v:fill on="f" focussize="0,0"/>
                <v:stroke weight="1.5pt" color="#0813F6 [3204]" joinstyle="round" dashstyle="dash"/>
                <v:imagedata o:title=""/>
                <o:lock v:ext="edit" aspectratio="f"/>
                <v:textbox>
                  <w:txbxContent>
                    <w:p w14:paraId="491B4ECA">
                      <w:pPr>
                        <w:jc w:val="center"/>
                        <w:rPr>
                          <w:rFonts w:hint="eastAsia" w:eastAsia="宋体"/>
                          <w:lang w:eastAsia="zh-CN"/>
                        </w:rPr>
                      </w:pPr>
                    </w:p>
                  </w:txbxContent>
                </v:textbox>
              </v:shape>
            </w:pict>
          </mc:Fallback>
        </mc:AlternateContent>
      </w:r>
      <w:r>
        <w:rPr>
          <w:sz w:val="24"/>
        </w:rPr>
        <mc:AlternateContent>
          <mc:Choice Requires="wps">
            <w:drawing>
              <wp:anchor distT="0" distB="0" distL="114300" distR="114300" simplePos="0" relativeHeight="251795456" behindDoc="0" locked="0" layoutInCell="1" allowOverlap="1">
                <wp:simplePos x="0" y="0"/>
                <wp:positionH relativeFrom="column">
                  <wp:posOffset>2190750</wp:posOffset>
                </wp:positionH>
                <wp:positionV relativeFrom="paragraph">
                  <wp:posOffset>127635</wp:posOffset>
                </wp:positionV>
                <wp:extent cx="600075" cy="314325"/>
                <wp:effectExtent l="4445" t="4445" r="5080" b="5080"/>
                <wp:wrapNone/>
                <wp:docPr id="103" name="文本框 103"/>
                <wp:cNvGraphicFramePr/>
                <a:graphic xmlns:a="http://schemas.openxmlformats.org/drawingml/2006/main">
                  <a:graphicData uri="http://schemas.microsoft.com/office/word/2010/wordprocessingShape">
                    <wps:wsp>
                      <wps:cNvSpPr txBox="1"/>
                      <wps:spPr>
                        <a:xfrm>
                          <a:off x="0" y="0"/>
                          <a:ext cx="6000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37431B">
                            <w:pPr>
                              <w:jc w:val="center"/>
                              <w:rPr>
                                <w:rFonts w:hint="eastAsia" w:eastAsia="宋体"/>
                                <w:lang w:eastAsia="zh-CN"/>
                              </w:rPr>
                            </w:pPr>
                            <w:r>
                              <w:rPr>
                                <w:rFonts w:hint="eastAsia" w:eastAsia="宋体"/>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5pt;margin-top:10.05pt;height:24.75pt;width:47.25pt;z-index:251795456;mso-width-relative:page;mso-height-relative:page;" fillcolor="#FFFFFF [3201]" filled="t" stroked="t" coordsize="21600,21600" o:gfxdata="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wmkZfXAAAA&#10;CQEAAA8AAAAAAAAAAQAgAAAAIgAAAGRycy9kb3ducmV2LnhtbFBLAQIUABQAAAAIAIdO4kC51ZSz&#10;VwIAALoEAAAOAAAAAAAAAAEAIAAAACYBAABkcnMvZTJvRG9jLnhtbFBLBQYAAAAABgAGAFkBAADv&#10;BQAAAAA=&#10;">
                <v:fill on="t" focussize="0,0"/>
                <v:stroke weight="0.5pt" color="#000000 [3204]" joinstyle="round"/>
                <v:imagedata o:title=""/>
                <o:lock v:ext="edit" aspectratio="f"/>
                <v:textbox>
                  <w:txbxContent>
                    <w:p w14:paraId="0C37431B">
                      <w:pPr>
                        <w:jc w:val="center"/>
                        <w:rPr>
                          <w:rFonts w:hint="eastAsia" w:eastAsia="宋体"/>
                          <w:lang w:eastAsia="zh-CN"/>
                        </w:rPr>
                      </w:pPr>
                      <w:r>
                        <w:rPr>
                          <w:rFonts w:hint="eastAsia" w:eastAsia="宋体"/>
                          <w:lang w:eastAsia="zh-CN"/>
                        </w:rPr>
                        <w:t>集气罩</w:t>
                      </w:r>
                    </w:p>
                  </w:txbxContent>
                </v:textbox>
              </v:shape>
            </w:pict>
          </mc:Fallback>
        </mc:AlternateContent>
      </w:r>
      <w:r>
        <w:rPr>
          <w:sz w:val="24"/>
        </w:rPr>
        <mc:AlternateContent>
          <mc:Choice Requires="wps">
            <w:drawing>
              <wp:anchor distT="0" distB="0" distL="114300" distR="114300" simplePos="0" relativeHeight="251784192" behindDoc="0" locked="0" layoutInCell="1" allowOverlap="1">
                <wp:simplePos x="0" y="0"/>
                <wp:positionH relativeFrom="column">
                  <wp:posOffset>885825</wp:posOffset>
                </wp:positionH>
                <wp:positionV relativeFrom="paragraph">
                  <wp:posOffset>137160</wp:posOffset>
                </wp:positionV>
                <wp:extent cx="866775" cy="314325"/>
                <wp:effectExtent l="4445" t="5080" r="5080" b="4445"/>
                <wp:wrapNone/>
                <wp:docPr id="104" name="文本框 104"/>
                <wp:cNvGraphicFramePr/>
                <a:graphic xmlns:a="http://schemas.openxmlformats.org/drawingml/2006/main">
                  <a:graphicData uri="http://schemas.microsoft.com/office/word/2010/wordprocessingShape">
                    <wps:wsp>
                      <wps:cNvSpPr txBox="1"/>
                      <wps:spPr>
                        <a:xfrm>
                          <a:off x="0" y="0"/>
                          <a:ext cx="8667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182DF9">
                            <w:pPr>
                              <w:jc w:val="center"/>
                              <w:rPr>
                                <w:rFonts w:hint="eastAsia" w:eastAsia="宋体"/>
                                <w:lang w:eastAsia="zh-CN"/>
                              </w:rPr>
                            </w:pPr>
                            <w:r>
                              <w:rPr>
                                <w:rFonts w:hint="eastAsia"/>
                                <w:lang w:eastAsia="zh-CN"/>
                              </w:rPr>
                              <w:t>颚式破碎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75pt;margin-top:10.8pt;height:24.75pt;width:68.25pt;z-index:251784192;mso-width-relative:page;mso-height-relative:page;" fillcolor="#FFFFFF [3201]" filled="t" stroked="t" coordsize="21600,21600" o:gfxdata="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fvPQ1gAA&#10;AAkBAAAPAAAAAAAAAAEAIAAAACIAAABkcnMvZG93bnJldi54bWxQSwECFAAUAAAACACHTuJAnzsV&#10;8VkCAAC6BAAADgAAAAAAAAABACAAAAAlAQAAZHJzL2Uyb0RvYy54bWxQSwUGAAAAAAYABgBZAQAA&#10;8AUAAAAA&#10;">
                <v:fill on="t" focussize="0,0"/>
                <v:stroke weight="0.5pt" color="#000000 [3204]" joinstyle="round"/>
                <v:imagedata o:title=""/>
                <o:lock v:ext="edit" aspectratio="f"/>
                <v:textbox>
                  <w:txbxContent>
                    <w:p w14:paraId="27182DF9">
                      <w:pPr>
                        <w:jc w:val="center"/>
                        <w:rPr>
                          <w:rFonts w:hint="eastAsia" w:eastAsia="宋体"/>
                          <w:lang w:eastAsia="zh-CN"/>
                        </w:rPr>
                      </w:pPr>
                      <w:r>
                        <w:rPr>
                          <w:rFonts w:hint="eastAsia"/>
                          <w:lang w:eastAsia="zh-CN"/>
                        </w:rPr>
                        <w:t>颚式破碎</w:t>
                      </w:r>
                    </w:p>
                  </w:txbxContent>
                </v:textbox>
              </v:shape>
            </w:pict>
          </mc:Fallback>
        </mc:AlternateContent>
      </w:r>
    </w:p>
    <w:p w14:paraId="59F26A95">
      <w:pPr>
        <w:pStyle w:val="74"/>
        <w:rPr>
          <w:color w:val="auto"/>
          <w:sz w:val="24"/>
        </w:rPr>
      </w:pPr>
      <w:r>
        <w:rPr>
          <w:sz w:val="24"/>
        </w:rPr>
        <mc:AlternateContent>
          <mc:Choice Requires="wps">
            <w:drawing>
              <wp:anchor distT="0" distB="0" distL="114300" distR="114300" simplePos="0" relativeHeight="251821056" behindDoc="0" locked="0" layoutInCell="1" allowOverlap="1">
                <wp:simplePos x="0" y="0"/>
                <wp:positionH relativeFrom="column">
                  <wp:posOffset>1552575</wp:posOffset>
                </wp:positionH>
                <wp:positionV relativeFrom="paragraph">
                  <wp:posOffset>167640</wp:posOffset>
                </wp:positionV>
                <wp:extent cx="381000" cy="31432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EC1D4D">
                            <w:pPr>
                              <w:jc w:val="both"/>
                              <w:rPr>
                                <w:rFonts w:hint="default" w:eastAsia="宋体"/>
                                <w:lang w:val="en-US" w:eastAsia="zh-CN"/>
                              </w:rPr>
                            </w:pPr>
                            <w:r>
                              <w:rPr>
                                <w:rFonts w:hint="eastAsia"/>
                                <w:lang w:val="en-US" w:eastAsia="zh-CN"/>
                              </w:rPr>
                              <w:t>G3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2.25pt;margin-top:13.2pt;height:24.75pt;width:30pt;z-index:251821056;mso-width-relative:page;mso-height-relative:page;" filled="f" stroked="f" coordsize="21600,21600" o:gfxdata="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y2gAAAAkBAAAPAAAAAAAAAAEAIAAAACIAAABk&#10;cnMvZG93bnJldi54bWxQSwECFAAUAAAACACHTuJA/Y8SUz0CAABpBAAADgAAAAAAAAABACAAAAAp&#10;AQAAZHJzL2Uyb0RvYy54bWxQSwUGAAAAAAYABgBZAQAA2AUAAAAA&#10;">
                <v:fill on="f" focussize="0,0"/>
                <v:stroke on="f" weight="0.5pt"/>
                <v:imagedata o:title=""/>
                <o:lock v:ext="edit" aspectratio="f"/>
                <v:textbox>
                  <w:txbxContent>
                    <w:p w14:paraId="64EC1D4D">
                      <w:pPr>
                        <w:jc w:val="both"/>
                        <w:rPr>
                          <w:rFonts w:hint="default" w:eastAsia="宋体"/>
                          <w:lang w:val="en-US" w:eastAsia="zh-CN"/>
                        </w:rPr>
                      </w:pPr>
                      <w:r>
                        <w:rPr>
                          <w:rFonts w:hint="eastAsia"/>
                          <w:lang w:val="en-US" w:eastAsia="zh-CN"/>
                        </w:rPr>
                        <w:t>G3</w:t>
                      </w:r>
                    </w:p>
                  </w:txbxContent>
                </v:textbox>
              </v:shap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3256280</wp:posOffset>
                </wp:positionH>
                <wp:positionV relativeFrom="paragraph">
                  <wp:posOffset>74295</wp:posOffset>
                </wp:positionV>
                <wp:extent cx="4445" cy="1415415"/>
                <wp:effectExtent l="6350" t="0" r="8255" b="13335"/>
                <wp:wrapNone/>
                <wp:docPr id="105" name="直接箭头连接符 105"/>
                <wp:cNvGraphicFramePr/>
                <a:graphic xmlns:a="http://schemas.openxmlformats.org/drawingml/2006/main">
                  <a:graphicData uri="http://schemas.microsoft.com/office/word/2010/wordprocessingShape">
                    <wps:wsp>
                      <wps:cNvCnPr/>
                      <wps:spPr>
                        <a:xfrm flipV="1">
                          <a:off x="0" y="0"/>
                          <a:ext cx="4445" cy="1415415"/>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56.4pt;margin-top:5.85pt;height:111.45pt;width:0.35pt;z-index:251808768;mso-width-relative:page;mso-height-relative:page;" filled="f" stroked="t" coordsize="21600,21600" o:gfxdata="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Vk6vtoAAAAKAQAADwAAAAAAAAABACAAAAAiAAAAZHJz&#10;L2Rvd25yZXYueG1sUEsBAhQAFAAAAAgAh07iQFqeM2kCAgAA1wMAAA4AAAAAAAAAAQAgAAAAKQEA&#10;AGRycy9lMm9Eb2MueG1sUEsFBgAAAAAGAAYAWQEAAJ0FA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811840" behindDoc="0" locked="0" layoutInCell="1" allowOverlap="1">
                <wp:simplePos x="0" y="0"/>
                <wp:positionH relativeFrom="column">
                  <wp:posOffset>657225</wp:posOffset>
                </wp:positionH>
                <wp:positionV relativeFrom="paragraph">
                  <wp:posOffset>272415</wp:posOffset>
                </wp:positionV>
                <wp:extent cx="742950" cy="314325"/>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A4DF00">
                            <w:pPr>
                              <w:jc w:val="center"/>
                              <w:rPr>
                                <w:rFonts w:hint="eastAsia" w:eastAsia="宋体"/>
                                <w:lang w:eastAsia="zh-CN"/>
                              </w:rPr>
                            </w:pPr>
                            <w:r>
                              <w:rPr>
                                <w:rFonts w:hint="eastAsia" w:eastAsia="宋体"/>
                                <w:lang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5pt;margin-top:21.45pt;height:24.75pt;width:58.5pt;z-index:251811840;mso-width-relative:page;mso-height-relative:page;" filled="f" stroked="f" coordsize="21600,21600" o:gfxdata="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lqyhg2QAAAAkBAAAPAAAAAAAAAAEAIAAAACIAAABkcnMv&#10;ZG93bnJldi54bWxQSwECFAAUAAAACACHTuJAZOmIbDsCAABpBAAADgAAAAAAAAABACAAAAAoAQAA&#10;ZHJzL2Uyb0RvYy54bWxQSwUGAAAAAAYABgBZAQAA1QUAAAAA&#10;">
                <v:fill on="f" focussize="0,0"/>
                <v:stroke on="f" weight="0.5pt"/>
                <v:imagedata o:title=""/>
                <o:lock v:ext="edit" aspectratio="f"/>
                <v:textbox>
                  <w:txbxContent>
                    <w:p w14:paraId="1BA4DF00">
                      <w:pPr>
                        <w:jc w:val="center"/>
                        <w:rPr>
                          <w:rFonts w:hint="eastAsia" w:eastAsia="宋体"/>
                          <w:lang w:eastAsia="zh-CN"/>
                        </w:rPr>
                      </w:pPr>
                      <w:r>
                        <w:rPr>
                          <w:rFonts w:hint="eastAsia" w:eastAsia="宋体"/>
                          <w:lang w:eastAsia="zh-CN"/>
                        </w:rPr>
                        <w:t>皮带输送</w:t>
                      </w:r>
                    </w:p>
                  </w:txbxContent>
                </v:textbox>
              </v:shape>
            </w:pict>
          </mc:Fallback>
        </mc:AlternateContent>
      </w:r>
      <w:r>
        <w:rPr>
          <w:sz w:val="24"/>
        </w:rPr>
        <mc:AlternateContent>
          <mc:Choice Requires="wps">
            <w:drawing>
              <wp:anchor distT="0" distB="0" distL="114300" distR="114300" simplePos="0" relativeHeight="251813888" behindDoc="0" locked="0" layoutInCell="1" allowOverlap="1">
                <wp:simplePos x="0" y="0"/>
                <wp:positionH relativeFrom="column">
                  <wp:posOffset>2809875</wp:posOffset>
                </wp:positionH>
                <wp:positionV relativeFrom="paragraph">
                  <wp:posOffset>81915</wp:posOffset>
                </wp:positionV>
                <wp:extent cx="423545" cy="5080"/>
                <wp:effectExtent l="0" t="0" r="0" b="0"/>
                <wp:wrapNone/>
                <wp:docPr id="120" name="直接箭头连接符 120"/>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21.25pt;margin-top:6.45pt;height:0.4pt;width:33.35pt;z-index:251813888;mso-width-relative:page;mso-height-relative:page;" filled="f" stroked="t" coordsize="21600,21600" o:gfxdata="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UIBp2QAAAAkBAAAPAAAAAAAAAAEAIAAAACIAAABkcnMv&#10;ZG93bnJldi54bWxQSwECFAAUAAAACACHTuJAgrsI7QICAADWAwAADgAAAAAAAAABACAAAAAoAQAA&#10;ZHJzL2Uyb0RvYy54bWxQSwUGAAAAAAYABgBZAQAAnAU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92384" behindDoc="0" locked="0" layoutInCell="1" allowOverlap="1">
                <wp:simplePos x="0" y="0"/>
                <wp:positionH relativeFrom="column">
                  <wp:posOffset>1762125</wp:posOffset>
                </wp:positionH>
                <wp:positionV relativeFrom="paragraph">
                  <wp:posOffset>91440</wp:posOffset>
                </wp:positionV>
                <wp:extent cx="423545" cy="5080"/>
                <wp:effectExtent l="0" t="37465" r="14605" b="33655"/>
                <wp:wrapNone/>
                <wp:docPr id="121" name="直接箭头连接符 121"/>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8.75pt;margin-top:7.2pt;height:0.4pt;width:33.35pt;z-index:251792384;mso-width-relative:page;mso-height-relative:page;" filled="f" stroked="t" coordsize="21600,21600" o:gfxdata="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Ggjv/aAAAACQEAAA8AAAAAAAAAAQAgAAAAIgAA&#10;AGRycy9kb3ducmV2LnhtbFBLAQIUABQAAAAIAIdO4kDno6C5BgIAANoDAAAOAAAAAAAAAAEAIAAA&#10;ACkBAABkcnMvZTJvRG9jLnhtbFBLBQYAAAAABgAGAFkBAAChBQ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85216" behindDoc="0" locked="0" layoutInCell="1" allowOverlap="1">
                <wp:simplePos x="0" y="0"/>
                <wp:positionH relativeFrom="column">
                  <wp:posOffset>1318895</wp:posOffset>
                </wp:positionH>
                <wp:positionV relativeFrom="paragraph">
                  <wp:posOffset>253365</wp:posOffset>
                </wp:positionV>
                <wp:extent cx="635" cy="363855"/>
                <wp:effectExtent l="38100" t="0" r="37465" b="17145"/>
                <wp:wrapNone/>
                <wp:docPr id="125" name="直接箭头连接符 125"/>
                <wp:cNvGraphicFramePr/>
                <a:graphic xmlns:a="http://schemas.openxmlformats.org/drawingml/2006/main">
                  <a:graphicData uri="http://schemas.microsoft.com/office/word/2010/wordprocessingShape">
                    <wps:wsp>
                      <wps:cNvCnPr/>
                      <wps:spPr>
                        <a:xfrm flipH="1">
                          <a:off x="0" y="0"/>
                          <a:ext cx="635" cy="36385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3.85pt;margin-top:19.95pt;height:28.65pt;width:0.05pt;z-index:251785216;mso-width-relative:page;mso-height-relative:page;" filled="f" stroked="t" coordsize="21600,21600" o:gfxdata="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TyEcnaAAAACQEAAA8AAAAAAAAAAQAgAAAAIgAAAGRy&#10;cy9kb3ducmV2LnhtbFBLAQIUABQAAAAIAIdO4kDHV5MMAwIAANoDAAAOAAAAAAAAAAEAIAAAACkB&#10;AABkcnMvZTJvRG9jLnhtbFBLBQYAAAAABgAGAFkBAACeBQAAAAA=&#10;">
                <v:fill on="f" focussize="0,0"/>
                <v:stroke weight="1pt" color="#000000 [3213]" joinstyle="round" endarrow="block"/>
                <v:imagedata o:title=""/>
                <o:lock v:ext="edit" aspectratio="f"/>
              </v:shape>
            </w:pict>
          </mc:Fallback>
        </mc:AlternateContent>
      </w:r>
    </w:p>
    <w:p w14:paraId="6B5B2A09">
      <w:pPr>
        <w:rPr>
          <w:color w:val="auto"/>
          <w:sz w:val="24"/>
        </w:rPr>
      </w:pPr>
      <w:r>
        <w:rPr>
          <w:sz w:val="24"/>
        </w:rPr>
        <mc:AlternateContent>
          <mc:Choice Requires="wps">
            <w:drawing>
              <wp:anchor distT="0" distB="0" distL="114300" distR="114300" simplePos="0" relativeHeight="251799552" behindDoc="0" locked="0" layoutInCell="1" allowOverlap="1">
                <wp:simplePos x="0" y="0"/>
                <wp:positionH relativeFrom="column">
                  <wp:posOffset>1666875</wp:posOffset>
                </wp:positionH>
                <wp:positionV relativeFrom="paragraph">
                  <wp:posOffset>98425</wp:posOffset>
                </wp:positionV>
                <wp:extent cx="600075" cy="314325"/>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B9524F">
                            <w:pPr>
                              <w:jc w:val="center"/>
                              <w:rPr>
                                <w:rFonts w:hint="eastAsia" w:eastAsia="宋体"/>
                                <w:lang w:eastAsia="zh-CN"/>
                              </w:rPr>
                            </w:pPr>
                            <w:r>
                              <w:rPr>
                                <w:rFonts w:hint="eastAsia" w:eastAsia="宋体"/>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25pt;margin-top:7.75pt;height:24.75pt;width:47.25pt;z-index:251799552;mso-width-relative:page;mso-height-relative:page;" filled="f" stroked="f" coordsize="21600,21600" o:gfxdata="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8M8IjaAAAACQEAAA8AAAAAAAAAAQAgAAAAIgAAAGRy&#10;cy9kb3ducmV2LnhtbFBLAQIUABQAAAAIAIdO4kC5DxI6PAIAAGkEAAAOAAAAAAAAAAEAIAAAACkB&#10;AABkcnMvZTJvRG9jLnhtbFBLBQYAAAAABgAGAFkBAADXBQAAAAA=&#10;">
                <v:fill on="f" focussize="0,0"/>
                <v:stroke on="f" weight="0.5pt"/>
                <v:imagedata o:title=""/>
                <o:lock v:ext="edit" aspectratio="f"/>
                <v:textbox>
                  <w:txbxContent>
                    <w:p w14:paraId="70B9524F">
                      <w:pPr>
                        <w:jc w:val="center"/>
                        <w:rPr>
                          <w:rFonts w:hint="eastAsia" w:eastAsia="宋体"/>
                          <w:lang w:eastAsia="zh-CN"/>
                        </w:rPr>
                      </w:pPr>
                      <w:r>
                        <w:rPr>
                          <w:rFonts w:hint="eastAsia" w:eastAsia="宋体"/>
                          <w:lang w:eastAsia="zh-CN"/>
                        </w:rPr>
                        <w:t>粉尘</w:t>
                      </w:r>
                    </w:p>
                  </w:txbxContent>
                </v:textbox>
              </v:shape>
            </w:pict>
          </mc:Fallback>
        </mc:AlternateContent>
      </w:r>
    </w:p>
    <w:p w14:paraId="1A9FE0C3">
      <w:pPr>
        <w:pStyle w:val="74"/>
        <w:rPr>
          <w:color w:val="auto"/>
          <w:sz w:val="24"/>
        </w:rPr>
      </w:pPr>
      <w:r>
        <w:rPr>
          <w:sz w:val="24"/>
        </w:rPr>
        <mc:AlternateContent>
          <mc:Choice Requires="wps">
            <w:drawing>
              <wp:anchor distT="0" distB="0" distL="114300" distR="114300" simplePos="0" relativeHeight="251800576" behindDoc="0" locked="0" layoutInCell="1" allowOverlap="1">
                <wp:simplePos x="0" y="0"/>
                <wp:positionH relativeFrom="column">
                  <wp:posOffset>4638675</wp:posOffset>
                </wp:positionH>
                <wp:positionV relativeFrom="paragraph">
                  <wp:posOffset>50800</wp:posOffset>
                </wp:positionV>
                <wp:extent cx="1027430" cy="314325"/>
                <wp:effectExtent l="4445" t="4445" r="15875" b="5080"/>
                <wp:wrapNone/>
                <wp:docPr id="129" name="文本框 129"/>
                <wp:cNvGraphicFramePr/>
                <a:graphic xmlns:a="http://schemas.openxmlformats.org/drawingml/2006/main">
                  <a:graphicData uri="http://schemas.microsoft.com/office/word/2010/wordprocessingShape">
                    <wps:wsp>
                      <wps:cNvSpPr txBox="1"/>
                      <wps:spPr>
                        <a:xfrm>
                          <a:off x="0" y="0"/>
                          <a:ext cx="102743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8982CF7">
                            <w:pPr>
                              <w:jc w:val="center"/>
                              <w:rPr>
                                <w:rFonts w:hint="default" w:eastAsia="宋体"/>
                                <w:lang w:val="en-US" w:eastAsia="zh-CN"/>
                              </w:rPr>
                            </w:pPr>
                            <w:r>
                              <w:rPr>
                                <w:rFonts w:hint="eastAsia" w:eastAsia="宋体"/>
                                <w:lang w:val="en-US" w:eastAsia="zh-CN"/>
                              </w:rPr>
                              <w:t>15m高排气筒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5.25pt;margin-top:4pt;height:24.75pt;width:80.9pt;z-index:251800576;mso-width-relative:page;mso-height-relative:page;" fillcolor="#FFFFFF [3201]" filled="t" stroked="t" coordsize="21600,21600" o:gfxdata="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t3YUn1gAA&#10;AAgBAAAPAAAAAAAAAAEAIAAAACIAAABkcnMvZG93bnJldi54bWxQSwECFAAUAAAACACHTuJAJ5ph&#10;k1kCAAC7BAAADgAAAAAAAAABACAAAAAlAQAAZHJzL2Uyb0RvYy54bWxQSwUGAAAAAAYABgBZAQAA&#10;8AUAAAAA&#10;">
                <v:fill on="t" focussize="0,0"/>
                <v:stroke weight="0.5pt" color="#000000 [3204]" joinstyle="round"/>
                <v:imagedata o:title=""/>
                <o:lock v:ext="edit" aspectratio="f"/>
                <v:textbox>
                  <w:txbxContent>
                    <w:p w14:paraId="18982CF7">
                      <w:pPr>
                        <w:jc w:val="center"/>
                        <w:rPr>
                          <w:rFonts w:hint="default" w:eastAsia="宋体"/>
                          <w:lang w:val="en-US" w:eastAsia="zh-CN"/>
                        </w:rPr>
                      </w:pPr>
                      <w:r>
                        <w:rPr>
                          <w:rFonts w:hint="eastAsia" w:eastAsia="宋体"/>
                          <w:lang w:val="en-US" w:eastAsia="zh-CN"/>
                        </w:rPr>
                        <w:t>15m高排气筒</w:t>
                      </w:r>
                    </w:p>
                  </w:txbxContent>
                </v:textbox>
              </v:shape>
            </w:pict>
          </mc:Fallback>
        </mc:AlternateContent>
      </w:r>
      <w:r>
        <w:rPr>
          <w:sz w:val="24"/>
        </w:rPr>
        <mc:AlternateContent>
          <mc:Choice Requires="wps">
            <w:drawing>
              <wp:anchor distT="0" distB="0" distL="114300" distR="114300" simplePos="0" relativeHeight="251825152" behindDoc="0" locked="0" layoutInCell="1" allowOverlap="1">
                <wp:simplePos x="0" y="0"/>
                <wp:positionH relativeFrom="column">
                  <wp:posOffset>4412615</wp:posOffset>
                </wp:positionH>
                <wp:positionV relativeFrom="paragraph">
                  <wp:posOffset>196850</wp:posOffset>
                </wp:positionV>
                <wp:extent cx="228600" cy="0"/>
                <wp:effectExtent l="0" t="38100" r="0" b="38100"/>
                <wp:wrapNone/>
                <wp:docPr id="363" name="直接箭头连接符 363"/>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7.45pt;margin-top:15.5pt;height:0pt;width:18pt;z-index:251825152;mso-width-relative:page;mso-height-relative:page;" filled="f" stroked="t" coordsize="21600,21600" o:gfxdata="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nKy/h2QAAAAkBAAAPAAAAAAAAAAEAIAAAACIAAABkcnMvZG93bnJldi54&#10;bWxQSwECFAAUAAAACACHTuJAKfjtpPkBAADNAwAADgAAAAAAAAABACAAAAAoAQAAZHJzL2Uyb0Rv&#10;Yy54bWxQSwUGAAAAAAYABgBZAQAAkw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04672" behindDoc="0" locked="0" layoutInCell="1" allowOverlap="1">
                <wp:simplePos x="0" y="0"/>
                <wp:positionH relativeFrom="column">
                  <wp:posOffset>3514725</wp:posOffset>
                </wp:positionH>
                <wp:positionV relativeFrom="paragraph">
                  <wp:posOffset>33655</wp:posOffset>
                </wp:positionV>
                <wp:extent cx="885190" cy="314325"/>
                <wp:effectExtent l="4445" t="5080" r="5715" b="4445"/>
                <wp:wrapNone/>
                <wp:docPr id="130" name="文本框 130"/>
                <wp:cNvGraphicFramePr/>
                <a:graphic xmlns:a="http://schemas.openxmlformats.org/drawingml/2006/main">
                  <a:graphicData uri="http://schemas.microsoft.com/office/word/2010/wordprocessingShape">
                    <wps:wsp>
                      <wps:cNvSpPr txBox="1"/>
                      <wps:spPr>
                        <a:xfrm>
                          <a:off x="0" y="0"/>
                          <a:ext cx="885190"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6E2FC9">
                            <w:pPr>
                              <w:jc w:val="center"/>
                              <w:rPr>
                                <w:rFonts w:hint="eastAsia" w:eastAsia="宋体"/>
                                <w:lang w:eastAsia="zh-CN"/>
                              </w:rPr>
                            </w:pPr>
                            <w:r>
                              <w:rPr>
                                <w:rFonts w:hint="eastAsia" w:eastAsia="宋体"/>
                                <w:lang w:eastAsia="zh-CN"/>
                              </w:rPr>
                              <w:t>布袋除尘器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75pt;margin-top:2.65pt;height:24.75pt;width:69.7pt;z-index:251804672;mso-width-relative:page;mso-height-relative:page;" fillcolor="#FFFFFF [3201]" filled="t" stroked="t" coordsize="21600,21600" o:gfxdata="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roTG51QAAAAgB&#10;AAAPAAAAAAAAAAEAIAAAACIAAABkcnMvZG93bnJldi54bWxQSwECFAAUAAAACACHTuJAXFYqLlcC&#10;AAC6BAAADgAAAAAAAAABACAAAAAkAQAAZHJzL2Uyb0RvYy54bWxQSwUGAAAAAAYABgBZAQAA7QUA&#10;AAAA&#10;">
                <v:fill on="t" focussize="0,0"/>
                <v:stroke weight="0.5pt" color="#000000 [3204]" joinstyle="round"/>
                <v:imagedata o:title=""/>
                <o:lock v:ext="edit" aspectratio="f"/>
                <v:textbox>
                  <w:txbxContent>
                    <w:p w14:paraId="206E2FC9">
                      <w:pPr>
                        <w:jc w:val="center"/>
                        <w:rPr>
                          <w:rFonts w:hint="eastAsia" w:eastAsia="宋体"/>
                          <w:lang w:eastAsia="zh-CN"/>
                        </w:rPr>
                      </w:pPr>
                      <w:r>
                        <w:rPr>
                          <w:rFonts w:hint="eastAsia" w:eastAsia="宋体"/>
                          <w:lang w:eastAsia="zh-CN"/>
                        </w:rPr>
                        <w:t>布袋除尘器</w:t>
                      </w:r>
                    </w:p>
                  </w:txbxContent>
                </v:textbox>
              </v:shape>
            </w:pict>
          </mc:Fallback>
        </mc:AlternateContent>
      </w:r>
      <w:r>
        <w:rPr>
          <w:sz w:val="24"/>
        </w:rPr>
        <mc:AlternateContent>
          <mc:Choice Requires="wps">
            <w:drawing>
              <wp:anchor distT="0" distB="0" distL="114300" distR="114300" simplePos="0" relativeHeight="251815936" behindDoc="0" locked="0" layoutInCell="1" allowOverlap="1">
                <wp:simplePos x="0" y="0"/>
                <wp:positionH relativeFrom="column">
                  <wp:posOffset>3905250</wp:posOffset>
                </wp:positionH>
                <wp:positionV relativeFrom="paragraph">
                  <wp:posOffset>362585</wp:posOffset>
                </wp:positionV>
                <wp:extent cx="8255" cy="366395"/>
                <wp:effectExtent l="31750" t="0" r="36195" b="14605"/>
                <wp:wrapNone/>
                <wp:docPr id="142" name="直接箭头连接符 142"/>
                <wp:cNvGraphicFramePr/>
                <a:graphic xmlns:a="http://schemas.openxmlformats.org/drawingml/2006/main">
                  <a:graphicData uri="http://schemas.microsoft.com/office/word/2010/wordprocessingShape">
                    <wps:wsp>
                      <wps:cNvCnPr/>
                      <wps:spPr>
                        <a:xfrm>
                          <a:off x="0" y="0"/>
                          <a:ext cx="8255" cy="366395"/>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07.5pt;margin-top:28.55pt;height:28.85pt;width:0.65pt;z-index:251815936;mso-width-relative:page;mso-height-relative:page;" filled="f" stroked="t" coordsize="21600,21600" o:gfxdata="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KVnitwAAAAKAQAADwAAAAAAAAABACAAAAAiAAAAZHJz&#10;L2Rvd25yZXYueG1sUEsBAhQAFAAAAAgAh07iQM2o8zIAAgAA0AMAAA4AAAAAAAAAAQAgAAAAKwEA&#10;AGRycy9lMm9Eb2MueG1sUEsFBgAAAAAGAAYAWQEAAJ0FA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14912" behindDoc="0" locked="0" layoutInCell="1" allowOverlap="1">
                <wp:simplePos x="0" y="0"/>
                <wp:positionH relativeFrom="column">
                  <wp:posOffset>3288665</wp:posOffset>
                </wp:positionH>
                <wp:positionV relativeFrom="paragraph">
                  <wp:posOffset>177800</wp:posOffset>
                </wp:positionV>
                <wp:extent cx="228600" cy="0"/>
                <wp:effectExtent l="0" t="38100" r="0" b="38100"/>
                <wp:wrapNone/>
                <wp:docPr id="175" name="直接箭头连接符 175"/>
                <wp:cNvGraphicFramePr/>
                <a:graphic xmlns:a="http://schemas.openxmlformats.org/drawingml/2006/main">
                  <a:graphicData uri="http://schemas.microsoft.com/office/word/2010/wordprocessingShape">
                    <wps:wsp>
                      <wps:cNvCnPr/>
                      <wps:spPr>
                        <a:xfrm>
                          <a:off x="0" y="0"/>
                          <a:ext cx="228600" cy="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58.95pt;margin-top:14pt;height:0pt;width:18pt;z-index:251814912;mso-width-relative:page;mso-height-relative:page;" filled="f" stroked="t" coordsize="21600,21600" o:gfxdata="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CgB3DZAAAACQEAAA8AAAAAAAAAAQAgAAAAIgAAAGRycy9kb3ducmV2Lnht&#10;bFBLAQIUABQAAAAIAIdO4kC38Eyx+AEAAM0DAAAOAAAAAAAAAAEAIAAAACgBAABkcnMvZTJvRG9j&#10;LnhtbFBLBQYAAAAABgAGAFkBAACSBQ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23104" behindDoc="0" locked="0" layoutInCell="1" allowOverlap="1">
                <wp:simplePos x="0" y="0"/>
                <wp:positionH relativeFrom="column">
                  <wp:posOffset>1590675</wp:posOffset>
                </wp:positionH>
                <wp:positionV relativeFrom="paragraph">
                  <wp:posOffset>195580</wp:posOffset>
                </wp:positionV>
                <wp:extent cx="381000" cy="314325"/>
                <wp:effectExtent l="0" t="0" r="0" b="0"/>
                <wp:wrapNone/>
                <wp:docPr id="296" name="文本框 296"/>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FCE87F">
                            <w:pPr>
                              <w:jc w:val="both"/>
                              <w:rPr>
                                <w:rFonts w:hint="default" w:eastAsia="宋体"/>
                                <w:lang w:val="en-US" w:eastAsia="zh-CN"/>
                              </w:rPr>
                            </w:pPr>
                            <w:r>
                              <w:rPr>
                                <w:rFonts w:hint="eastAsia"/>
                                <w:lang w:val="en-US" w:eastAsia="zh-CN"/>
                              </w:rPr>
                              <w:t>G4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25pt;margin-top:15.4pt;height:24.75pt;width:30pt;z-index:251823104;mso-width-relative:page;mso-height-relative:page;" filled="f" stroked="f" coordsize="21600,21600" o:gfxdata="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&#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rMDWDZAAAACQEAAA8AAAAAAAAAAQAgAAAAIgAAAGRy&#10;cy9kb3ducmV2LnhtbFBLAQIUABQAAAAIAIdO4kDnkCI/PQIAAGkEAAAOAAAAAAAAAAEAIAAAACgB&#10;AABkcnMvZTJvRG9jLnhtbFBLBQYAAAAABgAGAFkBAADXBQAAAAA=&#10;">
                <v:fill on="f" focussize="0,0"/>
                <v:stroke on="f" weight="0.5pt"/>
                <v:imagedata o:title=""/>
                <o:lock v:ext="edit" aspectratio="f"/>
                <v:textbox>
                  <w:txbxContent>
                    <w:p w14:paraId="5FFCE87F">
                      <w:pPr>
                        <w:jc w:val="both"/>
                        <w:rPr>
                          <w:rFonts w:hint="default" w:eastAsia="宋体"/>
                          <w:lang w:val="en-US" w:eastAsia="zh-CN"/>
                        </w:rPr>
                      </w:pPr>
                      <w:r>
                        <w:rPr>
                          <w:rFonts w:hint="eastAsia"/>
                          <w:lang w:val="en-US" w:eastAsia="zh-CN"/>
                        </w:rPr>
                        <w:t>G4</w:t>
                      </w:r>
                    </w:p>
                  </w:txbxContent>
                </v:textbox>
              </v:shape>
            </w:pict>
          </mc:Fallback>
        </mc:AlternateContent>
      </w:r>
      <w:r>
        <w:rPr>
          <w:sz w:val="24"/>
        </w:rPr>
        <mc:AlternateContent>
          <mc:Choice Requires="wps">
            <w:drawing>
              <wp:anchor distT="0" distB="0" distL="114300" distR="114300" simplePos="0" relativeHeight="251809792" behindDoc="0" locked="0" layoutInCell="1" allowOverlap="1">
                <wp:simplePos x="0" y="0"/>
                <wp:positionH relativeFrom="column">
                  <wp:posOffset>-381000</wp:posOffset>
                </wp:positionH>
                <wp:positionV relativeFrom="paragraph">
                  <wp:posOffset>395605</wp:posOffset>
                </wp:positionV>
                <wp:extent cx="923925" cy="314325"/>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92392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2FBA3">
                            <w:pPr>
                              <w:jc w:val="center"/>
                              <w:rPr>
                                <w:rFonts w:hint="eastAsia" w:eastAsia="宋体"/>
                                <w:lang w:eastAsia="zh-CN"/>
                              </w:rPr>
                            </w:pPr>
                            <w:r>
                              <w:rPr>
                                <w:rFonts w:hint="eastAsia" w:eastAsia="宋体"/>
                                <w:lang w:eastAsia="zh-CN"/>
                              </w:rPr>
                              <w:t>大粒径矿料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pt;margin-top:31.15pt;height:24.75pt;width:72.75pt;z-index:251809792;mso-width-relative:page;mso-height-relative:page;" filled="f" stroked="f" coordsize="21600,21600" o:gfxdata="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nGu9XaAAAACQEAAA8AAAAAAAAAAQAgAAAAIgAAAGRy&#10;cy9kb3ducmV2LnhtbFBLAQIUABQAAAAIAIdO4kALVWb3PAIAAGkEAAAOAAAAAAAAAAEAIAAAACkB&#10;AABkcnMvZTJvRG9jLnhtbFBLBQYAAAAABgAGAFkBAADXBQAAAAA=&#10;">
                <v:fill on="f" focussize="0,0"/>
                <v:stroke on="f" weight="0.5pt"/>
                <v:imagedata o:title=""/>
                <o:lock v:ext="edit" aspectratio="f"/>
                <v:textbox>
                  <w:txbxContent>
                    <w:p w14:paraId="0872FBA3">
                      <w:pPr>
                        <w:jc w:val="center"/>
                        <w:rPr>
                          <w:rFonts w:hint="eastAsia" w:eastAsia="宋体"/>
                          <w:lang w:eastAsia="zh-CN"/>
                        </w:rPr>
                      </w:pPr>
                      <w:r>
                        <w:rPr>
                          <w:rFonts w:hint="eastAsia" w:eastAsia="宋体"/>
                          <w:lang w:eastAsia="zh-CN"/>
                        </w:rPr>
                        <w:t>大粒径矿料</w:t>
                      </w:r>
                    </w:p>
                  </w:txbxContent>
                </v:textbox>
              </v:shape>
            </w:pict>
          </mc:Fallback>
        </mc:AlternateContent>
      </w:r>
      <w:r>
        <w:rPr>
          <w:sz w:val="24"/>
        </w:rPr>
        <mc:AlternateContent>
          <mc:Choice Requires="wps">
            <w:drawing>
              <wp:anchor distT="0" distB="0" distL="114300" distR="114300" simplePos="0" relativeHeight="251796480" behindDoc="0" locked="0" layoutInCell="1" allowOverlap="1">
                <wp:simplePos x="0" y="0"/>
                <wp:positionH relativeFrom="column">
                  <wp:posOffset>2181225</wp:posOffset>
                </wp:positionH>
                <wp:positionV relativeFrom="paragraph">
                  <wp:posOffset>14605</wp:posOffset>
                </wp:positionV>
                <wp:extent cx="600075" cy="314325"/>
                <wp:effectExtent l="4445" t="4445" r="5080" b="5080"/>
                <wp:wrapNone/>
                <wp:docPr id="135" name="文本框 135"/>
                <wp:cNvGraphicFramePr/>
                <a:graphic xmlns:a="http://schemas.openxmlformats.org/drawingml/2006/main">
                  <a:graphicData uri="http://schemas.microsoft.com/office/word/2010/wordprocessingShape">
                    <wps:wsp>
                      <wps:cNvSpPr txBox="1"/>
                      <wps:spPr>
                        <a:xfrm>
                          <a:off x="0" y="0"/>
                          <a:ext cx="6000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8BAA56">
                            <w:pPr>
                              <w:jc w:val="center"/>
                              <w:rPr>
                                <w:rFonts w:hint="eastAsia" w:eastAsia="宋体"/>
                                <w:lang w:eastAsia="zh-CN"/>
                              </w:rPr>
                            </w:pPr>
                            <w:r>
                              <w:rPr>
                                <w:rFonts w:hint="eastAsia" w:eastAsia="宋体"/>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1.75pt;margin-top:1.15pt;height:24.75pt;width:47.25pt;z-index:251796480;mso-width-relative:page;mso-height-relative:page;" fillcolor="#FFFFFF [3201]" filled="t" stroked="t" coordsize="21600,21600" o:gfxdata="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vAQNs1QAA&#10;AAgBAAAPAAAAAAAAAAEAIAAAACIAAABkcnMvZG93bnJldi54bWxQSwECFAAUAAAACACHTuJA6NSc&#10;R1oCAAC6BAAADgAAAAAAAAABACAAAAAkAQAAZHJzL2Uyb0RvYy54bWxQSwUGAAAAAAYABgBZAQAA&#10;8AUAAAAA&#10;">
                <v:fill on="t" focussize="0,0"/>
                <v:stroke weight="0.5pt" color="#000000 [3204]" joinstyle="round"/>
                <v:imagedata o:title=""/>
                <o:lock v:ext="edit" aspectratio="f"/>
                <v:textbox>
                  <w:txbxContent>
                    <w:p w14:paraId="618BAA56">
                      <w:pPr>
                        <w:jc w:val="center"/>
                        <w:rPr>
                          <w:rFonts w:hint="eastAsia" w:eastAsia="宋体"/>
                          <w:lang w:eastAsia="zh-CN"/>
                        </w:rPr>
                      </w:pPr>
                      <w:r>
                        <w:rPr>
                          <w:rFonts w:hint="eastAsia" w:eastAsia="宋体"/>
                          <w:lang w:eastAsia="zh-CN"/>
                        </w:rPr>
                        <w:t>集气罩</w:t>
                      </w:r>
                    </w:p>
                  </w:txbxContent>
                </v:textbox>
              </v:shape>
            </w:pict>
          </mc:Fallback>
        </mc:AlternateContent>
      </w:r>
      <w:r>
        <w:rPr>
          <w:sz w:val="24"/>
        </w:rPr>
        <mc:AlternateContent>
          <mc:Choice Requires="wps">
            <w:drawing>
              <wp:anchor distT="0" distB="0" distL="114300" distR="114300" simplePos="0" relativeHeight="251786240" behindDoc="0" locked="0" layoutInCell="1" allowOverlap="1">
                <wp:simplePos x="0" y="0"/>
                <wp:positionH relativeFrom="column">
                  <wp:posOffset>866775</wp:posOffset>
                </wp:positionH>
                <wp:positionV relativeFrom="paragraph">
                  <wp:posOffset>5080</wp:posOffset>
                </wp:positionV>
                <wp:extent cx="885825" cy="314325"/>
                <wp:effectExtent l="4445" t="5080" r="5080" b="4445"/>
                <wp:wrapNone/>
                <wp:docPr id="137" name="文本框 137"/>
                <wp:cNvGraphicFramePr/>
                <a:graphic xmlns:a="http://schemas.openxmlformats.org/drawingml/2006/main">
                  <a:graphicData uri="http://schemas.microsoft.com/office/word/2010/wordprocessingShape">
                    <wps:wsp>
                      <wps:cNvSpPr txBox="1"/>
                      <wps:spPr>
                        <a:xfrm>
                          <a:off x="0" y="0"/>
                          <a:ext cx="88582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2566F8D">
                            <w:pPr>
                              <w:jc w:val="center"/>
                              <w:rPr>
                                <w:rFonts w:hint="eastAsia" w:eastAsia="宋体"/>
                                <w:lang w:eastAsia="zh-CN"/>
                              </w:rPr>
                            </w:pPr>
                            <w:r>
                              <w:rPr>
                                <w:rFonts w:hint="eastAsia"/>
                                <w:lang w:eastAsia="zh-CN"/>
                              </w:rPr>
                              <w:t>锤式破碎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25pt;margin-top:0.4pt;height:24.75pt;width:69.75pt;z-index:251786240;mso-width-relative:page;mso-height-relative:page;" fillcolor="#FFFFFF [3201]" filled="t" stroked="t" coordsize="21600,21600" o:gfxdata="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lIPONMAAAAHAQAA&#10;DwAAAAAAAAABACAAAAAiAAAAZHJzL2Rvd25yZXYueG1sUEsBAhQAFAAAAAgAh07iQGU6AIFXAgAA&#10;ugQAAA4AAAAAAAAAAQAgAAAAIgEAAGRycy9lMm9Eb2MueG1sUEsFBgAAAAAGAAYAWQEAAOsFAAAA&#10;AA==&#10;">
                <v:fill on="t" focussize="0,0"/>
                <v:stroke weight="0.5pt" color="#000000 [3204]" joinstyle="round"/>
                <v:imagedata o:title=""/>
                <o:lock v:ext="edit" aspectratio="f"/>
                <v:textbox>
                  <w:txbxContent>
                    <w:p w14:paraId="32566F8D">
                      <w:pPr>
                        <w:jc w:val="center"/>
                        <w:rPr>
                          <w:rFonts w:hint="eastAsia" w:eastAsia="宋体"/>
                          <w:lang w:eastAsia="zh-CN"/>
                        </w:rPr>
                      </w:pPr>
                      <w:r>
                        <w:rPr>
                          <w:rFonts w:hint="eastAsia"/>
                          <w:lang w:eastAsia="zh-CN"/>
                        </w:rPr>
                        <w:t>锤式破碎</w:t>
                      </w:r>
                    </w:p>
                  </w:txbxContent>
                </v:textbox>
              </v:shape>
            </w:pict>
          </mc:Fallback>
        </mc:AlternateContent>
      </w:r>
      <w:r>
        <w:rPr>
          <w:sz w:val="24"/>
        </w:rPr>
        <mc:AlternateContent>
          <mc:Choice Requires="wps">
            <w:drawing>
              <wp:anchor distT="0" distB="0" distL="114300" distR="114300" simplePos="0" relativeHeight="251810816" behindDoc="0" locked="0" layoutInCell="1" allowOverlap="1">
                <wp:simplePos x="0" y="0"/>
                <wp:positionH relativeFrom="column">
                  <wp:posOffset>457200</wp:posOffset>
                </wp:positionH>
                <wp:positionV relativeFrom="paragraph">
                  <wp:posOffset>157480</wp:posOffset>
                </wp:positionV>
                <wp:extent cx="423545" cy="5080"/>
                <wp:effectExtent l="0" t="37465" r="14605" b="33655"/>
                <wp:wrapNone/>
                <wp:docPr id="140" name="直接箭头连接符 140"/>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pt;margin-top:12.4pt;height:0.4pt;width:33.35pt;z-index:251810816;mso-width-relative:page;mso-height-relative:page;" filled="f" stroked="t" coordsize="21600,21600" o:gfxdata="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LhxA9kAAAAIAQAADwAAAAAAAAABACAAAAAiAAAA&#10;ZHJzL2Rvd25yZXYueG1sUEsBAhQAFAAAAAgAh07iQL95RQUGAgAA2gMAAA4AAAAAAAAAAQAgAAAA&#10;KAEAAGRycy9lMm9Eb2MueG1sUEsFBgAAAAAGAAYAWQEAAKAFA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807744" behindDoc="0" locked="0" layoutInCell="1" allowOverlap="1">
                <wp:simplePos x="0" y="0"/>
                <wp:positionH relativeFrom="column">
                  <wp:posOffset>647700</wp:posOffset>
                </wp:positionH>
                <wp:positionV relativeFrom="paragraph">
                  <wp:posOffset>338455</wp:posOffset>
                </wp:positionV>
                <wp:extent cx="742950" cy="314325"/>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33F18D">
                            <w:pPr>
                              <w:jc w:val="center"/>
                              <w:rPr>
                                <w:rFonts w:hint="eastAsia" w:eastAsia="宋体"/>
                                <w:lang w:eastAsia="zh-CN"/>
                              </w:rPr>
                            </w:pPr>
                            <w:r>
                              <w:rPr>
                                <w:rFonts w:hint="eastAsia" w:eastAsia="宋体"/>
                                <w:lang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26.65pt;height:24.75pt;width:58.5pt;z-index:251807744;mso-width-relative:page;mso-height-relative:page;" filled="f" stroked="f" coordsize="21600,21600" o:gfxdata="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KzWIHZAAAACgEAAA8AAAAAAAAAAQAgAAAAIgAAAGRycy9k&#10;b3ducmV2LnhtbFBLAQIUABQAAAAIAIdO4kBU4Gq1OgIAAGkEAAAOAAAAAAAAAAEAIAAAACgBAABk&#10;cnMvZTJvRG9jLnhtbFBLBQYAAAAABgAGAFkBAADUBQAAAAA=&#10;">
                <v:fill on="f" focussize="0,0"/>
                <v:stroke on="f" weight="0.5pt"/>
                <v:imagedata o:title=""/>
                <o:lock v:ext="edit" aspectratio="f"/>
                <v:textbox>
                  <w:txbxContent>
                    <w:p w14:paraId="1833F18D">
                      <w:pPr>
                        <w:jc w:val="center"/>
                        <w:rPr>
                          <w:rFonts w:hint="eastAsia" w:eastAsia="宋体"/>
                          <w:lang w:eastAsia="zh-CN"/>
                        </w:rPr>
                      </w:pPr>
                      <w:r>
                        <w:rPr>
                          <w:rFonts w:hint="eastAsia" w:eastAsia="宋体"/>
                          <w:lang w:eastAsia="zh-CN"/>
                        </w:rPr>
                        <w:t>皮带输送</w:t>
                      </w:r>
                    </w:p>
                  </w:txbxContent>
                </v:textbox>
              </v:shape>
            </w:pict>
          </mc:Fallback>
        </mc:AlternateContent>
      </w:r>
      <w:r>
        <w:rPr>
          <w:sz w:val="24"/>
        </w:rPr>
        <mc:AlternateContent>
          <mc:Choice Requires="wps">
            <w:drawing>
              <wp:anchor distT="0" distB="0" distL="114300" distR="114300" simplePos="0" relativeHeight="251808768" behindDoc="0" locked="0" layoutInCell="1" allowOverlap="1">
                <wp:simplePos x="0" y="0"/>
                <wp:positionH relativeFrom="column">
                  <wp:posOffset>2790825</wp:posOffset>
                </wp:positionH>
                <wp:positionV relativeFrom="paragraph">
                  <wp:posOffset>176530</wp:posOffset>
                </wp:positionV>
                <wp:extent cx="423545" cy="5080"/>
                <wp:effectExtent l="0" t="0" r="0" b="0"/>
                <wp:wrapNone/>
                <wp:docPr id="176" name="直接箭头连接符 176"/>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19.75pt;margin-top:13.9pt;height:0.4pt;width:33.35pt;z-index:251808768;mso-width-relative:page;mso-height-relative:page;" filled="f" stroked="t" coordsize="21600,21600" o:gfxdata="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KyzT9oAAAAJAQAADwAAAAAAAAABACAAAAAiAAAA&#10;ZHJzL2Rvd25yZXYueG1sUEsBAhQAFAAAAAgAh07iQAYpZAcFAgAA1gMAAA4AAAAAAAAAAQAgAAAA&#10;KQEAAGRycy9lMm9Eb2MueG1sUEsFBgAAAAAGAAYAWQEAAKAFA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93408" behindDoc="0" locked="0" layoutInCell="1" allowOverlap="1">
                <wp:simplePos x="0" y="0"/>
                <wp:positionH relativeFrom="column">
                  <wp:posOffset>1752600</wp:posOffset>
                </wp:positionH>
                <wp:positionV relativeFrom="paragraph">
                  <wp:posOffset>157480</wp:posOffset>
                </wp:positionV>
                <wp:extent cx="423545" cy="5080"/>
                <wp:effectExtent l="0" t="37465" r="14605" b="33655"/>
                <wp:wrapNone/>
                <wp:docPr id="177" name="直接箭头连接符 177"/>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8pt;margin-top:12.4pt;height:0.4pt;width:33.35pt;z-index:251793408;mso-width-relative:page;mso-height-relative:page;" filled="f" stroked="t" coordsize="21600,21600" o:gfxdata="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SY9D2gAAAAkBAAAPAAAAAAAAAAEAIAAAACIA&#10;AABkcnMvZG93bnJldi54bWxQSwECFAAUAAAACACHTuJA2MGbrAcCAADaAwAADgAAAAAAAAABACAA&#10;AAApAQAAZHJzL2Uyb0RvYy54bWxQSwUGAAAAAAYABgBZAQAAog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87264" behindDoc="0" locked="0" layoutInCell="1" allowOverlap="1">
                <wp:simplePos x="0" y="0"/>
                <wp:positionH relativeFrom="column">
                  <wp:posOffset>1318895</wp:posOffset>
                </wp:positionH>
                <wp:positionV relativeFrom="paragraph">
                  <wp:posOffset>319405</wp:posOffset>
                </wp:positionV>
                <wp:extent cx="635" cy="363855"/>
                <wp:effectExtent l="38100" t="0" r="37465" b="17145"/>
                <wp:wrapNone/>
                <wp:docPr id="178" name="直接箭头连接符 178"/>
                <wp:cNvGraphicFramePr/>
                <a:graphic xmlns:a="http://schemas.openxmlformats.org/drawingml/2006/main">
                  <a:graphicData uri="http://schemas.microsoft.com/office/word/2010/wordprocessingShape">
                    <wps:wsp>
                      <wps:cNvCnPr/>
                      <wps:spPr>
                        <a:xfrm flipH="1">
                          <a:off x="0" y="0"/>
                          <a:ext cx="635" cy="36385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3.85pt;margin-top:25.15pt;height:28.65pt;width:0.05pt;z-index:251787264;mso-width-relative:page;mso-height-relative:page;" filled="f" stroked="t" coordsize="21600,21600" o:gfxdata="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&#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wf4C2gAAAAoBAAAPAAAAAAAAAAEAIAAAACIAAABk&#10;cnMvZG93bnJldi54bWxQSwECFAAUAAAACACHTuJAi7b4OwQCAADaAwAADgAAAAAAAAABACAAAAAp&#10;AQAAZHJzL2Uyb0RvYy54bWxQSwUGAAAAAAYABgBZAQAAnw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806720" behindDoc="0" locked="0" layoutInCell="1" allowOverlap="1">
                <wp:simplePos x="0" y="0"/>
                <wp:positionH relativeFrom="column">
                  <wp:posOffset>465455</wp:posOffset>
                </wp:positionH>
                <wp:positionV relativeFrom="paragraph">
                  <wp:posOffset>151765</wp:posOffset>
                </wp:positionV>
                <wp:extent cx="0" cy="689610"/>
                <wp:effectExtent l="6350" t="0" r="12700" b="15240"/>
                <wp:wrapNone/>
                <wp:docPr id="110" name="直接箭头连接符 110"/>
                <wp:cNvGraphicFramePr/>
                <a:graphic xmlns:a="http://schemas.openxmlformats.org/drawingml/2006/main">
                  <a:graphicData uri="http://schemas.microsoft.com/office/word/2010/wordprocessingShape">
                    <wps:wsp>
                      <wps:cNvCnPr/>
                      <wps:spPr>
                        <a:xfrm flipV="1">
                          <a:off x="0" y="0"/>
                          <a:ext cx="0" cy="68961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65pt;margin-top:11.95pt;height:54.3pt;width:0pt;z-index:251806720;mso-width-relative:page;mso-height-relative:page;" filled="f" stroked="t" coordsize="21600,21600" o:gfxdata="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z09AENcAAAAIAQAADwAAAAAAAAABACAAAAAiAAAAZHJzL2Rvd25yZXYu&#10;eG1sUEsBAhQAFAAAAAgAh07iQFjm2iv8AQAA0wMAAA4AAAAAAAAAAQAgAAAAJgEAAGRycy9lMm9E&#10;b2MueG1sUEsFBgAAAAAGAAYAWQEAAJQFAAAAAA==&#10;">
                <v:fill on="f" focussize="0,0"/>
                <v:stroke weight="1pt" color="#000000 [3213]" joinstyle="round" dashstyle="dash"/>
                <v:imagedata o:title=""/>
                <o:lock v:ext="edit" aspectratio="f"/>
              </v:shape>
            </w:pict>
          </mc:Fallback>
        </mc:AlternateContent>
      </w:r>
    </w:p>
    <w:p w14:paraId="59D84CF6">
      <w:pPr>
        <w:rPr>
          <w:color w:val="auto"/>
          <w:sz w:val="24"/>
        </w:rPr>
      </w:pPr>
      <w:r>
        <w:rPr>
          <w:sz w:val="24"/>
        </w:rPr>
        <mc:AlternateContent>
          <mc:Choice Requires="wps">
            <w:drawing>
              <wp:anchor distT="0" distB="0" distL="114300" distR="114300" simplePos="0" relativeHeight="251812864" behindDoc="0" locked="0" layoutInCell="1" allowOverlap="1">
                <wp:simplePos x="0" y="0"/>
                <wp:positionH relativeFrom="column">
                  <wp:posOffset>1647825</wp:posOffset>
                </wp:positionH>
                <wp:positionV relativeFrom="paragraph">
                  <wp:posOffset>154940</wp:posOffset>
                </wp:positionV>
                <wp:extent cx="600075" cy="314325"/>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60007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EADC3D">
                            <w:pPr>
                              <w:jc w:val="center"/>
                              <w:rPr>
                                <w:rFonts w:hint="eastAsia" w:eastAsia="宋体"/>
                                <w:lang w:eastAsia="zh-CN"/>
                              </w:rPr>
                            </w:pPr>
                            <w:r>
                              <w:rPr>
                                <w:rFonts w:hint="eastAsia" w:eastAsia="宋体"/>
                                <w:lang w:eastAsia="zh-CN"/>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75pt;margin-top:12.2pt;height:24.75pt;width:47.25pt;z-index:251812864;mso-width-relative:page;mso-height-relative:page;" filled="f" stroked="f" coordsize="21600,21600" o:gfxdata="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EyIu02wAAAAkBAAAPAAAAAAAAAAEAIAAAACIAAABk&#10;cnMvZG93bnJldi54bWxQSwECFAAUAAAACACHTuJAjPHnKjwCAABpBAAADgAAAAAAAAABACAAAAAq&#10;AQAAZHJzL2Uyb0RvYy54bWxQSwUGAAAAAAYABgBZAQAA2AUAAAAA&#10;">
                <v:fill on="f" focussize="0,0"/>
                <v:stroke on="f" weight="0.5pt"/>
                <v:imagedata o:title=""/>
                <o:lock v:ext="edit" aspectratio="f"/>
                <v:textbox>
                  <w:txbxContent>
                    <w:p w14:paraId="53EADC3D">
                      <w:pPr>
                        <w:jc w:val="center"/>
                        <w:rPr>
                          <w:rFonts w:hint="eastAsia" w:eastAsia="宋体"/>
                          <w:lang w:eastAsia="zh-CN"/>
                        </w:rPr>
                      </w:pPr>
                      <w:r>
                        <w:rPr>
                          <w:rFonts w:hint="eastAsia" w:eastAsia="宋体"/>
                          <w:lang w:eastAsia="zh-CN"/>
                        </w:rPr>
                        <w:t>粉尘</w:t>
                      </w:r>
                    </w:p>
                  </w:txbxContent>
                </v:textbox>
              </v:shape>
            </w:pict>
          </mc:Fallback>
        </mc:AlternateContent>
      </w:r>
    </w:p>
    <w:p w14:paraId="0302E664">
      <w:pPr>
        <w:pStyle w:val="74"/>
        <w:rPr>
          <w:color w:val="auto"/>
          <w:sz w:val="24"/>
        </w:rPr>
      </w:pPr>
      <w:r>
        <w:rPr>
          <w:sz w:val="24"/>
        </w:rPr>
        <mc:AlternateContent>
          <mc:Choice Requires="wps">
            <w:drawing>
              <wp:anchor distT="0" distB="0" distL="114300" distR="114300" simplePos="0" relativeHeight="251801600" behindDoc="0" locked="0" layoutInCell="1" allowOverlap="1">
                <wp:simplePos x="0" y="0"/>
                <wp:positionH relativeFrom="column">
                  <wp:posOffset>3467100</wp:posOffset>
                </wp:positionH>
                <wp:positionV relativeFrom="paragraph">
                  <wp:posOffset>71120</wp:posOffset>
                </wp:positionV>
                <wp:extent cx="885190" cy="31432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8851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8651F6">
                            <w:pPr>
                              <w:jc w:val="center"/>
                              <w:rPr>
                                <w:rFonts w:hint="eastAsia" w:eastAsia="宋体"/>
                                <w:lang w:eastAsia="zh-CN"/>
                              </w:rPr>
                            </w:pPr>
                            <w:r>
                              <w:rPr>
                                <w:rFonts w:hint="eastAsia" w:eastAsia="宋体"/>
                                <w:lang w:eastAsia="zh-CN"/>
                              </w:rPr>
                              <w:t>除尘灰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3pt;margin-top:5.6pt;height:24.75pt;width:69.7pt;z-index:251801600;mso-width-relative:page;mso-height-relative:page;" filled="f" stroked="f" coordsize="21600,21600" o:gfxdata="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Y0RW12gAAAAkBAAAPAAAAAAAAAAEAIAAAACIAAABk&#10;cnMvZG93bnJldi54bWxQSwECFAAUAAAACACHTuJAfFohMz0CAABpBAAADgAAAAAAAAABACAAAAAp&#10;AQAAZHJzL2Uyb0RvYy54bWxQSwUGAAAAAAYABgBZAQAA2AUAAAAA&#10;">
                <v:fill on="f" focussize="0,0"/>
                <v:stroke on="f" weight="0.5pt"/>
                <v:imagedata o:title=""/>
                <o:lock v:ext="edit" aspectratio="f"/>
                <v:textbox>
                  <w:txbxContent>
                    <w:p w14:paraId="718651F6">
                      <w:pPr>
                        <w:jc w:val="center"/>
                        <w:rPr>
                          <w:rFonts w:hint="eastAsia" w:eastAsia="宋体"/>
                          <w:lang w:eastAsia="zh-CN"/>
                        </w:rPr>
                      </w:pPr>
                      <w:r>
                        <w:rPr>
                          <w:rFonts w:hint="eastAsia" w:eastAsia="宋体"/>
                          <w:lang w:eastAsia="zh-CN"/>
                        </w:rPr>
                        <w:t>除尘灰</w:t>
                      </w:r>
                    </w:p>
                  </w:txbxContent>
                </v:textbox>
              </v:shape>
            </w:pict>
          </mc:Fallback>
        </mc:AlternateContent>
      </w:r>
      <w:r>
        <w:rPr>
          <w:sz w:val="24"/>
        </w:rPr>
        <mc:AlternateContent>
          <mc:Choice Requires="wps">
            <w:drawing>
              <wp:anchor distT="0" distB="0" distL="114300" distR="114300" simplePos="0" relativeHeight="251824128" behindDoc="0" locked="0" layoutInCell="1" allowOverlap="1">
                <wp:simplePos x="0" y="0"/>
                <wp:positionH relativeFrom="column">
                  <wp:posOffset>1581150</wp:posOffset>
                </wp:positionH>
                <wp:positionV relativeFrom="paragraph">
                  <wp:posOffset>271145</wp:posOffset>
                </wp:positionV>
                <wp:extent cx="381000" cy="314325"/>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38100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78359">
                            <w:pPr>
                              <w:jc w:val="both"/>
                              <w:rPr>
                                <w:rFonts w:hint="default" w:eastAsia="宋体"/>
                                <w:lang w:val="en-US" w:eastAsia="zh-CN"/>
                              </w:rPr>
                            </w:pPr>
                            <w:r>
                              <w:rPr>
                                <w:rFonts w:hint="eastAsia"/>
                                <w:lang w:val="en-US" w:eastAsia="zh-CN"/>
                              </w:rPr>
                              <w:t>G5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4.5pt;margin-top:21.35pt;height:24.75pt;width:30pt;z-index:251824128;mso-width-relative:page;mso-height-relative:page;" filled="f" stroked="f" coordsize="21600,21600" o:gfxdata="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&#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ecMg2gAAAAkBAAAPAAAAAAAAAAEAIAAAACIAAABk&#10;cnMvZG93bnJldi54bWxQSwECFAAUAAAACACHTuJAap86CT0CAABpBAAADgAAAAAAAAABACAAAAAp&#10;AQAAZHJzL2Uyb0RvYy54bWxQSwUGAAAAAAYABgBZAQAA2AUAAAAA&#10;">
                <v:fill on="f" focussize="0,0"/>
                <v:stroke on="f" weight="0.5pt"/>
                <v:imagedata o:title=""/>
                <o:lock v:ext="edit" aspectratio="f"/>
                <v:textbox>
                  <w:txbxContent>
                    <w:p w14:paraId="09D78359">
                      <w:pPr>
                        <w:jc w:val="both"/>
                        <w:rPr>
                          <w:rFonts w:hint="default" w:eastAsia="宋体"/>
                          <w:lang w:val="en-US" w:eastAsia="zh-CN"/>
                        </w:rPr>
                      </w:pPr>
                      <w:r>
                        <w:rPr>
                          <w:rFonts w:hint="eastAsia"/>
                          <w:lang w:val="en-US" w:eastAsia="zh-CN"/>
                        </w:rPr>
                        <w:t>G5</w:t>
                      </w:r>
                    </w:p>
                  </w:txbxContent>
                </v:textbox>
              </v:shape>
            </w:pict>
          </mc:Fallback>
        </mc:AlternateContent>
      </w:r>
      <w:r>
        <w:rPr>
          <w:sz w:val="24"/>
        </w:rPr>
        <mc:AlternateContent>
          <mc:Choice Requires="wps">
            <w:drawing>
              <wp:anchor distT="0" distB="0" distL="114300" distR="114300" simplePos="0" relativeHeight="251788288" behindDoc="0" locked="0" layoutInCell="1" allowOverlap="1">
                <wp:simplePos x="0" y="0"/>
                <wp:positionH relativeFrom="column">
                  <wp:posOffset>876300</wp:posOffset>
                </wp:positionH>
                <wp:positionV relativeFrom="paragraph">
                  <wp:posOffset>61595</wp:posOffset>
                </wp:positionV>
                <wp:extent cx="866775" cy="314325"/>
                <wp:effectExtent l="4445" t="5080" r="5080" b="4445"/>
                <wp:wrapNone/>
                <wp:docPr id="180" name="文本框 180"/>
                <wp:cNvGraphicFramePr/>
                <a:graphic xmlns:a="http://schemas.openxmlformats.org/drawingml/2006/main">
                  <a:graphicData uri="http://schemas.microsoft.com/office/word/2010/wordprocessingShape">
                    <wps:wsp>
                      <wps:cNvSpPr txBox="1"/>
                      <wps:spPr>
                        <a:xfrm>
                          <a:off x="0" y="0"/>
                          <a:ext cx="8667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C914D3A">
                            <w:pPr>
                              <w:jc w:val="center"/>
                              <w:rPr>
                                <w:rFonts w:hint="eastAsia" w:eastAsia="宋体"/>
                                <w:lang w:eastAsia="zh-CN"/>
                              </w:rPr>
                            </w:pPr>
                            <w:r>
                              <w:rPr>
                                <w:rFonts w:hint="eastAsia"/>
                                <w:lang w:eastAsia="zh-CN"/>
                              </w:rPr>
                              <w:t>高频筛分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4.85pt;height:24.75pt;width:68.25pt;z-index:251788288;mso-width-relative:page;mso-height-relative:page;" fillcolor="#FFFFFF [3201]" filled="t" stroked="t" coordsize="21600,21600" o:gfxdata="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gGNb/WAAAA&#10;CAEAAA8AAAAAAAAAAQAgAAAAIgAAAGRycy9kb3ducmV2LnhtbFBLAQIUABQAAAAIAIdO4kDIt/Xv&#10;WAIAALoEAAAOAAAAAAAAAAEAIAAAACUBAABkcnMvZTJvRG9jLnhtbFBLBQYAAAAABgAGAFkBAADv&#10;BQAAAAA=&#10;">
                <v:fill on="t" focussize="0,0"/>
                <v:stroke weight="0.5pt" color="#000000 [3204]" joinstyle="round"/>
                <v:imagedata o:title=""/>
                <o:lock v:ext="edit" aspectratio="f"/>
                <v:textbox>
                  <w:txbxContent>
                    <w:p w14:paraId="7C914D3A">
                      <w:pPr>
                        <w:jc w:val="center"/>
                        <w:rPr>
                          <w:rFonts w:hint="eastAsia" w:eastAsia="宋体"/>
                          <w:lang w:eastAsia="zh-CN"/>
                        </w:rPr>
                      </w:pPr>
                      <w:r>
                        <w:rPr>
                          <w:rFonts w:hint="eastAsia"/>
                          <w:lang w:eastAsia="zh-CN"/>
                        </w:rPr>
                        <w:t>高频筛分</w:t>
                      </w:r>
                    </w:p>
                  </w:txbxContent>
                </v:textbox>
              </v:shape>
            </w:pict>
          </mc:Fallback>
        </mc:AlternateContent>
      </w:r>
      <w:r>
        <w:rPr>
          <w:sz w:val="24"/>
        </w:rPr>
        <mc:AlternateContent>
          <mc:Choice Requires="wps">
            <w:drawing>
              <wp:anchor distT="0" distB="0" distL="114300" distR="114300" simplePos="0" relativeHeight="251805696" behindDoc="0" locked="0" layoutInCell="1" allowOverlap="1">
                <wp:simplePos x="0" y="0"/>
                <wp:positionH relativeFrom="column">
                  <wp:posOffset>2790825</wp:posOffset>
                </wp:positionH>
                <wp:positionV relativeFrom="paragraph">
                  <wp:posOffset>242570</wp:posOffset>
                </wp:positionV>
                <wp:extent cx="423545" cy="5080"/>
                <wp:effectExtent l="0" t="0" r="0" b="0"/>
                <wp:wrapNone/>
                <wp:docPr id="181" name="直接箭头连接符 181"/>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19.75pt;margin-top:19.1pt;height:0.4pt;width:33.35pt;z-index:251805696;mso-width-relative:page;mso-height-relative:page;" filled="f" stroked="t" coordsize="21600,21600" o:gfxdata="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&#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OP7M2gAAAAkBAAAPAAAAAAAAAAEAIAAAACIAAABk&#10;cnMvZG93bnJldi54bWxQSwECFAAUAAAACACHTuJAAmfKvwQCAADWAwAADgAAAAAAAAABACAAAAAp&#10;AQAAZHJzL2Uyb0RvYy54bWxQSwUGAAAAAAYABgBZAQAAnwU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802624" behindDoc="0" locked="0" layoutInCell="1" allowOverlap="1">
                <wp:simplePos x="0" y="0"/>
                <wp:positionH relativeFrom="column">
                  <wp:posOffset>457200</wp:posOffset>
                </wp:positionH>
                <wp:positionV relativeFrom="paragraph">
                  <wp:posOffset>213995</wp:posOffset>
                </wp:positionV>
                <wp:extent cx="423545" cy="5080"/>
                <wp:effectExtent l="0" t="0" r="0" b="0"/>
                <wp:wrapNone/>
                <wp:docPr id="183" name="直接箭头连接符 183"/>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pt;margin-top:16.85pt;height:0.4pt;width:33.35pt;z-index:251802624;mso-width-relative:page;mso-height-relative:page;" filled="f" stroked="t" coordsize="21600,21600" o:gfxdata="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G1scnZAAAACAEAAA8AAAAAAAAAAQAgAAAAIgAAAGRy&#10;cy9kb3ducmV2LnhtbFBLAQIUABQAAAAIAIdO4kCmBudfBAIAANYDAAAOAAAAAAAAAAEAIAAAACgB&#10;AABkcnMvZTJvRG9jLnhtbFBLBQYAAAAABgAGAFkBAACeBQ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97504" behindDoc="0" locked="0" layoutInCell="1" allowOverlap="1">
                <wp:simplePos x="0" y="0"/>
                <wp:positionH relativeFrom="column">
                  <wp:posOffset>2162175</wp:posOffset>
                </wp:positionH>
                <wp:positionV relativeFrom="paragraph">
                  <wp:posOffset>71120</wp:posOffset>
                </wp:positionV>
                <wp:extent cx="600075" cy="314325"/>
                <wp:effectExtent l="4445" t="4445" r="5080" b="5080"/>
                <wp:wrapNone/>
                <wp:docPr id="185" name="文本框 185"/>
                <wp:cNvGraphicFramePr/>
                <a:graphic xmlns:a="http://schemas.openxmlformats.org/drawingml/2006/main">
                  <a:graphicData uri="http://schemas.microsoft.com/office/word/2010/wordprocessingShape">
                    <wps:wsp>
                      <wps:cNvSpPr txBox="1"/>
                      <wps:spPr>
                        <a:xfrm>
                          <a:off x="0" y="0"/>
                          <a:ext cx="6000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AA4BCC">
                            <w:pPr>
                              <w:jc w:val="center"/>
                              <w:rPr>
                                <w:rFonts w:hint="eastAsia" w:eastAsia="宋体"/>
                                <w:lang w:eastAsia="zh-CN"/>
                              </w:rPr>
                            </w:pPr>
                            <w:r>
                              <w:rPr>
                                <w:rFonts w:hint="eastAsia" w:eastAsia="宋体"/>
                                <w:lang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0.25pt;margin-top:5.6pt;height:24.75pt;width:47.25pt;z-index:251797504;mso-width-relative:page;mso-height-relative:page;" fillcolor="#FFFFFF [3201]" filled="t" stroked="t" coordsize="21600,21600" o:gfxdata="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xFX19YA&#10;AAAJAQAADwAAAAAAAAABACAAAAAiAAAAZHJzL2Rvd25yZXYueG1sUEsBAhQAFAAAAAgAh07iQKDM&#10;M7ZaAgAAugQAAA4AAAAAAAAAAQAgAAAAJQEAAGRycy9lMm9Eb2MueG1sUEsFBgAAAAAGAAYAWQEA&#10;APEFAAAAAA==&#10;">
                <v:fill on="t" focussize="0,0"/>
                <v:stroke weight="0.5pt" color="#000000 [3204]" joinstyle="round"/>
                <v:imagedata o:title=""/>
                <o:lock v:ext="edit" aspectratio="f"/>
                <v:textbox>
                  <w:txbxContent>
                    <w:p w14:paraId="02AA4BCC">
                      <w:pPr>
                        <w:jc w:val="center"/>
                        <w:rPr>
                          <w:rFonts w:hint="eastAsia" w:eastAsia="宋体"/>
                          <w:lang w:eastAsia="zh-CN"/>
                        </w:rPr>
                      </w:pPr>
                      <w:r>
                        <w:rPr>
                          <w:rFonts w:hint="eastAsia" w:eastAsia="宋体"/>
                          <w:lang w:eastAsia="zh-CN"/>
                        </w:rPr>
                        <w:t>集气罩</w:t>
                      </w:r>
                    </w:p>
                  </w:txbxContent>
                </v:textbox>
              </v:shape>
            </w:pict>
          </mc:Fallback>
        </mc:AlternateContent>
      </w:r>
      <w:r>
        <w:rPr>
          <w:sz w:val="24"/>
        </w:rPr>
        <mc:AlternateContent>
          <mc:Choice Requires="wps">
            <w:drawing>
              <wp:anchor distT="0" distB="0" distL="114300" distR="114300" simplePos="0" relativeHeight="251798528" behindDoc="0" locked="0" layoutInCell="1" allowOverlap="1">
                <wp:simplePos x="0" y="0"/>
                <wp:positionH relativeFrom="column">
                  <wp:posOffset>1752600</wp:posOffset>
                </wp:positionH>
                <wp:positionV relativeFrom="paragraph">
                  <wp:posOffset>223520</wp:posOffset>
                </wp:positionV>
                <wp:extent cx="423545" cy="5080"/>
                <wp:effectExtent l="0" t="37465" r="14605" b="33655"/>
                <wp:wrapNone/>
                <wp:docPr id="186" name="直接箭头连接符 186"/>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138pt;margin-top:17.6pt;height:0.4pt;width:33.35pt;z-index:251798528;mso-width-relative:page;mso-height-relative:page;" filled="f" stroked="t" coordsize="21600,21600" o:gfxdata="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eGhi2gAAAAkBAAAPAAAAAAAAAAEAIAAAACIA&#10;AABkcnMvZG93bnJldi54bWxQSwECFAAUAAAACACHTuJA6uSGsQcCAADaAwAADgAAAAAAAAABACAA&#10;AAApAQAAZHJzL2Uyb0RvYy54bWxQSwUGAAAAAAYABgBZAQAAog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89312" behindDoc="0" locked="0" layoutInCell="1" allowOverlap="1">
                <wp:simplePos x="0" y="0"/>
                <wp:positionH relativeFrom="column">
                  <wp:posOffset>1309370</wp:posOffset>
                </wp:positionH>
                <wp:positionV relativeFrom="paragraph">
                  <wp:posOffset>385445</wp:posOffset>
                </wp:positionV>
                <wp:extent cx="635" cy="363855"/>
                <wp:effectExtent l="38100" t="0" r="37465" b="17145"/>
                <wp:wrapNone/>
                <wp:docPr id="187" name="直接箭头连接符 187"/>
                <wp:cNvGraphicFramePr/>
                <a:graphic xmlns:a="http://schemas.openxmlformats.org/drawingml/2006/main">
                  <a:graphicData uri="http://schemas.microsoft.com/office/word/2010/wordprocessingShape">
                    <wps:wsp>
                      <wps:cNvCnPr/>
                      <wps:spPr>
                        <a:xfrm flipH="1">
                          <a:off x="0" y="0"/>
                          <a:ext cx="635" cy="36385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03.1pt;margin-top:30.35pt;height:28.65pt;width:0.05pt;z-index:251789312;mso-width-relative:page;mso-height-relative:page;" filled="f" stroked="t" coordsize="21600,21600" o:gfxdata="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F1NktoAAAAKAQAADwAAAAAAAAABACAAAAAiAAAA&#10;ZHJzL2Rvd25yZXYueG1sUEsBAhQAFAAAAAgAh07iQId0UhcFAgAA2gMAAA4AAAAAAAAAAQAgAAAA&#10;KQEAAGRycy9lMm9Eb2MueG1sUEsFBgAAAAAGAAYAWQEAAKAFAAAAAA==&#10;">
                <v:fill on="f" focussize="0,0"/>
                <v:stroke weight="1pt" color="#000000 [3213]" joinstyle="round" endarrow="block"/>
                <v:imagedata o:title=""/>
                <o:lock v:ext="edit" aspectratio="f"/>
              </v:shape>
            </w:pict>
          </mc:Fallback>
        </mc:AlternateContent>
      </w:r>
    </w:p>
    <w:p w14:paraId="5C451C97">
      <w:pPr>
        <w:rPr>
          <w:color w:val="auto"/>
          <w:sz w:val="24"/>
        </w:rPr>
      </w:pPr>
      <w:r>
        <w:rPr>
          <w:sz w:val="24"/>
        </w:rPr>
        <mc:AlternateContent>
          <mc:Choice Requires="wps">
            <w:drawing>
              <wp:anchor distT="0" distB="0" distL="114300" distR="114300" simplePos="0" relativeHeight="251803648" behindDoc="0" locked="0" layoutInCell="1" allowOverlap="1">
                <wp:simplePos x="0" y="0"/>
                <wp:positionH relativeFrom="column">
                  <wp:posOffset>590550</wp:posOffset>
                </wp:positionH>
                <wp:positionV relativeFrom="paragraph">
                  <wp:posOffset>1905</wp:posOffset>
                </wp:positionV>
                <wp:extent cx="742950" cy="314325"/>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84ED2">
                            <w:pPr>
                              <w:jc w:val="center"/>
                              <w:rPr>
                                <w:rFonts w:hint="eastAsia" w:eastAsia="宋体"/>
                                <w:lang w:eastAsia="zh-CN"/>
                              </w:rPr>
                            </w:pPr>
                            <w:r>
                              <w:rPr>
                                <w:rFonts w:hint="eastAsia" w:eastAsia="宋体"/>
                                <w:lang w:eastAsia="zh-CN"/>
                              </w:rPr>
                              <w:t>皮带输送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pt;margin-top:0.15pt;height:24.75pt;width:58.5pt;z-index:251803648;mso-width-relative:page;mso-height-relative:page;" filled="f" stroked="f" coordsize="21600,21600" o:gfxdata="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p5E03XAAAABgEAAA8AAAAAAAAAAQAgAAAAIgAAAGRycy9k&#10;b3ducmV2LnhtbFBLAQIUABQAAAAIAIdO4kBeTfeMPAIAAGkEAAAOAAAAAAAAAAEAIAAAACYBAABk&#10;cnMvZTJvRG9jLnhtbFBLBQYAAAAABgAGAFkBAADUBQAAAAA=&#10;">
                <v:fill on="f" focussize="0,0"/>
                <v:stroke on="f" weight="0.5pt"/>
                <v:imagedata o:title=""/>
                <o:lock v:ext="edit" aspectratio="f"/>
                <v:textbox>
                  <w:txbxContent>
                    <w:p w14:paraId="3B984ED2">
                      <w:pPr>
                        <w:jc w:val="center"/>
                        <w:rPr>
                          <w:rFonts w:hint="eastAsia" w:eastAsia="宋体"/>
                          <w:lang w:eastAsia="zh-CN"/>
                        </w:rPr>
                      </w:pPr>
                      <w:r>
                        <w:rPr>
                          <w:rFonts w:hint="eastAsia" w:eastAsia="宋体"/>
                          <w:lang w:eastAsia="zh-CN"/>
                        </w:rPr>
                        <w:t>皮带输送</w:t>
                      </w:r>
                    </w:p>
                  </w:txbxContent>
                </v:textbox>
              </v:shape>
            </w:pict>
          </mc:Fallback>
        </mc:AlternateContent>
      </w:r>
    </w:p>
    <w:p w14:paraId="1883EF12">
      <w:pPr>
        <w:pStyle w:val="74"/>
        <w:rPr>
          <w:color w:val="auto"/>
          <w:sz w:val="24"/>
        </w:rPr>
      </w:pPr>
      <w:r>
        <w:rPr>
          <w:sz w:val="24"/>
        </w:rPr>
        <mc:AlternateContent>
          <mc:Choice Requires="wps">
            <w:drawing>
              <wp:anchor distT="0" distB="0" distL="114300" distR="114300" simplePos="0" relativeHeight="251817984" behindDoc="0" locked="0" layoutInCell="1" allowOverlap="1">
                <wp:simplePos x="0" y="0"/>
                <wp:positionH relativeFrom="column">
                  <wp:posOffset>963295</wp:posOffset>
                </wp:positionH>
                <wp:positionV relativeFrom="paragraph">
                  <wp:posOffset>107315</wp:posOffset>
                </wp:positionV>
                <wp:extent cx="742950" cy="31432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74295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879E98">
                            <w:pPr>
                              <w:jc w:val="center"/>
                              <w:rPr>
                                <w:rFonts w:hint="eastAsia" w:eastAsia="宋体"/>
                                <w:lang w:eastAsia="zh-CN"/>
                              </w:rPr>
                            </w:pPr>
                            <w:r>
                              <w:rPr>
                                <w:rFonts w:hint="eastAsia"/>
                                <w:lang w:val="en-US" w:eastAsia="zh-CN"/>
                              </w:rPr>
                              <w:t>中间</w:t>
                            </w:r>
                            <w:r>
                              <w:rPr>
                                <w:rFonts w:hint="eastAsia" w:eastAsia="宋体"/>
                                <w:lang w:eastAsia="zh-CN"/>
                              </w:rPr>
                              <w:t>矿料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5.85pt;margin-top:8.45pt;height:24.75pt;width:58.5pt;z-index:251817984;mso-width-relative:page;mso-height-relative:page;" filled="f" stroked="f" coordsize="21600,21600" o:gfxdata="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PDxztkAAAAJAQAADwAAAAAAAAABACAAAAAiAAAAZHJz&#10;L2Rvd25yZXYueG1sUEsBAhQAFAAAAAgAh07iQG+EgJ08AgAAaQQAAA4AAAAAAAAAAQAgAAAAKAEA&#10;AGRycy9lMm9Eb2MueG1sUEsFBgAAAAAGAAYAWQEAANYFAAAAAA==&#10;">
                <v:fill on="f" focussize="0,0"/>
                <v:stroke on="f" weight="0.5pt"/>
                <v:imagedata o:title=""/>
                <o:lock v:ext="edit" aspectratio="f"/>
                <v:textbox>
                  <w:txbxContent>
                    <w:p w14:paraId="24879E98">
                      <w:pPr>
                        <w:jc w:val="center"/>
                        <w:rPr>
                          <w:rFonts w:hint="eastAsia" w:eastAsia="宋体"/>
                          <w:lang w:eastAsia="zh-CN"/>
                        </w:rPr>
                      </w:pPr>
                      <w:r>
                        <w:rPr>
                          <w:rFonts w:hint="eastAsia"/>
                          <w:lang w:val="en-US" w:eastAsia="zh-CN"/>
                        </w:rPr>
                        <w:t>中间</w:t>
                      </w:r>
                      <w:r>
                        <w:rPr>
                          <w:rFonts w:hint="eastAsia" w:eastAsia="宋体"/>
                          <w:lang w:eastAsia="zh-CN"/>
                        </w:rPr>
                        <w:t>矿料</w:t>
                      </w:r>
                    </w:p>
                  </w:txbxContent>
                </v:textbox>
              </v:shape>
            </w:pict>
          </mc:Fallback>
        </mc:AlternateContent>
      </w:r>
    </w:p>
    <w:p w14:paraId="0AA77E23">
      <w:pPr>
        <w:pStyle w:val="95"/>
        <w:keepNext w:val="0"/>
        <w:keepLines w:val="0"/>
        <w:pageBreakBefore w:val="0"/>
        <w:numPr>
          <w:ilvl w:val="0"/>
          <w:numId w:val="0"/>
        </w:numPr>
        <w:kinsoku/>
        <w:overflowPunct/>
        <w:topLinePunct w:val="0"/>
        <w:autoSpaceDE/>
        <w:autoSpaceDN/>
        <w:bidi w:val="0"/>
        <w:adjustRightInd/>
        <w:spacing w:line="360" w:lineRule="auto"/>
        <w:rPr>
          <w:rFonts w:hint="eastAsia" w:cs="Times New Roman"/>
          <w:bCs w:val="0"/>
          <w:color w:val="000000"/>
          <w:spacing w:val="0"/>
          <w:kern w:val="2"/>
          <w:sz w:val="24"/>
          <w:lang w:val="en-US" w:eastAsia="zh-CN"/>
        </w:rPr>
      </w:pPr>
      <w:r>
        <w:rPr>
          <w:rFonts w:hint="eastAsia"/>
          <w:b/>
          <w:bCs/>
          <w:color w:val="000000" w:themeColor="text1"/>
          <w:sz w:val="24"/>
          <w:szCs w:val="24"/>
          <w:highlight w:val="none"/>
          <w14:textFill>
            <w14:solidFill>
              <w14:schemeClr w14:val="tx1"/>
            </w14:solidFill>
          </w14:textFill>
        </w:rPr>
        <w:t>图</w:t>
      </w:r>
      <w:r>
        <w:rPr>
          <w:rFonts w:hint="eastAsia"/>
          <w:b/>
          <w:bCs/>
          <w:color w:val="000000" w:themeColor="text1"/>
          <w:sz w:val="24"/>
          <w:szCs w:val="24"/>
          <w:highlight w:val="none"/>
          <w:lang w:val="en-US" w:eastAsia="zh-CN"/>
          <w14:textFill>
            <w14:solidFill>
              <w14:schemeClr w14:val="tx1"/>
            </w14:solidFill>
          </w14:textFill>
        </w:rPr>
        <w:t>3.3-1</w:t>
      </w:r>
      <w:r>
        <w:rPr>
          <w:rFonts w:hint="eastAsia"/>
          <w:b/>
          <w:bCs/>
          <w:color w:val="000000" w:themeColor="text1"/>
          <w:sz w:val="24"/>
          <w:szCs w:val="24"/>
          <w:highlight w:val="none"/>
          <w14:textFill>
            <w14:solidFill>
              <w14:schemeClr w14:val="tx1"/>
            </w14:solidFill>
          </w14:textFill>
        </w:rPr>
        <w:t xml:space="preserve">  </w:t>
      </w:r>
      <w:r>
        <w:rPr>
          <w:rFonts w:hint="eastAsia"/>
          <w:b/>
          <w:bCs/>
          <w:color w:val="000000" w:themeColor="text1"/>
          <w:sz w:val="24"/>
          <w:szCs w:val="24"/>
          <w:highlight w:val="none"/>
          <w:lang w:eastAsia="zh-CN"/>
          <w14:textFill>
            <w14:solidFill>
              <w14:schemeClr w14:val="tx1"/>
            </w14:solidFill>
          </w14:textFill>
        </w:rPr>
        <w:t>原矿预处理工序</w:t>
      </w:r>
      <w:r>
        <w:rPr>
          <w:b/>
          <w:bCs/>
          <w:color w:val="000000" w:themeColor="text1"/>
          <w:sz w:val="24"/>
          <w:szCs w:val="24"/>
          <w:highlight w:val="none"/>
          <w14:textFill>
            <w14:solidFill>
              <w14:schemeClr w14:val="tx1"/>
            </w14:solidFill>
          </w14:textFill>
        </w:rPr>
        <w:t>工艺流程</w:t>
      </w:r>
      <w:r>
        <w:rPr>
          <w:rFonts w:hint="eastAsia"/>
          <w:b/>
          <w:bCs/>
          <w:color w:val="000000" w:themeColor="text1"/>
          <w:sz w:val="24"/>
          <w:szCs w:val="24"/>
          <w:highlight w:val="none"/>
          <w:lang w:eastAsia="zh-CN"/>
          <w14:textFill>
            <w14:solidFill>
              <w14:schemeClr w14:val="tx1"/>
            </w14:solidFill>
          </w14:textFill>
        </w:rPr>
        <w:t>及排污节点</w:t>
      </w:r>
      <w:r>
        <w:rPr>
          <w:rFonts w:hint="eastAsia"/>
          <w:b/>
          <w:bCs/>
          <w:color w:val="000000" w:themeColor="text1"/>
          <w:sz w:val="24"/>
          <w:szCs w:val="24"/>
          <w:highlight w:val="none"/>
          <w14:textFill>
            <w14:solidFill>
              <w14:schemeClr w14:val="tx1"/>
            </w14:solidFill>
          </w14:textFill>
        </w:rPr>
        <w:t>图</w:t>
      </w:r>
    </w:p>
    <w:p w14:paraId="2AB8E344">
      <w:pPr>
        <w:pStyle w:val="95"/>
        <w:keepNext w:val="0"/>
        <w:keepLines w:val="0"/>
        <w:pageBreakBefore w:val="0"/>
        <w:numPr>
          <w:ilvl w:val="0"/>
          <w:numId w:val="0"/>
        </w:numPr>
        <w:kinsoku/>
        <w:overflowPunct/>
        <w:topLinePunct w:val="0"/>
        <w:autoSpaceDE/>
        <w:autoSpaceDN/>
        <w:bidi w:val="0"/>
        <w:adjustRightInd/>
        <w:spacing w:line="360" w:lineRule="auto"/>
        <w:ind w:left="0" w:leftChars="0" w:firstLine="480" w:firstLineChars="200"/>
        <w:rPr>
          <w:rFonts w:hint="eastAsia" w:cs="Times New Roman"/>
          <w:bCs w:val="0"/>
          <w:color w:val="000000"/>
          <w:spacing w:val="0"/>
          <w:kern w:val="2"/>
          <w:sz w:val="24"/>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2BF9E11D">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831296" behindDoc="0" locked="0" layoutInCell="1" allowOverlap="1">
                <wp:simplePos x="0" y="0"/>
                <wp:positionH relativeFrom="column">
                  <wp:posOffset>3773805</wp:posOffset>
                </wp:positionH>
                <wp:positionV relativeFrom="paragraph">
                  <wp:posOffset>207010</wp:posOffset>
                </wp:positionV>
                <wp:extent cx="419100" cy="27622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FD223A">
                            <w:pPr>
                              <w:jc w:val="center"/>
                              <w:rPr>
                                <w:rFonts w:hint="default" w:eastAsia="宋体"/>
                                <w:lang w:val="en-US" w:eastAsia="zh-CN"/>
                              </w:rPr>
                            </w:pPr>
                            <w:r>
                              <w:rPr>
                                <w:rFonts w:hint="eastAsia"/>
                                <w:lang w:val="en-US" w:eastAsia="zh-CN"/>
                              </w:rPr>
                              <w:t>G6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7.15pt;margin-top:16.3pt;height:21.75pt;width:33pt;z-index:251831296;mso-width-relative:page;mso-height-relative:page;" filled="f" stroked="f" coordsize="21600,21600" o:gfxdata="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&#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OX6K2gAAAAkBAAAPAAAAAAAAAAEAIAAAACIAAABk&#10;cnMvZG93bnJldi54bWxQSwECFAAUAAAACACHTuJAdaWTED0CAABpBAAADgAAAAAAAAABACAAAAAp&#10;AQAAZHJzL2Uyb0RvYy54bWxQSwUGAAAAAAYABgBZAQAA2AUAAAAA&#10;">
                <v:fill on="f" focussize="0,0"/>
                <v:stroke on="f" weight="0.5pt"/>
                <v:imagedata o:title=""/>
                <o:lock v:ext="edit" aspectratio="f"/>
                <v:textbox>
                  <w:txbxContent>
                    <w:p w14:paraId="0DFD223A">
                      <w:pPr>
                        <w:jc w:val="center"/>
                        <w:rPr>
                          <w:rFonts w:hint="default" w:eastAsia="宋体"/>
                          <w:lang w:val="en-US" w:eastAsia="zh-CN"/>
                        </w:rPr>
                      </w:pPr>
                      <w:r>
                        <w:rPr>
                          <w:rFonts w:hint="eastAsia"/>
                          <w:lang w:val="en-US" w:eastAsia="zh-CN"/>
                        </w:rPr>
                        <w:t>G6</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2351405</wp:posOffset>
                </wp:positionH>
                <wp:positionV relativeFrom="paragraph">
                  <wp:posOffset>147320</wp:posOffset>
                </wp:positionV>
                <wp:extent cx="1457325" cy="276225"/>
                <wp:effectExtent l="4445" t="4445" r="5080" b="5080"/>
                <wp:wrapNone/>
                <wp:docPr id="37" name="文本框 37"/>
                <wp:cNvGraphicFramePr/>
                <a:graphic xmlns:a="http://schemas.openxmlformats.org/drawingml/2006/main">
                  <a:graphicData uri="http://schemas.microsoft.com/office/word/2010/wordprocessingShape">
                    <wps:wsp>
                      <wps:cNvSpPr txBox="1"/>
                      <wps:spPr>
                        <a:xfrm>
                          <a:off x="2841625" y="2128520"/>
                          <a:ext cx="14573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DDCD1CA">
                            <w:pPr>
                              <w:jc w:val="center"/>
                              <w:rPr>
                                <w:rFonts w:hint="default" w:eastAsia="宋体"/>
                                <w:lang w:val="en-US" w:eastAsia="zh-CN"/>
                              </w:rPr>
                            </w:pPr>
                            <w:r>
                              <w:rPr>
                                <w:rFonts w:hint="eastAsia"/>
                                <w:lang w:val="en-US" w:eastAsia="zh-CN"/>
                              </w:rPr>
                              <w:t>磨矿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15pt;margin-top:11.6pt;height:21.75pt;width:114.75pt;z-index:251678720;mso-width-relative:page;mso-height-relative:page;" fillcolor="#FFFFFF [3201]" filled="t" stroked="t" coordsize="21600,21600" o:gfxdata="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bx+4l1gAAAAkBAAAPAAAAAAAAAAEAIAAAACIAAABkcnMvZG93bnJldi54bWxQSwECFAAUAAAA&#10;CACHTuJAbBJmo2ICAADFBAAADgAAAAAAAAABACAAAAAlAQAAZHJzL2Uyb0RvYy54bWxQSwUGAAAA&#10;AAYABgBZAQAA+QUAAAAA&#10;">
                <v:fill on="t" focussize="0,0"/>
                <v:stroke weight="0.5pt" color="#000000 [3204]" joinstyle="round"/>
                <v:imagedata o:title=""/>
                <o:lock v:ext="edit" aspectratio="f"/>
                <v:textbox>
                  <w:txbxContent>
                    <w:p w14:paraId="6DDCD1CA">
                      <w:pPr>
                        <w:jc w:val="center"/>
                        <w:rPr>
                          <w:rFonts w:hint="default" w:eastAsia="宋体"/>
                          <w:lang w:val="en-US" w:eastAsia="zh-CN"/>
                        </w:rPr>
                      </w:pPr>
                      <w:r>
                        <w:rPr>
                          <w:rFonts w:hint="eastAsia"/>
                          <w:lang w:val="en-US" w:eastAsia="zh-CN"/>
                        </w:rPr>
                        <w:t>磨矿</w:t>
                      </w:r>
                    </w:p>
                  </w:txbxContent>
                </v:textbox>
              </v:shape>
            </w:pict>
          </mc:Fallback>
        </mc:AlternateContent>
      </w:r>
      <w:r>
        <w:rPr>
          <w:sz w:val="24"/>
        </w:rPr>
        <mc:AlternateContent>
          <mc:Choice Requires="wps">
            <w:drawing>
              <wp:anchor distT="0" distB="0" distL="114300" distR="114300" simplePos="0" relativeHeight="251686912" behindDoc="0" locked="0" layoutInCell="1" allowOverlap="1">
                <wp:simplePos x="0" y="0"/>
                <wp:positionH relativeFrom="column">
                  <wp:posOffset>618490</wp:posOffset>
                </wp:positionH>
                <wp:positionV relativeFrom="paragraph">
                  <wp:posOffset>137795</wp:posOffset>
                </wp:positionV>
                <wp:extent cx="742950" cy="29527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74295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5D98BB">
                            <w:pPr>
                              <w:jc w:val="center"/>
                              <w:rPr>
                                <w:rFonts w:hint="eastAsia" w:eastAsia="宋体"/>
                                <w:lang w:eastAsia="zh-CN"/>
                              </w:rPr>
                            </w:pPr>
                            <w:r>
                              <w:rPr>
                                <w:rFonts w:hint="eastAsia"/>
                                <w:lang w:eastAsia="zh-CN"/>
                              </w:rPr>
                              <w:t>浮选药剂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7pt;margin-top:10.85pt;height:23.25pt;width:58.5pt;z-index:251686912;mso-width-relative:page;mso-height-relative:page;" filled="f" stroked="f" coordsize="21600,21600" o:gfxdata="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FTQIzaAAAACAEAAA8AAAAAAAAAAQAgAAAAIgAAAGRycy9k&#10;b3ducmV2LnhtbFBLAQIUABQAAAAIAIdO4kBzFPmaOQIAAGcEAAAOAAAAAAAAAAEAIAAAACkBAABk&#10;cnMvZTJvRG9jLnhtbFBLBQYAAAAABgAGAFkBAADUBQAAAAA=&#10;">
                <v:fill on="f" focussize="0,0"/>
                <v:stroke on="f" weight="0.5pt"/>
                <v:imagedata o:title=""/>
                <o:lock v:ext="edit" aspectratio="f"/>
                <v:textbox>
                  <w:txbxContent>
                    <w:p w14:paraId="6C5D98BB">
                      <w:pPr>
                        <w:jc w:val="center"/>
                        <w:rPr>
                          <w:rFonts w:hint="eastAsia" w:eastAsia="宋体"/>
                          <w:lang w:eastAsia="zh-CN"/>
                        </w:rPr>
                      </w:pPr>
                      <w:r>
                        <w:rPr>
                          <w:rFonts w:hint="eastAsia"/>
                          <w:lang w:eastAsia="zh-CN"/>
                        </w:rPr>
                        <w:t>浮选药剂</w:t>
                      </w:r>
                    </w:p>
                  </w:txbxContent>
                </v:textbox>
              </v:shape>
            </w:pict>
          </mc:Fallback>
        </mc:AlternateContent>
      </w:r>
    </w:p>
    <w:p w14:paraId="2FECB98E">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68832" behindDoc="0" locked="0" layoutInCell="1" allowOverlap="1">
                <wp:simplePos x="0" y="0"/>
                <wp:positionH relativeFrom="column">
                  <wp:posOffset>1009015</wp:posOffset>
                </wp:positionH>
                <wp:positionV relativeFrom="paragraph">
                  <wp:posOffset>12065</wp:posOffset>
                </wp:positionV>
                <wp:extent cx="419100" cy="276225"/>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32522">
                            <w:pPr>
                              <w:jc w:val="center"/>
                              <w:rPr>
                                <w:rFonts w:hint="default" w:eastAsia="宋体"/>
                                <w:lang w:val="en-US" w:eastAsia="zh-CN"/>
                              </w:rPr>
                            </w:pPr>
                            <w:r>
                              <w:rPr>
                                <w:rFonts w:hint="eastAsia"/>
                                <w:lang w:val="en-US" w:eastAsia="zh-CN"/>
                              </w:rPr>
                              <w:t>S2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45pt;margin-top:0.95pt;height:21.75pt;width:33pt;z-index:251768832;mso-width-relative:page;mso-height-relative:page;" filled="f" stroked="f" coordsize="21600,21600" o:gfxdata="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YazirXAAAACAEAAA8AAAAAAAAAAQAgAAAAIgAAAGRycy9k&#10;b3ducmV2LnhtbFBLAQIUABQAAAAIAIdO4kBQ6ctVPAIAAGkEAAAOAAAAAAAAAAEAIAAAACYBAABk&#10;cnMvZTJvRG9jLnhtbFBLBQYAAAAABgAGAFkBAADUBQAAAAA=&#10;">
                <v:fill on="f" focussize="0,0"/>
                <v:stroke on="f" weight="0.5pt"/>
                <v:imagedata o:title=""/>
                <o:lock v:ext="edit" aspectratio="f"/>
                <v:textbox>
                  <w:txbxContent>
                    <w:p w14:paraId="55432522">
                      <w:pPr>
                        <w:jc w:val="center"/>
                        <w:rPr>
                          <w:rFonts w:hint="default" w:eastAsia="宋体"/>
                          <w:lang w:val="en-US" w:eastAsia="zh-CN"/>
                        </w:rPr>
                      </w:pPr>
                      <w:r>
                        <w:rPr>
                          <w:rFonts w:hint="eastAsia"/>
                          <w:lang w:val="en-US" w:eastAsia="zh-CN"/>
                        </w:rPr>
                        <w:t>S2</w:t>
                      </w:r>
                    </w:p>
                  </w:txbxContent>
                </v:textbox>
              </v:shape>
            </w:pict>
          </mc:Fallback>
        </mc:AlternateContent>
      </w:r>
      <w:r>
        <w:rPr>
          <w:sz w:val="24"/>
        </w:rPr>
        <mc:AlternateContent>
          <mc:Choice Requires="wps">
            <w:drawing>
              <wp:anchor distT="0" distB="0" distL="114300" distR="114300" simplePos="0" relativeHeight="251717632" behindDoc="0" locked="0" layoutInCell="1" allowOverlap="1">
                <wp:simplePos x="0" y="0"/>
                <wp:positionH relativeFrom="column">
                  <wp:posOffset>2504440</wp:posOffset>
                </wp:positionH>
                <wp:positionV relativeFrom="paragraph">
                  <wp:posOffset>164465</wp:posOffset>
                </wp:positionV>
                <wp:extent cx="590550" cy="276225"/>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59055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D9E2C">
                            <w:pPr>
                              <w:jc w:val="center"/>
                              <w:rPr>
                                <w:rFonts w:hint="eastAsia" w:eastAsia="宋体"/>
                                <w:lang w:eastAsia="zh-CN"/>
                              </w:rPr>
                            </w:pPr>
                            <w:r>
                              <w:rPr>
                                <w:rFonts w:hint="eastAsia"/>
                                <w:lang w:eastAsia="zh-CN"/>
                              </w:rPr>
                              <w:t>提升泵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7.2pt;margin-top:12.95pt;height:21.75pt;width:46.5pt;z-index:251717632;mso-width-relative:page;mso-height-relative:page;" filled="f" stroked="f" coordsize="21600,21600" o:gfxdata="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2zBCnbAAAACQEAAA8AAAAAAAAAAQAgAAAAIgAAAGRy&#10;cy9kb3ducmV2LnhtbFBLAQIUABQAAAAIAIdO4kBBydq+OwIAAGkEAAAOAAAAAAAAAAEAIAAAACoB&#10;AABkcnMvZTJvRG9jLnhtbFBLBQYAAAAABgAGAFkBAADXBQAAAAA=&#10;">
                <v:fill on="f" focussize="0,0"/>
                <v:stroke on="f" weight="0.5pt"/>
                <v:imagedata o:title=""/>
                <o:lock v:ext="edit" aspectratio="f"/>
                <v:textbox>
                  <w:txbxContent>
                    <w:p w14:paraId="722D9E2C">
                      <w:pPr>
                        <w:jc w:val="center"/>
                        <w:rPr>
                          <w:rFonts w:hint="eastAsia" w:eastAsia="宋体"/>
                          <w:lang w:eastAsia="zh-CN"/>
                        </w:rPr>
                      </w:pPr>
                      <w:r>
                        <w:rPr>
                          <w:rFonts w:hint="eastAsia"/>
                          <w:lang w:eastAsia="zh-CN"/>
                        </w:rPr>
                        <w:t>提升泵</w:t>
                      </w:r>
                    </w:p>
                  </w:txbxContent>
                </v:textbox>
              </v:shape>
            </w:pict>
          </mc:Fallback>
        </mc:AlternateContent>
      </w:r>
      <w:r>
        <w:rPr>
          <w:sz w:val="24"/>
        </w:rPr>
        <mc:AlternateContent>
          <mc:Choice Requires="wps">
            <w:drawing>
              <wp:anchor distT="0" distB="0" distL="114300" distR="114300" simplePos="0" relativeHeight="251685888" behindDoc="0" locked="0" layoutInCell="1" allowOverlap="1">
                <wp:simplePos x="0" y="0"/>
                <wp:positionH relativeFrom="column">
                  <wp:posOffset>951865</wp:posOffset>
                </wp:positionH>
                <wp:positionV relativeFrom="paragraph">
                  <wp:posOffset>116840</wp:posOffset>
                </wp:positionV>
                <wp:extent cx="4445" cy="409575"/>
                <wp:effectExtent l="37465" t="0" r="34290" b="9525"/>
                <wp:wrapNone/>
                <wp:docPr id="58" name="直接箭头连接符 58"/>
                <wp:cNvGraphicFramePr/>
                <a:graphic xmlns:a="http://schemas.openxmlformats.org/drawingml/2006/main">
                  <a:graphicData uri="http://schemas.microsoft.com/office/word/2010/wordprocessingShape">
                    <wps:wsp>
                      <wps:cNvCnPr/>
                      <wps:spPr>
                        <a:xfrm flipH="1">
                          <a:off x="0" y="0"/>
                          <a:ext cx="4445" cy="40957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74.95pt;margin-top:9.2pt;height:32.25pt;width:0.35pt;z-index:251685888;mso-width-relative:page;mso-height-relative:page;" filled="f" stroked="t" coordsize="21600,21600" o:gfxdata="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bQytoAAAAJAQAADwAAAAAAAAABACAAAAAiAAAA&#10;ZHJzL2Rvd25yZXYueG1sUEsBAhQAFAAAAAgAh07iQD/TNKMFAgAA2QMAAA4AAAAAAAAAAQAgAAAA&#10;KQEAAGRycy9lMm9Eb2MueG1sUEsFBgAAAAAGAAYAWQEAAKAFA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3085465</wp:posOffset>
                </wp:positionH>
                <wp:positionV relativeFrom="paragraph">
                  <wp:posOffset>135890</wp:posOffset>
                </wp:positionV>
                <wp:extent cx="4445" cy="409575"/>
                <wp:effectExtent l="37465" t="0" r="34290" b="9525"/>
                <wp:wrapNone/>
                <wp:docPr id="52" name="直接箭头连接符 52"/>
                <wp:cNvGraphicFramePr/>
                <a:graphic xmlns:a="http://schemas.openxmlformats.org/drawingml/2006/main">
                  <a:graphicData uri="http://schemas.microsoft.com/office/word/2010/wordprocessingShape">
                    <wps:wsp>
                      <wps:cNvCnPr/>
                      <wps:spPr>
                        <a:xfrm flipH="1">
                          <a:off x="3213100" y="2385695"/>
                          <a:ext cx="4445" cy="40957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2.95pt;margin-top:10.7pt;height:32.25pt;width:0.35pt;z-index:251679744;mso-width-relative:page;mso-height-relative:page;" filled="f" stroked="t" coordsize="21600,21600" o:gfxdata="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ef47NsAAAAJAQAADwAA&#10;AAAAAAABACAAAAAiAAAAZHJzL2Rvd25yZXYueG1sUEsBAhQAFAAAAAgAh07iQIvdU5UTAgAA5QMA&#10;AA4AAAAAAAAAAQAgAAAAKgEAAGRycy9lMm9Eb2MueG1sUEsFBgAAAAAGAAYAWQEAAK8FAAAAAA==&#10;">
                <v:fill on="f" focussize="0,0"/>
                <v:stroke weight="1pt" color="#000000 [3213]" joinstyle="round" endarrow="block"/>
                <v:imagedata o:title=""/>
                <o:lock v:ext="edit" aspectratio="f"/>
              </v:shape>
            </w:pict>
          </mc:Fallback>
        </mc:AlternateContent>
      </w:r>
    </w:p>
    <w:p w14:paraId="18F28DAF">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60640" behindDoc="0" locked="0" layoutInCell="1" allowOverlap="1">
                <wp:simplePos x="0" y="0"/>
                <wp:positionH relativeFrom="column">
                  <wp:posOffset>3342640</wp:posOffset>
                </wp:positionH>
                <wp:positionV relativeFrom="paragraph">
                  <wp:posOffset>105410</wp:posOffset>
                </wp:positionV>
                <wp:extent cx="419100" cy="276225"/>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72EBB1">
                            <w:pPr>
                              <w:jc w:val="center"/>
                              <w:rPr>
                                <w:rFonts w:hint="default" w:eastAsia="宋体"/>
                                <w:lang w:val="en-US" w:eastAsia="zh-CN"/>
                              </w:rPr>
                            </w:pPr>
                            <w:r>
                              <w:rPr>
                                <w:rFonts w:hint="eastAsia"/>
                                <w:lang w:val="en-US" w:eastAsia="zh-CN"/>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pt;margin-top:8.3pt;height:21.75pt;width:33pt;z-index:251760640;mso-width-relative:page;mso-height-relative:page;" filled="f" stroked="f" coordsize="21600,21600" o:gfxdata="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9aYHTZAAAACQEAAA8AAAAAAAAAAQAgAAAAIgAAAGRy&#10;cy9kb3ducmV2LnhtbFBLAQIUABQAAAAIAIdO4kAKrkbvPQIAAGkEAAAOAAAAAAAAAAEAIAAAACgB&#10;AABkcnMvZTJvRG9jLnhtbFBLBQYAAAAABgAGAFkBAADXBQAAAAA=&#10;">
                <v:fill on="f" focussize="0,0"/>
                <v:stroke on="f" weight="0.5pt"/>
                <v:imagedata o:title=""/>
                <o:lock v:ext="edit" aspectratio="f"/>
                <v:textbox>
                  <w:txbxContent>
                    <w:p w14:paraId="7C72EBB1">
                      <w:pPr>
                        <w:jc w:val="center"/>
                        <w:rPr>
                          <w:rFonts w:hint="default" w:eastAsia="宋体"/>
                          <w:lang w:val="en-US" w:eastAsia="zh-CN"/>
                        </w:rPr>
                      </w:pPr>
                      <w:r>
                        <w:rPr>
                          <w:rFonts w:hint="eastAsia"/>
                          <w:lang w:val="en-US" w:eastAsia="zh-CN"/>
                        </w:rPr>
                        <w:t>W1</w:t>
                      </w:r>
                    </w:p>
                  </w:txbxContent>
                </v:textbox>
              </v:shape>
            </w:pict>
          </mc:Fallback>
        </mc:AlternateContent>
      </w:r>
      <w:r>
        <w:rPr>
          <w:sz w:val="24"/>
        </w:rPr>
        <mc:AlternateContent>
          <mc:Choice Requires="wps">
            <w:drawing>
              <wp:anchor distT="0" distB="0" distL="114300" distR="114300" simplePos="0" relativeHeight="251750400" behindDoc="0" locked="0" layoutInCell="1" allowOverlap="1">
                <wp:simplePos x="0" y="0"/>
                <wp:positionH relativeFrom="column">
                  <wp:posOffset>3686175</wp:posOffset>
                </wp:positionH>
                <wp:positionV relativeFrom="paragraph">
                  <wp:posOffset>85725</wp:posOffset>
                </wp:positionV>
                <wp:extent cx="656590" cy="314325"/>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1B9823">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25pt;margin-top:6.75pt;height:24.75pt;width:51.7pt;z-index:251750400;mso-width-relative:page;mso-height-relative:page;" filled="f" stroked="f" coordsize="21600,21600" o:gfxdata="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ot4/aAAAACQEAAA8AAAAAAAAAAQAgAAAAIgAAAGRy&#10;cy9kb3ducmV2LnhtbFBLAQIUABQAAAAIAIdO4kBJz/4jPAIAAGkEAAAOAAAAAAAAAAEAIAAAACkB&#10;AABkcnMvZTJvRG9jLnhtbFBLBQYAAAAABgAGAFkBAADXBQAAAAA=&#10;">
                <v:fill on="f" focussize="0,0"/>
                <v:stroke on="f" weight="0.5pt"/>
                <v:imagedata o:title=""/>
                <o:lock v:ext="edit" aspectratio="f"/>
                <v:textbox>
                  <w:txbxContent>
                    <w:p w14:paraId="661B9823">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683840" behindDoc="0" locked="0" layoutInCell="1" allowOverlap="1">
                <wp:simplePos x="0" y="0"/>
                <wp:positionH relativeFrom="column">
                  <wp:posOffset>589915</wp:posOffset>
                </wp:positionH>
                <wp:positionV relativeFrom="paragraph">
                  <wp:posOffset>219710</wp:posOffset>
                </wp:positionV>
                <wp:extent cx="742950" cy="276225"/>
                <wp:effectExtent l="4445" t="4445" r="14605" b="5080"/>
                <wp:wrapNone/>
                <wp:docPr id="56" name="文本框 56"/>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2F68EC0">
                            <w:pPr>
                              <w:jc w:val="center"/>
                              <w:rPr>
                                <w:rFonts w:hint="eastAsia" w:eastAsia="宋体"/>
                                <w:lang w:eastAsia="zh-CN"/>
                              </w:rPr>
                            </w:pPr>
                            <w:r>
                              <w:rPr>
                                <w:rFonts w:hint="eastAsia"/>
                                <w:lang w:eastAsia="zh-CN"/>
                              </w:rPr>
                              <w:t>药剂罐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45pt;margin-top:17.3pt;height:21.75pt;width:58.5pt;z-index:251683840;mso-width-relative:page;mso-height-relative:page;" fillcolor="#FFFFFF [3201]" filled="t" stroked="t" coordsize="21600,21600" o:gfxdata="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rN2XHVAAAACAEA&#10;AA8AAAAAAAAAAQAgAAAAIgAAAGRycy9kb3ducmV2LnhtbFBLAQIUABQAAAAIAIdO4kABnDfLVgIA&#10;ALgEAAAOAAAAAAAAAAEAIAAAACQBAABkcnMvZTJvRG9jLnhtbFBLBQYAAAAABgAGAFkBAADsBQAA&#10;AAA=&#10;">
                <v:fill on="t" focussize="0,0"/>
                <v:stroke weight="0.5pt" color="#000000 [3204]" joinstyle="round"/>
                <v:imagedata o:title=""/>
                <o:lock v:ext="edit" aspectratio="f"/>
                <v:textbox>
                  <w:txbxContent>
                    <w:p w14:paraId="52F68EC0">
                      <w:pPr>
                        <w:jc w:val="center"/>
                        <w:rPr>
                          <w:rFonts w:hint="eastAsia" w:eastAsia="宋体"/>
                          <w:lang w:eastAsia="zh-CN"/>
                        </w:rPr>
                      </w:pPr>
                      <w:r>
                        <w:rPr>
                          <w:rFonts w:hint="eastAsia"/>
                          <w:lang w:eastAsia="zh-CN"/>
                        </w:rPr>
                        <w:t>药剂罐</w:t>
                      </w:r>
                    </w:p>
                  </w:txbxContent>
                </v:textbox>
              </v:shape>
            </w:pict>
          </mc:Fallback>
        </mc:AlternateContent>
      </w:r>
      <w:r>
        <w:rPr>
          <w:sz w:val="24"/>
        </w:rPr>
        <mc:AlternateContent>
          <mc:Choice Requires="wps">
            <w:drawing>
              <wp:anchor distT="0" distB="0" distL="114300" distR="114300" simplePos="0" relativeHeight="251688960" behindDoc="0" locked="0" layoutInCell="1" allowOverlap="1">
                <wp:simplePos x="0" y="0"/>
                <wp:positionH relativeFrom="column">
                  <wp:posOffset>1656715</wp:posOffset>
                </wp:positionH>
                <wp:positionV relativeFrom="paragraph">
                  <wp:posOffset>229235</wp:posOffset>
                </wp:positionV>
                <wp:extent cx="742950" cy="276225"/>
                <wp:effectExtent l="4445" t="4445" r="14605" b="5080"/>
                <wp:wrapNone/>
                <wp:docPr id="61" name="文本框 61"/>
                <wp:cNvGraphicFramePr/>
                <a:graphic xmlns:a="http://schemas.openxmlformats.org/drawingml/2006/main">
                  <a:graphicData uri="http://schemas.microsoft.com/office/word/2010/wordprocessingShape">
                    <wps:wsp>
                      <wps:cNvSpPr txBox="1"/>
                      <wps:spPr>
                        <a:xfrm>
                          <a:off x="0" y="0"/>
                          <a:ext cx="7429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56831C">
                            <w:pPr>
                              <w:jc w:val="center"/>
                              <w:rPr>
                                <w:rFonts w:hint="eastAsia" w:eastAsia="宋体"/>
                                <w:lang w:eastAsia="zh-CN"/>
                              </w:rPr>
                            </w:pPr>
                            <w:r>
                              <w:rPr>
                                <w:rFonts w:hint="eastAsia"/>
                                <w:lang w:eastAsia="zh-CN"/>
                              </w:rPr>
                              <w:t>加药泵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0.45pt;margin-top:18.05pt;height:21.75pt;width:58.5pt;z-index:251688960;mso-width-relative:page;mso-height-relative:page;" fillcolor="#FFFFFF [3201]" filled="t" stroked="t" coordsize="21600,21600" o:gfxdata="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0Mg7WAAAACQEA&#10;AA8AAAAAAAAAAQAgAAAAIgAAAGRycy9kb3ducmV2LnhtbFBLAQIUABQAAAAIAIdO4kB1VWzrVQIA&#10;ALgEAAAOAAAAAAAAAAEAIAAAACUBAABkcnMvZTJvRG9jLnhtbFBLBQYAAAAABgAGAFkBAADsBQAA&#10;AAA=&#10;">
                <v:fill on="t" focussize="0,0"/>
                <v:stroke weight="0.5pt" color="#000000 [3204]" joinstyle="round"/>
                <v:imagedata o:title=""/>
                <o:lock v:ext="edit" aspectratio="f"/>
                <v:textbox>
                  <w:txbxContent>
                    <w:p w14:paraId="3C56831C">
                      <w:pPr>
                        <w:jc w:val="center"/>
                        <w:rPr>
                          <w:rFonts w:hint="eastAsia" w:eastAsia="宋体"/>
                          <w:lang w:eastAsia="zh-CN"/>
                        </w:rPr>
                      </w:pPr>
                      <w:r>
                        <w:rPr>
                          <w:rFonts w:hint="eastAsia"/>
                          <w:lang w:eastAsia="zh-CN"/>
                        </w:rPr>
                        <w:t>加药泵</w:t>
                      </w:r>
                    </w:p>
                  </w:txbxContent>
                </v:textbox>
              </v:shape>
            </w:pict>
          </mc:Fallback>
        </mc:AlternateContent>
      </w:r>
      <w:r>
        <w:rPr>
          <w:sz w:val="24"/>
        </w:rPr>
        <mc:AlternateContent>
          <mc:Choice Requires="wps">
            <w:drawing>
              <wp:anchor distT="0" distB="0" distL="114300" distR="114300" simplePos="0" relativeHeight="251680768" behindDoc="0" locked="0" layoutInCell="1" allowOverlap="1">
                <wp:simplePos x="0" y="0"/>
                <wp:positionH relativeFrom="column">
                  <wp:posOffset>2723515</wp:posOffset>
                </wp:positionH>
                <wp:positionV relativeFrom="paragraph">
                  <wp:posOffset>238760</wp:posOffset>
                </wp:positionV>
                <wp:extent cx="742950" cy="266700"/>
                <wp:effectExtent l="4445" t="4445" r="14605" b="14605"/>
                <wp:wrapNone/>
                <wp:docPr id="53" name="文本框 53"/>
                <wp:cNvGraphicFramePr/>
                <a:graphic xmlns:a="http://schemas.openxmlformats.org/drawingml/2006/main">
                  <a:graphicData uri="http://schemas.microsoft.com/office/word/2010/wordprocessingShape">
                    <wps:wsp>
                      <wps:cNvSpPr txBox="1"/>
                      <wps:spPr>
                        <a:xfrm>
                          <a:off x="0" y="0"/>
                          <a:ext cx="74295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C190396">
                            <w:pPr>
                              <w:jc w:val="center"/>
                              <w:rPr>
                                <w:rFonts w:hint="eastAsia" w:eastAsia="宋体"/>
                                <w:lang w:eastAsia="zh-CN"/>
                              </w:rPr>
                            </w:pPr>
                            <w:r>
                              <w:rPr>
                                <w:rFonts w:hint="eastAsia"/>
                                <w:lang w:eastAsia="zh-CN"/>
                              </w:rPr>
                              <w:t>粗选浮选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45pt;margin-top:18.8pt;height:21pt;width:58.5pt;z-index:251680768;mso-width-relative:page;mso-height-relative:page;" fillcolor="#FFFFFF [3201]" filled="t" stroked="t" coordsize="21600,21600" o:gfxdata="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qh+FadcA&#10;AAAJAQAADwAAAAAAAAABACAAAAAiAAAAZHJzL2Rvd25yZXYueG1sUEsBAhQAFAAAAAgAh07iQBaH&#10;eyJZAgAAuAQAAA4AAAAAAAAAAQAgAAAAJgEAAGRycy9lMm9Eb2MueG1sUEsFBgAAAAAGAAYAWQEA&#10;APEFAAAAAA==&#10;">
                <v:fill on="t" focussize="0,0"/>
                <v:stroke weight="0.5pt" color="#000000 [3204]" joinstyle="round"/>
                <v:imagedata o:title=""/>
                <o:lock v:ext="edit" aspectratio="f"/>
                <v:textbox>
                  <w:txbxContent>
                    <w:p w14:paraId="0C190396">
                      <w:pPr>
                        <w:jc w:val="center"/>
                        <w:rPr>
                          <w:rFonts w:hint="eastAsia" w:eastAsia="宋体"/>
                          <w:lang w:eastAsia="zh-CN"/>
                        </w:rPr>
                      </w:pPr>
                      <w:r>
                        <w:rPr>
                          <w:rFonts w:hint="eastAsia"/>
                          <w:lang w:eastAsia="zh-CN"/>
                        </w:rPr>
                        <w:t>粗选浮选</w:t>
                      </w:r>
                    </w:p>
                  </w:txbxContent>
                </v:textbox>
              </v:shape>
            </w:pict>
          </mc:Fallback>
        </mc:AlternateContent>
      </w:r>
      <w:r>
        <w:rPr>
          <w:sz w:val="24"/>
        </w:rPr>
        <mc:AlternateContent>
          <mc:Choice Requires="wps">
            <w:drawing>
              <wp:anchor distT="0" distB="0" distL="114300" distR="114300" simplePos="0" relativeHeight="251687936" behindDoc="0" locked="0" layoutInCell="1" allowOverlap="1">
                <wp:simplePos x="0" y="0"/>
                <wp:positionH relativeFrom="column">
                  <wp:posOffset>-162560</wp:posOffset>
                </wp:positionH>
                <wp:positionV relativeFrom="paragraph">
                  <wp:posOffset>219710</wp:posOffset>
                </wp:positionV>
                <wp:extent cx="361950" cy="25717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C239E7">
                            <w:pPr>
                              <w:jc w:val="center"/>
                              <w:rPr>
                                <w:rFonts w:hint="eastAsia" w:eastAsia="宋体"/>
                                <w:lang w:eastAsia="zh-CN"/>
                              </w:rPr>
                            </w:pPr>
                            <w:r>
                              <w:rPr>
                                <w:rFonts w:hint="eastAsia"/>
                                <w:lang w:eastAsia="zh-CN"/>
                              </w:rPr>
                              <w:t>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pt;margin-top:17.3pt;height:20.25pt;width:28.5pt;z-index:251687936;mso-width-relative:page;mso-height-relative:page;" filled="f" stroked="f" coordsize="21600,21600" o:gfxdata="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uQG32wAAAAgBAAAPAAAAAAAAAAEAIAAAACIAAABkcnMv&#10;ZG93bnJldi54bWxQSwECFAAUAAAACACHTuJAamGCAzkCAABnBAAADgAAAAAAAAABACAAAAAqAQAA&#10;ZHJzL2Uyb0RvYy54bWxQSwUGAAAAAAYABgBZAQAA1QUAAAAA&#10;">
                <v:fill on="f" focussize="0,0"/>
                <v:stroke on="f" weight="0.5pt"/>
                <v:imagedata o:title=""/>
                <o:lock v:ext="edit" aspectratio="f"/>
                <v:textbox>
                  <w:txbxContent>
                    <w:p w14:paraId="69C239E7">
                      <w:pPr>
                        <w:jc w:val="center"/>
                        <w:rPr>
                          <w:rFonts w:hint="eastAsia" w:eastAsia="宋体"/>
                          <w:lang w:eastAsia="zh-CN"/>
                        </w:rPr>
                      </w:pPr>
                      <w:r>
                        <w:rPr>
                          <w:rFonts w:hint="eastAsia"/>
                          <w:lang w:eastAsia="zh-CN"/>
                        </w:rPr>
                        <w:t>水</w:t>
                      </w:r>
                    </w:p>
                  </w:txbxContent>
                </v:textbox>
              </v:shape>
            </w:pict>
          </mc:Fallback>
        </mc:AlternateContent>
      </w:r>
    </w:p>
    <w:p w14:paraId="55052D6C">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57568" behindDoc="0" locked="0" layoutInCell="1" allowOverlap="1">
                <wp:simplePos x="0" y="0"/>
                <wp:positionH relativeFrom="column">
                  <wp:posOffset>2132965</wp:posOffset>
                </wp:positionH>
                <wp:positionV relativeFrom="paragraph">
                  <wp:posOffset>141605</wp:posOffset>
                </wp:positionV>
                <wp:extent cx="371475" cy="27622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8AABFE">
                            <w:pPr>
                              <w:jc w:val="center"/>
                              <w:rPr>
                                <w:rFonts w:hint="default" w:eastAsia="宋体"/>
                                <w:lang w:val="en-US" w:eastAsia="zh-CN"/>
                              </w:rPr>
                            </w:pPr>
                            <w:r>
                              <w:rPr>
                                <w:rFonts w:hint="eastAsia"/>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95pt;margin-top:11.15pt;height:21.75pt;width:29.25pt;z-index:251757568;mso-width-relative:page;mso-height-relative:page;" filled="f" stroked="f" coordsize="21600,21600" o:gfxdata="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00RZ9sAAAAJAQAADwAAAAAAAAABACAAAAAiAAAA&#10;ZHJzL2Rvd25yZXYueG1sUEsBAhQAFAAAAAgAh07iQIVNR7s9AgAAaQQAAA4AAAAAAAAAAQAgAAAA&#10;KgEAAGRycy9lMm9Eb2MueG1sUEsFBgAAAAAGAAYAWQEAANkFAAAAAA==&#10;">
                <v:fill on="f" focussize="0,0"/>
                <v:stroke on="f" weight="0.5pt"/>
                <v:imagedata o:title=""/>
                <o:lock v:ext="edit" aspectratio="f"/>
                <v:textbox>
                  <w:txbxContent>
                    <w:p w14:paraId="648AABFE">
                      <w:pPr>
                        <w:jc w:val="center"/>
                        <w:rPr>
                          <w:rFonts w:hint="default" w:eastAsia="宋体"/>
                          <w:lang w:val="en-US" w:eastAsia="zh-CN"/>
                        </w:rPr>
                      </w:pPr>
                      <w:r>
                        <w:rPr>
                          <w:rFonts w:hint="eastAsia"/>
                          <w:lang w:val="en-US" w:eastAsia="zh-CN"/>
                        </w:rPr>
                        <w:t>N1</w:t>
                      </w:r>
                    </w:p>
                  </w:txbxContent>
                </v:textbox>
              </v:shape>
            </w:pict>
          </mc:Fallback>
        </mc:AlternateContent>
      </w:r>
      <w:r>
        <w:rPr>
          <w:sz w:val="24"/>
        </w:rPr>
        <mc:AlternateContent>
          <mc:Choice Requires="wps">
            <w:drawing>
              <wp:anchor distT="0" distB="0" distL="114300" distR="114300" simplePos="0" relativeHeight="251715584" behindDoc="0" locked="0" layoutInCell="1" allowOverlap="1">
                <wp:simplePos x="0" y="0"/>
                <wp:positionH relativeFrom="column">
                  <wp:posOffset>3475355</wp:posOffset>
                </wp:positionH>
                <wp:positionV relativeFrom="paragraph">
                  <wp:posOffset>73660</wp:posOffset>
                </wp:positionV>
                <wp:extent cx="1081405" cy="1270"/>
                <wp:effectExtent l="0" t="38100" r="4445" b="36830"/>
                <wp:wrapNone/>
                <wp:docPr id="150" name="直接箭头连接符 150"/>
                <wp:cNvGraphicFramePr/>
                <a:graphic xmlns:a="http://schemas.openxmlformats.org/drawingml/2006/main">
                  <a:graphicData uri="http://schemas.microsoft.com/office/word/2010/wordprocessingShape">
                    <wps:wsp>
                      <wps:cNvCnPr/>
                      <wps:spPr>
                        <a:xfrm flipV="1">
                          <a:off x="0" y="0"/>
                          <a:ext cx="1081405" cy="127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3.65pt;margin-top:5.8pt;height:0.1pt;width:85.15pt;z-index:251715584;mso-width-relative:page;mso-height-relative:page;" filled="f" stroked="t" coordsize="21600,21600" o:gfxdata="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PuhMzaAAAACQEAAA8AAAAAAAAAAQAgAAAAIgAAAGRy&#10;cy9kb3ducmV2LnhtbFBLAQIUABQAAAAIAIdO4kBuHwFCAwIAANsDAAAOAAAAAAAAAAEAIAAAACkB&#10;AABkcnMvZTJvRG9jLnhtbFBLBQYAAAAABgAGAFkBAACeBQ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175260</wp:posOffset>
                </wp:positionH>
                <wp:positionV relativeFrom="paragraph">
                  <wp:posOffset>65405</wp:posOffset>
                </wp:positionV>
                <wp:extent cx="428625" cy="0"/>
                <wp:effectExtent l="0" t="38100" r="9525" b="38100"/>
                <wp:wrapNone/>
                <wp:docPr id="57" name="直接箭头连接符 57"/>
                <wp:cNvGraphicFramePr/>
                <a:graphic xmlns:a="http://schemas.openxmlformats.org/drawingml/2006/main">
                  <a:graphicData uri="http://schemas.microsoft.com/office/word/2010/wordprocessingShape">
                    <wps:wsp>
                      <wps:cNvCnPr/>
                      <wps:spPr>
                        <a:xfrm>
                          <a:off x="0" y="0"/>
                          <a:ext cx="428625" cy="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3.8pt;margin-top:5.15pt;height:0pt;width:33.75pt;z-index:251684864;mso-width-relative:page;mso-height-relative:page;" filled="f" stroked="t" coordsize="21600,21600" o:gfxdata="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hwGw90gAAAAcBAAAPAAAAAAAAAAEAIAAAACIAAABkcnMvZG93bnJldi54bWxQSwEC&#10;FAAUAAAACACHTuJAuoMs5PoBAADMAwAADgAAAAAAAAABACAAAAAhAQAAZHJzL2Uyb0RvYy54bWxQ&#10;SwUGAAAAAAYABgBZAQAAjQ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3094990</wp:posOffset>
                </wp:positionH>
                <wp:positionV relativeFrom="paragraph">
                  <wp:posOffset>217805</wp:posOffset>
                </wp:positionV>
                <wp:extent cx="0" cy="514350"/>
                <wp:effectExtent l="38100" t="0" r="38100" b="0"/>
                <wp:wrapNone/>
                <wp:docPr id="54" name="直接箭头连接符 54"/>
                <wp:cNvGraphicFramePr/>
                <a:graphic xmlns:a="http://schemas.openxmlformats.org/drawingml/2006/main">
                  <a:graphicData uri="http://schemas.microsoft.com/office/word/2010/wordprocessingShape">
                    <wps:wsp>
                      <wps:cNvCnPr/>
                      <wps:spPr>
                        <a:xfrm>
                          <a:off x="0" y="0"/>
                          <a:ext cx="0" cy="51435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3.7pt;margin-top:17.15pt;height:40.5pt;width:0pt;z-index:251681792;mso-width-relative:page;mso-height-relative:page;" filled="f" stroked="t" coordsize="21600,21600" o:gfxdata="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foC1gAAAAoBAAAPAAAAAAAAAAEAIAAAACIAAABkcnMvZG93bnJldi54bWxQ&#10;SwECFAAUAAAACACHTuJAxl2SM/kBAADMAwAADgAAAAAAAAABACAAAAAlAQAAZHJzL2Uyb0RvYy54&#10;bWxQSwUGAAAAAAYABgBZAQAAkA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93056" behindDoc="0" locked="0" layoutInCell="1" allowOverlap="1">
                <wp:simplePos x="0" y="0"/>
                <wp:positionH relativeFrom="column">
                  <wp:posOffset>3514090</wp:posOffset>
                </wp:positionH>
                <wp:positionV relativeFrom="paragraph">
                  <wp:posOffset>151130</wp:posOffset>
                </wp:positionV>
                <wp:extent cx="361950" cy="25717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361950"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C289D5">
                            <w:pPr>
                              <w:jc w:val="center"/>
                              <w:rPr>
                                <w:rFonts w:hint="eastAsia" w:eastAsia="宋体"/>
                                <w:lang w:eastAsia="zh-CN"/>
                              </w:rPr>
                            </w:pPr>
                            <w:r>
                              <w:rPr>
                                <w:rFonts w:hint="eastAsia"/>
                                <w:lang w:eastAsia="zh-CN"/>
                              </w:rPr>
                              <w:t>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7pt;margin-top:11.9pt;height:20.25pt;width:28.5pt;z-index:251693056;mso-width-relative:page;mso-height-relative:page;" filled="f" stroked="f" coordsize="21600,21600" o:gfxdata="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te1UWdoAAAAJAQAADwAAAAAAAAABACAAAAAiAAAAZHJz&#10;L2Rvd25yZXYueG1sUEsBAhQAFAAAAAgAh07iQNrvrv47AgAAZwQAAA4AAAAAAAAAAQAgAAAAKQEA&#10;AGRycy9lMm9Eb2MueG1sUEsFBgAAAAAGAAYAWQEAANYFAAAAAA==&#10;">
                <v:fill on="f" focussize="0,0"/>
                <v:stroke on="f" weight="0.5pt"/>
                <v:imagedata o:title=""/>
                <o:lock v:ext="edit" aspectratio="f"/>
                <v:textbox>
                  <w:txbxContent>
                    <w:p w14:paraId="5AC289D5">
                      <w:pPr>
                        <w:jc w:val="center"/>
                        <w:rPr>
                          <w:rFonts w:hint="eastAsia" w:eastAsia="宋体"/>
                          <w:lang w:eastAsia="zh-CN"/>
                        </w:rPr>
                      </w:pPr>
                      <w:r>
                        <w:rPr>
                          <w:rFonts w:hint="eastAsia"/>
                          <w:lang w:eastAsia="zh-CN"/>
                        </w:rPr>
                        <w:t>风</w:t>
                      </w:r>
                    </w:p>
                  </w:txbxContent>
                </v:textbox>
              </v:shape>
            </w:pict>
          </mc:Fallback>
        </mc:AlternateContent>
      </w:r>
      <w:r>
        <w:rPr>
          <w:sz w:val="24"/>
        </w:rPr>
        <mc:AlternateContent>
          <mc:Choice Requires="wps">
            <w:drawing>
              <wp:anchor distT="0" distB="0" distL="114300" distR="114300" simplePos="0" relativeHeight="251691008" behindDoc="0" locked="0" layoutInCell="1" allowOverlap="1">
                <wp:simplePos x="0" y="0"/>
                <wp:positionH relativeFrom="column">
                  <wp:posOffset>3380740</wp:posOffset>
                </wp:positionH>
                <wp:positionV relativeFrom="paragraph">
                  <wp:posOffset>217805</wp:posOffset>
                </wp:positionV>
                <wp:extent cx="323850" cy="257175"/>
                <wp:effectExtent l="0" t="0" r="19050" b="9525"/>
                <wp:wrapNone/>
                <wp:docPr id="63" name="直接箭头连接符 63"/>
                <wp:cNvGraphicFramePr/>
                <a:graphic xmlns:a="http://schemas.openxmlformats.org/drawingml/2006/main">
                  <a:graphicData uri="http://schemas.microsoft.com/office/word/2010/wordprocessingShape">
                    <wps:wsp>
                      <wps:cNvCnPr/>
                      <wps:spPr>
                        <a:xfrm flipH="1" flipV="1">
                          <a:off x="0" y="0"/>
                          <a:ext cx="323850" cy="25717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66.2pt;margin-top:17.15pt;height:20.25pt;width:25.5pt;z-index:251691008;mso-width-relative:page;mso-height-relative:page;" filled="f" stroked="t" coordsize="21600,21600" o:gfxdata="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P/lDvYAAAACQEAAA8AAAAAAAAAAQAgAAAA&#10;IgAAAGRycy9kb3ducmV2LnhtbFBLAQIUABQAAAAIAIdO4kC+4DwqCwIAAOUDAAAOAAAAAAAAAAEA&#10;IAAAACcBAABkcnMvZTJvRG9jLnhtbFBLBQYAAAAABgAGAFkBAACkBQ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9984" behindDoc="0" locked="0" layoutInCell="1" allowOverlap="1">
                <wp:simplePos x="0" y="0"/>
                <wp:positionH relativeFrom="column">
                  <wp:posOffset>2404110</wp:posOffset>
                </wp:positionH>
                <wp:positionV relativeFrom="paragraph">
                  <wp:posOffset>84455</wp:posOffset>
                </wp:positionV>
                <wp:extent cx="314325" cy="0"/>
                <wp:effectExtent l="0" t="38100" r="9525" b="38100"/>
                <wp:wrapNone/>
                <wp:docPr id="62" name="直接箭头连接符 62"/>
                <wp:cNvGraphicFramePr/>
                <a:graphic xmlns:a="http://schemas.openxmlformats.org/drawingml/2006/main">
                  <a:graphicData uri="http://schemas.microsoft.com/office/word/2010/wordprocessingShape">
                    <wps:wsp>
                      <wps:cNvCnPr/>
                      <wps:spPr>
                        <a:xfrm>
                          <a:off x="0" y="0"/>
                          <a:ext cx="314325" cy="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89.3pt;margin-top:6.65pt;height:0pt;width:24.75pt;z-index:251689984;mso-width-relative:page;mso-height-relative:page;" filled="f" stroked="t" coordsize="21600,21600" o:gfxdata="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eu5dYAAAAJAQAADwAAAAAAAAABACAAAAAiAAAAZHJzL2Rvd25yZXYueG1s&#10;UEsBAhQAFAAAAAgAh07iQGmpsH/6AQAAzAMAAA4AAAAAAAAAAQAgAAAAJQEAAGRycy9lMm9Eb2Mu&#10;eG1sUEsFBgAAAAAGAAYAWQEAAJEFA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682816" behindDoc="0" locked="0" layoutInCell="1" allowOverlap="1">
                <wp:simplePos x="0" y="0"/>
                <wp:positionH relativeFrom="column">
                  <wp:posOffset>1337310</wp:posOffset>
                </wp:positionH>
                <wp:positionV relativeFrom="paragraph">
                  <wp:posOffset>74930</wp:posOffset>
                </wp:positionV>
                <wp:extent cx="314325" cy="0"/>
                <wp:effectExtent l="0" t="38100" r="9525" b="38100"/>
                <wp:wrapNone/>
                <wp:docPr id="55" name="直接箭头连接符 55"/>
                <wp:cNvGraphicFramePr/>
                <a:graphic xmlns:a="http://schemas.openxmlformats.org/drawingml/2006/main">
                  <a:graphicData uri="http://schemas.microsoft.com/office/word/2010/wordprocessingShape">
                    <wps:wsp>
                      <wps:cNvCnPr/>
                      <wps:spPr>
                        <a:xfrm>
                          <a:off x="0" y="0"/>
                          <a:ext cx="314325" cy="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05.3pt;margin-top:5.9pt;height:0pt;width:24.75pt;z-index:251682816;mso-width-relative:page;mso-height-relative:page;" filled="f" stroked="t" coordsize="21600,21600" o:gfxdata="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1C2eNtMAAAAJAQAADwAAAAAAAAABACAAAAAiAAAAZHJzL2Rvd25yZXYueG1sUEsB&#10;AhQAFAAAAAgAh07iQAc8tWb6AQAAzAMAAA4AAAAAAAAAAQAgAAAAIgEAAGRycy9lMm9Eb2MueG1s&#10;UEsFBgAAAAAGAAYAWQEAAI4FAAAAAA==&#10;">
                <v:fill on="f" focussize="0,0"/>
                <v:stroke weight="1pt" color="#000000 [3213]" joinstyle="round" endarrow="block"/>
                <v:imagedata o:title=""/>
                <o:lock v:ext="edit" aspectratio="f"/>
              </v:shape>
            </w:pict>
          </mc:Fallback>
        </mc:AlternateContent>
      </w:r>
    </w:p>
    <w:p w14:paraId="6B1D0B18">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47328" behindDoc="0" locked="0" layoutInCell="1" allowOverlap="1">
                <wp:simplePos x="0" y="0"/>
                <wp:positionH relativeFrom="column">
                  <wp:posOffset>6334125</wp:posOffset>
                </wp:positionH>
                <wp:positionV relativeFrom="paragraph">
                  <wp:posOffset>120650</wp:posOffset>
                </wp:positionV>
                <wp:extent cx="1054735" cy="475615"/>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054735" cy="4756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F3202A">
                            <w:pPr>
                              <w:jc w:val="center"/>
                              <w:rPr>
                                <w:rFonts w:hint="eastAsia"/>
                                <w:color w:val="FF0000"/>
                                <w:lang w:eastAsia="zh-CN"/>
                              </w:rPr>
                            </w:pPr>
                            <w:r>
                              <w:rPr>
                                <w:rFonts w:hint="eastAsia"/>
                                <w:color w:val="FF0000"/>
                                <w:lang w:eastAsia="zh-CN"/>
                              </w:rPr>
                              <w:t>依托</w:t>
                            </w:r>
                            <w:r>
                              <w:rPr>
                                <w:rFonts w:hint="eastAsia"/>
                                <w:color w:val="FF0000"/>
                                <w:lang w:val="en-US" w:eastAsia="zh-CN"/>
                              </w:rPr>
                              <w:t>现有</w:t>
                            </w:r>
                          </w:p>
                          <w:p w14:paraId="0F857460">
                            <w:pPr>
                              <w:jc w:val="center"/>
                              <w:rPr>
                                <w:rFonts w:hint="eastAsia" w:eastAsia="宋体"/>
                                <w:color w:val="FF0000"/>
                                <w:lang w:eastAsia="zh-CN"/>
                              </w:rPr>
                            </w:pPr>
                            <w:r>
                              <w:rPr>
                                <w:rFonts w:hint="eastAsia"/>
                                <w:color w:val="FF0000"/>
                                <w:lang w:eastAsia="zh-CN"/>
                              </w:rPr>
                              <w:t>尾矿干排系统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8.75pt;margin-top:9.5pt;height:37.45pt;width:83.05pt;z-index:251747328;mso-width-relative:page;mso-height-relative:page;" filled="f" stroked="f" coordsize="21600,21600" o:gfxdata="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5Lont2gAAAAoBAAAPAAAAAAAAAAEAIAAAACIAAABk&#10;cnMvZG93bnJldi54bWxQSwECFAAUAAAACACHTuJAnNCIPz0CAABoBAAADgAAAAAAAAABACAAAAAp&#10;AQAAZHJzL2Uyb0RvYy54bWxQSwUGAAAAAAYABgBZAQAA2AUAAAAA&#10;">
                <v:fill on="f" focussize="0,0"/>
                <v:stroke on="f" weight="0.5pt"/>
                <v:imagedata o:title=""/>
                <o:lock v:ext="edit" aspectratio="f"/>
                <v:textbox>
                  <w:txbxContent>
                    <w:p w14:paraId="32F3202A">
                      <w:pPr>
                        <w:jc w:val="center"/>
                        <w:rPr>
                          <w:rFonts w:hint="eastAsia"/>
                          <w:color w:val="FF0000"/>
                          <w:lang w:eastAsia="zh-CN"/>
                        </w:rPr>
                      </w:pPr>
                      <w:r>
                        <w:rPr>
                          <w:rFonts w:hint="eastAsia"/>
                          <w:color w:val="FF0000"/>
                          <w:lang w:eastAsia="zh-CN"/>
                        </w:rPr>
                        <w:t>依托</w:t>
                      </w:r>
                      <w:r>
                        <w:rPr>
                          <w:rFonts w:hint="eastAsia"/>
                          <w:color w:val="FF0000"/>
                          <w:lang w:val="en-US" w:eastAsia="zh-CN"/>
                        </w:rPr>
                        <w:t>现有</w:t>
                      </w:r>
                    </w:p>
                    <w:p w14:paraId="0F857460">
                      <w:pPr>
                        <w:jc w:val="center"/>
                        <w:rPr>
                          <w:rFonts w:hint="eastAsia" w:eastAsia="宋体"/>
                          <w:color w:val="FF0000"/>
                          <w:lang w:eastAsia="zh-CN"/>
                        </w:rPr>
                      </w:pPr>
                      <w:r>
                        <w:rPr>
                          <w:rFonts w:hint="eastAsia"/>
                          <w:color w:val="FF0000"/>
                          <w:lang w:eastAsia="zh-CN"/>
                        </w:rPr>
                        <w:t>尾矿干排系统</w:t>
                      </w:r>
                    </w:p>
                  </w:txbxContent>
                </v:textbox>
              </v:shape>
            </w:pict>
          </mc:Fallback>
        </mc:AlternateContent>
      </w:r>
      <w:r>
        <w:rPr>
          <w:sz w:val="24"/>
        </w:rPr>
        <mc:AlternateContent>
          <mc:Choice Requires="wps">
            <w:drawing>
              <wp:anchor distT="0" distB="0" distL="114300" distR="114300" simplePos="0" relativeHeight="251692032" behindDoc="0" locked="0" layoutInCell="1" allowOverlap="1">
                <wp:simplePos x="0" y="0"/>
                <wp:positionH relativeFrom="column">
                  <wp:posOffset>3637915</wp:posOffset>
                </wp:positionH>
                <wp:positionV relativeFrom="paragraph">
                  <wp:posOffset>168275</wp:posOffset>
                </wp:positionV>
                <wp:extent cx="742950" cy="266700"/>
                <wp:effectExtent l="4445" t="4445" r="14605" b="14605"/>
                <wp:wrapNone/>
                <wp:docPr id="64" name="文本框 64"/>
                <wp:cNvGraphicFramePr/>
                <a:graphic xmlns:a="http://schemas.openxmlformats.org/drawingml/2006/main">
                  <a:graphicData uri="http://schemas.microsoft.com/office/word/2010/wordprocessingShape">
                    <wps:wsp>
                      <wps:cNvSpPr txBox="1"/>
                      <wps:spPr>
                        <a:xfrm>
                          <a:off x="0" y="0"/>
                          <a:ext cx="74295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5FB634">
                            <w:pPr>
                              <w:jc w:val="center"/>
                              <w:rPr>
                                <w:rFonts w:hint="eastAsia" w:eastAsia="宋体"/>
                                <w:lang w:eastAsia="zh-CN"/>
                              </w:rPr>
                            </w:pPr>
                            <w:r>
                              <w:rPr>
                                <w:rFonts w:hint="eastAsia"/>
                                <w:lang w:eastAsia="zh-CN"/>
                              </w:rPr>
                              <w:t>鼓风机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45pt;margin-top:13.25pt;height:21pt;width:58.5pt;z-index:251692032;mso-width-relative:page;mso-height-relative:page;" fillcolor="#FFFFFF [3201]" filled="t" stroked="t" coordsize="21600,21600" o:gfxdata="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rRwV3WAAAA&#10;CQEAAA8AAAAAAAAAAQAgAAAAIgAAAGRycy9kb3ducmV2LnhtbFBLAQIUABQAAAAIAIdO4kBiTiAC&#10;WAIAALgEAAAOAAAAAAAAAAEAIAAAACUBAABkcnMvZTJvRG9jLnhtbFBLBQYAAAAABgAGAFkBAADv&#10;BQAAAAA=&#10;">
                <v:fill on="t" focussize="0,0"/>
                <v:stroke weight="0.5pt" color="#000000 [3204]" joinstyle="round"/>
                <v:imagedata o:title=""/>
                <o:lock v:ext="edit" aspectratio="f"/>
                <v:textbox>
                  <w:txbxContent>
                    <w:p w14:paraId="725FB634">
                      <w:pPr>
                        <w:jc w:val="center"/>
                        <w:rPr>
                          <w:rFonts w:hint="eastAsia" w:eastAsia="宋体"/>
                          <w:lang w:eastAsia="zh-CN"/>
                        </w:rPr>
                      </w:pPr>
                      <w:r>
                        <w:rPr>
                          <w:rFonts w:hint="eastAsia"/>
                          <w:lang w:eastAsia="zh-CN"/>
                        </w:rPr>
                        <w:t>鼓风机</w:t>
                      </w:r>
                    </w:p>
                  </w:txbxContent>
                </v:textbox>
              </v:shape>
            </w:pict>
          </mc:Fallback>
        </mc:AlternateContent>
      </w:r>
    </w:p>
    <w:p w14:paraId="6D0B03D2">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59616" behindDoc="0" locked="0" layoutInCell="1" allowOverlap="1">
                <wp:simplePos x="0" y="0"/>
                <wp:positionH relativeFrom="column">
                  <wp:posOffset>4171315</wp:posOffset>
                </wp:positionH>
                <wp:positionV relativeFrom="paragraph">
                  <wp:posOffset>80645</wp:posOffset>
                </wp:positionV>
                <wp:extent cx="371475" cy="276225"/>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37863">
                            <w:pPr>
                              <w:jc w:val="center"/>
                              <w:rPr>
                                <w:rFonts w:hint="default" w:eastAsia="宋体"/>
                                <w:lang w:val="en-US" w:eastAsia="zh-CN"/>
                              </w:rPr>
                            </w:pPr>
                            <w:r>
                              <w:rPr>
                                <w:rFonts w:hint="eastAsia"/>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45pt;margin-top:6.35pt;height:21.75pt;width:29.25pt;z-index:251759616;mso-width-relative:page;mso-height-relative:page;" filled="f" stroked="f" coordsize="21600,21600" o:gfxdata="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3QCFtsAAAAJAQAADwAAAAAAAAABACAAAAAiAAAA&#10;ZHJzL2Rvd25yZXYueG1sUEsBAhQAFAAAAAgAh07iQKtsFw89AgAAaQQAAA4AAAAAAAAAAQAgAAAA&#10;KgEAAGRycy9lMm9Eb2MueG1sUEsFBgAAAAAGAAYAWQEAANkFAAAAAA==&#10;">
                <v:fill on="f" focussize="0,0"/>
                <v:stroke on="f" weight="0.5pt"/>
                <v:imagedata o:title=""/>
                <o:lock v:ext="edit" aspectratio="f"/>
                <v:textbox>
                  <w:txbxContent>
                    <w:p w14:paraId="0DE37863">
                      <w:pPr>
                        <w:jc w:val="center"/>
                        <w:rPr>
                          <w:rFonts w:hint="default" w:eastAsia="宋体"/>
                          <w:lang w:val="en-US" w:eastAsia="zh-CN"/>
                        </w:rPr>
                      </w:pPr>
                      <w:r>
                        <w:rPr>
                          <w:rFonts w:hint="eastAsia"/>
                          <w:lang w:val="en-US" w:eastAsia="zh-CN"/>
                        </w:rPr>
                        <w:t>N2</w:t>
                      </w:r>
                    </w:p>
                  </w:txbxContent>
                </v:textbox>
              </v:shape>
            </w:pict>
          </mc:Fallback>
        </mc:AlternateContent>
      </w:r>
      <w:r>
        <w:rPr>
          <w:sz w:val="24"/>
        </w:rPr>
        <mc:AlternateContent>
          <mc:Choice Requires="wps">
            <w:drawing>
              <wp:anchor distT="0" distB="0" distL="114300" distR="114300" simplePos="0" relativeHeight="251756544" behindDoc="0" locked="0" layoutInCell="1" allowOverlap="1">
                <wp:simplePos x="0" y="0"/>
                <wp:positionH relativeFrom="column">
                  <wp:posOffset>4612005</wp:posOffset>
                </wp:positionH>
                <wp:positionV relativeFrom="paragraph">
                  <wp:posOffset>287020</wp:posOffset>
                </wp:positionV>
                <wp:extent cx="4391025" cy="3362325"/>
                <wp:effectExtent l="4445" t="4445" r="5080" b="5080"/>
                <wp:wrapNone/>
                <wp:docPr id="161" name="矩形 161"/>
                <wp:cNvGraphicFramePr/>
                <a:graphic xmlns:a="http://schemas.openxmlformats.org/drawingml/2006/main">
                  <a:graphicData uri="http://schemas.microsoft.com/office/word/2010/wordprocessingShape">
                    <wps:wsp>
                      <wps:cNvSpPr/>
                      <wps:spPr>
                        <a:xfrm>
                          <a:off x="5332095" y="2479675"/>
                          <a:ext cx="4391025" cy="3362325"/>
                        </a:xfrm>
                        <a:prstGeom prst="rect">
                          <a:avLst/>
                        </a:prstGeom>
                        <a:noFill/>
                        <a:ln w="6350">
                          <a:solidFill>
                            <a:srgbClr val="FF0000"/>
                          </a:solidFill>
                          <a:prstDash val="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3.15pt;margin-top:22.6pt;height:264.75pt;width:345.75pt;z-index:251756544;v-text-anchor:middle;mso-width-relative:page;mso-height-relative:page;" filled="f" stroked="t" coordsize="21600,21600" o:gfxdata="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wYX9c9kAAAALAQAADwAAAAAAAAABACAAAAAiAAAAZHJzL2Rvd25y&#10;ZXYueG1sUEsBAhQAFAAAAAgAh07iQIoG3v5vAgAAwwQAAA4AAAAAAAAAAQAgAAAAKAEAAGRycy9l&#10;Mm9Eb2MueG1sUEsFBgAAAAAGAAYAWQEAAAkGAAAAAA==&#10;">
                <v:fill on="f" focussize="0,0"/>
                <v:stroke weight="0.5pt" color="#FF0000 [2404]" joinstyle="round" dashstyle="dash"/>
                <v:imagedata o:title=""/>
                <o:lock v:ext="edit" aspectratio="f"/>
              </v:rect>
            </w:pict>
          </mc:Fallback>
        </mc:AlternateContent>
      </w:r>
      <w:r>
        <w:rPr>
          <w:sz w:val="24"/>
        </w:rPr>
        <mc:AlternateContent>
          <mc:Choice Requires="wps">
            <w:drawing>
              <wp:anchor distT="0" distB="0" distL="114300" distR="114300" simplePos="0" relativeHeight="251694080" behindDoc="0" locked="0" layoutInCell="1" allowOverlap="1">
                <wp:simplePos x="0" y="0"/>
                <wp:positionH relativeFrom="column">
                  <wp:posOffset>2628265</wp:posOffset>
                </wp:positionH>
                <wp:positionV relativeFrom="paragraph">
                  <wp:posOffset>137795</wp:posOffset>
                </wp:positionV>
                <wp:extent cx="933450" cy="276225"/>
                <wp:effectExtent l="4445" t="4445" r="14605" b="5080"/>
                <wp:wrapNone/>
                <wp:docPr id="67" name="文本框 67"/>
                <wp:cNvGraphicFramePr/>
                <a:graphic xmlns:a="http://schemas.openxmlformats.org/drawingml/2006/main">
                  <a:graphicData uri="http://schemas.microsoft.com/office/word/2010/wordprocessingShape">
                    <wps:wsp>
                      <wps:cNvSpPr txBox="1"/>
                      <wps:spPr>
                        <a:xfrm>
                          <a:off x="0" y="0"/>
                          <a:ext cx="9334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0372CB4">
                            <w:pPr>
                              <w:jc w:val="center"/>
                              <w:rPr>
                                <w:rFonts w:hint="eastAsia" w:eastAsia="宋体"/>
                                <w:lang w:eastAsia="zh-CN"/>
                              </w:rPr>
                            </w:pPr>
                            <w:r>
                              <w:rPr>
                                <w:rFonts w:hint="eastAsia"/>
                                <w:lang w:eastAsia="zh-CN"/>
                              </w:rPr>
                              <w:t>浮选机刮板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95pt;margin-top:10.85pt;height:21.75pt;width:73.5pt;z-index:251694080;mso-width-relative:page;mso-height-relative:page;" fillcolor="#FFFFFF [3201]" filled="t" stroked="t" coordsize="21600,21600" o:gfxdata="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swyEC1gAAAAkB&#10;AAAPAAAAAAAAAAEAIAAAACIAAABkcnMvZG93bnJldi54bWxQSwECFAAUAAAACACHTuJASX50m1YC&#10;AAC4BAAADgAAAAAAAAABACAAAAAlAQAAZHJzL2Uyb0RvYy54bWxQSwUGAAAAAAYABgBZAQAA7QUA&#10;AAAA&#10;">
                <v:fill on="t" focussize="0,0"/>
                <v:stroke weight="0.5pt" color="#000000 [3204]" joinstyle="round"/>
                <v:imagedata o:title=""/>
                <o:lock v:ext="edit" aspectratio="f"/>
                <v:textbox>
                  <w:txbxContent>
                    <w:p w14:paraId="10372CB4">
                      <w:pPr>
                        <w:jc w:val="center"/>
                        <w:rPr>
                          <w:rFonts w:hint="eastAsia" w:eastAsia="宋体"/>
                          <w:lang w:eastAsia="zh-CN"/>
                        </w:rPr>
                      </w:pPr>
                      <w:r>
                        <w:rPr>
                          <w:rFonts w:hint="eastAsia"/>
                          <w:lang w:eastAsia="zh-CN"/>
                        </w:rPr>
                        <w:t>浮选机刮板</w:t>
                      </w:r>
                    </w:p>
                  </w:txbxContent>
                </v:textbox>
              </v:shape>
            </w:pict>
          </mc:Fallback>
        </mc:AlternateContent>
      </w:r>
    </w:p>
    <w:p w14:paraId="469F14FA">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58592" behindDoc="0" locked="0" layoutInCell="1" allowOverlap="1">
                <wp:simplePos x="0" y="0"/>
                <wp:positionH relativeFrom="column">
                  <wp:posOffset>3380740</wp:posOffset>
                </wp:positionH>
                <wp:positionV relativeFrom="paragraph">
                  <wp:posOffset>40640</wp:posOffset>
                </wp:positionV>
                <wp:extent cx="371475" cy="27622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58BAE">
                            <w:pPr>
                              <w:jc w:val="center"/>
                              <w:rPr>
                                <w:rFonts w:hint="default" w:eastAsia="宋体"/>
                                <w:lang w:val="en-US" w:eastAsia="zh-CN"/>
                              </w:rPr>
                            </w:pPr>
                            <w:r>
                              <w:rPr>
                                <w:rFonts w:hint="eastAsia"/>
                                <w:lang w:val="en-US" w:eastAsia="zh-CN"/>
                              </w:rPr>
                              <w:t>N3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2pt;margin-top:3.2pt;height:21.75pt;width:29.25pt;z-index:251758592;mso-width-relative:page;mso-height-relative:page;" filled="f" stroked="f" coordsize="21600,21600" o:gfxdata="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psDP2gAAAAgBAAAPAAAAAAAAAAEAIAAAACIAAABk&#10;cnMvZG93bnJldi54bWxQSwECFAAUAAAACACHTuJACEJfjT0CAABpBAAADgAAAAAAAAABACAAAAAp&#10;AQAAZHJzL2Uyb0RvYy54bWxQSwUGAAAAAAYABgBZAQAA2AUAAAAA&#10;">
                <v:fill on="f" focussize="0,0"/>
                <v:stroke on="f" weight="0.5pt"/>
                <v:imagedata o:title=""/>
                <o:lock v:ext="edit" aspectratio="f"/>
                <v:textbox>
                  <w:txbxContent>
                    <w:p w14:paraId="0F858BAE">
                      <w:pPr>
                        <w:jc w:val="center"/>
                        <w:rPr>
                          <w:rFonts w:hint="default" w:eastAsia="宋体"/>
                          <w:lang w:val="en-US" w:eastAsia="zh-CN"/>
                        </w:rPr>
                      </w:pPr>
                      <w:r>
                        <w:rPr>
                          <w:rFonts w:hint="eastAsia"/>
                          <w:lang w:val="en-US" w:eastAsia="zh-CN"/>
                        </w:rPr>
                        <w:t>N3</w:t>
                      </w:r>
                    </w:p>
                  </w:txbxContent>
                </v:textbox>
              </v:shape>
            </w:pict>
          </mc:Fallback>
        </mc:AlternateContent>
      </w:r>
      <w:r>
        <w:rPr>
          <w:sz w:val="24"/>
        </w:rPr>
        <mc:AlternateContent>
          <mc:Choice Requires="wps">
            <w:drawing>
              <wp:anchor distT="0" distB="0" distL="114300" distR="114300" simplePos="0" relativeHeight="251754496" behindDoc="0" locked="0" layoutInCell="1" allowOverlap="1">
                <wp:simplePos x="0" y="0"/>
                <wp:positionH relativeFrom="column">
                  <wp:posOffset>4876800</wp:posOffset>
                </wp:positionH>
                <wp:positionV relativeFrom="paragraph">
                  <wp:posOffset>20955</wp:posOffset>
                </wp:positionV>
                <wp:extent cx="780415" cy="314325"/>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78041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F4D31">
                            <w:pPr>
                              <w:jc w:val="center"/>
                              <w:rPr>
                                <w:rFonts w:hint="eastAsia" w:eastAsia="宋体"/>
                                <w:lang w:eastAsia="zh-CN"/>
                              </w:rPr>
                            </w:pPr>
                            <w:r>
                              <w:rPr>
                                <w:rFonts w:hint="eastAsia"/>
                                <w:lang w:eastAsia="zh-CN"/>
                              </w:rPr>
                              <w:t>直接泵送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pt;margin-top:1.65pt;height:24.75pt;width:61.45pt;z-index:251754496;mso-width-relative:page;mso-height-relative:page;" filled="f" stroked="f" coordsize="21600,21600" o:gfxdata="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&#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T8ZxU2gAAAAgBAAAPAAAAAAAAAAEAIAAAACIAAABk&#10;cnMvZG93bnJldi54bWxQSwECFAAUAAAACACHTuJALL0M+j0CAABpBAAADgAAAAAAAAABACAAAAAp&#10;AQAAZHJzL2Uyb0RvYy54bWxQSwUGAAAAAAYABgBZAQAA2AUAAAAA&#10;">
                <v:fill on="f" focussize="0,0"/>
                <v:stroke on="f" weight="0.5pt"/>
                <v:imagedata o:title=""/>
                <o:lock v:ext="edit" aspectratio="f"/>
                <v:textbox>
                  <w:txbxContent>
                    <w:p w14:paraId="1BCF4D31">
                      <w:pPr>
                        <w:jc w:val="center"/>
                        <w:rPr>
                          <w:rFonts w:hint="eastAsia" w:eastAsia="宋体"/>
                          <w:lang w:eastAsia="zh-CN"/>
                        </w:rPr>
                      </w:pPr>
                      <w:r>
                        <w:rPr>
                          <w:rFonts w:hint="eastAsia"/>
                          <w:lang w:eastAsia="zh-CN"/>
                        </w:rPr>
                        <w:t>直接泵送</w:t>
                      </w:r>
                    </w:p>
                  </w:txbxContent>
                </v:textbox>
              </v:shape>
            </w:pict>
          </mc:Fallback>
        </mc:AlternateContent>
      </w:r>
      <w:r>
        <w:rPr>
          <w:sz w:val="24"/>
        </w:rPr>
        <mc:AlternateContent>
          <mc:Choice Requires="wps">
            <w:drawing>
              <wp:anchor distT="0" distB="0" distL="114300" distR="114300" simplePos="0" relativeHeight="251719680" behindDoc="0" locked="0" layoutInCell="1" allowOverlap="1">
                <wp:simplePos x="0" y="0"/>
                <wp:positionH relativeFrom="column">
                  <wp:posOffset>5781675</wp:posOffset>
                </wp:positionH>
                <wp:positionV relativeFrom="paragraph">
                  <wp:posOffset>144780</wp:posOffset>
                </wp:positionV>
                <wp:extent cx="1141095" cy="314325"/>
                <wp:effectExtent l="4445" t="4445" r="16510" b="5080"/>
                <wp:wrapNone/>
                <wp:docPr id="108" name="文本框 108"/>
                <wp:cNvGraphicFramePr/>
                <a:graphic xmlns:a="http://schemas.openxmlformats.org/drawingml/2006/main">
                  <a:graphicData uri="http://schemas.microsoft.com/office/word/2010/wordprocessingShape">
                    <wps:wsp>
                      <wps:cNvSpPr txBox="1"/>
                      <wps:spPr>
                        <a:xfrm>
                          <a:off x="0" y="0"/>
                          <a:ext cx="114109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66F420">
                            <w:pPr>
                              <w:jc w:val="center"/>
                              <w:rPr>
                                <w:rFonts w:hint="eastAsia" w:eastAsia="宋体"/>
                                <w:lang w:eastAsia="zh-CN"/>
                              </w:rPr>
                            </w:pPr>
                            <w:r>
                              <w:rPr>
                                <w:rFonts w:hint="eastAsia"/>
                                <w:lang w:eastAsia="zh-CN"/>
                              </w:rPr>
                              <w:t>球磨机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25pt;margin-top:11.4pt;height:24.75pt;width:89.85pt;z-index:251719680;mso-width-relative:page;mso-height-relative:page;" fillcolor="#FFFFFF [3201]" filled="t" stroked="t" coordsize="21600,21600" o:gfxdata="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ASJ7YdYA&#10;AAAKAQAADwAAAAAAAAABACAAAAAiAAAAZHJzL2Rvd25yZXYueG1sUEsBAhQAFAAAAAgAh07iQN+S&#10;Pl9aAgAAuwQAAA4AAAAAAAAAAQAgAAAAJQEAAGRycy9lMm9Eb2MueG1sUEsFBgAAAAAGAAYAWQEA&#10;APEFAAAAAA==&#10;">
                <v:fill on="t" focussize="0,0"/>
                <v:stroke weight="0.5pt" color="#000000 [3204]" joinstyle="round"/>
                <v:imagedata o:title=""/>
                <o:lock v:ext="edit" aspectratio="f"/>
                <v:textbox>
                  <w:txbxContent>
                    <w:p w14:paraId="5C66F420">
                      <w:pPr>
                        <w:jc w:val="center"/>
                        <w:rPr>
                          <w:rFonts w:hint="eastAsia" w:eastAsia="宋体"/>
                          <w:lang w:eastAsia="zh-CN"/>
                        </w:rPr>
                      </w:pPr>
                      <w:r>
                        <w:rPr>
                          <w:rFonts w:hint="eastAsia"/>
                          <w:lang w:eastAsia="zh-CN"/>
                        </w:rPr>
                        <w:t>球磨机</w:t>
                      </w:r>
                    </w:p>
                  </w:txbxContent>
                </v:textbox>
              </v:shape>
            </w:pict>
          </mc:Fallback>
        </mc:AlternateContent>
      </w:r>
      <w:r>
        <w:rPr>
          <w:sz w:val="24"/>
        </w:rPr>
        <mc:AlternateContent>
          <mc:Choice Requires="wps">
            <w:drawing>
              <wp:anchor distT="0" distB="0" distL="114300" distR="114300" simplePos="0" relativeHeight="251753472" behindDoc="0" locked="0" layoutInCell="1" allowOverlap="1">
                <wp:simplePos x="0" y="0"/>
                <wp:positionH relativeFrom="column">
                  <wp:posOffset>4694555</wp:posOffset>
                </wp:positionH>
                <wp:positionV relativeFrom="paragraph">
                  <wp:posOffset>296545</wp:posOffset>
                </wp:positionV>
                <wp:extent cx="1081405" cy="1270"/>
                <wp:effectExtent l="0" t="38100" r="4445" b="36830"/>
                <wp:wrapNone/>
                <wp:docPr id="158" name="直接箭头连接符 158"/>
                <wp:cNvGraphicFramePr/>
                <a:graphic xmlns:a="http://schemas.openxmlformats.org/drawingml/2006/main">
                  <a:graphicData uri="http://schemas.microsoft.com/office/word/2010/wordprocessingShape">
                    <wps:wsp>
                      <wps:cNvCnPr/>
                      <wps:spPr>
                        <a:xfrm flipV="1">
                          <a:off x="0" y="0"/>
                          <a:ext cx="1081405" cy="127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69.65pt;margin-top:23.35pt;height:0.1pt;width:85.15pt;z-index:251753472;mso-width-relative:page;mso-height-relative:page;" filled="f" stroked="t" coordsize="21600,21600" o:gfxdata="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59TP2gAAAAkBAAAPAAAAAAAAAAEAIAAAACIAAABk&#10;cnMvZG93bnJldi54bWxQSwECFAAUAAAACACHTuJAkyQqOgQCAADbAwAADgAAAAAAAAABACAAAAAp&#10;AQAAZHJzL2Uyb0RvYy54bWxQSwUGAAAAAAYABgBZAQAAnw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52448" behindDoc="0" locked="0" layoutInCell="1" allowOverlap="1">
                <wp:simplePos x="0" y="0"/>
                <wp:positionH relativeFrom="column">
                  <wp:posOffset>4678680</wp:posOffset>
                </wp:positionH>
                <wp:positionV relativeFrom="paragraph">
                  <wp:posOffset>294640</wp:posOffset>
                </wp:positionV>
                <wp:extent cx="9525" cy="472440"/>
                <wp:effectExtent l="6350" t="0" r="22225" b="0"/>
                <wp:wrapNone/>
                <wp:docPr id="157" name="直接箭头连接符 157"/>
                <wp:cNvGraphicFramePr/>
                <a:graphic xmlns:a="http://schemas.openxmlformats.org/drawingml/2006/main">
                  <a:graphicData uri="http://schemas.microsoft.com/office/word/2010/wordprocessingShape">
                    <wps:wsp>
                      <wps:cNvCnPr/>
                      <wps:spPr>
                        <a:xfrm flipH="1">
                          <a:off x="0" y="0"/>
                          <a:ext cx="9525" cy="47244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68.4pt;margin-top:23.2pt;height:37.2pt;width:0.75pt;z-index:251752448;mso-width-relative:page;mso-height-relative:page;" filled="f" stroked="t" coordsize="21600,21600" o:gfxdata="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QXtNx9sAAAAKAQAADwAAAAAAAAABACAAAAAiAAAA&#10;ZHJzL2Rvd25yZXYueG1sUEsBAhQAFAAAAAgAh07iQGx45TwEAgAA1gMAAA4AAAAAAAAAAQAgAAAA&#10;KgEAAGRycy9lMm9Eb2MueG1sUEsFBgAAAAAGAAYAWQEAAKAFA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698176" behindDoc="0" locked="0" layoutInCell="1" allowOverlap="1">
                <wp:simplePos x="0" y="0"/>
                <wp:positionH relativeFrom="column">
                  <wp:posOffset>2428240</wp:posOffset>
                </wp:positionH>
                <wp:positionV relativeFrom="paragraph">
                  <wp:posOffset>126365</wp:posOffset>
                </wp:positionV>
                <wp:extent cx="666750" cy="27622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66675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6C5DB">
                            <w:pPr>
                              <w:jc w:val="center"/>
                              <w:rPr>
                                <w:rFonts w:hint="eastAsia" w:eastAsia="宋体"/>
                                <w:lang w:eastAsia="zh-CN"/>
                              </w:rPr>
                            </w:pPr>
                            <w:r>
                              <w:rPr>
                                <w:rFonts w:hint="eastAsia"/>
                                <w:lang w:eastAsia="zh-CN"/>
                              </w:rPr>
                              <w:t>导流槽</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2pt;margin-top:9.95pt;height:21.75pt;width:52.5pt;z-index:251698176;mso-width-relative:page;mso-height-relative:page;" filled="f" stroked="f" coordsize="21600,21600" o:gfxdata="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MjlOB2wAAAAkBAAAPAAAAAAAAAAEAIAAAACIAAABkcnMv&#10;ZG93bnJldi54bWxQSwECFAAUAAAACACHTuJAEacgITkCAABnBAAADgAAAAAAAAABACAAAAAqAQAA&#10;ZHJzL2Uyb0RvYy54bWxQSwUGAAAAAAYABgBZAQAA1QUAAAAA&#10;">
                <v:fill on="f" focussize="0,0"/>
                <v:stroke on="f" weight="0.5pt"/>
                <v:imagedata o:title=""/>
                <o:lock v:ext="edit" aspectratio="f"/>
                <v:textbox>
                  <w:txbxContent>
                    <w:p w14:paraId="3F66C5DB">
                      <w:pPr>
                        <w:jc w:val="center"/>
                        <w:rPr>
                          <w:rFonts w:hint="eastAsia" w:eastAsia="宋体"/>
                          <w:lang w:eastAsia="zh-CN"/>
                        </w:rPr>
                      </w:pPr>
                      <w:r>
                        <w:rPr>
                          <w:rFonts w:hint="eastAsia"/>
                          <w:lang w:eastAsia="zh-CN"/>
                        </w:rPr>
                        <w:t>导流槽</w:t>
                      </w:r>
                    </w:p>
                  </w:txbxContent>
                </v:textbox>
              </v:shape>
            </w:pict>
          </mc:Fallback>
        </mc:AlternateContent>
      </w:r>
      <w:r>
        <w:rPr>
          <w:sz w:val="24"/>
        </w:rPr>
        <mc:AlternateContent>
          <mc:Choice Requires="wps">
            <w:drawing>
              <wp:anchor distT="0" distB="0" distL="114300" distR="114300" simplePos="0" relativeHeight="251695104" behindDoc="0" locked="0" layoutInCell="1" allowOverlap="1">
                <wp:simplePos x="0" y="0"/>
                <wp:positionH relativeFrom="column">
                  <wp:posOffset>3097530</wp:posOffset>
                </wp:positionH>
                <wp:positionV relativeFrom="paragraph">
                  <wp:posOffset>116840</wp:posOffset>
                </wp:positionV>
                <wp:extent cx="6985" cy="389255"/>
                <wp:effectExtent l="36830" t="0" r="32385" b="10795"/>
                <wp:wrapNone/>
                <wp:docPr id="68" name="直接箭头连接符 68"/>
                <wp:cNvGraphicFramePr/>
                <a:graphic xmlns:a="http://schemas.openxmlformats.org/drawingml/2006/main">
                  <a:graphicData uri="http://schemas.microsoft.com/office/word/2010/wordprocessingShape">
                    <wps:wsp>
                      <wps:cNvCnPr/>
                      <wps:spPr>
                        <a:xfrm flipH="1">
                          <a:off x="0" y="0"/>
                          <a:ext cx="6985" cy="38925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3.9pt;margin-top:9.2pt;height:30.65pt;width:0.55pt;z-index:251695104;mso-width-relative:page;mso-height-relative:page;" filled="f" stroked="t" coordsize="21600,21600" o:gfxdata="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3hKVjbAAAACQEAAA8AAAAAAAAAAQAgAAAAIgAA&#10;AGRycy9kb3ducmV2LnhtbFBLAQIUABQAAAAIAIdO4kAyEwdlBQIAANkDAAAOAAAAAAAAAAEAIAAA&#10;ACoBAABkcnMvZTJvRG9jLnhtbFBLBQYAAAAABgAGAFkBAAChBQAAAAA=&#10;">
                <v:fill on="f" focussize="0,0"/>
                <v:stroke weight="1pt" color="#000000 [3213]" joinstyle="round" endarrow="block"/>
                <v:imagedata o:title=""/>
                <o:lock v:ext="edit" aspectratio="f"/>
              </v:shape>
            </w:pict>
          </mc:Fallback>
        </mc:AlternateContent>
      </w:r>
    </w:p>
    <w:p w14:paraId="10E7B325">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49376" behindDoc="0" locked="0" layoutInCell="1" allowOverlap="1">
                <wp:simplePos x="0" y="0"/>
                <wp:positionH relativeFrom="column">
                  <wp:posOffset>3686175</wp:posOffset>
                </wp:positionH>
                <wp:positionV relativeFrom="paragraph">
                  <wp:posOffset>57150</wp:posOffset>
                </wp:positionV>
                <wp:extent cx="656590" cy="31432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7B2BD">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25pt;margin-top:4.5pt;height:24.75pt;width:51.7pt;z-index:251749376;mso-width-relative:page;mso-height-relative:page;" filled="f" stroked="f" coordsize="21600,21600" o:gfxdata="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88BmENkAAAAIAQAADwAAAAAAAAABACAAAAAiAAAAZHJz&#10;L2Rvd25yZXYueG1sUEsBAhQAFAAAAAgAh07iQMTA5hU8AgAAaQQAAA4AAAAAAAAAAQAgAAAAKAEA&#10;AGRycy9lMm9Eb2MueG1sUEsFBgAAAAAGAAYAWQEAANYFAAAAAA==&#10;">
                <v:fill on="f" focussize="0,0"/>
                <v:stroke on="f" weight="0.5pt"/>
                <v:imagedata o:title=""/>
                <o:lock v:ext="edit" aspectratio="f"/>
                <v:textbox>
                  <w:txbxContent>
                    <w:p w14:paraId="0A77B2BD">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696128" behindDoc="0" locked="0" layoutInCell="1" allowOverlap="1">
                <wp:simplePos x="0" y="0"/>
                <wp:positionH relativeFrom="column">
                  <wp:posOffset>2723515</wp:posOffset>
                </wp:positionH>
                <wp:positionV relativeFrom="paragraph">
                  <wp:posOffset>191135</wp:posOffset>
                </wp:positionV>
                <wp:extent cx="742950" cy="266700"/>
                <wp:effectExtent l="4445" t="4445" r="14605" b="14605"/>
                <wp:wrapNone/>
                <wp:docPr id="69" name="文本框 69"/>
                <wp:cNvGraphicFramePr/>
                <a:graphic xmlns:a="http://schemas.openxmlformats.org/drawingml/2006/main">
                  <a:graphicData uri="http://schemas.microsoft.com/office/word/2010/wordprocessingShape">
                    <wps:wsp>
                      <wps:cNvSpPr txBox="1"/>
                      <wps:spPr>
                        <a:xfrm>
                          <a:off x="0" y="0"/>
                          <a:ext cx="74295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E2DAA1">
                            <w:pPr>
                              <w:jc w:val="center"/>
                              <w:rPr>
                                <w:rFonts w:hint="eastAsia" w:eastAsia="宋体"/>
                                <w:lang w:eastAsia="zh-CN"/>
                              </w:rPr>
                            </w:pPr>
                            <w:r>
                              <w:rPr>
                                <w:rFonts w:hint="eastAsia"/>
                                <w:lang w:eastAsia="zh-CN"/>
                              </w:rPr>
                              <w:t>精选浮选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45pt;margin-top:15.05pt;height:21pt;width:58.5pt;z-index:251696128;mso-width-relative:page;mso-height-relative:page;" fillcolor="#FFFFFF [3201]" filled="t" stroked="t" coordsize="21600,21600" o:gfxdata="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RUt51wAA&#10;AAkBAAAPAAAAAAAAAAEAIAAAACIAAABkcnMvZG93bnJldi54bWxQSwECFAAUAAAACACHTuJAEv/H&#10;vVgCAAC4BAAADgAAAAAAAAABACAAAAAmAQAAZHJzL2Uyb0RvYy54bWxQSwUGAAAAAAYABgBZAQAA&#10;8AUAAAAA&#10;">
                <v:fill on="t" focussize="0,0"/>
                <v:stroke weight="0.5pt" color="#000000 [3204]" joinstyle="round"/>
                <v:imagedata o:title=""/>
                <o:lock v:ext="edit" aspectratio="f"/>
                <v:textbox>
                  <w:txbxContent>
                    <w:p w14:paraId="6AE2DAA1">
                      <w:pPr>
                        <w:jc w:val="center"/>
                        <w:rPr>
                          <w:rFonts w:hint="eastAsia" w:eastAsia="宋体"/>
                          <w:lang w:eastAsia="zh-CN"/>
                        </w:rPr>
                      </w:pPr>
                      <w:r>
                        <w:rPr>
                          <w:rFonts w:hint="eastAsia"/>
                          <w:lang w:eastAsia="zh-CN"/>
                        </w:rPr>
                        <w:t>精选浮选</w:t>
                      </w:r>
                    </w:p>
                  </w:txbxContent>
                </v:textbox>
              </v:shape>
            </w:pict>
          </mc:Fallback>
        </mc:AlternateContent>
      </w:r>
      <w:r>
        <w:rPr>
          <w:sz w:val="24"/>
        </w:rPr>
        <mc:AlternateContent>
          <mc:Choice Requires="wps">
            <w:drawing>
              <wp:anchor distT="0" distB="0" distL="114300" distR="114300" simplePos="0" relativeHeight="251727872" behindDoc="0" locked="0" layoutInCell="1" allowOverlap="1">
                <wp:simplePos x="0" y="0"/>
                <wp:positionH relativeFrom="column">
                  <wp:posOffset>5695950</wp:posOffset>
                </wp:positionH>
                <wp:positionV relativeFrom="paragraph">
                  <wp:posOffset>152400</wp:posOffset>
                </wp:positionV>
                <wp:extent cx="512445" cy="314325"/>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51244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591769">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5pt;margin-top:12pt;height:24.75pt;width:40.35pt;z-index:251727872;mso-width-relative:page;mso-height-relative:page;" filled="f" stroked="f" coordsize="21600,21600" o:gfxdata="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HCd4mNsAAAAJAQAADwAAAAAAAAABACAAAAAiAAAA&#10;ZHJzL2Rvd25yZXYueG1sUEsBAhQAFAAAAAgAh07iQLkORIc9AgAAZwQAAA4AAAAAAAAAAQAgAAAA&#10;KgEAAGRycy9lMm9Eb2MueG1sUEsFBgAAAAAGAAYAWQEAANkFAAAAAA==&#10;">
                <v:fill on="f" focussize="0,0"/>
                <v:stroke on="f" weight="0.5pt"/>
                <v:imagedata o:title=""/>
                <o:lock v:ext="edit" aspectratio="f"/>
                <v:textbox>
                  <w:txbxContent>
                    <w:p w14:paraId="0E591769">
                      <w:pPr>
                        <w:jc w:val="center"/>
                        <w:rPr>
                          <w:rFonts w:hint="eastAsia" w:eastAsia="宋体"/>
                          <w:lang w:eastAsia="zh-CN"/>
                        </w:rPr>
                      </w:pPr>
                      <w:r>
                        <w:rPr>
                          <w:rFonts w:hint="eastAsia"/>
                          <w:lang w:eastAsia="zh-CN"/>
                        </w:rPr>
                        <w:t>底流</w:t>
                      </w:r>
                    </w:p>
                  </w:txbxContent>
                </v:textbox>
              </v:shape>
            </w:pict>
          </mc:Fallback>
        </mc:AlternateContent>
      </w:r>
    </w:p>
    <w:p w14:paraId="49963F3B">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70880" behindDoc="0" locked="0" layoutInCell="1" allowOverlap="1">
                <wp:simplePos x="0" y="0"/>
                <wp:positionH relativeFrom="column">
                  <wp:posOffset>5467350</wp:posOffset>
                </wp:positionH>
                <wp:positionV relativeFrom="paragraph">
                  <wp:posOffset>217805</wp:posOffset>
                </wp:positionV>
                <wp:extent cx="647065" cy="276225"/>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64706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1283E">
                            <w:pPr>
                              <w:jc w:val="center"/>
                              <w:rPr>
                                <w:rFonts w:hint="default" w:eastAsia="宋体"/>
                                <w:lang w:val="en-US" w:eastAsia="zh-CN"/>
                              </w:rPr>
                            </w:pPr>
                            <w:r>
                              <w:rPr>
                                <w:rFonts w:hint="eastAsia"/>
                                <w:lang w:val="en-US" w:eastAsia="zh-CN"/>
                              </w:rPr>
                              <w:t>N8、W5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5pt;margin-top:17.15pt;height:21.75pt;width:50.95pt;z-index:251770880;mso-width-relative:page;mso-height-relative:page;" filled="f" stroked="f" coordsize="21600,21600" o:gfxdata="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uaF2B2wAAAAkBAAAPAAAAAAAAAAEAIAAAACIAAABk&#10;cnMvZG93bnJldi54bWxQSwECFAAUAAAACACHTuJAQW24yTwCAABpBAAADgAAAAAAAAABACAAAAAq&#10;AQAAZHJzL2Uyb0RvYy54bWxQSwUGAAAAAAYABgBZAQAA2AUAAAAA&#10;">
                <v:fill on="f" focussize="0,0"/>
                <v:stroke on="f" weight="0.5pt"/>
                <v:imagedata o:title=""/>
                <o:lock v:ext="edit" aspectratio="f"/>
                <v:textbox>
                  <w:txbxContent>
                    <w:p w14:paraId="2C21283E">
                      <w:pPr>
                        <w:jc w:val="center"/>
                        <w:rPr>
                          <w:rFonts w:hint="default" w:eastAsia="宋体"/>
                          <w:lang w:val="en-US" w:eastAsia="zh-CN"/>
                        </w:rPr>
                      </w:pPr>
                      <w:r>
                        <w:rPr>
                          <w:rFonts w:hint="eastAsia"/>
                          <w:lang w:val="en-US" w:eastAsia="zh-CN"/>
                        </w:rPr>
                        <w:t>N8、W5</w:t>
                      </w:r>
                    </w:p>
                  </w:txbxContent>
                </v:textbox>
              </v:shape>
            </w:pict>
          </mc:Fallback>
        </mc:AlternateContent>
      </w:r>
      <w:r>
        <w:rPr>
          <w:sz w:val="24"/>
        </w:rPr>
        <mc:AlternateContent>
          <mc:Choice Requires="wps">
            <w:drawing>
              <wp:anchor distT="0" distB="0" distL="114300" distR="114300" simplePos="0" relativeHeight="251767808" behindDoc="0" locked="0" layoutInCell="1" allowOverlap="1">
                <wp:simplePos x="0" y="0"/>
                <wp:positionH relativeFrom="column">
                  <wp:posOffset>3275965</wp:posOffset>
                </wp:positionH>
                <wp:positionV relativeFrom="paragraph">
                  <wp:posOffset>84455</wp:posOffset>
                </wp:positionV>
                <wp:extent cx="419100" cy="276225"/>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E10616">
                            <w:pPr>
                              <w:jc w:val="center"/>
                              <w:rPr>
                                <w:rFonts w:hint="default" w:eastAsia="宋体"/>
                                <w:lang w:val="en-US" w:eastAsia="zh-CN"/>
                              </w:rPr>
                            </w:pPr>
                            <w:r>
                              <w:rPr>
                                <w:rFonts w:hint="eastAsia"/>
                                <w:lang w:val="en-US" w:eastAsia="zh-CN"/>
                              </w:rPr>
                              <w:t>W2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95pt;margin-top:6.65pt;height:21.75pt;width:33pt;z-index:251767808;mso-width-relative:page;mso-height-relative:page;" filled="f" stroked="f" coordsize="21600,21600" o:gfxdata="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CjIg3aAAAACQEAAA8AAAAAAAAAAQAgAAAAIgAAAGRy&#10;cy9kb3ducmV2LnhtbFBLAQIUABQAAAAIAIdO4kCHoV7ZPAIAAGkEAAAOAAAAAAAAAAEAIAAAACkB&#10;AABkcnMvZTJvRG9jLnhtbFBLBQYAAAAABgAGAFkBAADXBQAAAAA=&#10;">
                <v:fill on="f" focussize="0,0"/>
                <v:stroke on="f" weight="0.5pt"/>
                <v:imagedata o:title=""/>
                <o:lock v:ext="edit" aspectratio="f"/>
                <v:textbox>
                  <w:txbxContent>
                    <w:p w14:paraId="29E10616">
                      <w:pPr>
                        <w:jc w:val="center"/>
                        <w:rPr>
                          <w:rFonts w:hint="default" w:eastAsia="宋体"/>
                          <w:lang w:val="en-US" w:eastAsia="zh-CN"/>
                        </w:rPr>
                      </w:pPr>
                      <w:r>
                        <w:rPr>
                          <w:rFonts w:hint="eastAsia"/>
                          <w:lang w:val="en-US" w:eastAsia="zh-CN"/>
                        </w:rPr>
                        <w:t>W2</w:t>
                      </w:r>
                    </w:p>
                  </w:txbxContent>
                </v:textbox>
              </v:shape>
            </w:pict>
          </mc:Fallback>
        </mc:AlternateContent>
      </w:r>
      <w:r>
        <w:rPr>
          <w:sz w:val="24"/>
        </w:rPr>
        <mc:AlternateContent>
          <mc:Choice Requires="wps">
            <w:drawing>
              <wp:anchor distT="0" distB="0" distL="114300" distR="114300" simplePos="0" relativeHeight="251714560" behindDoc="0" locked="0" layoutInCell="1" allowOverlap="1">
                <wp:simplePos x="0" y="0"/>
                <wp:positionH relativeFrom="column">
                  <wp:posOffset>3475355</wp:posOffset>
                </wp:positionH>
                <wp:positionV relativeFrom="paragraph">
                  <wp:posOffset>27940</wp:posOffset>
                </wp:positionV>
                <wp:extent cx="1052830" cy="8890"/>
                <wp:effectExtent l="0" t="37465" r="13970" b="29845"/>
                <wp:wrapNone/>
                <wp:docPr id="149" name="直接箭头连接符 149"/>
                <wp:cNvGraphicFramePr/>
                <a:graphic xmlns:a="http://schemas.openxmlformats.org/drawingml/2006/main">
                  <a:graphicData uri="http://schemas.microsoft.com/office/word/2010/wordprocessingShape">
                    <wps:wsp>
                      <wps:cNvCnPr/>
                      <wps:spPr>
                        <a:xfrm flipV="1">
                          <a:off x="0" y="0"/>
                          <a:ext cx="1052830" cy="889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73.65pt;margin-top:2.2pt;height:0.7pt;width:82.9pt;z-index:251714560;mso-width-relative:page;mso-height-relative:page;" filled="f" stroked="t" coordsize="21600,21600" o:gfxdata="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fTAQ2AAAAAcBAAAPAAAAAAAAAAEAIAAAACIAAABk&#10;cnMvZG93bnJldi54bWxQSwECFAAUAAAACACHTuJAQhaeiQYCAADbAwAADgAAAAAAAAABACAAAAAn&#10;AQAAZHJzL2Uyb0RvYy54bWxQSwUGAAAAAAYABgBZAQAAnw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697152" behindDoc="0" locked="0" layoutInCell="1" allowOverlap="1">
                <wp:simplePos x="0" y="0"/>
                <wp:positionH relativeFrom="column">
                  <wp:posOffset>3097530</wp:posOffset>
                </wp:positionH>
                <wp:positionV relativeFrom="paragraph">
                  <wp:posOffset>170180</wp:posOffset>
                </wp:positionV>
                <wp:extent cx="6985" cy="370205"/>
                <wp:effectExtent l="36830" t="0" r="32385" b="10795"/>
                <wp:wrapNone/>
                <wp:docPr id="72" name="直接箭头连接符 72"/>
                <wp:cNvGraphicFramePr/>
                <a:graphic xmlns:a="http://schemas.openxmlformats.org/drawingml/2006/main">
                  <a:graphicData uri="http://schemas.microsoft.com/office/word/2010/wordprocessingShape">
                    <wps:wsp>
                      <wps:cNvCnPr/>
                      <wps:spPr>
                        <a:xfrm flipH="1">
                          <a:off x="0" y="0"/>
                          <a:ext cx="6985" cy="37020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3.9pt;margin-top:13.4pt;height:29.15pt;width:0.55pt;z-index:251697152;mso-width-relative:page;mso-height-relative:page;" filled="f" stroked="t" coordsize="21600,21600" o:gfxdata="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bYqo33AAAAAkBAAAPAAAAAAAAAAEAIAAAACIA&#10;AABkcnMvZG93bnJldi54bWxQSwECFAAUAAAACACHTuJAzqmQcAUCAADZAwAADgAAAAAAAAABACAA&#10;AAArAQAAZHJzL2Uyb0RvYy54bWxQSwUGAAAAAAYABgBZAQAAog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718656" behindDoc="0" locked="0" layoutInCell="1" allowOverlap="1">
                <wp:simplePos x="0" y="0"/>
                <wp:positionH relativeFrom="column">
                  <wp:posOffset>4876800</wp:posOffset>
                </wp:positionH>
                <wp:positionV relativeFrom="paragraph">
                  <wp:posOffset>7620</wp:posOffset>
                </wp:positionV>
                <wp:extent cx="866775" cy="314325"/>
                <wp:effectExtent l="4445" t="5080" r="5080" b="4445"/>
                <wp:wrapNone/>
                <wp:docPr id="101" name="文本框 101"/>
                <wp:cNvGraphicFramePr/>
                <a:graphic xmlns:a="http://schemas.openxmlformats.org/drawingml/2006/main">
                  <a:graphicData uri="http://schemas.microsoft.com/office/word/2010/wordprocessingShape">
                    <wps:wsp>
                      <wps:cNvSpPr txBox="1"/>
                      <wps:spPr>
                        <a:xfrm>
                          <a:off x="0" y="0"/>
                          <a:ext cx="8667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C7C7E37">
                            <w:pPr>
                              <w:jc w:val="center"/>
                              <w:rPr>
                                <w:rFonts w:hint="eastAsia" w:eastAsia="宋体"/>
                                <w:lang w:eastAsia="zh-CN"/>
                              </w:rPr>
                            </w:pPr>
                            <w:r>
                              <w:rPr>
                                <w:rFonts w:hint="eastAsia"/>
                                <w:lang w:eastAsia="zh-CN"/>
                              </w:rPr>
                              <w:t>尾矿旋流机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pt;margin-top:0.6pt;height:24.75pt;width:68.25pt;z-index:251718656;mso-width-relative:page;mso-height-relative:page;" fillcolor="#FFFFFF [3201]" filled="t" stroked="t" coordsize="21600,21600" o:gfxdata="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qprR3VAAAA&#10;CAEAAA8AAAAAAAAAAQAgAAAAIgAAAGRycy9kb3ducmV2LnhtbFBLAQIUABQAAAAIAIdO4kCk2znK&#10;WQIAALoEAAAOAAAAAAAAAAEAIAAAACQBAABkcnMvZTJvRG9jLnhtbFBLBQYAAAAABgAGAFkBAADv&#10;BQAAAAA=&#10;">
                <v:fill on="t" focussize="0,0"/>
                <v:stroke weight="0.5pt" color="#000000 [3204]" joinstyle="round"/>
                <v:imagedata o:title=""/>
                <o:lock v:ext="edit" aspectratio="f"/>
                <v:textbox>
                  <w:txbxContent>
                    <w:p w14:paraId="2C7C7E37">
                      <w:pPr>
                        <w:jc w:val="center"/>
                        <w:rPr>
                          <w:rFonts w:hint="eastAsia" w:eastAsia="宋体"/>
                          <w:lang w:eastAsia="zh-CN"/>
                        </w:rPr>
                      </w:pPr>
                      <w:r>
                        <w:rPr>
                          <w:rFonts w:hint="eastAsia"/>
                          <w:lang w:eastAsia="zh-CN"/>
                        </w:rPr>
                        <w:t>尾矿旋流机</w:t>
                      </w:r>
                    </w:p>
                  </w:txbxContent>
                </v:textbox>
              </v:shape>
            </w:pict>
          </mc:Fallback>
        </mc:AlternateContent>
      </w:r>
      <w:r>
        <w:rPr>
          <w:sz w:val="24"/>
        </w:rPr>
        <mc:AlternateContent>
          <mc:Choice Requires="wps">
            <w:drawing>
              <wp:anchor distT="0" distB="0" distL="114300" distR="114300" simplePos="0" relativeHeight="251732992" behindDoc="0" locked="0" layoutInCell="1" allowOverlap="1">
                <wp:simplePos x="0" y="0"/>
                <wp:positionH relativeFrom="column">
                  <wp:posOffset>6308725</wp:posOffset>
                </wp:positionH>
                <wp:positionV relativeFrom="paragraph">
                  <wp:posOffset>161925</wp:posOffset>
                </wp:positionV>
                <wp:extent cx="0" cy="704850"/>
                <wp:effectExtent l="6350" t="0" r="12700" b="0"/>
                <wp:wrapNone/>
                <wp:docPr id="99" name="直接箭头连接符 99"/>
                <wp:cNvGraphicFramePr/>
                <a:graphic xmlns:a="http://schemas.openxmlformats.org/drawingml/2006/main">
                  <a:graphicData uri="http://schemas.microsoft.com/office/word/2010/wordprocessingShape">
                    <wps:wsp>
                      <wps:cNvCnPr/>
                      <wps:spPr>
                        <a:xfrm>
                          <a:off x="0" y="0"/>
                          <a:ext cx="0" cy="70485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96.75pt;margin-top:12.75pt;height:55.5pt;width:0pt;z-index:251732992;mso-width-relative:page;mso-height-relative:page;" filled="f" stroked="t" coordsize="21600,21600" o:gfxdata="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3J3e1wAAAAoBAAAPAAAAAAAAAAEAIAAAACIAAABkcnMvZG93bnJldi54bWxQ&#10;SwECFAAUAAAACACHTuJAHEgl2vgBAADHAwAADgAAAAAAAAABACAAAAAmAQAAZHJzL2Uyb0RvYy54&#10;bWxQSwUGAAAAAAYABgBZAQAAkAU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22752" behindDoc="0" locked="0" layoutInCell="1" allowOverlap="1">
                <wp:simplePos x="0" y="0"/>
                <wp:positionH relativeFrom="column">
                  <wp:posOffset>5753100</wp:posOffset>
                </wp:positionH>
                <wp:positionV relativeFrom="paragraph">
                  <wp:posOffset>161925</wp:posOffset>
                </wp:positionV>
                <wp:extent cx="555625" cy="3175"/>
                <wp:effectExtent l="0" t="0" r="0" b="0"/>
                <wp:wrapNone/>
                <wp:docPr id="100" name="直接箭头连接符 100"/>
                <wp:cNvGraphicFramePr/>
                <a:graphic xmlns:a="http://schemas.openxmlformats.org/drawingml/2006/main">
                  <a:graphicData uri="http://schemas.microsoft.com/office/word/2010/wordprocessingShape">
                    <wps:wsp>
                      <wps:cNvCnPr/>
                      <wps:spPr>
                        <a:xfrm flipV="1">
                          <a:off x="0" y="0"/>
                          <a:ext cx="555625" cy="3175"/>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53pt;margin-top:12.75pt;height:0.25pt;width:43.75pt;z-index:251722752;mso-width-relative:page;mso-height-relative:page;" filled="f" stroked="t" coordsize="21600,21600" o:gfxdata="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jvu012QAAAAkBAAAPAAAAAAAAAAEAIAAAACIAAABkcnMv&#10;ZG93bnJldi54bWxQSwECFAAUAAAACACHTuJAlaa5EgICAADWAwAADgAAAAAAAAABACAAAAAoAQAA&#10;ZHJzL2Uyb0RvYy54bWxQSwUGAAAAAAYABgBZAQAAnAU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20704" behindDoc="0" locked="0" layoutInCell="1" allowOverlap="1">
                <wp:simplePos x="0" y="0"/>
                <wp:positionH relativeFrom="column">
                  <wp:posOffset>4551680</wp:posOffset>
                </wp:positionH>
                <wp:positionV relativeFrom="paragraph">
                  <wp:posOffset>166370</wp:posOffset>
                </wp:positionV>
                <wp:extent cx="333375" cy="3810"/>
                <wp:effectExtent l="0" t="37465" r="9525" b="34925"/>
                <wp:wrapNone/>
                <wp:docPr id="102" name="直接箭头连接符 102"/>
                <wp:cNvGraphicFramePr/>
                <a:graphic xmlns:a="http://schemas.openxmlformats.org/drawingml/2006/main">
                  <a:graphicData uri="http://schemas.microsoft.com/office/word/2010/wordprocessingShape">
                    <wps:wsp>
                      <wps:cNvCnPr/>
                      <wps:spPr>
                        <a:xfrm flipV="1">
                          <a:off x="0" y="0"/>
                          <a:ext cx="333375" cy="381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58.4pt;margin-top:13.1pt;height:0.3pt;width:26.25pt;z-index:251720704;mso-width-relative:page;mso-height-relative:page;" filled="f" stroked="t" coordsize="21600,21600" o:gfxdata="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LCRePNsAAAAJAQAADwAAAAAAAAABACAAAAAiAAAA&#10;ZHJzL2Rvd25yZXYueG1sUEsBAhQAFAAAAAgAh07iQO4M5EAEAgAA2gMAAA4AAAAAAAAAAQAgAAAA&#10;KgEAAGRycy9lMm9Eb2MueG1sUEsFBgAAAAAGAAYAWQEAAKAFAAAAAA==&#10;">
                <v:fill on="f" focussize="0,0"/>
                <v:stroke weight="1pt" color="#000000 [3213]" joinstyle="round" dashstyle="dash" endarrow="block"/>
                <v:imagedata o:title=""/>
                <o:lock v:ext="edit" aspectratio="f"/>
              </v:shape>
            </w:pict>
          </mc:Fallback>
        </mc:AlternateContent>
      </w:r>
    </w:p>
    <w:p w14:paraId="1AEB6895">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64736" behindDoc="0" locked="0" layoutInCell="1" allowOverlap="1">
                <wp:simplePos x="0" y="0"/>
                <wp:positionH relativeFrom="column">
                  <wp:posOffset>2037715</wp:posOffset>
                </wp:positionH>
                <wp:positionV relativeFrom="paragraph">
                  <wp:posOffset>139700</wp:posOffset>
                </wp:positionV>
                <wp:extent cx="361950" cy="2667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361950" cy="266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DB4FCE">
                            <w:pPr>
                              <w:jc w:val="center"/>
                              <w:rPr>
                                <w:rFonts w:hint="eastAsia" w:eastAsia="宋体"/>
                                <w:lang w:eastAsia="zh-CN"/>
                              </w:rPr>
                            </w:pPr>
                            <w:r>
                              <w:rPr>
                                <w:rFonts w:hint="eastAsia"/>
                                <w:lang w:eastAsia="zh-CN"/>
                              </w:rPr>
                              <w:t>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0.45pt;margin-top:11pt;height:21pt;width:28.5pt;z-index:251764736;mso-width-relative:page;mso-height-relative:page;" filled="f" stroked="f" coordsize="21600,21600" o:gfxdata="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i8j6DaAAAACQEAAA8AAAAAAAAAAQAgAAAAIgAAAGRy&#10;cy9kb3ducmV2LnhtbFBLAQIUABQAAAAIAIdO4kAED4FtPAIAAGkEAAAOAAAAAAAAAAEAIAAAACkB&#10;AABkcnMvZTJvRG9jLnhtbFBLBQYAAAAABgAGAFkBAADXBQAAAAA=&#10;">
                <v:fill on="f" focussize="0,0"/>
                <v:stroke on="f" weight="0.5pt"/>
                <v:imagedata o:title=""/>
                <o:lock v:ext="edit" aspectratio="f"/>
                <v:textbox>
                  <w:txbxContent>
                    <w:p w14:paraId="09DB4FCE">
                      <w:pPr>
                        <w:jc w:val="center"/>
                        <w:rPr>
                          <w:rFonts w:hint="eastAsia" w:eastAsia="宋体"/>
                          <w:lang w:eastAsia="zh-CN"/>
                        </w:rPr>
                      </w:pPr>
                      <w:r>
                        <w:rPr>
                          <w:rFonts w:hint="eastAsia"/>
                          <w:lang w:eastAsia="zh-CN"/>
                        </w:rPr>
                        <w:t>风</w:t>
                      </w:r>
                    </w:p>
                  </w:txbxContent>
                </v:textbox>
              </v:shape>
            </w:pict>
          </mc:Fallback>
        </mc:AlternateContent>
      </w:r>
      <w:r>
        <w:rPr>
          <w:sz w:val="24"/>
        </w:rPr>
        <mc:AlternateContent>
          <mc:Choice Requires="wps">
            <w:drawing>
              <wp:anchor distT="0" distB="0" distL="114300" distR="114300" simplePos="0" relativeHeight="251763712" behindDoc="0" locked="0" layoutInCell="1" allowOverlap="1">
                <wp:simplePos x="0" y="0"/>
                <wp:positionH relativeFrom="column">
                  <wp:posOffset>1228090</wp:posOffset>
                </wp:positionH>
                <wp:positionV relativeFrom="paragraph">
                  <wp:posOffset>242570</wp:posOffset>
                </wp:positionV>
                <wp:extent cx="742950" cy="266700"/>
                <wp:effectExtent l="4445" t="4445" r="14605" b="14605"/>
                <wp:wrapNone/>
                <wp:docPr id="168" name="文本框 168"/>
                <wp:cNvGraphicFramePr/>
                <a:graphic xmlns:a="http://schemas.openxmlformats.org/drawingml/2006/main">
                  <a:graphicData uri="http://schemas.microsoft.com/office/word/2010/wordprocessingShape">
                    <wps:wsp>
                      <wps:cNvSpPr txBox="1"/>
                      <wps:spPr>
                        <a:xfrm>
                          <a:off x="0" y="0"/>
                          <a:ext cx="742950" cy="2667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962527">
                            <w:pPr>
                              <w:jc w:val="center"/>
                              <w:rPr>
                                <w:rFonts w:hint="eastAsia" w:eastAsia="宋体"/>
                                <w:lang w:eastAsia="zh-CN"/>
                              </w:rPr>
                            </w:pPr>
                            <w:r>
                              <w:rPr>
                                <w:rFonts w:hint="eastAsia"/>
                                <w:lang w:eastAsia="zh-CN"/>
                              </w:rPr>
                              <w:t>鼓风机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7pt;margin-top:19.1pt;height:21pt;width:58.5pt;z-index:251763712;mso-width-relative:page;mso-height-relative:page;" fillcolor="#FFFFFF [3201]" filled="t" stroked="t" coordsize="21600,21600" o:gfxdata="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N0LZ9QAAAAJ&#10;AQAADwAAAAAAAAABACAAAAAiAAAAZHJzL2Rvd25yZXYueG1sUEsBAhQAFAAAAAgAh07iQAZqVEJZ&#10;AgAAugQAAA4AAAAAAAAAAQAgAAAAIwEAAGRycy9lMm9Eb2MueG1sUEsFBgAAAAAGAAYAWQEAAO4F&#10;AAAAAA==&#10;">
                <v:fill on="t" focussize="0,0"/>
                <v:stroke weight="0.5pt" color="#000000 [3204]" joinstyle="round"/>
                <v:imagedata o:title=""/>
                <o:lock v:ext="edit" aspectratio="f"/>
                <v:textbox>
                  <w:txbxContent>
                    <w:p w14:paraId="63962527">
                      <w:pPr>
                        <w:jc w:val="center"/>
                        <w:rPr>
                          <w:rFonts w:hint="eastAsia" w:eastAsia="宋体"/>
                          <w:lang w:eastAsia="zh-CN"/>
                        </w:rPr>
                      </w:pPr>
                      <w:r>
                        <w:rPr>
                          <w:rFonts w:hint="eastAsia"/>
                          <w:lang w:eastAsia="zh-CN"/>
                        </w:rPr>
                        <w:t>鼓风机</w:t>
                      </w:r>
                    </w:p>
                  </w:txbxContent>
                </v:textbox>
              </v:shape>
            </w:pict>
          </mc:Fallback>
        </mc:AlternateContent>
      </w:r>
      <w:r>
        <w:rPr>
          <w:sz w:val="24"/>
        </w:rPr>
        <mc:AlternateContent>
          <mc:Choice Requires="wps">
            <w:drawing>
              <wp:anchor distT="0" distB="0" distL="114300" distR="114300" simplePos="0" relativeHeight="251755520" behindDoc="0" locked="0" layoutInCell="1" allowOverlap="1">
                <wp:simplePos x="0" y="0"/>
                <wp:positionH relativeFrom="column">
                  <wp:posOffset>6743700</wp:posOffset>
                </wp:positionH>
                <wp:positionV relativeFrom="paragraph">
                  <wp:posOffset>72390</wp:posOffset>
                </wp:positionV>
                <wp:extent cx="904875" cy="314325"/>
                <wp:effectExtent l="4445" t="4445" r="5080" b="5080"/>
                <wp:wrapNone/>
                <wp:docPr id="160" name="文本框 160"/>
                <wp:cNvGraphicFramePr/>
                <a:graphic xmlns:a="http://schemas.openxmlformats.org/drawingml/2006/main">
                  <a:graphicData uri="http://schemas.microsoft.com/office/word/2010/wordprocessingShape">
                    <wps:wsp>
                      <wps:cNvSpPr txBox="1"/>
                      <wps:spPr>
                        <a:xfrm>
                          <a:off x="0" y="0"/>
                          <a:ext cx="9048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3C6004D">
                            <w:pPr>
                              <w:jc w:val="center"/>
                              <w:rPr>
                                <w:rFonts w:hint="eastAsia" w:eastAsia="宋体"/>
                                <w:lang w:eastAsia="zh-CN"/>
                              </w:rPr>
                            </w:pPr>
                            <w:r>
                              <w:rPr>
                                <w:rFonts w:hint="eastAsia"/>
                                <w:lang w:eastAsia="zh-CN"/>
                              </w:rPr>
                              <w:t>高频脱水筛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1pt;margin-top:5.7pt;height:24.75pt;width:71.25pt;z-index:251755520;mso-width-relative:page;mso-height-relative:page;" fillcolor="#FFFFFF [3201]" filled="t" stroked="t" coordsize="21600,21600" o:gfxdata="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yS1u/WAAAA&#10;CwEAAA8AAAAAAAAAAQAgAAAAIgAAAGRycy9kb3ducmV2LnhtbFBLAQIUABQAAAAIAIdO4kDNWQNv&#10;WAIAALoEAAAOAAAAAAAAAAEAIAAAACUBAABkcnMvZTJvRG9jLnhtbFBLBQYAAAAABgAGAFkBAADv&#10;BQAAAAA=&#10;">
                <v:fill on="t" focussize="0,0"/>
                <v:stroke weight="0.5pt" color="#000000 [3204]" joinstyle="round"/>
                <v:imagedata o:title=""/>
                <o:lock v:ext="edit" aspectratio="f"/>
                <v:textbox>
                  <w:txbxContent>
                    <w:p w14:paraId="13C6004D">
                      <w:pPr>
                        <w:jc w:val="center"/>
                        <w:rPr>
                          <w:rFonts w:hint="eastAsia" w:eastAsia="宋体"/>
                          <w:lang w:eastAsia="zh-CN"/>
                        </w:rPr>
                      </w:pPr>
                      <w:r>
                        <w:rPr>
                          <w:rFonts w:hint="eastAsia"/>
                          <w:lang w:eastAsia="zh-CN"/>
                        </w:rPr>
                        <w:t>高频脱水筛</w:t>
                      </w:r>
                    </w:p>
                  </w:txbxContent>
                </v:textbox>
              </v:shape>
            </w:pict>
          </mc:Fallback>
        </mc:AlternateContent>
      </w:r>
      <w:r>
        <w:rPr>
          <w:sz w:val="24"/>
        </w:rPr>
        <mc:AlternateContent>
          <mc:Choice Requires="wps">
            <w:drawing>
              <wp:anchor distT="0" distB="0" distL="114300" distR="114300" simplePos="0" relativeHeight="251699200" behindDoc="0" locked="0" layoutInCell="1" allowOverlap="1">
                <wp:simplePos x="0" y="0"/>
                <wp:positionH relativeFrom="column">
                  <wp:posOffset>2637790</wp:posOffset>
                </wp:positionH>
                <wp:positionV relativeFrom="paragraph">
                  <wp:posOffset>234950</wp:posOffset>
                </wp:positionV>
                <wp:extent cx="933450" cy="276225"/>
                <wp:effectExtent l="4445" t="4445" r="14605" b="5080"/>
                <wp:wrapNone/>
                <wp:docPr id="74" name="文本框 74"/>
                <wp:cNvGraphicFramePr/>
                <a:graphic xmlns:a="http://schemas.openxmlformats.org/drawingml/2006/main">
                  <a:graphicData uri="http://schemas.microsoft.com/office/word/2010/wordprocessingShape">
                    <wps:wsp>
                      <wps:cNvSpPr txBox="1"/>
                      <wps:spPr>
                        <a:xfrm>
                          <a:off x="0" y="0"/>
                          <a:ext cx="9334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438D779">
                            <w:pPr>
                              <w:jc w:val="center"/>
                              <w:rPr>
                                <w:rFonts w:hint="eastAsia" w:eastAsia="宋体"/>
                                <w:lang w:eastAsia="zh-CN"/>
                              </w:rPr>
                            </w:pPr>
                            <w:r>
                              <w:rPr>
                                <w:rFonts w:hint="eastAsia"/>
                                <w:lang w:eastAsia="zh-CN"/>
                              </w:rPr>
                              <w:t>浮选机刮板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7pt;margin-top:18.5pt;height:21.75pt;width:73.5pt;z-index:251699200;mso-width-relative:page;mso-height-relative:page;" fillcolor="#FFFFFF [3201]" filled="t" stroked="t" coordsize="21600,21600" o:gfxdata="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pomqbNcAAAAJ&#10;AQAADwAAAAAAAAABACAAAAAiAAAAZHJzL2Rvd25yZXYueG1sUEsBAhQAFAAAAAgAh07iQCJxROhW&#10;AgAAuAQAAA4AAAAAAAAAAQAgAAAAJgEAAGRycy9lMm9Eb2MueG1sUEsFBgAAAAAGAAYAWQEAAO4F&#10;AAAAAA==&#10;">
                <v:fill on="t" focussize="0,0"/>
                <v:stroke weight="0.5pt" color="#000000 [3204]" joinstyle="round"/>
                <v:imagedata o:title=""/>
                <o:lock v:ext="edit" aspectratio="f"/>
                <v:textbox>
                  <w:txbxContent>
                    <w:p w14:paraId="6438D779">
                      <w:pPr>
                        <w:jc w:val="center"/>
                        <w:rPr>
                          <w:rFonts w:hint="eastAsia" w:eastAsia="宋体"/>
                          <w:lang w:eastAsia="zh-CN"/>
                        </w:rPr>
                      </w:pPr>
                      <w:r>
                        <w:rPr>
                          <w:rFonts w:hint="eastAsia"/>
                          <w:lang w:eastAsia="zh-CN"/>
                        </w:rPr>
                        <w:t>浮选机刮板</w:t>
                      </w:r>
                    </w:p>
                  </w:txbxContent>
                </v:textbox>
              </v:shape>
            </w:pict>
          </mc:Fallback>
        </mc:AlternateContent>
      </w:r>
      <w:r>
        <w:rPr>
          <w:sz w:val="24"/>
        </w:rPr>
        <mc:AlternateContent>
          <mc:Choice Requires="wps">
            <w:drawing>
              <wp:anchor distT="0" distB="0" distL="114300" distR="114300" simplePos="0" relativeHeight="251741184" behindDoc="0" locked="0" layoutInCell="1" allowOverlap="1">
                <wp:simplePos x="0" y="0"/>
                <wp:positionH relativeFrom="column">
                  <wp:posOffset>7705725</wp:posOffset>
                </wp:positionH>
                <wp:positionV relativeFrom="paragraph">
                  <wp:posOffset>5715</wp:posOffset>
                </wp:positionV>
                <wp:extent cx="512445" cy="314325"/>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51244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A6CB2A">
                            <w:pPr>
                              <w:jc w:val="center"/>
                              <w:rPr>
                                <w:rFonts w:hint="eastAsia" w:eastAsia="宋体"/>
                                <w:lang w:eastAsia="zh-CN"/>
                              </w:rPr>
                            </w:pPr>
                            <w:r>
                              <w:rPr>
                                <w:rFonts w:hint="eastAsia"/>
                                <w:lang w:eastAsia="zh-CN"/>
                              </w:rPr>
                              <w:t>尾矿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6.75pt;margin-top:0.45pt;height:24.75pt;width:40.35pt;z-index:251741184;mso-width-relative:page;mso-height-relative:page;" filled="f" stroked="f" coordsize="21600,21600" o:gfxdata="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HP90dkAAAAJAQAADwAAAAAAAAABACAAAAAiAAAAZHJz&#10;L2Rvd25yZXYueG1sUEsBAhQAFAAAAAgAh07iQMR9SgU8AgAAaQQAAA4AAAAAAAAAAQAgAAAAKAEA&#10;AGRycy9lMm9Eb2MueG1sUEsFBgAAAAAGAAYAWQEAANYFAAAAAA==&#10;">
                <v:fill on="f" focussize="0,0"/>
                <v:stroke on="f" weight="0.5pt"/>
                <v:imagedata o:title=""/>
                <o:lock v:ext="edit" aspectratio="f"/>
                <v:textbox>
                  <w:txbxContent>
                    <w:p w14:paraId="73A6CB2A">
                      <w:pPr>
                        <w:jc w:val="center"/>
                        <w:rPr>
                          <w:rFonts w:hint="eastAsia" w:eastAsia="宋体"/>
                          <w:lang w:eastAsia="zh-CN"/>
                        </w:rPr>
                      </w:pPr>
                      <w:r>
                        <w:rPr>
                          <w:rFonts w:hint="eastAsia"/>
                          <w:lang w:eastAsia="zh-CN"/>
                        </w:rPr>
                        <w:t>尾矿</w:t>
                      </w:r>
                    </w:p>
                  </w:txbxContent>
                </v:textbox>
              </v:shape>
            </w:pict>
          </mc:Fallback>
        </mc:AlternateContent>
      </w:r>
      <w:r>
        <w:rPr>
          <w:sz w:val="24"/>
        </w:rPr>
        <mc:AlternateContent>
          <mc:Choice Requires="wps">
            <w:drawing>
              <wp:anchor distT="0" distB="0" distL="114300" distR="114300" simplePos="0" relativeHeight="251728896" behindDoc="0" locked="0" layoutInCell="1" allowOverlap="1">
                <wp:simplePos x="0" y="0"/>
                <wp:positionH relativeFrom="column">
                  <wp:posOffset>5314950</wp:posOffset>
                </wp:positionH>
                <wp:positionV relativeFrom="paragraph">
                  <wp:posOffset>53340</wp:posOffset>
                </wp:positionV>
                <wp:extent cx="542925" cy="314325"/>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54292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AD9A4">
                            <w:pPr>
                              <w:jc w:val="center"/>
                              <w:rPr>
                                <w:rFonts w:hint="eastAsia" w:eastAsia="宋体"/>
                                <w:lang w:eastAsia="zh-CN"/>
                              </w:rPr>
                            </w:pPr>
                            <w:r>
                              <w:rPr>
                                <w:rFonts w:hint="eastAsia"/>
                                <w:lang w:eastAsia="zh-CN"/>
                              </w:rPr>
                              <w:t>上流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8.5pt;margin-top:4.2pt;height:24.75pt;width:42.75pt;z-index:251728896;mso-width-relative:page;mso-height-relative:page;" filled="f" stroked="f" coordsize="21600,21600" o:gfxdata="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LhiRXaAAAACAEAAA8AAAAAAAAAAQAgAAAAIgAAAGRy&#10;cy9kb3ducmV2LnhtbFBLAQIUABQAAAAIAIdO4kBO0j50PAIAAGkEAAAOAAAAAAAAAAEAIAAAACkB&#10;AABkcnMvZTJvRG9jLnhtbFBLBQYAAAAABgAGAFkBAADXBQAAAAA=&#10;">
                <v:fill on="f" focussize="0,0"/>
                <v:stroke on="f" weight="0.5pt"/>
                <v:imagedata o:title=""/>
                <o:lock v:ext="edit" aspectratio="f"/>
                <v:textbox>
                  <w:txbxContent>
                    <w:p w14:paraId="6B9AD9A4">
                      <w:pPr>
                        <w:jc w:val="center"/>
                        <w:rPr>
                          <w:rFonts w:hint="eastAsia" w:eastAsia="宋体"/>
                          <w:lang w:eastAsia="zh-CN"/>
                        </w:rPr>
                      </w:pPr>
                      <w:r>
                        <w:rPr>
                          <w:rFonts w:hint="eastAsia"/>
                          <w:lang w:eastAsia="zh-CN"/>
                        </w:rPr>
                        <w:t>上流</w:t>
                      </w:r>
                    </w:p>
                  </w:txbxContent>
                </v:textbox>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5323205</wp:posOffset>
                </wp:positionH>
                <wp:positionV relativeFrom="paragraph">
                  <wp:posOffset>39370</wp:posOffset>
                </wp:positionV>
                <wp:extent cx="1270" cy="363220"/>
                <wp:effectExtent l="38100" t="0" r="36830" b="17780"/>
                <wp:wrapNone/>
                <wp:docPr id="109" name="直接箭头连接符 109"/>
                <wp:cNvGraphicFramePr/>
                <a:graphic xmlns:a="http://schemas.openxmlformats.org/drawingml/2006/main">
                  <a:graphicData uri="http://schemas.microsoft.com/office/word/2010/wordprocessingShape">
                    <wps:wsp>
                      <wps:cNvCnPr/>
                      <wps:spPr>
                        <a:xfrm flipH="1">
                          <a:off x="0" y="0"/>
                          <a:ext cx="1270" cy="36322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19.15pt;margin-top:3.1pt;height:28.6pt;width:0.1pt;z-index:251726848;mso-width-relative:page;mso-height-relative:page;" filled="f" stroked="t" coordsize="21600,21600" o:gfxdata="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iHx0z2AAAAAgBAAAPAAAAAAAAAAEAIAAAACIAAABkcnMv&#10;ZG93bnJldi54bWxQSwECFAAUAAAACACHTuJAMq7OSwMCAADaAwAADgAAAAAAAAABACAAAAAnAQAA&#10;ZHJzL2Uyb0RvYy54bWxQSwUGAAAAAAYABgBZAQAAnA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8220075</wp:posOffset>
                </wp:positionH>
                <wp:positionV relativeFrom="paragraph">
                  <wp:posOffset>296545</wp:posOffset>
                </wp:positionV>
                <wp:extent cx="3175" cy="330200"/>
                <wp:effectExtent l="35560" t="0" r="37465" b="12700"/>
                <wp:wrapNone/>
                <wp:docPr id="111" name="直接箭头连接符 111"/>
                <wp:cNvGraphicFramePr/>
                <a:graphic xmlns:a="http://schemas.openxmlformats.org/drawingml/2006/main">
                  <a:graphicData uri="http://schemas.microsoft.com/office/word/2010/wordprocessingShape">
                    <wps:wsp>
                      <wps:cNvCnPr/>
                      <wps:spPr>
                        <a:xfrm>
                          <a:off x="0" y="0"/>
                          <a:ext cx="3175" cy="33020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47.25pt;margin-top:23.35pt;height:26pt;width:0.25pt;z-index:251724800;mso-width-relative:page;mso-height-relative:page;" filled="f" stroked="t" coordsize="21600,21600" o:gfxdata="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P+BhdwAAAALAQAADwAAAAAAAAABACAAAAAiAAAAZHJzL2Rv&#10;d25yZXYueG1sUEsBAhQAFAAAAAgAh07iQNJrOYT9AQAA0AMAAA4AAAAAAAAAAQAgAAAAKwEAAGRy&#10;cy9lMm9Eb2MueG1sUEsFBgAAAAAGAAYAWQEAAJoFA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7667625</wp:posOffset>
                </wp:positionH>
                <wp:positionV relativeFrom="paragraph">
                  <wp:posOffset>255270</wp:posOffset>
                </wp:positionV>
                <wp:extent cx="555625" cy="3175"/>
                <wp:effectExtent l="0" t="0" r="0" b="0"/>
                <wp:wrapNone/>
                <wp:docPr id="114" name="直接箭头连接符 114"/>
                <wp:cNvGraphicFramePr/>
                <a:graphic xmlns:a="http://schemas.openxmlformats.org/drawingml/2006/main">
                  <a:graphicData uri="http://schemas.microsoft.com/office/word/2010/wordprocessingShape">
                    <wps:wsp>
                      <wps:cNvCnPr/>
                      <wps:spPr>
                        <a:xfrm flipV="1">
                          <a:off x="0" y="0"/>
                          <a:ext cx="555625" cy="3175"/>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603.75pt;margin-top:20.1pt;height:0.25pt;width:43.75pt;z-index:251743232;mso-width-relative:page;mso-height-relative:page;" filled="f" stroked="t" coordsize="21600,21600" o:gfxdata="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pFlHvZAAAACwEAAA8AAAAAAAAAAQAgAAAAIgAAAGRy&#10;cy9kb3ducmV2LnhtbFBLAQIUABQAAAAIAIdO4kDUxj9hBAIAANYDAAAOAAAAAAAAAAEAIAAAACgB&#10;AABkcnMvZTJvRG9jLnhtbFBLBQYAAAAABgAGAFkBAACeBQ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23776" behindDoc="0" locked="0" layoutInCell="1" allowOverlap="1">
                <wp:simplePos x="0" y="0"/>
                <wp:positionH relativeFrom="column">
                  <wp:posOffset>6334125</wp:posOffset>
                </wp:positionH>
                <wp:positionV relativeFrom="paragraph">
                  <wp:posOffset>243840</wp:posOffset>
                </wp:positionV>
                <wp:extent cx="423545" cy="5080"/>
                <wp:effectExtent l="0" t="37465" r="14605" b="33655"/>
                <wp:wrapNone/>
                <wp:docPr id="115" name="直接箭头连接符 115"/>
                <wp:cNvGraphicFramePr/>
                <a:graphic xmlns:a="http://schemas.openxmlformats.org/drawingml/2006/main">
                  <a:graphicData uri="http://schemas.microsoft.com/office/word/2010/wordprocessingShape">
                    <wps:wsp>
                      <wps:cNvCnPr/>
                      <wps:spPr>
                        <a:xfrm flipV="1">
                          <a:off x="0" y="0"/>
                          <a:ext cx="423545" cy="508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98.75pt;margin-top:19.2pt;height:0.4pt;width:33.35pt;z-index:251723776;mso-width-relative:page;mso-height-relative:page;" filled="f" stroked="t" coordsize="21600,21600" o:gfxdata="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uIkD22wAAAAoBAAAPAAAAAAAAAAEAIAAAACIA&#10;AABkcnMvZG93bnJldi54bWxQSwECFAAUAAAACACHTuJAu8fcHgYCAADaAwAADgAAAAAAAAABACAA&#10;AAAqAQAAZHJzL2Uyb0RvYy54bWxQSwUGAAAAAAYABgBZAQAAog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39136" behindDoc="0" locked="0" layoutInCell="1" allowOverlap="1">
                <wp:simplePos x="0" y="0"/>
                <wp:positionH relativeFrom="column">
                  <wp:posOffset>5657850</wp:posOffset>
                </wp:positionH>
                <wp:positionV relativeFrom="paragraph">
                  <wp:posOffset>272415</wp:posOffset>
                </wp:positionV>
                <wp:extent cx="733425" cy="314325"/>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3342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A1564">
                            <w:pPr>
                              <w:jc w:val="center"/>
                              <w:rPr>
                                <w:rFonts w:hint="eastAsia" w:eastAsia="宋体"/>
                                <w:lang w:eastAsia="zh-CN"/>
                              </w:rPr>
                            </w:pPr>
                            <w:r>
                              <w:rPr>
                                <w:rFonts w:hint="eastAsia"/>
                                <w:lang w:eastAsia="zh-CN"/>
                              </w:rPr>
                              <w:t>上流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5pt;margin-top:21.45pt;height:24.75pt;width:57.75pt;z-index:251739136;mso-width-relative:page;mso-height-relative:page;" filled="f" stroked="f" coordsize="21600,21600" o:gfxdata="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BGQnaAAAACgEAAA8AAAAAAAAAAQAgAAAAIgAAAGRy&#10;cy9kb3ducmV2LnhtbFBLAQIUABQAAAAIAIdO4kDihPCKPAIAAGkEAAAOAAAAAAAAAAEAIAAAACkB&#10;AABkcnMvZTJvRG9jLnhtbFBLBQYAAAAABgAGAFkBAADXBQAAAAA=&#10;">
                <v:fill on="f" focussize="0,0"/>
                <v:stroke on="f" weight="0.5pt"/>
                <v:imagedata o:title=""/>
                <o:lock v:ext="edit" aspectratio="f"/>
                <v:textbox>
                  <w:txbxContent>
                    <w:p w14:paraId="6CDA1564">
                      <w:pPr>
                        <w:jc w:val="center"/>
                        <w:rPr>
                          <w:rFonts w:hint="eastAsia" w:eastAsia="宋体"/>
                          <w:lang w:eastAsia="zh-CN"/>
                        </w:rPr>
                      </w:pPr>
                      <w:r>
                        <w:rPr>
                          <w:rFonts w:hint="eastAsia"/>
                          <w:lang w:eastAsia="zh-CN"/>
                        </w:rPr>
                        <w:t>上流</w:t>
                      </w:r>
                    </w:p>
                  </w:txbxContent>
                </v:textbox>
              </v:shape>
            </w:pict>
          </mc:Fallback>
        </mc:AlternateContent>
      </w:r>
    </w:p>
    <w:p w14:paraId="0720F8C0">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01248" behindDoc="0" locked="0" layoutInCell="1" allowOverlap="1">
                <wp:simplePos x="0" y="0"/>
                <wp:positionH relativeFrom="column">
                  <wp:posOffset>2698115</wp:posOffset>
                </wp:positionH>
                <wp:positionV relativeFrom="paragraph">
                  <wp:posOffset>204470</wp:posOffset>
                </wp:positionV>
                <wp:extent cx="415925" cy="27622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41592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1C7629">
                            <w:pPr>
                              <w:jc w:val="center"/>
                              <w:rPr>
                                <w:rFonts w:hint="eastAsia" w:eastAsia="宋体"/>
                                <w:lang w:eastAsia="zh-CN"/>
                              </w:rPr>
                            </w:pPr>
                            <w:r>
                              <w:rPr>
                                <w:rFonts w:hint="eastAsia"/>
                                <w:lang w:eastAsia="zh-CN"/>
                              </w:rPr>
                              <w:t>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45pt;margin-top:16.1pt;height:21.75pt;width:32.75pt;z-index:251701248;mso-width-relative:page;mso-height-relative:page;" filled="f" stroked="f" coordsize="21600,21600" o:gfxdata="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qRgJ2wAAAAkBAAAPAAAAAAAAAAEAIAAAACIAAABk&#10;cnMvZG93bnJldi54bWxQSwECFAAUAAAACACHTuJA6wbwnDwCAABnBAAADgAAAAAAAAABACAAAAAq&#10;AQAAZHJzL2Uyb0RvYy54bWxQSwUGAAAAAAYABgBZAQAA2AUAAAAA&#10;">
                <v:fill on="f" focussize="0,0"/>
                <v:stroke on="f" weight="0.5pt"/>
                <v:imagedata o:title=""/>
                <o:lock v:ext="edit" aspectratio="f"/>
                <v:textbox>
                  <w:txbxContent>
                    <w:p w14:paraId="2B1C7629">
                      <w:pPr>
                        <w:jc w:val="center"/>
                        <w:rPr>
                          <w:rFonts w:hint="eastAsia" w:eastAsia="宋体"/>
                          <w:lang w:eastAsia="zh-CN"/>
                        </w:rPr>
                      </w:pPr>
                      <w:r>
                        <w:rPr>
                          <w:rFonts w:hint="eastAsia"/>
                          <w:lang w:eastAsia="zh-CN"/>
                        </w:rPr>
                        <w:t>泵</w:t>
                      </w:r>
                    </w:p>
                  </w:txbxContent>
                </v:textbox>
              </v:shape>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7134225</wp:posOffset>
                </wp:positionH>
                <wp:positionV relativeFrom="paragraph">
                  <wp:posOffset>52070</wp:posOffset>
                </wp:positionV>
                <wp:extent cx="855980" cy="276225"/>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85598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741CB">
                            <w:pPr>
                              <w:jc w:val="center"/>
                              <w:rPr>
                                <w:rFonts w:hint="default" w:eastAsia="宋体"/>
                                <w:lang w:val="en-US" w:eastAsia="zh-CN"/>
                              </w:rPr>
                            </w:pPr>
                            <w:r>
                              <w:rPr>
                                <w:rFonts w:hint="eastAsia"/>
                                <w:lang w:val="en-US" w:eastAsia="zh-CN"/>
                              </w:rPr>
                              <w:t>N11、W8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1.75pt;margin-top:4.1pt;height:21.75pt;width:67.4pt;z-index:251773952;mso-width-relative:page;mso-height-relative:page;" filled="f" stroked="f" coordsize="21600,21600" o:gfxdata="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SS8od2gAAAAoBAAAPAAAAAAAAAAEAIAAAACIAAABk&#10;cnMvZG93bnJldi54bWxQSwECFAAUAAAACACHTuJAC/50cz0CAABpBAAADgAAAAAAAAABACAAAAAp&#10;AQAAZHJzL2Uyb0RvYy54bWxQSwUGAAAAAAYABgBZAQAA2AUAAAAA&#10;">
                <v:fill on="f" focussize="0,0"/>
                <v:stroke on="f" weight="0.5pt"/>
                <v:imagedata o:title=""/>
                <o:lock v:ext="edit" aspectratio="f"/>
                <v:textbox>
                  <w:txbxContent>
                    <w:p w14:paraId="098741CB">
                      <w:pPr>
                        <w:jc w:val="center"/>
                        <w:rPr>
                          <w:rFonts w:hint="default" w:eastAsia="宋体"/>
                          <w:lang w:val="en-US" w:eastAsia="zh-CN"/>
                        </w:rPr>
                      </w:pPr>
                      <w:r>
                        <w:rPr>
                          <w:rFonts w:hint="eastAsia"/>
                          <w:lang w:val="en-US" w:eastAsia="zh-CN"/>
                        </w:rPr>
                        <w:t>N11、W8</w:t>
                      </w:r>
                    </w:p>
                  </w:txbxContent>
                </v:textbox>
              </v:shape>
            </w:pict>
          </mc:Fallback>
        </mc:AlternateContent>
      </w:r>
      <w:r>
        <w:rPr>
          <w:sz w:val="24"/>
        </w:rPr>
        <mc:AlternateContent>
          <mc:Choice Requires="wps">
            <w:drawing>
              <wp:anchor distT="0" distB="0" distL="114300" distR="114300" simplePos="0" relativeHeight="251765760" behindDoc="0" locked="0" layoutInCell="1" allowOverlap="1">
                <wp:simplePos x="0" y="0"/>
                <wp:positionH relativeFrom="column">
                  <wp:posOffset>1790065</wp:posOffset>
                </wp:positionH>
                <wp:positionV relativeFrom="paragraph">
                  <wp:posOffset>137795</wp:posOffset>
                </wp:positionV>
                <wp:extent cx="371475" cy="27622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9A07D4">
                            <w:pPr>
                              <w:jc w:val="center"/>
                              <w:rPr>
                                <w:rFonts w:hint="default" w:eastAsia="宋体"/>
                                <w:lang w:val="en-US" w:eastAsia="zh-CN"/>
                              </w:rPr>
                            </w:pPr>
                            <w:r>
                              <w:rPr>
                                <w:rFonts w:hint="eastAsia"/>
                                <w:lang w:val="en-US" w:eastAsia="zh-CN"/>
                              </w:rPr>
                              <w:t>N4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0.95pt;margin-top:10.85pt;height:21.75pt;width:29.25pt;z-index:251765760;mso-width-relative:page;mso-height-relative:page;" filled="f" stroked="f" coordsize="21600,21600" o:gfxdata="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&#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JnEabbAAAACQEAAA8AAAAAAAAAAQAgAAAAIgAA&#10;AGRycy9kb3ducmV2LnhtbFBLAQIUABQAAAAIAIdO4kA7J96KPgIAAGkEAAAOAAAAAAAAAAEAIAAA&#10;ACoBAABkcnMvZTJvRG9jLnhtbFBLBQYAAAAABgAGAFkBAADaBQAAAAA=&#10;">
                <v:fill on="f" focussize="0,0"/>
                <v:stroke on="f" weight="0.5pt"/>
                <v:imagedata o:title=""/>
                <o:lock v:ext="edit" aspectratio="f"/>
                <v:textbox>
                  <w:txbxContent>
                    <w:p w14:paraId="779A07D4">
                      <w:pPr>
                        <w:jc w:val="center"/>
                        <w:rPr>
                          <w:rFonts w:hint="default" w:eastAsia="宋体"/>
                          <w:lang w:val="en-US" w:eastAsia="zh-CN"/>
                        </w:rPr>
                      </w:pPr>
                      <w:r>
                        <w:rPr>
                          <w:rFonts w:hint="eastAsia"/>
                          <w:lang w:val="en-US" w:eastAsia="zh-CN"/>
                        </w:rPr>
                        <w:t>N4</w:t>
                      </w:r>
                    </w:p>
                  </w:txbxContent>
                </v:textbox>
              </v:shape>
            </w:pict>
          </mc:Fallback>
        </mc:AlternateContent>
      </w:r>
      <w:r>
        <w:rPr>
          <w:sz w:val="24"/>
        </w:rPr>
        <mc:AlternateContent>
          <mc:Choice Requires="wps">
            <w:drawing>
              <wp:anchor distT="0" distB="0" distL="114300" distR="114300" simplePos="0" relativeHeight="251762688" behindDoc="0" locked="0" layoutInCell="1" allowOverlap="1">
                <wp:simplePos x="0" y="0"/>
                <wp:positionH relativeFrom="column">
                  <wp:posOffset>1961515</wp:posOffset>
                </wp:positionH>
                <wp:positionV relativeFrom="paragraph">
                  <wp:posOffset>78740</wp:posOffset>
                </wp:positionV>
                <wp:extent cx="688340" cy="635"/>
                <wp:effectExtent l="0" t="37465" r="16510" b="38100"/>
                <wp:wrapNone/>
                <wp:docPr id="167" name="直接箭头连接符 167"/>
                <wp:cNvGraphicFramePr/>
                <a:graphic xmlns:a="http://schemas.openxmlformats.org/drawingml/2006/main">
                  <a:graphicData uri="http://schemas.microsoft.com/office/word/2010/wordprocessingShape">
                    <wps:wsp>
                      <wps:cNvCnPr/>
                      <wps:spPr>
                        <a:xfrm>
                          <a:off x="0" y="0"/>
                          <a:ext cx="688340" cy="6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54.45pt;margin-top:6.2pt;height:0.05pt;width:54.2pt;z-index:251762688;mso-width-relative:page;mso-height-relative:page;" filled="f" stroked="t" coordsize="21600,21600" o:gfxdata="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KDQZI1gAAAAkBAAAPAAAAAAAAAAEAIAAAACIAAABkcnMvZG93bnJldi54&#10;bWxQSwECFAAUAAAACACHTuJAQ+wexfwBAADQAwAADgAAAAAAAAABACAAAAAlAQAAZHJzL2Uyb0Rv&#10;Yy54bWxQSwUGAAAAAAYABgBZAQAAkw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761664" behindDoc="0" locked="0" layoutInCell="1" allowOverlap="1">
                <wp:simplePos x="0" y="0"/>
                <wp:positionH relativeFrom="column">
                  <wp:posOffset>3342640</wp:posOffset>
                </wp:positionH>
                <wp:positionV relativeFrom="paragraph">
                  <wp:posOffset>156845</wp:posOffset>
                </wp:positionV>
                <wp:extent cx="371475" cy="276225"/>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3714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CA7D0">
                            <w:pPr>
                              <w:jc w:val="center"/>
                              <w:rPr>
                                <w:rFonts w:hint="default" w:eastAsia="宋体"/>
                                <w:lang w:val="en-US" w:eastAsia="zh-CN"/>
                              </w:rPr>
                            </w:pPr>
                            <w:r>
                              <w:rPr>
                                <w:rFonts w:hint="eastAsia"/>
                                <w:lang w:val="en-US" w:eastAsia="zh-CN"/>
                              </w:rPr>
                              <w:t>N5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2pt;margin-top:12.35pt;height:21.75pt;width:29.25pt;z-index:251761664;mso-width-relative:page;mso-height-relative:page;" filled="f" stroked="f" coordsize="21600,21600" o:gfxdata="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cQ49sAAAAJAQAADwAAAAAAAAABACAAAAAiAAAA&#10;ZHJzL2Rvd25yZXYueG1sUEsBAhQAFAAAAAgAh07iQCZjDzk9AgAAaQQAAA4AAAAAAAAAAQAgAAAA&#10;KgEAAGRycy9lMm9Eb2MueG1sUEsFBgAAAAAGAAYAWQEAANkFAAAAAA==&#10;">
                <v:fill on="f" focussize="0,0"/>
                <v:stroke on="f" weight="0.5pt"/>
                <v:imagedata o:title=""/>
                <o:lock v:ext="edit" aspectratio="f"/>
                <v:textbox>
                  <w:txbxContent>
                    <w:p w14:paraId="220CA7D0">
                      <w:pPr>
                        <w:jc w:val="center"/>
                        <w:rPr>
                          <w:rFonts w:hint="default" w:eastAsia="宋体"/>
                          <w:lang w:val="en-US" w:eastAsia="zh-CN"/>
                        </w:rPr>
                      </w:pPr>
                      <w:r>
                        <w:rPr>
                          <w:rFonts w:hint="eastAsia"/>
                          <w:lang w:val="en-US" w:eastAsia="zh-CN"/>
                        </w:rPr>
                        <w:t>N5</w:t>
                      </w:r>
                    </w:p>
                  </w:txbxContent>
                </v:textbox>
              </v:shape>
            </w:pict>
          </mc:Fallback>
        </mc:AlternateContent>
      </w:r>
      <w:r>
        <w:rPr>
          <w:sz w:val="24"/>
        </w:rPr>
        <mc:AlternateContent>
          <mc:Choice Requires="wps">
            <w:drawing>
              <wp:anchor distT="0" distB="0" distL="114300" distR="114300" simplePos="0" relativeHeight="251700224" behindDoc="0" locked="0" layoutInCell="1" allowOverlap="1">
                <wp:simplePos x="0" y="0"/>
                <wp:positionH relativeFrom="column">
                  <wp:posOffset>3114040</wp:posOffset>
                </wp:positionH>
                <wp:positionV relativeFrom="paragraph">
                  <wp:posOffset>223520</wp:posOffset>
                </wp:positionV>
                <wp:extent cx="6985" cy="349885"/>
                <wp:effectExtent l="32385" t="0" r="36830" b="12065"/>
                <wp:wrapNone/>
                <wp:docPr id="75" name="直接箭头连接符 75"/>
                <wp:cNvGraphicFramePr/>
                <a:graphic xmlns:a="http://schemas.openxmlformats.org/drawingml/2006/main">
                  <a:graphicData uri="http://schemas.microsoft.com/office/word/2010/wordprocessingShape">
                    <wps:wsp>
                      <wps:cNvCnPr/>
                      <wps:spPr>
                        <a:xfrm>
                          <a:off x="0" y="0"/>
                          <a:ext cx="6985" cy="34988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5.2pt;margin-top:17.6pt;height:27.55pt;width:0.55pt;z-index:251700224;mso-width-relative:page;mso-height-relative:page;" filled="f" stroked="t" coordsize="21600,21600" o:gfxdata="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vGr21wAAAAkBAAAPAAAAAAAAAAEAIAAAACIAAABkcnMvZG93bnJl&#10;di54bWxQSwECFAAUAAAACACHTuJAQtaTlv4BAADPAwAADgAAAAAAAAABACAAAAAmAQAAZHJzL2Uy&#10;b0RvYy54bWxQSwUGAAAAAAYABgBZAQAAlg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736064" behindDoc="0" locked="0" layoutInCell="1" allowOverlap="1">
                <wp:simplePos x="0" y="0"/>
                <wp:positionH relativeFrom="column">
                  <wp:posOffset>6477000</wp:posOffset>
                </wp:positionH>
                <wp:positionV relativeFrom="paragraph">
                  <wp:posOffset>118110</wp:posOffset>
                </wp:positionV>
                <wp:extent cx="656590" cy="31432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AEB701">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0pt;margin-top:9.3pt;height:24.75pt;width:51.7pt;z-index:251736064;mso-width-relative:page;mso-height-relative:page;" filled="f" stroked="f" coordsize="21600,21600" o:gfxdata="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bWxyvaAAAACwEAAA8AAAAAAAAAAQAgAAAAIgAAAGRy&#10;cy9kb3ducmV2LnhtbFBLAQIUABQAAAAIAIdO4kBhddqAPAIAAGkEAAAOAAAAAAAAAAEAIAAAACkB&#10;AABkcnMvZTJvRG9jLnhtbFBLBQYAAAAABgAGAFkBAADXBQAAAAA=&#10;">
                <v:fill on="f" focussize="0,0"/>
                <v:stroke on="f" weight="0.5pt"/>
                <v:imagedata o:title=""/>
                <o:lock v:ext="edit" aspectratio="f"/>
                <v:textbox>
                  <w:txbxContent>
                    <w:p w14:paraId="54AEB701">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734016" behindDoc="0" locked="0" layoutInCell="1" allowOverlap="1">
                <wp:simplePos x="0" y="0"/>
                <wp:positionH relativeFrom="column">
                  <wp:posOffset>6956425</wp:posOffset>
                </wp:positionH>
                <wp:positionV relativeFrom="paragraph">
                  <wp:posOffset>100965</wp:posOffset>
                </wp:positionV>
                <wp:extent cx="9525" cy="1438275"/>
                <wp:effectExtent l="37465" t="0" r="29210" b="9525"/>
                <wp:wrapNone/>
                <wp:docPr id="113" name="直接箭头连接符 113"/>
                <wp:cNvGraphicFramePr/>
                <a:graphic xmlns:a="http://schemas.openxmlformats.org/drawingml/2006/main">
                  <a:graphicData uri="http://schemas.microsoft.com/office/word/2010/wordprocessingShape">
                    <wps:wsp>
                      <wps:cNvCnPr/>
                      <wps:spPr>
                        <a:xfrm flipH="1">
                          <a:off x="0" y="0"/>
                          <a:ext cx="9525" cy="1438275"/>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547.75pt;margin-top:7.95pt;height:113.25pt;width:0.75pt;z-index:251734016;mso-width-relative:page;mso-height-relative:page;" filled="f" stroked="t" coordsize="21600,21600" o:gfxdata="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CRFH3AAAAAwBAAAPAAAAAAAAAAEAIAAA&#10;ACIAAABkcnMvZG93bnJldi54bWxQSwECFAAUAAAACACHTuJABmuC2QgCAADbAwAADgAAAAAAAAAB&#10;ACAAAAArAQAAZHJzL2Uyb0RvYy54bWxQSwUGAAAAAAYABgBZAQAApQU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30944" behindDoc="0" locked="0" layoutInCell="1" allowOverlap="1">
                <wp:simplePos x="0" y="0"/>
                <wp:positionH relativeFrom="column">
                  <wp:posOffset>5772150</wp:posOffset>
                </wp:positionH>
                <wp:positionV relativeFrom="paragraph">
                  <wp:posOffset>271145</wp:posOffset>
                </wp:positionV>
                <wp:extent cx="517525" cy="4445"/>
                <wp:effectExtent l="0" t="0" r="0" b="0"/>
                <wp:wrapNone/>
                <wp:docPr id="117" name="直接箭头连接符 117"/>
                <wp:cNvGraphicFramePr/>
                <a:graphic xmlns:a="http://schemas.openxmlformats.org/drawingml/2006/main">
                  <a:graphicData uri="http://schemas.microsoft.com/office/word/2010/wordprocessingShape">
                    <wps:wsp>
                      <wps:cNvCnPr/>
                      <wps:spPr>
                        <a:xfrm flipV="1">
                          <a:off x="0" y="0"/>
                          <a:ext cx="517525" cy="4445"/>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454.5pt;margin-top:21.35pt;height:0.35pt;width:40.75pt;z-index:251730944;mso-width-relative:page;mso-height-relative:page;" filled="f" stroked="t" coordsize="21600,21600" o:gfxdata="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QjeJ3aAAAACQEAAA8AAAAAAAAAAQAgAAAAIgAAAGRy&#10;cy9kb3ducmV2LnhtbFBLAQIUABQAAAAIAIdO4kAPOHctAwIAANYDAAAOAAAAAAAAAAEAIAAAACkB&#10;AABkcnMvZTJvRG9jLnhtbFBLBQYAAAAABgAGAFkBAACeBQ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29920" behindDoc="0" locked="0" layoutInCell="1" allowOverlap="1">
                <wp:simplePos x="0" y="0"/>
                <wp:positionH relativeFrom="column">
                  <wp:posOffset>4886325</wp:posOffset>
                </wp:positionH>
                <wp:positionV relativeFrom="paragraph">
                  <wp:posOffset>99060</wp:posOffset>
                </wp:positionV>
                <wp:extent cx="875665" cy="314325"/>
                <wp:effectExtent l="4445" t="4445" r="15240" b="5080"/>
                <wp:wrapNone/>
                <wp:docPr id="118" name="文本框 118"/>
                <wp:cNvGraphicFramePr/>
                <a:graphic xmlns:a="http://schemas.openxmlformats.org/drawingml/2006/main">
                  <a:graphicData uri="http://schemas.microsoft.com/office/word/2010/wordprocessingShape">
                    <wps:wsp>
                      <wps:cNvSpPr txBox="1"/>
                      <wps:spPr>
                        <a:xfrm>
                          <a:off x="0" y="0"/>
                          <a:ext cx="87566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3EFA7E">
                            <w:pPr>
                              <w:jc w:val="center"/>
                              <w:rPr>
                                <w:rFonts w:hint="eastAsia" w:eastAsia="宋体"/>
                                <w:lang w:eastAsia="zh-CN"/>
                              </w:rPr>
                            </w:pPr>
                            <w:r>
                              <w:rPr>
                                <w:rFonts w:hint="eastAsia"/>
                                <w:lang w:eastAsia="zh-CN"/>
                              </w:rPr>
                              <w:t>尾矿浓密机</w:t>
                            </w:r>
                          </w:p>
                          <w:p w14:paraId="47CBF173">
                            <w:pP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75pt;margin-top:7.8pt;height:24.75pt;width:68.95pt;z-index:251729920;mso-width-relative:page;mso-height-relative:page;" fillcolor="#FFFFFF [3201]" filled="t" stroked="t" coordsize="21600,21600" o:gfxdata="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KsM71gAA&#10;AAkBAAAPAAAAAAAAAAEAIAAAACIAAABkcnMvZG93bnJldi54bWxQSwECFAAUAAAACACHTuJASC5h&#10;c1kCAAC6BAAADgAAAAAAAAABACAAAAAlAQAAZHJzL2Uyb0RvYy54bWxQSwUGAAAAAAYABgBZAQAA&#10;8AUAAAAA&#10;">
                <v:fill on="t" focussize="0,0"/>
                <v:stroke weight="0.5pt" color="#000000 [3204]" joinstyle="round"/>
                <v:imagedata o:title=""/>
                <o:lock v:ext="edit" aspectratio="f"/>
                <v:textbox>
                  <w:txbxContent>
                    <w:p w14:paraId="023EFA7E">
                      <w:pPr>
                        <w:jc w:val="center"/>
                        <w:rPr>
                          <w:rFonts w:hint="eastAsia" w:eastAsia="宋体"/>
                          <w:lang w:eastAsia="zh-CN"/>
                        </w:rPr>
                      </w:pPr>
                      <w:r>
                        <w:rPr>
                          <w:rFonts w:hint="eastAsia"/>
                          <w:lang w:eastAsia="zh-CN"/>
                        </w:rPr>
                        <w:t>尾矿浓密机</w:t>
                      </w:r>
                    </w:p>
                    <w:p w14:paraId="47CBF173">
                      <w:pPr>
                        <w:rPr>
                          <w:rFonts w:hint="eastAsia"/>
                          <w:lang w:eastAsia="zh-CN"/>
                        </w:rPr>
                      </w:pPr>
                    </w:p>
                  </w:txbxContent>
                </v:textbox>
              </v:shape>
            </w:pict>
          </mc:Fallback>
        </mc:AlternateContent>
      </w:r>
    </w:p>
    <w:p w14:paraId="5C7E3CBA">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21728" behindDoc="0" locked="0" layoutInCell="1" allowOverlap="1">
                <wp:simplePos x="0" y="0"/>
                <wp:positionH relativeFrom="column">
                  <wp:posOffset>7358380</wp:posOffset>
                </wp:positionH>
                <wp:positionV relativeFrom="paragraph">
                  <wp:posOffset>30480</wp:posOffset>
                </wp:positionV>
                <wp:extent cx="1574165" cy="286385"/>
                <wp:effectExtent l="4445" t="4445" r="21590" b="13970"/>
                <wp:wrapNone/>
                <wp:docPr id="122" name="文本框 122"/>
                <wp:cNvGraphicFramePr/>
                <a:graphic xmlns:a="http://schemas.openxmlformats.org/drawingml/2006/main">
                  <a:graphicData uri="http://schemas.microsoft.com/office/word/2010/wordprocessingShape">
                    <wps:wsp>
                      <wps:cNvSpPr txBox="1"/>
                      <wps:spPr>
                        <a:xfrm>
                          <a:off x="0" y="0"/>
                          <a:ext cx="157416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15C8BC">
                            <w:pPr>
                              <w:jc w:val="center"/>
                              <w:rPr>
                                <w:rFonts w:hint="default" w:eastAsia="宋体"/>
                                <w:lang w:val="en-US" w:eastAsia="zh-CN"/>
                              </w:rPr>
                            </w:pPr>
                            <w:r>
                              <w:rPr>
                                <w:rFonts w:hint="eastAsia"/>
                                <w:lang w:val="en-US" w:eastAsia="zh-CN"/>
                              </w:rPr>
                              <w:t>干排车间尾矿内暂存处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9.4pt;margin-top:2.4pt;height:22.55pt;width:123.95pt;z-index:251721728;mso-width-relative:page;mso-height-relative:page;" fillcolor="#FFFFFF [3201]" filled="t" stroked="t" coordsize="21600,21600" o:gfxdata="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KuijS&#10;1wAAAAoBAAAPAAAAAAAAAAEAIAAAACIAAABkcnMvZG93bnJldi54bWxQSwECFAAUAAAACACHTuJA&#10;K9EaX1sCAAC7BAAADgAAAAAAAAABACAAAAAmAQAAZHJzL2Uyb0RvYy54bWxQSwUGAAAAAAYABgBZ&#10;AQAA8wUAAAAA&#10;">
                <v:fill on="t" focussize="0,0"/>
                <v:stroke weight="0.5pt" color="#000000 [3204]" joinstyle="round"/>
                <v:imagedata o:title=""/>
                <o:lock v:ext="edit" aspectratio="f"/>
                <v:textbox>
                  <w:txbxContent>
                    <w:p w14:paraId="7E15C8BC">
                      <w:pPr>
                        <w:jc w:val="center"/>
                        <w:rPr>
                          <w:rFonts w:hint="default" w:eastAsia="宋体"/>
                          <w:lang w:val="en-US" w:eastAsia="zh-CN"/>
                        </w:rPr>
                      </w:pPr>
                      <w:r>
                        <w:rPr>
                          <w:rFonts w:hint="eastAsia"/>
                          <w:lang w:val="en-US" w:eastAsia="zh-CN"/>
                        </w:rPr>
                        <w:t>干排车间尾矿内暂存处</w:t>
                      </w:r>
                    </w:p>
                  </w:txbxContent>
                </v:textbox>
              </v:shape>
            </w:pict>
          </mc:Fallback>
        </mc:AlternateContent>
      </w:r>
      <w:r>
        <w:rPr>
          <w:sz w:val="24"/>
        </w:rPr>
        <mc:AlternateContent>
          <mc:Choice Requires="wps">
            <w:drawing>
              <wp:anchor distT="0" distB="0" distL="114300" distR="114300" simplePos="0" relativeHeight="251771904" behindDoc="0" locked="0" layoutInCell="1" allowOverlap="1">
                <wp:simplePos x="0" y="0"/>
                <wp:positionH relativeFrom="column">
                  <wp:posOffset>5486400</wp:posOffset>
                </wp:positionH>
                <wp:positionV relativeFrom="paragraph">
                  <wp:posOffset>21590</wp:posOffset>
                </wp:positionV>
                <wp:extent cx="647065" cy="276225"/>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64706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40D563">
                            <w:pPr>
                              <w:jc w:val="center"/>
                              <w:rPr>
                                <w:rFonts w:hint="default" w:eastAsia="宋体"/>
                                <w:lang w:val="en-US" w:eastAsia="zh-CN"/>
                              </w:rPr>
                            </w:pPr>
                            <w:r>
                              <w:rPr>
                                <w:rFonts w:hint="eastAsia"/>
                                <w:lang w:val="en-US" w:eastAsia="zh-CN"/>
                              </w:rPr>
                              <w:t>N9、W6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pt;margin-top:1.7pt;height:21.75pt;width:50.95pt;z-index:251771904;mso-width-relative:page;mso-height-relative:page;" filled="f" stroked="f" coordsize="21600,21600" o:gfxdata="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gLHKn2gAAAAgBAAAPAAAAAAAAAAEAIAAAACIAAABk&#10;cnMvZG93bnJldi54bWxQSwECFAAUAAAACACHTuJA1n2Qkz0CAABpBAAADgAAAAAAAAABACAAAAAp&#10;AQAAZHJzL2Uyb0RvYy54bWxQSwUGAAAAAAYABgBZAQAA2AUAAAAA&#10;">
                <v:fill on="f" focussize="0,0"/>
                <v:stroke on="f" weight="0.5pt"/>
                <v:imagedata o:title=""/>
                <o:lock v:ext="edit" aspectratio="f"/>
                <v:textbox>
                  <w:txbxContent>
                    <w:p w14:paraId="1340D563">
                      <w:pPr>
                        <w:jc w:val="center"/>
                        <w:rPr>
                          <w:rFonts w:hint="default" w:eastAsia="宋体"/>
                          <w:lang w:val="en-US" w:eastAsia="zh-CN"/>
                        </w:rPr>
                      </w:pPr>
                      <w:r>
                        <w:rPr>
                          <w:rFonts w:hint="eastAsia"/>
                          <w:lang w:val="en-US" w:eastAsia="zh-CN"/>
                        </w:rPr>
                        <w:t>N9、W6</w:t>
                      </w:r>
                    </w:p>
                  </w:txbxContent>
                </v:textbox>
              </v:shape>
            </w:pict>
          </mc:Fallback>
        </mc:AlternateContent>
      </w:r>
      <w:r>
        <w:rPr>
          <w:sz w:val="24"/>
        </w:rPr>
        <mc:AlternateContent>
          <mc:Choice Requires="wps">
            <w:drawing>
              <wp:anchor distT="0" distB="0" distL="114300" distR="114300" simplePos="0" relativeHeight="251748352" behindDoc="0" locked="0" layoutInCell="1" allowOverlap="1">
                <wp:simplePos x="0" y="0"/>
                <wp:positionH relativeFrom="column">
                  <wp:posOffset>3686175</wp:posOffset>
                </wp:positionH>
                <wp:positionV relativeFrom="paragraph">
                  <wp:posOffset>144780</wp:posOffset>
                </wp:positionV>
                <wp:extent cx="656590" cy="31432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B15C9">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25pt;margin-top:11.4pt;height:24.75pt;width:51.7pt;z-index:251748352;mso-width-relative:page;mso-height-relative:page;" filled="f" stroked="f" coordsize="21600,21600" o:gfxdata="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TzExtoAAAAJAQAADwAAAAAAAAABACAAAAAiAAAAZHJz&#10;L2Rvd25yZXYueG1sUEsBAhQAFAAAAAgAh07iQGfurpc7AgAAaQQAAA4AAAAAAAAAAQAgAAAAKQEA&#10;AGRycy9lMm9Eb2MueG1sUEsFBgAAAAAGAAYAWQEAANYFAAAAAA==&#10;">
                <v:fill on="f" focussize="0,0"/>
                <v:stroke on="f" weight="0.5pt"/>
                <v:imagedata o:title=""/>
                <o:lock v:ext="edit" aspectratio="f"/>
                <v:textbox>
                  <w:txbxContent>
                    <w:p w14:paraId="294B15C9">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702272" behindDoc="0" locked="0" layoutInCell="1" allowOverlap="1">
                <wp:simplePos x="0" y="0"/>
                <wp:positionH relativeFrom="column">
                  <wp:posOffset>2637790</wp:posOffset>
                </wp:positionH>
                <wp:positionV relativeFrom="paragraph">
                  <wp:posOffset>269240</wp:posOffset>
                </wp:positionV>
                <wp:extent cx="933450" cy="276225"/>
                <wp:effectExtent l="4445" t="4445" r="14605" b="5080"/>
                <wp:wrapNone/>
                <wp:docPr id="77" name="文本框 77"/>
                <wp:cNvGraphicFramePr/>
                <a:graphic xmlns:a="http://schemas.openxmlformats.org/drawingml/2006/main">
                  <a:graphicData uri="http://schemas.microsoft.com/office/word/2010/wordprocessingShape">
                    <wps:wsp>
                      <wps:cNvSpPr txBox="1"/>
                      <wps:spPr>
                        <a:xfrm>
                          <a:off x="0" y="0"/>
                          <a:ext cx="9334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93C908">
                            <w:pPr>
                              <w:jc w:val="center"/>
                              <w:rPr>
                                <w:rFonts w:hint="eastAsia" w:eastAsia="宋体"/>
                                <w:lang w:eastAsia="zh-CN"/>
                              </w:rPr>
                            </w:pPr>
                            <w:r>
                              <w:rPr>
                                <w:rFonts w:hint="eastAsia"/>
                                <w:lang w:eastAsia="zh-CN"/>
                              </w:rPr>
                              <w:t>精矿浓密机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7.7pt;margin-top:21.2pt;height:21.75pt;width:73.5pt;z-index:251702272;mso-width-relative:page;mso-height-relative:page;" fillcolor="#FFFFFF [3201]" filled="t" stroked="t" coordsize="21600,21600" o:gfxdata="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a1CZ9UAAAAJAQAA&#10;DwAAAAAAAAABACAAAAAiAAAAZHJzL2Rvd25yZXYueG1sUEsBAhQAFAAAAAgAh07iQK/GcupVAgAA&#10;uAQAAA4AAAAAAAAAAQAgAAAAJAEAAGRycy9lMm9Eb2MueG1sUEsFBgAAAAAGAAYAWQEAAOsFAAAA&#10;AA==&#10;">
                <v:fill on="t" focussize="0,0"/>
                <v:stroke weight="0.5pt" color="#000000 [3204]" joinstyle="round"/>
                <v:imagedata o:title=""/>
                <o:lock v:ext="edit" aspectratio="f"/>
                <v:textbox>
                  <w:txbxContent>
                    <w:p w14:paraId="2693C908">
                      <w:pPr>
                        <w:jc w:val="center"/>
                        <w:rPr>
                          <w:rFonts w:hint="eastAsia" w:eastAsia="宋体"/>
                          <w:lang w:eastAsia="zh-CN"/>
                        </w:rPr>
                      </w:pPr>
                      <w:r>
                        <w:rPr>
                          <w:rFonts w:hint="eastAsia"/>
                          <w:lang w:eastAsia="zh-CN"/>
                        </w:rPr>
                        <w:t>精矿浓密机</w:t>
                      </w:r>
                    </w:p>
                  </w:txbxContent>
                </v:textbox>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5219700</wp:posOffset>
                </wp:positionH>
                <wp:positionV relativeFrom="paragraph">
                  <wp:posOffset>135255</wp:posOffset>
                </wp:positionV>
                <wp:extent cx="656590" cy="314325"/>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69AA7">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1pt;margin-top:10.65pt;height:24.75pt;width:51.7pt;z-index:251740160;mso-width-relative:page;mso-height-relative:page;" filled="f" stroked="f" coordsize="21600,21600" o:gfxdata="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1OGhtoAAAAJAQAADwAAAAAAAAABACAAAAAiAAAAZHJz&#10;L2Rvd25yZXYueG1sUEsBAhQAFAAAAAgAh07iQBtU89g7AgAAaQQAAA4AAAAAAAAAAQAgAAAAKQEA&#10;AGRycy9lMm9Eb2MueG1sUEsFBgAAAAAGAAYAWQEAANYFAAAAAA==&#10;">
                <v:fill on="f" focussize="0,0"/>
                <v:stroke on="f" weight="0.5pt"/>
                <v:imagedata o:title=""/>
                <o:lock v:ext="edit" aspectratio="f"/>
                <v:textbox>
                  <w:txbxContent>
                    <w:p w14:paraId="31569AA7">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738112" behindDoc="0" locked="0" layoutInCell="1" allowOverlap="1">
                <wp:simplePos x="0" y="0"/>
                <wp:positionH relativeFrom="column">
                  <wp:posOffset>5318125</wp:posOffset>
                </wp:positionH>
                <wp:positionV relativeFrom="paragraph">
                  <wp:posOffset>132080</wp:posOffset>
                </wp:positionV>
                <wp:extent cx="0" cy="320040"/>
                <wp:effectExtent l="38100" t="0" r="38100" b="3810"/>
                <wp:wrapNone/>
                <wp:docPr id="124" name="直接箭头连接符 124"/>
                <wp:cNvGraphicFramePr/>
                <a:graphic xmlns:a="http://schemas.openxmlformats.org/drawingml/2006/main">
                  <a:graphicData uri="http://schemas.microsoft.com/office/word/2010/wordprocessingShape">
                    <wps:wsp>
                      <wps:cNvCnPr/>
                      <wps:spPr>
                        <a:xfrm>
                          <a:off x="0" y="0"/>
                          <a:ext cx="0" cy="32004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18.75pt;margin-top:10.4pt;height:25.2pt;width:0pt;z-index:251738112;mso-width-relative:page;mso-height-relative:page;" filled="f" stroked="t" coordsize="21600,21600" o:gfxdata="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5cDyvZAAAACQEAAA8AAAAAAAAAAQAgAAAAIgAAAGRycy9kb3ducmV2Lnht&#10;bFBLAQIUABQAAAAIAIdO4kBx3FFD+AEAAM0DAAAOAAAAAAAAAAEAIAAAACgBAABkcnMvZTJvRG9j&#10;LnhtbFBLBQYAAAAABgAGAFkBAACSBQAAAAA=&#10;">
                <v:fill on="f" focussize="0,0"/>
                <v:stroke weight="1pt" color="#000000 [3213]" joinstyle="round" dashstyle="dash" endarrow="block"/>
                <v:imagedata o:title=""/>
                <o:lock v:ext="edit" aspectratio="f"/>
              </v:shape>
            </w:pict>
          </mc:Fallback>
        </mc:AlternateContent>
      </w:r>
    </w:p>
    <w:p w14:paraId="68913268">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69856" behindDoc="0" locked="0" layoutInCell="1" allowOverlap="1">
                <wp:simplePos x="0" y="0"/>
                <wp:positionH relativeFrom="column">
                  <wp:posOffset>5695315</wp:posOffset>
                </wp:positionH>
                <wp:positionV relativeFrom="paragraph">
                  <wp:posOffset>248285</wp:posOffset>
                </wp:positionV>
                <wp:extent cx="419100" cy="276225"/>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41910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E3CB7">
                            <w:pPr>
                              <w:jc w:val="center"/>
                              <w:rPr>
                                <w:rFonts w:hint="default" w:eastAsia="宋体"/>
                                <w:lang w:val="en-US" w:eastAsia="zh-CN"/>
                              </w:rPr>
                            </w:pPr>
                            <w:r>
                              <w:rPr>
                                <w:rFonts w:hint="eastAsia"/>
                                <w:lang w:val="en-US" w:eastAsia="zh-CN"/>
                              </w:rPr>
                              <w:t>S3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8.45pt;margin-top:19.55pt;height:21.75pt;width:33pt;z-index:251769856;mso-width-relative:page;mso-height-relative:page;" filled="f" stroked="f" coordsize="21600,21600" o:gfxdata="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16RIdkAAAAJAQAADwAAAAAAAAABACAAAAAiAAAAZHJz&#10;L2Rvd25yZXYueG1sUEsBAhQAFAAAAAgAh07iQP+fFsc8AgAAaQQAAA4AAAAAAAAAAQAgAAAAKAEA&#10;AGRycy9lMm9Eb2MueG1sUEsFBgAAAAAGAAYAWQEAANYFAAAAAA==&#10;">
                <v:fill on="f" focussize="0,0"/>
                <v:stroke on="f" weight="0.5pt"/>
                <v:imagedata o:title=""/>
                <o:lock v:ext="edit" aspectratio="f"/>
                <v:textbox>
                  <w:txbxContent>
                    <w:p w14:paraId="545E3CB7">
                      <w:pPr>
                        <w:jc w:val="center"/>
                        <w:rPr>
                          <w:rFonts w:hint="default" w:eastAsia="宋体"/>
                          <w:lang w:val="en-US" w:eastAsia="zh-CN"/>
                        </w:rPr>
                      </w:pPr>
                      <w:r>
                        <w:rPr>
                          <w:rFonts w:hint="eastAsia"/>
                          <w:lang w:val="en-US" w:eastAsia="zh-CN"/>
                        </w:rPr>
                        <w:t>S3</w:t>
                      </w:r>
                    </w:p>
                  </w:txbxContent>
                </v:textbox>
              </v:shape>
            </w:pict>
          </mc:Fallback>
        </mc:AlternateContent>
      </w:r>
      <w:r>
        <w:rPr>
          <w:sz w:val="24"/>
        </w:rPr>
        <mc:AlternateContent>
          <mc:Choice Requires="wps">
            <w:drawing>
              <wp:anchor distT="0" distB="0" distL="114300" distR="114300" simplePos="0" relativeHeight="251760640" behindDoc="0" locked="0" layoutInCell="1" allowOverlap="1">
                <wp:simplePos x="0" y="0"/>
                <wp:positionH relativeFrom="column">
                  <wp:posOffset>3162300</wp:posOffset>
                </wp:positionH>
                <wp:positionV relativeFrom="paragraph">
                  <wp:posOffset>200660</wp:posOffset>
                </wp:positionV>
                <wp:extent cx="647065" cy="276225"/>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64706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E9946">
                            <w:pPr>
                              <w:jc w:val="center"/>
                              <w:rPr>
                                <w:rFonts w:hint="default" w:eastAsia="宋体"/>
                                <w:lang w:val="en-US" w:eastAsia="zh-CN"/>
                              </w:rPr>
                            </w:pPr>
                            <w:r>
                              <w:rPr>
                                <w:rFonts w:hint="eastAsia"/>
                                <w:lang w:val="en-US" w:eastAsia="zh-CN"/>
                              </w:rPr>
                              <w:t>N6、W3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pt;margin-top:15.8pt;height:21.75pt;width:50.95pt;z-index:251760640;mso-width-relative:page;mso-height-relative:page;" filled="f" stroked="f" coordsize="21600,21600" o:gfxdata="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&#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a7gGc2wAAAAkBAAAPAAAAAAAAAAEAIAAAACIAAABk&#10;cnMvZG93bnJldi54bWxQSwECFAAUAAAACACHTuJAmn24VTwCAABpBAAADgAAAAAAAAABACAAAAAq&#10;AQAAZHJzL2Uyb0RvYy54bWxQSwUGAAAAAAYABgBZAQAA2AUAAAAA&#10;">
                <v:fill on="f" focussize="0,0"/>
                <v:stroke on="f" weight="0.5pt"/>
                <v:imagedata o:title=""/>
                <o:lock v:ext="edit" aspectratio="f"/>
                <v:textbox>
                  <w:txbxContent>
                    <w:p w14:paraId="7EFE9946">
                      <w:pPr>
                        <w:jc w:val="center"/>
                        <w:rPr>
                          <w:rFonts w:hint="default" w:eastAsia="宋体"/>
                          <w:lang w:val="en-US" w:eastAsia="zh-CN"/>
                        </w:rPr>
                      </w:pPr>
                      <w:r>
                        <w:rPr>
                          <w:rFonts w:hint="eastAsia"/>
                          <w:lang w:val="en-US" w:eastAsia="zh-CN"/>
                        </w:rPr>
                        <w:t>N6、W3</w:t>
                      </w:r>
                    </w:p>
                  </w:txbxContent>
                </v:textbox>
              </v:shape>
            </w:pict>
          </mc:Fallback>
        </mc:AlternateContent>
      </w:r>
      <w:r>
        <w:rPr>
          <w:sz w:val="24"/>
        </w:rPr>
        <mc:AlternateContent>
          <mc:Choice Requires="wps">
            <w:drawing>
              <wp:anchor distT="0" distB="0" distL="114300" distR="114300" simplePos="0" relativeHeight="251713536" behindDoc="0" locked="0" layoutInCell="1" allowOverlap="1">
                <wp:simplePos x="0" y="0"/>
                <wp:positionH relativeFrom="column">
                  <wp:posOffset>3589655</wp:posOffset>
                </wp:positionH>
                <wp:positionV relativeFrom="paragraph">
                  <wp:posOffset>96520</wp:posOffset>
                </wp:positionV>
                <wp:extent cx="948055" cy="8890"/>
                <wp:effectExtent l="0" t="37465" r="4445" b="29845"/>
                <wp:wrapNone/>
                <wp:docPr id="148" name="直接箭头连接符 148"/>
                <wp:cNvGraphicFramePr/>
                <a:graphic xmlns:a="http://schemas.openxmlformats.org/drawingml/2006/main">
                  <a:graphicData uri="http://schemas.microsoft.com/office/word/2010/wordprocessingShape">
                    <wps:wsp>
                      <wps:cNvCnPr/>
                      <wps:spPr>
                        <a:xfrm flipV="1">
                          <a:off x="0" y="0"/>
                          <a:ext cx="948055" cy="889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282.65pt;margin-top:7.6pt;height:0.7pt;width:74.65pt;z-index:251713536;mso-width-relative:page;mso-height-relative:page;" filled="f" stroked="t" coordsize="21600,21600" o:gfxdata="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Y2ro7aAAAACQEAAA8AAAAAAAAAAQAgAAAAIgAA&#10;AGRycy9kb3ducmV2LnhtbFBLAQIUABQAAAAIAIdO4kC3n6LnBgIAANoDAAAOAAAAAAAAAAEAIAAA&#10;ACkBAABkcnMvZTJvRG9jLnhtbFBLBQYAAAAABgAGAFkBAAChBQ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3114040</wp:posOffset>
                </wp:positionH>
                <wp:positionV relativeFrom="paragraph">
                  <wp:posOffset>248285</wp:posOffset>
                </wp:positionV>
                <wp:extent cx="6985" cy="330835"/>
                <wp:effectExtent l="33020" t="0" r="36195" b="12065"/>
                <wp:wrapNone/>
                <wp:docPr id="78" name="直接箭头连接符 78"/>
                <wp:cNvGraphicFramePr/>
                <a:graphic xmlns:a="http://schemas.openxmlformats.org/drawingml/2006/main">
                  <a:graphicData uri="http://schemas.microsoft.com/office/word/2010/wordprocessingShape">
                    <wps:wsp>
                      <wps:cNvCnPr/>
                      <wps:spPr>
                        <a:xfrm>
                          <a:off x="0" y="0"/>
                          <a:ext cx="6985" cy="330835"/>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5.2pt;margin-top:19.55pt;height:26.05pt;width:0.55pt;z-index:251703296;mso-width-relative:page;mso-height-relative:page;" filled="f" stroked="t" coordsize="21600,21600" o:gfxdata="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If6ktcAAAAJAQAADwAAAAAAAAABACAAAAAiAAAAZHJzL2Rvd25y&#10;ZXYueG1sUEsBAhQAFAAAAAgAh07iQJUFeK//AQAAzwMAAA4AAAAAAAAAAQAgAAAAJgEAAGRycy9l&#10;Mm9Eb2MueG1sUEsFBgAAAAAGAAYAWQEAAJcFA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705344" behindDoc="0" locked="0" layoutInCell="1" allowOverlap="1">
                <wp:simplePos x="0" y="0"/>
                <wp:positionH relativeFrom="column">
                  <wp:posOffset>2533015</wp:posOffset>
                </wp:positionH>
                <wp:positionV relativeFrom="paragraph">
                  <wp:posOffset>286385</wp:posOffset>
                </wp:positionV>
                <wp:extent cx="590550" cy="27622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59055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D6FCC">
                            <w:pPr>
                              <w:jc w:val="center"/>
                              <w:rPr>
                                <w:rFonts w:hint="eastAsia" w:eastAsia="宋体"/>
                                <w:lang w:eastAsia="zh-CN"/>
                              </w:rPr>
                            </w:pPr>
                            <w:r>
                              <w:rPr>
                                <w:rFonts w:hint="eastAsia"/>
                                <w:lang w:eastAsia="zh-CN"/>
                              </w:rPr>
                              <w:t>提升泵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45pt;margin-top:22.55pt;height:21.75pt;width:46.5pt;z-index:251705344;mso-width-relative:page;mso-height-relative:page;" filled="f" stroked="f" coordsize="21600,21600" o:gfxdata="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BpAlc2gAAAAkBAAAPAAAAAAAAAAEAIAAAACIAAABkcnMv&#10;ZG93bnJldi54bWxQSwECFAAUAAAACACHTuJANAKdIDoCAABnBAAADgAAAAAAAAABACAAAAApAQAA&#10;ZHJzL2Uyb0RvYy54bWxQSwUGAAAAAAYABgBZAQAA1QUAAAAA&#10;">
                <v:fill on="f" focussize="0,0"/>
                <v:stroke on="f" weight="0.5pt"/>
                <v:imagedata o:title=""/>
                <o:lock v:ext="edit" aspectratio="f"/>
                <v:textbox>
                  <w:txbxContent>
                    <w:p w14:paraId="686D6FCC">
                      <w:pPr>
                        <w:jc w:val="center"/>
                        <w:rPr>
                          <w:rFonts w:hint="eastAsia" w:eastAsia="宋体"/>
                          <w:lang w:eastAsia="zh-CN"/>
                        </w:rPr>
                      </w:pPr>
                      <w:r>
                        <w:rPr>
                          <w:rFonts w:hint="eastAsia"/>
                          <w:lang w:eastAsia="zh-CN"/>
                        </w:rPr>
                        <w:t>提升泵</w:t>
                      </w:r>
                    </w:p>
                  </w:txbxContent>
                </v:textbox>
              </v:shape>
            </w:pict>
          </mc:Fallback>
        </mc:AlternateContent>
      </w:r>
      <w:r>
        <w:rPr>
          <w:sz w:val="24"/>
        </w:rPr>
        <mc:AlternateContent>
          <mc:Choice Requires="wps">
            <w:drawing>
              <wp:anchor distT="0" distB="0" distL="114300" distR="114300" simplePos="0" relativeHeight="251745280" behindDoc="0" locked="0" layoutInCell="1" allowOverlap="1">
                <wp:simplePos x="0" y="0"/>
                <wp:positionH relativeFrom="column">
                  <wp:posOffset>8194675</wp:posOffset>
                </wp:positionH>
                <wp:positionV relativeFrom="paragraph">
                  <wp:posOffset>30480</wp:posOffset>
                </wp:positionV>
                <wp:extent cx="5080" cy="294005"/>
                <wp:effectExtent l="36830" t="0" r="34290" b="10795"/>
                <wp:wrapNone/>
                <wp:docPr id="127" name="直接箭头连接符 127"/>
                <wp:cNvGraphicFramePr/>
                <a:graphic xmlns:a="http://schemas.openxmlformats.org/drawingml/2006/main">
                  <a:graphicData uri="http://schemas.microsoft.com/office/word/2010/wordprocessingShape">
                    <wps:wsp>
                      <wps:cNvCnPr/>
                      <wps:spPr>
                        <a:xfrm flipH="1" flipV="1">
                          <a:off x="0" y="0"/>
                          <a:ext cx="5080" cy="294005"/>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645.25pt;margin-top:2.4pt;height:23.15pt;width:0.4pt;z-index:251745280;mso-width-relative:page;mso-height-relative:page;" filled="f" stroked="t" coordsize="21600,21600" o:gfxdata="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&#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peEv7WAAAACgEAAA8AAAAAAAAAAQAgAAAAIgAAAGRy&#10;cy9kb3ducmV2LnhtbFBLAQIUABQAAAAIAIdO4kBRR4HfBwIAAOQDAAAOAAAAAAAAAAEAIAAAACUB&#10;AABkcnMvZTJvRG9jLnhtbFBLBQYAAAAABgAGAFkBAACeBQ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column">
                  <wp:posOffset>5772150</wp:posOffset>
                </wp:positionH>
                <wp:positionV relativeFrom="paragraph">
                  <wp:posOffset>85725</wp:posOffset>
                </wp:positionV>
                <wp:extent cx="512445" cy="314325"/>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51244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E438F">
                            <w:pPr>
                              <w:jc w:val="center"/>
                              <w:rPr>
                                <w:rFonts w:hint="eastAsia" w:eastAsia="宋体"/>
                                <w:lang w:eastAsia="zh-CN"/>
                              </w:rPr>
                            </w:pPr>
                            <w:r>
                              <w:rPr>
                                <w:rFonts w:hint="eastAsia"/>
                                <w:lang w:eastAsia="zh-CN"/>
                              </w:rPr>
                              <w:t>尾矿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6.75pt;height:24.75pt;width:40.35pt;z-index:251746304;mso-width-relative:page;mso-height-relative:page;" filled="f" stroked="f" coordsize="21600,21600" o:gfxdata="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oKFYTaAAAACQEAAA8AAAAAAAAAAQAgAAAAIgAAAGRy&#10;cy9kb3ducmV2LnhtbFBLAQIUABQAAAAIAIdO4kChtET4PAIAAGkEAAAOAAAAAAAAAAEAIAAAACkB&#10;AABkcnMvZTJvRG9jLnhtbFBLBQYAAAAABgAGAFkBAADXBQAAAAA=&#10;">
                <v:fill on="f" focussize="0,0"/>
                <v:stroke on="f" weight="0.5pt"/>
                <v:imagedata o:title=""/>
                <o:lock v:ext="edit" aspectratio="f"/>
                <v:textbox>
                  <w:txbxContent>
                    <w:p w14:paraId="717E438F">
                      <w:pPr>
                        <w:jc w:val="center"/>
                        <w:rPr>
                          <w:rFonts w:hint="eastAsia" w:eastAsia="宋体"/>
                          <w:lang w:eastAsia="zh-CN"/>
                        </w:rPr>
                      </w:pPr>
                      <w:r>
                        <w:rPr>
                          <w:rFonts w:hint="eastAsia"/>
                          <w:lang w:eastAsia="zh-CN"/>
                        </w:rPr>
                        <w:t>尾矿</w:t>
                      </w:r>
                    </w:p>
                  </w:txbxContent>
                </v:textbox>
              </v:shape>
            </w:pict>
          </mc:Fallback>
        </mc:AlternateContent>
      </w:r>
      <w:r>
        <w:rPr>
          <w:sz w:val="24"/>
        </w:rPr>
        <mc:AlternateContent>
          <mc:Choice Requires="wps">
            <w:drawing>
              <wp:anchor distT="0" distB="0" distL="114300" distR="114300" simplePos="0" relativeHeight="251731968" behindDoc="0" locked="0" layoutInCell="1" allowOverlap="1">
                <wp:simplePos x="0" y="0"/>
                <wp:positionH relativeFrom="column">
                  <wp:posOffset>4876800</wp:posOffset>
                </wp:positionH>
                <wp:positionV relativeFrom="paragraph">
                  <wp:posOffset>152400</wp:posOffset>
                </wp:positionV>
                <wp:extent cx="875665" cy="314325"/>
                <wp:effectExtent l="4445" t="4445" r="15240" b="5080"/>
                <wp:wrapNone/>
                <wp:docPr id="128" name="文本框 128"/>
                <wp:cNvGraphicFramePr/>
                <a:graphic xmlns:a="http://schemas.openxmlformats.org/drawingml/2006/main">
                  <a:graphicData uri="http://schemas.microsoft.com/office/word/2010/wordprocessingShape">
                    <wps:wsp>
                      <wps:cNvSpPr txBox="1"/>
                      <wps:spPr>
                        <a:xfrm>
                          <a:off x="0" y="0"/>
                          <a:ext cx="87566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720E5E">
                            <w:pPr>
                              <w:jc w:val="center"/>
                              <w:rPr>
                                <w:rFonts w:hint="eastAsia" w:eastAsia="宋体"/>
                                <w:lang w:eastAsia="zh-CN"/>
                              </w:rPr>
                            </w:pPr>
                            <w:r>
                              <w:rPr>
                                <w:rFonts w:hint="eastAsia"/>
                                <w:lang w:eastAsia="zh-CN"/>
                              </w:rPr>
                              <w:t>板框压滤机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pt;margin-top:12pt;height:24.75pt;width:68.95pt;z-index:251731968;mso-width-relative:page;mso-height-relative:page;" fillcolor="#FFFFFF [3201]" filled="t" stroked="t" coordsize="21600,21600" o:gfxdata="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nSwItcA&#10;AAAJAQAADwAAAAAAAAABACAAAAAiAAAAZHJzL2Rvd25yZXYueG1sUEsBAhQAFAAAAAgAh07iQMuQ&#10;oapZAgAAugQAAA4AAAAAAAAAAQAgAAAAJgEAAGRycy9lMm9Eb2MueG1sUEsFBgAAAAAGAAYAWQEA&#10;APEFAAAAAA==&#10;">
                <v:fill on="t" focussize="0,0"/>
                <v:stroke weight="0.5pt" color="#000000 [3204]" joinstyle="round"/>
                <v:imagedata o:title=""/>
                <o:lock v:ext="edit" aspectratio="f"/>
                <v:textbox>
                  <w:txbxContent>
                    <w:p w14:paraId="4C720E5E">
                      <w:pPr>
                        <w:jc w:val="center"/>
                        <w:rPr>
                          <w:rFonts w:hint="eastAsia" w:eastAsia="宋体"/>
                          <w:lang w:eastAsia="zh-CN"/>
                        </w:rPr>
                      </w:pPr>
                      <w:r>
                        <w:rPr>
                          <w:rFonts w:hint="eastAsia"/>
                          <w:lang w:eastAsia="zh-CN"/>
                        </w:rPr>
                        <w:t>板框压滤机</w:t>
                      </w:r>
                    </w:p>
                  </w:txbxContent>
                </v:textbox>
              </v:shape>
            </w:pict>
          </mc:Fallback>
        </mc:AlternateContent>
      </w:r>
    </w:p>
    <w:p w14:paraId="74C1A97B">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72928" behindDoc="0" locked="0" layoutInCell="1" allowOverlap="1">
                <wp:simplePos x="0" y="0"/>
                <wp:positionH relativeFrom="column">
                  <wp:posOffset>5581650</wp:posOffset>
                </wp:positionH>
                <wp:positionV relativeFrom="paragraph">
                  <wp:posOffset>84455</wp:posOffset>
                </wp:positionV>
                <wp:extent cx="855980" cy="276225"/>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85598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D19D02">
                            <w:pPr>
                              <w:jc w:val="center"/>
                              <w:rPr>
                                <w:rFonts w:hint="default" w:eastAsia="宋体"/>
                                <w:lang w:val="en-US" w:eastAsia="zh-CN"/>
                              </w:rPr>
                            </w:pPr>
                            <w:r>
                              <w:rPr>
                                <w:rFonts w:hint="eastAsia"/>
                                <w:lang w:val="en-US" w:eastAsia="zh-CN"/>
                              </w:rPr>
                              <w:t>N10、W7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9.5pt;margin-top:6.65pt;height:21.75pt;width:67.4pt;z-index:251772928;mso-width-relative:page;mso-height-relative:page;" filled="f" stroked="f" coordsize="21600,21600" o:gfxdata="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&#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foJwE2gAAAAoBAAAPAAAAAAAAAAEAIAAAACIAAABk&#10;cnMvZG93bnJldi54bWxQSwECFAAUAAAACACHTuJAqNA88T0CAABpBAAADgAAAAAAAAABACAAAAAp&#10;AQAAZHJzL2Uyb0RvYy54bWxQSwUGAAAAAAYABgBZAQAA2AUAAAAA&#10;">
                <v:fill on="f" focussize="0,0"/>
                <v:stroke on="f" weight="0.5pt"/>
                <v:imagedata o:title=""/>
                <o:lock v:ext="edit" aspectratio="f"/>
                <v:textbox>
                  <w:txbxContent>
                    <w:p w14:paraId="0FD19D02">
                      <w:pPr>
                        <w:jc w:val="center"/>
                        <w:rPr>
                          <w:rFonts w:hint="default" w:eastAsia="宋体"/>
                          <w:lang w:val="en-US" w:eastAsia="zh-CN"/>
                        </w:rPr>
                      </w:pPr>
                      <w:r>
                        <w:rPr>
                          <w:rFonts w:hint="eastAsia"/>
                          <w:lang w:val="en-US" w:eastAsia="zh-CN"/>
                        </w:rPr>
                        <w:t>N10、W7</w:t>
                      </w:r>
                    </w:p>
                  </w:txbxContent>
                </v:textbox>
              </v:shape>
            </w:pict>
          </mc:Fallback>
        </mc:AlternateContent>
      </w:r>
      <w:r>
        <w:rPr>
          <w:sz w:val="24"/>
        </w:rPr>
        <mc:AlternateContent>
          <mc:Choice Requires="wps">
            <w:drawing>
              <wp:anchor distT="0" distB="0" distL="114300" distR="114300" simplePos="0" relativeHeight="251712512" behindDoc="0" locked="0" layoutInCell="1" allowOverlap="1">
                <wp:simplePos x="0" y="0"/>
                <wp:positionH relativeFrom="column">
                  <wp:posOffset>3686175</wp:posOffset>
                </wp:positionH>
                <wp:positionV relativeFrom="paragraph">
                  <wp:posOffset>121920</wp:posOffset>
                </wp:positionV>
                <wp:extent cx="656590" cy="314325"/>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69139D">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25pt;margin-top:9.6pt;height:24.75pt;width:51.7pt;z-index:251712512;mso-width-relative:page;mso-height-relative:page;" filled="f" stroked="f" coordsize="21600,21600" o:gfxdata="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&#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OefK3aAAAACQEAAA8AAAAAAAAAAQAgAAAAIgAAAGRy&#10;cy9kb3ducmV2LnhtbFBLAQIUABQAAAAIAIdO4kDBN/HcPAIAAGkEAAAOAAAAAAAAAAEAIAAAACkB&#10;AABkcnMvZTJvRG9jLnhtbFBLBQYAAAAABgAGAFkBAADXBQAAAAA=&#10;">
                <v:fill on="f" focussize="0,0"/>
                <v:stroke on="f" weight="0.5pt"/>
                <v:imagedata o:title=""/>
                <o:lock v:ext="edit" aspectratio="f"/>
                <v:textbox>
                  <w:txbxContent>
                    <w:p w14:paraId="5869139D">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704320" behindDoc="0" locked="0" layoutInCell="1" allowOverlap="1">
                <wp:simplePos x="0" y="0"/>
                <wp:positionH relativeFrom="column">
                  <wp:posOffset>2647315</wp:posOffset>
                </wp:positionH>
                <wp:positionV relativeFrom="paragraph">
                  <wp:posOffset>284480</wp:posOffset>
                </wp:positionV>
                <wp:extent cx="933450" cy="276225"/>
                <wp:effectExtent l="4445" t="4445" r="14605" b="5080"/>
                <wp:wrapNone/>
                <wp:docPr id="79" name="文本框 79"/>
                <wp:cNvGraphicFramePr/>
                <a:graphic xmlns:a="http://schemas.openxmlformats.org/drawingml/2006/main">
                  <a:graphicData uri="http://schemas.microsoft.com/office/word/2010/wordprocessingShape">
                    <wps:wsp>
                      <wps:cNvSpPr txBox="1"/>
                      <wps:spPr>
                        <a:xfrm>
                          <a:off x="0" y="0"/>
                          <a:ext cx="93345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A8ABF2">
                            <w:pPr>
                              <w:jc w:val="center"/>
                              <w:rPr>
                                <w:rFonts w:hint="eastAsia" w:eastAsia="宋体"/>
                                <w:lang w:eastAsia="zh-CN"/>
                              </w:rPr>
                            </w:pPr>
                            <w:r>
                              <w:rPr>
                                <w:rFonts w:hint="eastAsia"/>
                                <w:lang w:eastAsia="zh-CN"/>
                              </w:rPr>
                              <w:t>精矿过滤机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8.45pt;margin-top:22.4pt;height:21.75pt;width:73.5pt;z-index:251704320;mso-width-relative:page;mso-height-relative:page;" fillcolor="#FFFFFF [3201]" filled="t" stroked="t" coordsize="21600,21600" o:gfxdata="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2B69q9YAAAAJ&#10;AQAADwAAAAAAAAABACAAAAAiAAAAZHJzL2Rvd25yZXYueG1sUEsBAhQAFAAAAAgAh07iQFLAo1dX&#10;AgAAuAQAAA4AAAAAAAAAAQAgAAAAJQEAAGRycy9lMm9Eb2MueG1sUEsFBgAAAAAGAAYAWQEAAO4F&#10;AAAAAA==&#10;">
                <v:fill on="t" focussize="0,0"/>
                <v:stroke weight="0.5pt" color="#000000 [3204]" joinstyle="round"/>
                <v:imagedata o:title=""/>
                <o:lock v:ext="edit" aspectratio="f"/>
                <v:textbox>
                  <w:txbxContent>
                    <w:p w14:paraId="26A8ABF2">
                      <w:pPr>
                        <w:jc w:val="center"/>
                        <w:rPr>
                          <w:rFonts w:hint="eastAsia" w:eastAsia="宋体"/>
                          <w:lang w:eastAsia="zh-CN"/>
                        </w:rPr>
                      </w:pPr>
                      <w:r>
                        <w:rPr>
                          <w:rFonts w:hint="eastAsia"/>
                          <w:lang w:eastAsia="zh-CN"/>
                        </w:rPr>
                        <w:t>精矿过滤机</w:t>
                      </w:r>
                    </w:p>
                  </w:txbxContent>
                </v:textbox>
              </v:shape>
            </w:pict>
          </mc:Fallback>
        </mc:AlternateContent>
      </w:r>
      <w:r>
        <w:rPr>
          <w:sz w:val="24"/>
        </w:rPr>
        <mc:AlternateContent>
          <mc:Choice Requires="wps">
            <w:drawing>
              <wp:anchor distT="0" distB="0" distL="114300" distR="114300" simplePos="0" relativeHeight="251744256" behindDoc="0" locked="0" layoutInCell="1" allowOverlap="1">
                <wp:simplePos x="0" y="0"/>
                <wp:positionH relativeFrom="column">
                  <wp:posOffset>5762625</wp:posOffset>
                </wp:positionH>
                <wp:positionV relativeFrom="paragraph">
                  <wp:posOffset>22225</wp:posOffset>
                </wp:positionV>
                <wp:extent cx="2451100" cy="6350"/>
                <wp:effectExtent l="0" t="0" r="0" b="0"/>
                <wp:wrapNone/>
                <wp:docPr id="133" name="直接箭头连接符 133"/>
                <wp:cNvGraphicFramePr/>
                <a:graphic xmlns:a="http://schemas.openxmlformats.org/drawingml/2006/main">
                  <a:graphicData uri="http://schemas.microsoft.com/office/word/2010/wordprocessingShape">
                    <wps:wsp>
                      <wps:cNvCnPr/>
                      <wps:spPr>
                        <a:xfrm>
                          <a:off x="0" y="0"/>
                          <a:ext cx="2451100" cy="635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53.75pt;margin-top:1.75pt;height:0.5pt;width:193pt;z-index:251744256;mso-width-relative:page;mso-height-relative:page;" filled="f" stroked="t" coordsize="21600,21600" o:gfxdata="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YSVZdYAAAAIAQAADwAAAAAAAAABACAAAAAiAAAAZHJzL2Rvd25yZXYu&#10;eG1sUEsBAhQAFAAAAAgAh07iQFr4ZHX9AQAAzQMAAA4AAAAAAAAAAQAgAAAAJQEAAGRycy9lMm9E&#10;b2MueG1sUEsFBgAAAAAGAAYAWQEAAJQFAAAAAA==&#10;">
                <v:fill on="f" focussize="0,0"/>
                <v:stroke weight="1pt" color="#000000 [3213]" joinstyle="round" dashstyle="dash"/>
                <v:imagedata o:title=""/>
                <o:lock v:ext="edit" aspectratio="f"/>
              </v:shape>
            </w:pict>
          </mc:Fallback>
        </mc:AlternateContent>
      </w:r>
      <w:r>
        <w:rPr>
          <w:sz w:val="24"/>
        </w:rPr>
        <mc:AlternateContent>
          <mc:Choice Requires="wps">
            <w:drawing>
              <wp:anchor distT="0" distB="0" distL="114300" distR="114300" simplePos="0" relativeHeight="251737088" behindDoc="0" locked="0" layoutInCell="1" allowOverlap="1">
                <wp:simplePos x="0" y="0"/>
                <wp:positionH relativeFrom="column">
                  <wp:posOffset>5181600</wp:posOffset>
                </wp:positionH>
                <wp:positionV relativeFrom="paragraph">
                  <wp:posOffset>121920</wp:posOffset>
                </wp:positionV>
                <wp:extent cx="656590" cy="314325"/>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65659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7E0D31">
                            <w:pPr>
                              <w:jc w:val="center"/>
                              <w:rPr>
                                <w:rFonts w:hint="eastAsia" w:eastAsia="宋体"/>
                                <w:lang w:eastAsia="zh-CN"/>
                              </w:rPr>
                            </w:pPr>
                            <w:r>
                              <w:rPr>
                                <w:rFonts w:hint="eastAsia"/>
                                <w:lang w:eastAsia="zh-CN"/>
                              </w:rPr>
                              <w:t>底流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8pt;margin-top:9.6pt;height:24.75pt;width:51.7pt;z-index:251737088;mso-width-relative:page;mso-height-relative:page;" filled="f" stroked="f" coordsize="21600,21600" o:gfxdata="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zmccO2gAAAAkBAAAPAAAAAAAAAAEAIAAAACIAAABkcnMv&#10;ZG93bnJldi54bWxQSwECFAAUAAAACACHTuJAk6z8JzoCAABpBAAADgAAAAAAAAABACAAAAApAQAA&#10;ZHJzL2Uyb0RvYy54bWxQSwUGAAAAAAYABgBZAQAA1QUAAAAA&#10;">
                <v:fill on="f" focussize="0,0"/>
                <v:stroke on="f" weight="0.5pt"/>
                <v:imagedata o:title=""/>
                <o:lock v:ext="edit" aspectratio="f"/>
                <v:textbox>
                  <w:txbxContent>
                    <w:p w14:paraId="777E0D31">
                      <w:pPr>
                        <w:jc w:val="center"/>
                        <w:rPr>
                          <w:rFonts w:hint="eastAsia" w:eastAsia="宋体"/>
                          <w:lang w:eastAsia="zh-CN"/>
                        </w:rPr>
                      </w:pPr>
                      <w:r>
                        <w:rPr>
                          <w:rFonts w:hint="eastAsia"/>
                          <w:lang w:eastAsia="zh-CN"/>
                        </w:rPr>
                        <w:t>底流</w:t>
                      </w:r>
                    </w:p>
                  </w:txbxContent>
                </v:textbox>
              </v:shape>
            </w:pict>
          </mc:Fallback>
        </mc:AlternateContent>
      </w:r>
      <w:r>
        <w:rPr>
          <w:sz w:val="24"/>
        </w:rPr>
        <mc:AlternateContent>
          <mc:Choice Requires="wps">
            <w:drawing>
              <wp:anchor distT="0" distB="0" distL="114300" distR="114300" simplePos="0" relativeHeight="251742208" behindDoc="0" locked="0" layoutInCell="1" allowOverlap="1">
                <wp:simplePos x="0" y="0"/>
                <wp:positionH relativeFrom="column">
                  <wp:posOffset>5299075</wp:posOffset>
                </wp:positionH>
                <wp:positionV relativeFrom="paragraph">
                  <wp:posOffset>171450</wp:posOffset>
                </wp:positionV>
                <wp:extent cx="0" cy="209550"/>
                <wp:effectExtent l="38100" t="0" r="38100" b="0"/>
                <wp:wrapNone/>
                <wp:docPr id="134" name="直接箭头连接符 134"/>
                <wp:cNvGraphicFramePr/>
                <a:graphic xmlns:a="http://schemas.openxmlformats.org/drawingml/2006/main">
                  <a:graphicData uri="http://schemas.microsoft.com/office/word/2010/wordprocessingShape">
                    <wps:wsp>
                      <wps:cNvCnPr/>
                      <wps:spPr>
                        <a:xfrm>
                          <a:off x="0" y="0"/>
                          <a:ext cx="0" cy="20955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17.25pt;margin-top:13.5pt;height:16.5pt;width:0pt;z-index:251742208;mso-width-relative:page;mso-height-relative:page;" filled="f" stroked="t" coordsize="21600,21600" o:gfxdata="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RDgdzZAAAACQEAAA8AAAAAAAAAAQAgAAAAIgAAAGRycy9kb3ducmV2&#10;LnhtbFBLAQIUABQAAAAIAIdO4kAMVYkr+wEAAM0DAAAOAAAAAAAAAAEAIAAAACgBAABkcnMvZTJv&#10;RG9jLnhtbFBLBQYAAAAABgAGAFkBAACVBQ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16608" behindDoc="0" locked="0" layoutInCell="1" allowOverlap="1">
                <wp:simplePos x="0" y="0"/>
                <wp:positionH relativeFrom="column">
                  <wp:posOffset>4554855</wp:posOffset>
                </wp:positionH>
                <wp:positionV relativeFrom="paragraph">
                  <wp:posOffset>-2896235</wp:posOffset>
                </wp:positionV>
                <wp:extent cx="1905" cy="3288030"/>
                <wp:effectExtent l="6350" t="0" r="10795" b="7620"/>
                <wp:wrapNone/>
                <wp:docPr id="151" name="直接箭头连接符 151"/>
                <wp:cNvGraphicFramePr/>
                <a:graphic xmlns:a="http://schemas.openxmlformats.org/drawingml/2006/main">
                  <a:graphicData uri="http://schemas.microsoft.com/office/word/2010/wordprocessingShape">
                    <wps:wsp>
                      <wps:cNvCnPr/>
                      <wps:spPr>
                        <a:xfrm flipH="1">
                          <a:off x="0" y="0"/>
                          <a:ext cx="1905" cy="3288030"/>
                        </a:xfrm>
                        <a:prstGeom prst="straightConnector1">
                          <a:avLst/>
                        </a:prstGeom>
                        <a:ln w="12700">
                          <a:solidFill>
                            <a:schemeClr val="tx1"/>
                          </a:solidFill>
                          <a:prstDash val="dash"/>
                          <a:tailEnd type="non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8.65pt;margin-top:-228.05pt;height:258.9pt;width:0.15pt;z-index:251716608;mso-width-relative:page;mso-height-relative:page;" filled="f" stroked="t" coordsize="21600,21600" o:gfxdata="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uALu2wAAAAsBAAAPAAAAAAAAAAEAIAAAACIA&#10;AABkcnMvZG93bnJldi54bWxQSwECFAAUAAAACACHTuJAIzGAhwYCAADXAwAADgAAAAAAAAABACAA&#10;AAAqAQAAZHJzL2Uyb0RvYy54bWxQSwUGAAAAAAYABgBZAQAAogUAAAAA&#10;">
                <v:fill on="f" focussize="0,0"/>
                <v:stroke weight="1pt" color="#000000 [3213]" joinstyle="round" dashstyle="dash"/>
                <v:imagedata o:title=""/>
                <o:lock v:ext="edit" aspectratio="f"/>
              </v:shape>
            </w:pict>
          </mc:Fallback>
        </mc:AlternateContent>
      </w:r>
    </w:p>
    <w:p w14:paraId="57AFEF7F">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66784" behindDoc="0" locked="0" layoutInCell="1" allowOverlap="1">
                <wp:simplePos x="0" y="0"/>
                <wp:positionH relativeFrom="column">
                  <wp:posOffset>3257550</wp:posOffset>
                </wp:positionH>
                <wp:positionV relativeFrom="paragraph">
                  <wp:posOffset>206375</wp:posOffset>
                </wp:positionV>
                <wp:extent cx="647065" cy="276225"/>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64706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B19DCA">
                            <w:pPr>
                              <w:jc w:val="center"/>
                              <w:rPr>
                                <w:rFonts w:hint="default" w:eastAsia="宋体"/>
                                <w:lang w:val="en-US" w:eastAsia="zh-CN"/>
                              </w:rPr>
                            </w:pPr>
                            <w:r>
                              <w:rPr>
                                <w:rFonts w:hint="eastAsia"/>
                                <w:lang w:val="en-US" w:eastAsia="zh-CN"/>
                              </w:rPr>
                              <w:t>N7、W4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6.5pt;margin-top:16.25pt;height:21.75pt;width:50.95pt;z-index:251766784;mso-width-relative:page;mso-height-relative:page;" filled="f" stroked="f" coordsize="21600,21600" o:gfxdata="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&#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CSgTjbAAAACQEAAA8AAAAAAAAAAQAgAAAAIgAAAGRy&#10;cy9kb3ducmV2LnhtbFBLAQIUABQAAAAIAIdO4kCuQ9iNOwIAAGkEAAAOAAAAAAAAAAEAIAAAACoB&#10;AABkcnMvZTJvRG9jLnhtbFBLBQYAAAAABgAGAFkBAADXBQAAAAA=&#10;">
                <v:fill on="f" focussize="0,0"/>
                <v:stroke on="f" weight="0.5pt"/>
                <v:imagedata o:title=""/>
                <o:lock v:ext="edit" aspectratio="f"/>
                <v:textbox>
                  <w:txbxContent>
                    <w:p w14:paraId="31B19DCA">
                      <w:pPr>
                        <w:jc w:val="center"/>
                        <w:rPr>
                          <w:rFonts w:hint="default" w:eastAsia="宋体"/>
                          <w:lang w:val="en-US" w:eastAsia="zh-CN"/>
                        </w:rPr>
                      </w:pPr>
                      <w:r>
                        <w:rPr>
                          <w:rFonts w:hint="eastAsia"/>
                          <w:lang w:val="en-US" w:eastAsia="zh-CN"/>
                        </w:rPr>
                        <w:t>N7、W4</w:t>
                      </w:r>
                    </w:p>
                  </w:txbxContent>
                </v:textbox>
              </v:shape>
            </w:pict>
          </mc:Fallback>
        </mc:AlternateContent>
      </w:r>
      <w:r>
        <w:rPr>
          <w:sz w:val="24"/>
        </w:rPr>
        <mc:AlternateContent>
          <mc:Choice Requires="wps">
            <w:drawing>
              <wp:anchor distT="0" distB="0" distL="114300" distR="114300" simplePos="0" relativeHeight="251711488" behindDoc="0" locked="0" layoutInCell="1" allowOverlap="1">
                <wp:simplePos x="0" y="0"/>
                <wp:positionH relativeFrom="column">
                  <wp:posOffset>3602355</wp:posOffset>
                </wp:positionH>
                <wp:positionV relativeFrom="paragraph">
                  <wp:posOffset>119380</wp:posOffset>
                </wp:positionV>
                <wp:extent cx="923925" cy="0"/>
                <wp:effectExtent l="0" t="38100" r="9525" b="38100"/>
                <wp:wrapNone/>
                <wp:docPr id="146" name="直接箭头连接符 146"/>
                <wp:cNvGraphicFramePr/>
                <a:graphic xmlns:a="http://schemas.openxmlformats.org/drawingml/2006/main">
                  <a:graphicData uri="http://schemas.microsoft.com/office/word/2010/wordprocessingShape">
                    <wps:wsp>
                      <wps:cNvCnPr/>
                      <wps:spPr>
                        <a:xfrm>
                          <a:off x="0" y="0"/>
                          <a:ext cx="923925" cy="0"/>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83.65pt;margin-top:9.4pt;height:0pt;width:72.75pt;z-index:251711488;mso-width-relative:page;mso-height-relative:page;" filled="f" stroked="t" coordsize="21600,21600" o:gfxdata="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70LBdgAAAAJAQAADwAAAAAAAAABACAAAAAiAAAAZHJzL2Rvd25yZXYu&#10;eG1sUEsBAhQAFAAAAAgAh07iQLxPM9L7AQAAzQMAAA4AAAAAAAAAAQAgAAAAJwEAAGRycy9lMm9E&#10;b2MueG1sUEsFBgAAAAAGAAYAWQEAAJQFAAAAAA==&#10;">
                <v:fill on="f" focussize="0,0"/>
                <v:stroke weight="1pt" color="#000000 [3213]" joinstyle="round" dashstyle="dash" endarrow="block"/>
                <v:imagedata o:title=""/>
                <o:lock v:ext="edit" aspectratio="f"/>
              </v:shape>
            </w:pict>
          </mc:Fallback>
        </mc:AlternateContent>
      </w:r>
      <w:r>
        <w:rPr>
          <w:sz w:val="24"/>
        </w:rPr>
        <mc:AlternateContent>
          <mc:Choice Requires="wps">
            <w:drawing>
              <wp:anchor distT="0" distB="0" distL="114300" distR="114300" simplePos="0" relativeHeight="251706368" behindDoc="0" locked="0" layoutInCell="1" allowOverlap="1">
                <wp:simplePos x="0" y="0"/>
                <wp:positionH relativeFrom="column">
                  <wp:posOffset>3119120</wp:posOffset>
                </wp:positionH>
                <wp:positionV relativeFrom="paragraph">
                  <wp:posOffset>267335</wp:posOffset>
                </wp:positionV>
                <wp:extent cx="2540" cy="359410"/>
                <wp:effectExtent l="37465" t="0" r="36195" b="2540"/>
                <wp:wrapNone/>
                <wp:docPr id="81" name="直接箭头连接符 81"/>
                <wp:cNvGraphicFramePr/>
                <a:graphic xmlns:a="http://schemas.openxmlformats.org/drawingml/2006/main">
                  <a:graphicData uri="http://schemas.microsoft.com/office/word/2010/wordprocessingShape">
                    <wps:wsp>
                      <wps:cNvCnPr/>
                      <wps:spPr>
                        <a:xfrm flipH="1">
                          <a:off x="0" y="0"/>
                          <a:ext cx="2540" cy="35941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5.6pt;margin-top:21.05pt;height:28.3pt;width:0.2pt;z-index:251706368;mso-width-relative:page;mso-height-relative:page;" filled="f" stroked="t" coordsize="21600,21600" o:gfxdata="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&#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AUNsy2gAAAAkBAAAPAAAAAAAAAAEAIAAAACIAAABk&#10;cnMvZG93bnJldi54bWxQSwECFAAUAAAACACHTuJAyEOhJgQCAADZAwAADgAAAAAAAAABACAAAAAp&#10;AQAAZHJzL2Uyb0RvYy54bWxQSwUGAAAAAAYABgBZAQAAnwU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5299710</wp:posOffset>
                </wp:positionH>
                <wp:positionV relativeFrom="paragraph">
                  <wp:posOffset>81280</wp:posOffset>
                </wp:positionV>
                <wp:extent cx="1647190" cy="12065"/>
                <wp:effectExtent l="0" t="26670" r="10160" b="37465"/>
                <wp:wrapNone/>
                <wp:docPr id="136" name="直接箭头连接符 136"/>
                <wp:cNvGraphicFramePr/>
                <a:graphic xmlns:a="http://schemas.openxmlformats.org/drawingml/2006/main">
                  <a:graphicData uri="http://schemas.microsoft.com/office/word/2010/wordprocessingShape">
                    <wps:wsp>
                      <wps:cNvCnPr/>
                      <wps:spPr>
                        <a:xfrm>
                          <a:off x="0" y="0"/>
                          <a:ext cx="1647190" cy="12065"/>
                        </a:xfrm>
                        <a:prstGeom prst="straightConnector1">
                          <a:avLst/>
                        </a:prstGeom>
                        <a:ln w="12700">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17.3pt;margin-top:6.4pt;height:0.95pt;width:129.7pt;z-index:251725824;mso-width-relative:page;mso-height-relative:page;" filled="f" stroked="t" coordsize="21600,21600" o:gfxdata="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sJiZ9oAAAAKAQAADwAAAAAAAAABACAAAAAiAAAAZHJzL2Rv&#10;d25yZXYueG1sUEsBAhQAFAAAAAgAh07iQLwh+hv/AQAA0gMAAA4AAAAAAAAAAQAgAAAAKQEAAGRy&#10;cy9lMm9Eb2MueG1sUEsFBgAAAAAGAAYAWQEAAJoFAAAAAA==&#10;">
                <v:fill on="f" focussize="0,0"/>
                <v:stroke weight="1pt" color="#000000 [3213]" joinstyle="round" dashstyle="dash" endarrow="block"/>
                <v:imagedata o:title=""/>
                <o:lock v:ext="edit" aspectratio="f"/>
              </v:shape>
            </w:pict>
          </mc:Fallback>
        </mc:AlternateContent>
      </w:r>
    </w:p>
    <w:p w14:paraId="4BB4BF76">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35040" behindDoc="0" locked="0" layoutInCell="1" allowOverlap="1">
                <wp:simplePos x="0" y="0"/>
                <wp:positionH relativeFrom="column">
                  <wp:posOffset>6524625</wp:posOffset>
                </wp:positionH>
                <wp:positionV relativeFrom="paragraph">
                  <wp:posOffset>32385</wp:posOffset>
                </wp:positionV>
                <wp:extent cx="904240" cy="485775"/>
                <wp:effectExtent l="4445" t="4445" r="5715" b="5080"/>
                <wp:wrapNone/>
                <wp:docPr id="139" name="文本框 139"/>
                <wp:cNvGraphicFramePr/>
                <a:graphic xmlns:a="http://schemas.openxmlformats.org/drawingml/2006/main">
                  <a:graphicData uri="http://schemas.microsoft.com/office/word/2010/wordprocessingShape">
                    <wps:wsp>
                      <wps:cNvSpPr txBox="1"/>
                      <wps:spPr>
                        <a:xfrm>
                          <a:off x="0" y="0"/>
                          <a:ext cx="904240" cy="48577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FB6A82D">
                            <w:pPr>
                              <w:spacing w:line="240" w:lineRule="auto"/>
                              <w:jc w:val="center"/>
                              <w:rPr>
                                <w:rFonts w:hint="eastAsia" w:eastAsia="宋体"/>
                                <w:lang w:eastAsia="zh-CN"/>
                              </w:rPr>
                            </w:pPr>
                            <w:r>
                              <w:rPr>
                                <w:rFonts w:hint="eastAsia"/>
                                <w:lang w:val="en-US" w:eastAsia="zh-CN"/>
                              </w:rPr>
                              <w:t>循环水池，</w:t>
                            </w:r>
                            <w:r>
                              <w:rPr>
                                <w:rFonts w:hint="eastAsia"/>
                                <w:lang w:eastAsia="zh-CN"/>
                              </w:rPr>
                              <w:t>废水全部回用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3.75pt;margin-top:2.55pt;height:38.25pt;width:71.2pt;z-index:251735040;mso-width-relative:page;mso-height-relative:page;" filled="f" stroked="t" coordsize="21600,21600" o:gfxdata="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GNQBnaAAAACgEA&#10;AA8AAAAAAAAAAQAgAAAAIgAAAGRycy9kb3ducmV2LnhtbFBLAQIUABQAAAAIAIdO4kBASGYNUQIA&#10;AJIEAAAOAAAAAAAAAAEAIAAAACkBAABkcnMvZTJvRG9jLnhtbFBLBQYAAAAABgAGAFkBAADsBQAA&#10;AAA=&#10;">
                <v:fill on="f" focussize="0,0"/>
                <v:stroke weight="0.5pt" color="#000000 [3213]" joinstyle="round"/>
                <v:imagedata o:title=""/>
                <o:lock v:ext="edit" aspectratio="f"/>
                <v:textbox>
                  <w:txbxContent>
                    <w:p w14:paraId="0FB6A82D">
                      <w:pPr>
                        <w:spacing w:line="240" w:lineRule="auto"/>
                        <w:jc w:val="center"/>
                        <w:rPr>
                          <w:rFonts w:hint="eastAsia" w:eastAsia="宋体"/>
                          <w:lang w:eastAsia="zh-CN"/>
                        </w:rPr>
                      </w:pPr>
                      <w:r>
                        <w:rPr>
                          <w:rFonts w:hint="eastAsia"/>
                          <w:lang w:val="en-US" w:eastAsia="zh-CN"/>
                        </w:rPr>
                        <w:t>循环水池，</w:t>
                      </w:r>
                      <w:r>
                        <w:rPr>
                          <w:rFonts w:hint="eastAsia"/>
                          <w:lang w:eastAsia="zh-CN"/>
                        </w:rPr>
                        <w:t>废水全部回用</w:t>
                      </w:r>
                    </w:p>
                  </w:txbxContent>
                </v:textbox>
              </v:shape>
            </w:pict>
          </mc:Fallback>
        </mc:AlternateContent>
      </w:r>
    </w:p>
    <w:p w14:paraId="00194DBC">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07392" behindDoc="0" locked="0" layoutInCell="1" allowOverlap="1">
                <wp:simplePos x="0" y="0"/>
                <wp:positionH relativeFrom="column">
                  <wp:posOffset>2789555</wp:posOffset>
                </wp:positionH>
                <wp:positionV relativeFrom="paragraph">
                  <wp:posOffset>31115</wp:posOffset>
                </wp:positionV>
                <wp:extent cx="638810" cy="276225"/>
                <wp:effectExtent l="4445" t="4445" r="23495" b="5080"/>
                <wp:wrapNone/>
                <wp:docPr id="82" name="文本框 82"/>
                <wp:cNvGraphicFramePr/>
                <a:graphic xmlns:a="http://schemas.openxmlformats.org/drawingml/2006/main">
                  <a:graphicData uri="http://schemas.microsoft.com/office/word/2010/wordprocessingShape">
                    <wps:wsp>
                      <wps:cNvSpPr txBox="1"/>
                      <wps:spPr>
                        <a:xfrm>
                          <a:off x="0" y="0"/>
                          <a:ext cx="638810"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C8A3F1">
                            <w:pPr>
                              <w:jc w:val="center"/>
                              <w:rPr>
                                <w:rFonts w:hint="default" w:eastAsia="宋体"/>
                                <w:lang w:val="en-US" w:eastAsia="zh-CN"/>
                              </w:rPr>
                            </w:pPr>
                            <w:r>
                              <w:rPr>
                                <w:rFonts w:hint="eastAsia"/>
                                <w:lang w:val="en-US" w:eastAsia="zh-CN"/>
                              </w:rPr>
                              <w:t>金精粉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9.65pt;margin-top:2.45pt;height:21.75pt;width:50.3pt;z-index:251707392;mso-width-relative:page;mso-height-relative:page;" fillcolor="#FFFFFF [3201]" filled="t" stroked="t" coordsize="21600,21600" o:gfxdata="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VjxoNQAAAAIAQAA&#10;DwAAAAAAAAABACAAAAAiAAAAZHJzL2Rvd25yZXYueG1sUEsBAhQAFAAAAAgAh07iQCdPoptWAgAA&#10;uAQAAA4AAAAAAAAAAQAgAAAAIwEAAGRycy9lMm9Eb2MueG1sUEsFBgAAAAAGAAYAWQEAAOsFAAAA&#10;AA==&#10;">
                <v:fill on="t" focussize="0,0"/>
                <v:stroke weight="0.5pt" color="#000000 [3204]" joinstyle="round"/>
                <v:imagedata o:title=""/>
                <o:lock v:ext="edit" aspectratio="f"/>
                <v:textbox>
                  <w:txbxContent>
                    <w:p w14:paraId="57C8A3F1">
                      <w:pPr>
                        <w:jc w:val="center"/>
                        <w:rPr>
                          <w:rFonts w:hint="default" w:eastAsia="宋体"/>
                          <w:lang w:val="en-US" w:eastAsia="zh-CN"/>
                        </w:rPr>
                      </w:pPr>
                      <w:r>
                        <w:rPr>
                          <w:rFonts w:hint="eastAsia"/>
                          <w:lang w:val="en-US" w:eastAsia="zh-CN"/>
                        </w:rPr>
                        <w:t>金精粉</w:t>
                      </w:r>
                    </w:p>
                  </w:txbxContent>
                </v:textbox>
              </v:shape>
            </w:pict>
          </mc:Fallback>
        </mc:AlternateContent>
      </w:r>
    </w:p>
    <w:p w14:paraId="2A53D4BE">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09440" behindDoc="0" locked="0" layoutInCell="1" allowOverlap="1">
                <wp:simplePos x="0" y="0"/>
                <wp:positionH relativeFrom="column">
                  <wp:posOffset>3130550</wp:posOffset>
                </wp:positionH>
                <wp:positionV relativeFrom="paragraph">
                  <wp:posOffset>29210</wp:posOffset>
                </wp:positionV>
                <wp:extent cx="2540" cy="359410"/>
                <wp:effectExtent l="37465" t="0" r="36195" b="2540"/>
                <wp:wrapNone/>
                <wp:docPr id="144" name="直接箭头连接符 144"/>
                <wp:cNvGraphicFramePr/>
                <a:graphic xmlns:a="http://schemas.openxmlformats.org/drawingml/2006/main">
                  <a:graphicData uri="http://schemas.microsoft.com/office/word/2010/wordprocessingShape">
                    <wps:wsp>
                      <wps:cNvCnPr/>
                      <wps:spPr>
                        <a:xfrm flipH="1">
                          <a:off x="0" y="0"/>
                          <a:ext cx="2540" cy="359410"/>
                        </a:xfrm>
                        <a:prstGeom prst="straightConnector1">
                          <a:avLst/>
                        </a:prstGeom>
                        <a:ln w="12700">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46.5pt;margin-top:2.3pt;height:28.3pt;width:0.2pt;z-index:251709440;mso-width-relative:page;mso-height-relative:page;" filled="f" stroked="t" coordsize="21600,21600" o:gfxdata="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tcMrNoAAAAIAQAADwAAAAAAAAABACAAAAAiAAAA&#10;ZHJzL2Rvd25yZXYueG1sUEsBAhQAFAAAAAgAh07iQF5dX6YFAgAA2wMAAA4AAAAAAAAAAQAgAAAA&#10;KQEAAGRycy9lMm9Eb2MueG1sUEsFBgAAAAAGAAYAWQEAAKAFAAAAAA==&#10;">
                <v:fill on="f" focussize="0,0"/>
                <v:stroke weight="1pt" color="#000000 [3213]" joinstyle="round" endarrow="block"/>
                <v:imagedata o:title=""/>
                <o:lock v:ext="edit" aspectratio="f"/>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2285365</wp:posOffset>
                </wp:positionH>
                <wp:positionV relativeFrom="paragraph">
                  <wp:posOffset>57785</wp:posOffset>
                </wp:positionV>
                <wp:extent cx="866775" cy="276225"/>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86677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69AEEE">
                            <w:pPr>
                              <w:jc w:val="center"/>
                              <w:rPr>
                                <w:rFonts w:hint="eastAsia" w:eastAsia="宋体"/>
                                <w:lang w:eastAsia="zh-CN"/>
                              </w:rPr>
                            </w:pPr>
                            <w:r>
                              <w:rPr>
                                <w:rFonts w:hint="eastAsia"/>
                                <w:lang w:eastAsia="zh-CN"/>
                              </w:rPr>
                              <w:t>皮带输送机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9.95pt;margin-top:4.55pt;height:21.75pt;width:68.25pt;z-index:251708416;mso-width-relative:page;mso-height-relative:page;" filled="f" stroked="f" coordsize="21600,21600" o:gfxdata="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JLrFdoAAAAIAQAADwAAAAAAAAABACAAAAAiAAAA&#10;ZHJzL2Rvd25yZXYueG1sUEsBAhQAFAAAAAgAh07iQA3sJF0+AgAAaQQAAA4AAAAAAAAAAQAgAAAA&#10;KQEAAGRycy9lMm9Eb2MueG1sUEsFBgAAAAAGAAYAWQEAANkFAAAAAA==&#10;">
                <v:fill on="f" focussize="0,0"/>
                <v:stroke on="f" weight="0.5pt"/>
                <v:imagedata o:title=""/>
                <o:lock v:ext="edit" aspectratio="f"/>
                <v:textbox>
                  <w:txbxContent>
                    <w:p w14:paraId="4B69AEEE">
                      <w:pPr>
                        <w:jc w:val="center"/>
                        <w:rPr>
                          <w:rFonts w:hint="eastAsia" w:eastAsia="宋体"/>
                          <w:lang w:eastAsia="zh-CN"/>
                        </w:rPr>
                      </w:pPr>
                      <w:r>
                        <w:rPr>
                          <w:rFonts w:hint="eastAsia"/>
                          <w:lang w:eastAsia="zh-CN"/>
                        </w:rPr>
                        <w:t>皮带输送机</w:t>
                      </w:r>
                    </w:p>
                  </w:txbxContent>
                </v:textbox>
              </v:shape>
            </w:pict>
          </mc:Fallback>
        </mc:AlternateContent>
      </w:r>
    </w:p>
    <w:p w14:paraId="725B41EA">
      <w:pPr>
        <w:autoSpaceDE/>
        <w:autoSpaceDN/>
        <w:spacing w:line="360" w:lineRule="auto"/>
        <w:rPr>
          <w:rFonts w:cs="Times New Roman"/>
          <w:bCs w:val="0"/>
          <w:color w:val="000000"/>
          <w:spacing w:val="0"/>
          <w:kern w:val="2"/>
          <w:sz w:val="24"/>
        </w:rPr>
      </w:pPr>
      <w:r>
        <w:rPr>
          <w:sz w:val="24"/>
        </w:rPr>
        <mc:AlternateContent>
          <mc:Choice Requires="wps">
            <w:drawing>
              <wp:anchor distT="0" distB="0" distL="114300" distR="114300" simplePos="0" relativeHeight="251710464" behindDoc="0" locked="0" layoutInCell="1" allowOverlap="1">
                <wp:simplePos x="0" y="0"/>
                <wp:positionH relativeFrom="column">
                  <wp:posOffset>2733040</wp:posOffset>
                </wp:positionH>
                <wp:positionV relativeFrom="paragraph">
                  <wp:posOffset>84455</wp:posOffset>
                </wp:positionV>
                <wp:extent cx="781685" cy="276225"/>
                <wp:effectExtent l="4445" t="4445" r="13970" b="5080"/>
                <wp:wrapNone/>
                <wp:docPr id="145" name="文本框 145"/>
                <wp:cNvGraphicFramePr/>
                <a:graphic xmlns:a="http://schemas.openxmlformats.org/drawingml/2006/main">
                  <a:graphicData uri="http://schemas.microsoft.com/office/word/2010/wordprocessingShape">
                    <wps:wsp>
                      <wps:cNvSpPr txBox="1"/>
                      <wps:spPr>
                        <a:xfrm>
                          <a:off x="0" y="0"/>
                          <a:ext cx="78168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4B0518">
                            <w:pPr>
                              <w:jc w:val="center"/>
                              <w:rPr>
                                <w:rFonts w:hint="default" w:eastAsia="宋体"/>
                                <w:sz w:val="21"/>
                                <w:szCs w:val="21"/>
                                <w:lang w:val="en-US" w:eastAsia="zh-CN"/>
                              </w:rPr>
                            </w:pPr>
                            <w:r>
                              <w:rPr>
                                <w:rFonts w:hint="eastAsia" w:cs="Times New Roman"/>
                                <w:bCs w:val="0"/>
                                <w:color w:val="000000"/>
                                <w:spacing w:val="0"/>
                                <w:kern w:val="2"/>
                                <w:sz w:val="21"/>
                                <w:szCs w:val="21"/>
                                <w:lang w:val="en-US" w:eastAsia="zh-CN"/>
                              </w:rPr>
                              <w:t>产品库房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2pt;margin-top:6.65pt;height:21.75pt;width:61.55pt;z-index:251710464;mso-width-relative:page;mso-height-relative:page;" fillcolor="#FFFFFF [3201]" filled="t" stroked="t" coordsize="21600,21600" o:gfxdata="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uNfyNUA&#10;AAAJAQAADwAAAAAAAAABACAAAAAiAAAAZHJzL2Rvd25yZXYueG1sUEsBAhQAFAAAAAgAh07iQKEM&#10;GN1bAgAAugQAAA4AAAAAAAAAAQAgAAAAJAEAAGRycy9lMm9Eb2MueG1sUEsFBgAAAAAGAAYAWQEA&#10;APEFAAAAAA==&#10;">
                <v:fill on="t" focussize="0,0"/>
                <v:stroke weight="0.5pt" color="#000000 [3204]" joinstyle="round"/>
                <v:imagedata o:title=""/>
                <o:lock v:ext="edit" aspectratio="f"/>
                <v:textbox>
                  <w:txbxContent>
                    <w:p w14:paraId="3D4B0518">
                      <w:pPr>
                        <w:jc w:val="center"/>
                        <w:rPr>
                          <w:rFonts w:hint="default" w:eastAsia="宋体"/>
                          <w:sz w:val="21"/>
                          <w:szCs w:val="21"/>
                          <w:lang w:val="en-US" w:eastAsia="zh-CN"/>
                        </w:rPr>
                      </w:pPr>
                      <w:r>
                        <w:rPr>
                          <w:rFonts w:hint="eastAsia" w:cs="Times New Roman"/>
                          <w:bCs w:val="0"/>
                          <w:color w:val="000000"/>
                          <w:spacing w:val="0"/>
                          <w:kern w:val="2"/>
                          <w:sz w:val="21"/>
                          <w:szCs w:val="21"/>
                          <w:lang w:val="en-US" w:eastAsia="zh-CN"/>
                        </w:rPr>
                        <w:t>产品库房</w:t>
                      </w:r>
                    </w:p>
                  </w:txbxContent>
                </v:textbox>
              </v:shape>
            </w:pict>
          </mc:Fallback>
        </mc:AlternateContent>
      </w:r>
    </w:p>
    <w:p w14:paraId="7B3132E5">
      <w:pPr>
        <w:autoSpaceDE/>
        <w:autoSpaceDN/>
        <w:spacing w:line="360" w:lineRule="auto"/>
        <w:ind w:firstLine="480" w:firstLineChars="200"/>
        <w:jc w:val="center"/>
        <w:rPr>
          <w:rFonts w:hint="default" w:ascii="Times New Roman" w:hAnsi="Times New Roman" w:eastAsia="宋体" w:cs="Times New Roman"/>
          <w:color w:val="auto"/>
          <w:sz w:val="24"/>
          <w:szCs w:val="24"/>
        </w:rPr>
      </w:pPr>
      <w:r>
        <w:rPr>
          <w:sz w:val="24"/>
        </w:rPr>
        <mc:AlternateContent>
          <mc:Choice Requires="wps">
            <w:drawing>
              <wp:anchor distT="0" distB="0" distL="114300" distR="114300" simplePos="0" relativeHeight="251751424" behindDoc="0" locked="0" layoutInCell="1" allowOverlap="1">
                <wp:simplePos x="0" y="0"/>
                <wp:positionH relativeFrom="column">
                  <wp:posOffset>3171825</wp:posOffset>
                </wp:positionH>
                <wp:positionV relativeFrom="paragraph">
                  <wp:posOffset>186690</wp:posOffset>
                </wp:positionV>
                <wp:extent cx="3322955" cy="314325"/>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3322955"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ABD453">
                            <w:pPr>
                              <w:jc w:val="center"/>
                              <w:rPr>
                                <w:rFonts w:hint="eastAsia"/>
                                <w:highlight w:val="none"/>
                                <w:lang w:eastAsia="zh-CN"/>
                              </w:rPr>
                            </w:pPr>
                            <w:r>
                              <w:rPr>
                                <w:rFonts w:cs="Times New Roman"/>
                                <w:b/>
                                <w:bCs/>
                                <w:color w:val="000000"/>
                                <w:spacing w:val="0"/>
                                <w:kern w:val="2"/>
                                <w:sz w:val="24"/>
                                <w:highlight w:val="none"/>
                              </w:rPr>
                              <w:t>图</w:t>
                            </w:r>
                            <w:r>
                              <w:rPr>
                                <w:rFonts w:hint="eastAsia" w:cs="Times New Roman"/>
                                <w:b/>
                                <w:bCs/>
                                <w:color w:val="000000"/>
                                <w:spacing w:val="0"/>
                                <w:kern w:val="2"/>
                                <w:sz w:val="24"/>
                                <w:highlight w:val="none"/>
                                <w:lang w:val="en-US" w:eastAsia="zh-CN"/>
                              </w:rPr>
                              <w:t>3.3</w:t>
                            </w:r>
                            <w:r>
                              <w:rPr>
                                <w:rFonts w:cs="Times New Roman"/>
                                <w:b/>
                                <w:bCs/>
                                <w:color w:val="000000"/>
                                <w:spacing w:val="0"/>
                                <w:kern w:val="2"/>
                                <w:sz w:val="24"/>
                                <w:highlight w:val="none"/>
                              </w:rPr>
                              <w:t>-</w:t>
                            </w:r>
                            <w:r>
                              <w:rPr>
                                <w:rFonts w:hint="eastAsia" w:cs="Times New Roman"/>
                                <w:b/>
                                <w:bCs/>
                                <w:color w:val="000000"/>
                                <w:spacing w:val="0"/>
                                <w:kern w:val="2"/>
                                <w:sz w:val="24"/>
                                <w:highlight w:val="none"/>
                                <w:lang w:val="en-US" w:eastAsia="zh-CN"/>
                              </w:rPr>
                              <w:t>2</w:t>
                            </w:r>
                            <w:r>
                              <w:rPr>
                                <w:rFonts w:hint="eastAsia" w:cs="Times New Roman"/>
                                <w:b/>
                                <w:bCs/>
                                <w:color w:val="000000"/>
                                <w:spacing w:val="0"/>
                                <w:kern w:val="2"/>
                                <w:sz w:val="24"/>
                                <w:highlight w:val="none"/>
                              </w:rPr>
                              <w:t xml:space="preserve">   </w:t>
                            </w:r>
                            <w:r>
                              <w:rPr>
                                <w:rFonts w:hint="eastAsia" w:cs="Times New Roman"/>
                                <w:b/>
                                <w:bCs/>
                                <w:color w:val="000000"/>
                                <w:spacing w:val="0"/>
                                <w:kern w:val="2"/>
                                <w:sz w:val="24"/>
                                <w:highlight w:val="none"/>
                                <w:lang w:val="en-US" w:eastAsia="zh-CN"/>
                              </w:rPr>
                              <w:t>浮选</w:t>
                            </w:r>
                            <w:r>
                              <w:rPr>
                                <w:rFonts w:hint="eastAsia" w:cs="Times New Roman"/>
                                <w:b/>
                                <w:bCs/>
                                <w:color w:val="000000"/>
                                <w:spacing w:val="0"/>
                                <w:kern w:val="2"/>
                                <w:sz w:val="24"/>
                                <w:highlight w:val="none"/>
                              </w:rPr>
                              <w:t>工艺</w:t>
                            </w:r>
                            <w:r>
                              <w:rPr>
                                <w:rFonts w:cs="Times New Roman"/>
                                <w:b/>
                                <w:bCs/>
                                <w:color w:val="000000"/>
                                <w:spacing w:val="0"/>
                                <w:kern w:val="2"/>
                                <w:sz w:val="24"/>
                                <w:highlight w:val="none"/>
                              </w:rPr>
                              <w:t>流程及排污节点</w:t>
                            </w:r>
                            <w:r>
                              <w:rPr>
                                <w:rFonts w:hint="eastAsia" w:cs="Times New Roman"/>
                                <w:b/>
                                <w:bCs/>
                                <w:color w:val="000000"/>
                                <w:spacing w:val="0"/>
                                <w:kern w:val="2"/>
                                <w:sz w:val="24"/>
                                <w:highlight w:val="none"/>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75pt;margin-top:14.7pt;height:24.75pt;width:261.65pt;z-index:251751424;mso-width-relative:page;mso-height-relative:page;" filled="f" stroked="f" coordsize="21600,21600" o:gfxdata="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C0fsvbAAAACgEAAA8AAAAAAAAAAQAgAAAAIgAA&#10;AGRycy9kb3ducmV2LnhtbFBLAQIUABQAAAAIAIdO4kDJn5ZlPgIAAGoEAAAOAAAAAAAAAAEAIAAA&#10;ACoBAABkcnMvZTJvRG9jLnhtbFBLBQYAAAAABgAGAFkBAADaBQAAAAA=&#10;">
                <v:fill on="f" focussize="0,0"/>
                <v:stroke on="f" weight="0.5pt"/>
                <v:imagedata o:title=""/>
                <o:lock v:ext="edit" aspectratio="f"/>
                <v:textbox>
                  <w:txbxContent>
                    <w:p w14:paraId="7EABD453">
                      <w:pPr>
                        <w:jc w:val="center"/>
                        <w:rPr>
                          <w:rFonts w:hint="eastAsia"/>
                          <w:highlight w:val="none"/>
                          <w:lang w:eastAsia="zh-CN"/>
                        </w:rPr>
                      </w:pPr>
                      <w:r>
                        <w:rPr>
                          <w:rFonts w:cs="Times New Roman"/>
                          <w:b/>
                          <w:bCs/>
                          <w:color w:val="000000"/>
                          <w:spacing w:val="0"/>
                          <w:kern w:val="2"/>
                          <w:sz w:val="24"/>
                          <w:highlight w:val="none"/>
                        </w:rPr>
                        <w:t>图</w:t>
                      </w:r>
                      <w:r>
                        <w:rPr>
                          <w:rFonts w:hint="eastAsia" w:cs="Times New Roman"/>
                          <w:b/>
                          <w:bCs/>
                          <w:color w:val="000000"/>
                          <w:spacing w:val="0"/>
                          <w:kern w:val="2"/>
                          <w:sz w:val="24"/>
                          <w:highlight w:val="none"/>
                          <w:lang w:val="en-US" w:eastAsia="zh-CN"/>
                        </w:rPr>
                        <w:t>3.3</w:t>
                      </w:r>
                      <w:r>
                        <w:rPr>
                          <w:rFonts w:cs="Times New Roman"/>
                          <w:b/>
                          <w:bCs/>
                          <w:color w:val="000000"/>
                          <w:spacing w:val="0"/>
                          <w:kern w:val="2"/>
                          <w:sz w:val="24"/>
                          <w:highlight w:val="none"/>
                        </w:rPr>
                        <w:t>-</w:t>
                      </w:r>
                      <w:r>
                        <w:rPr>
                          <w:rFonts w:hint="eastAsia" w:cs="Times New Roman"/>
                          <w:b/>
                          <w:bCs/>
                          <w:color w:val="000000"/>
                          <w:spacing w:val="0"/>
                          <w:kern w:val="2"/>
                          <w:sz w:val="24"/>
                          <w:highlight w:val="none"/>
                          <w:lang w:val="en-US" w:eastAsia="zh-CN"/>
                        </w:rPr>
                        <w:t>2</w:t>
                      </w:r>
                      <w:r>
                        <w:rPr>
                          <w:rFonts w:hint="eastAsia" w:cs="Times New Roman"/>
                          <w:b/>
                          <w:bCs/>
                          <w:color w:val="000000"/>
                          <w:spacing w:val="0"/>
                          <w:kern w:val="2"/>
                          <w:sz w:val="24"/>
                          <w:highlight w:val="none"/>
                        </w:rPr>
                        <w:t xml:space="preserve">   </w:t>
                      </w:r>
                      <w:r>
                        <w:rPr>
                          <w:rFonts w:hint="eastAsia" w:cs="Times New Roman"/>
                          <w:b/>
                          <w:bCs/>
                          <w:color w:val="000000"/>
                          <w:spacing w:val="0"/>
                          <w:kern w:val="2"/>
                          <w:sz w:val="24"/>
                          <w:highlight w:val="none"/>
                          <w:lang w:val="en-US" w:eastAsia="zh-CN"/>
                        </w:rPr>
                        <w:t>浮选</w:t>
                      </w:r>
                      <w:r>
                        <w:rPr>
                          <w:rFonts w:hint="eastAsia" w:cs="Times New Roman"/>
                          <w:b/>
                          <w:bCs/>
                          <w:color w:val="000000"/>
                          <w:spacing w:val="0"/>
                          <w:kern w:val="2"/>
                          <w:sz w:val="24"/>
                          <w:highlight w:val="none"/>
                        </w:rPr>
                        <w:t>工艺</w:t>
                      </w:r>
                      <w:r>
                        <w:rPr>
                          <w:rFonts w:cs="Times New Roman"/>
                          <w:b/>
                          <w:bCs/>
                          <w:color w:val="000000"/>
                          <w:spacing w:val="0"/>
                          <w:kern w:val="2"/>
                          <w:sz w:val="24"/>
                          <w:highlight w:val="none"/>
                        </w:rPr>
                        <w:t>流程及排污节点</w:t>
                      </w:r>
                      <w:r>
                        <w:rPr>
                          <w:rFonts w:hint="eastAsia" w:cs="Times New Roman"/>
                          <w:b/>
                          <w:bCs/>
                          <w:color w:val="000000"/>
                          <w:spacing w:val="0"/>
                          <w:kern w:val="2"/>
                          <w:sz w:val="24"/>
                          <w:highlight w:val="none"/>
                        </w:rPr>
                        <w:t>图</w:t>
                      </w:r>
                    </w:p>
                  </w:txbxContent>
                </v:textbox>
              </v:shape>
            </w:pict>
          </mc:Fallback>
        </mc:AlternateContent>
      </w:r>
    </w:p>
    <w:p w14:paraId="35E3C5B5">
      <w:pPr>
        <w:pStyle w:val="1487"/>
        <w:rPr>
          <w:rFonts w:hint="default" w:ascii="Times New Roman" w:hAnsi="Times New Roman" w:eastAsia="宋体" w:cs="Times New Roman"/>
          <w:color w:val="auto"/>
          <w:sz w:val="24"/>
          <w:szCs w:val="24"/>
        </w:rPr>
        <w:sectPr>
          <w:pgSz w:w="16838" w:h="11906" w:orient="landscape"/>
          <w:pgMar w:top="850" w:right="1134" w:bottom="850" w:left="1134" w:header="850" w:footer="850" w:gutter="0"/>
          <w:pgBorders>
            <w:top w:val="none" w:sz="0" w:space="0"/>
            <w:left w:val="none" w:sz="0" w:space="0"/>
            <w:bottom w:val="none" w:sz="0" w:space="0"/>
            <w:right w:val="none" w:sz="0" w:space="0"/>
          </w:pgBorders>
          <w:pgNumType w:fmt="decimal"/>
          <w:cols w:space="720" w:num="1"/>
          <w:docGrid w:type="lines" w:linePitch="312" w:charSpace="0"/>
        </w:sectPr>
      </w:pPr>
    </w:p>
    <w:p w14:paraId="4318E63E">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3.3-1</w:t>
      </w:r>
      <w:r>
        <w:rPr>
          <w:rFonts w:hint="default" w:ascii="Times New Roman" w:hAnsi="Times New Roman" w:eastAsia="宋体" w:cs="Times New Roman"/>
          <w:b/>
          <w:color w:val="auto"/>
          <w:kern w:val="2"/>
          <w:sz w:val="24"/>
          <w:szCs w:val="24"/>
          <w:lang w:val="en-US" w:eastAsia="zh-CN" w:bidi="ar-SA"/>
        </w:rPr>
        <w:t xml:space="preserve">   </w:t>
      </w:r>
      <w:r>
        <w:rPr>
          <w:rFonts w:hint="eastAsia" w:cs="Times New Roman"/>
          <w:b/>
          <w:color w:val="auto"/>
          <w:kern w:val="2"/>
          <w:sz w:val="24"/>
          <w:szCs w:val="24"/>
          <w:lang w:val="en-US" w:eastAsia="zh-CN" w:bidi="ar-SA"/>
        </w:rPr>
        <w:t>本次改扩建</w:t>
      </w:r>
      <w:r>
        <w:rPr>
          <w:rFonts w:hint="eastAsia" w:ascii="Times New Roman" w:hAnsi="Times New Roman" w:eastAsia="宋体" w:cs="Times New Roman"/>
          <w:b/>
          <w:color w:val="auto"/>
          <w:kern w:val="2"/>
          <w:sz w:val="24"/>
          <w:szCs w:val="24"/>
          <w:lang w:val="en-US" w:eastAsia="zh-CN" w:bidi="ar-SA"/>
        </w:rPr>
        <w:t>项目</w:t>
      </w:r>
      <w:r>
        <w:rPr>
          <w:rFonts w:hint="default" w:ascii="Times New Roman" w:hAnsi="Times New Roman" w:eastAsia="宋体" w:cs="Times New Roman"/>
          <w:b/>
          <w:color w:val="auto"/>
          <w:kern w:val="2"/>
          <w:sz w:val="24"/>
          <w:szCs w:val="24"/>
          <w:lang w:val="en-US" w:eastAsia="zh-CN" w:bidi="ar-SA"/>
        </w:rPr>
        <w:t>产污环节一览表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1073"/>
        <w:gridCol w:w="2604"/>
        <w:gridCol w:w="1692"/>
        <w:gridCol w:w="2565"/>
      </w:tblGrid>
      <w:tr w14:paraId="5332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14:paraId="49676C95">
            <w:pPr>
              <w:pStyle w:val="1489"/>
              <w:spacing w:line="360" w:lineRule="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污染类型</w:t>
            </w:r>
          </w:p>
        </w:tc>
        <w:tc>
          <w:tcPr>
            <w:tcW w:w="615" w:type="pct"/>
            <w:tcBorders>
              <w:tl2br w:val="nil"/>
              <w:tr2bl w:val="nil"/>
            </w:tcBorders>
            <w:vAlign w:val="center"/>
          </w:tcPr>
          <w:p w14:paraId="10C39C9B">
            <w:pPr>
              <w:pStyle w:val="1489"/>
              <w:spacing w:line="360" w:lineRule="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排污编号</w:t>
            </w:r>
          </w:p>
        </w:tc>
        <w:tc>
          <w:tcPr>
            <w:tcW w:w="1493" w:type="pct"/>
            <w:tcBorders>
              <w:tl2br w:val="nil"/>
              <w:tr2bl w:val="nil"/>
            </w:tcBorders>
            <w:vAlign w:val="center"/>
          </w:tcPr>
          <w:p w14:paraId="35128442">
            <w:pPr>
              <w:pStyle w:val="1489"/>
              <w:spacing w:line="360" w:lineRule="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污染源</w:t>
            </w:r>
          </w:p>
        </w:tc>
        <w:tc>
          <w:tcPr>
            <w:tcW w:w="970" w:type="pct"/>
            <w:tcBorders>
              <w:tl2br w:val="nil"/>
              <w:tr2bl w:val="nil"/>
            </w:tcBorders>
            <w:vAlign w:val="center"/>
          </w:tcPr>
          <w:p w14:paraId="3EB1CCD4">
            <w:pPr>
              <w:pStyle w:val="1489"/>
              <w:spacing w:line="360" w:lineRule="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主要污染因子</w:t>
            </w:r>
          </w:p>
        </w:tc>
        <w:tc>
          <w:tcPr>
            <w:tcW w:w="1471" w:type="pct"/>
            <w:tcBorders>
              <w:tl2br w:val="nil"/>
              <w:tr2bl w:val="nil"/>
            </w:tcBorders>
            <w:vAlign w:val="center"/>
          </w:tcPr>
          <w:p w14:paraId="33251965">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治理措施</w:t>
            </w:r>
          </w:p>
        </w:tc>
      </w:tr>
      <w:tr w14:paraId="37CB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449" w:type="pct"/>
            <w:vMerge w:val="restart"/>
            <w:tcBorders>
              <w:tl2br w:val="nil"/>
              <w:tr2bl w:val="nil"/>
            </w:tcBorders>
            <w:vAlign w:val="center"/>
          </w:tcPr>
          <w:p w14:paraId="67FD439E">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废气</w:t>
            </w:r>
          </w:p>
        </w:tc>
        <w:tc>
          <w:tcPr>
            <w:tcW w:w="615" w:type="pct"/>
            <w:tcBorders>
              <w:tl2br w:val="nil"/>
              <w:tr2bl w:val="nil"/>
            </w:tcBorders>
            <w:vAlign w:val="center"/>
          </w:tcPr>
          <w:p w14:paraId="6B472289">
            <w:pPr>
              <w:pStyle w:val="1489"/>
              <w:spacing w:line="360" w:lineRule="auto"/>
              <w:rPr>
                <w:rFonts w:hint="default"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G1</w:t>
            </w:r>
          </w:p>
        </w:tc>
        <w:tc>
          <w:tcPr>
            <w:tcW w:w="1493" w:type="pct"/>
            <w:tcBorders>
              <w:tl2br w:val="nil"/>
              <w:tr2bl w:val="nil"/>
            </w:tcBorders>
            <w:vAlign w:val="center"/>
          </w:tcPr>
          <w:p w14:paraId="524E0852">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原矿堆存</w:t>
            </w:r>
          </w:p>
        </w:tc>
        <w:tc>
          <w:tcPr>
            <w:tcW w:w="970" w:type="pct"/>
            <w:tcBorders>
              <w:tl2br w:val="nil"/>
              <w:tr2bl w:val="nil"/>
            </w:tcBorders>
            <w:vAlign w:val="center"/>
          </w:tcPr>
          <w:p w14:paraId="3EE0188A">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颗粒物</w:t>
            </w:r>
          </w:p>
        </w:tc>
        <w:tc>
          <w:tcPr>
            <w:tcW w:w="1471" w:type="pct"/>
            <w:tcBorders>
              <w:tl2br w:val="nil"/>
              <w:tr2bl w:val="nil"/>
            </w:tcBorders>
            <w:vAlign w:val="center"/>
          </w:tcPr>
          <w:p w14:paraId="7D0EE782">
            <w:pPr>
              <w:pStyle w:val="1489"/>
              <w:spacing w:line="360" w:lineRule="auto"/>
              <w:rPr>
                <w:rFonts w:hint="default" w:eastAsia="宋体" w:cs="Times New Roman"/>
                <w:b w:val="0"/>
                <w:bCs/>
                <w:color w:val="auto"/>
                <w:lang w:val="en-US" w:eastAsia="zh-CN"/>
              </w:rPr>
            </w:pPr>
            <w:r>
              <w:rPr>
                <w:rFonts w:hint="eastAsia" w:eastAsia="宋体" w:cs="Times New Roman"/>
                <w:b w:val="0"/>
                <w:bCs/>
                <w:color w:val="auto"/>
                <w:lang w:val="en-US" w:eastAsia="zh-CN"/>
              </w:rPr>
              <w:t>洒水降尘、降低卸料高度等措施</w:t>
            </w:r>
          </w:p>
        </w:tc>
      </w:tr>
      <w:tr w14:paraId="05095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449" w:type="pct"/>
            <w:vMerge w:val="continue"/>
            <w:tcBorders>
              <w:tl2br w:val="nil"/>
              <w:tr2bl w:val="nil"/>
            </w:tcBorders>
            <w:vAlign w:val="center"/>
          </w:tcPr>
          <w:p w14:paraId="4FCE9ECC">
            <w:pPr>
              <w:pStyle w:val="1489"/>
              <w:spacing w:line="360" w:lineRule="auto"/>
              <w:rPr>
                <w:rFonts w:hint="eastAsia" w:eastAsia="宋体" w:cs="Times New Roman"/>
                <w:b w:val="0"/>
                <w:bCs/>
                <w:color w:val="auto"/>
                <w:lang w:eastAsia="zh-CN"/>
              </w:rPr>
            </w:pPr>
          </w:p>
        </w:tc>
        <w:tc>
          <w:tcPr>
            <w:tcW w:w="615" w:type="pct"/>
            <w:tcBorders>
              <w:tl2br w:val="nil"/>
              <w:tr2bl w:val="nil"/>
            </w:tcBorders>
            <w:vAlign w:val="center"/>
          </w:tcPr>
          <w:p w14:paraId="5A5C5FED">
            <w:pPr>
              <w:pStyle w:val="1489"/>
              <w:spacing w:line="360" w:lineRule="auto"/>
              <w:rPr>
                <w:rFonts w:hint="eastAsia" w:eastAsia="宋体" w:cs="Times New Roman"/>
                <w:b w:val="0"/>
                <w:bCs/>
                <w:color w:val="auto"/>
                <w:lang w:val="en-US" w:eastAsia="zh-CN"/>
              </w:rPr>
            </w:pPr>
            <w:r>
              <w:rPr>
                <w:rFonts w:hint="eastAsia" w:eastAsia="宋体" w:cs="Times New Roman"/>
                <w:b w:val="0"/>
                <w:bCs/>
                <w:color w:val="auto"/>
                <w:lang w:val="en-US" w:eastAsia="zh-CN"/>
              </w:rPr>
              <w:t>G2</w:t>
            </w:r>
          </w:p>
        </w:tc>
        <w:tc>
          <w:tcPr>
            <w:tcW w:w="1493" w:type="pct"/>
            <w:tcBorders>
              <w:tl2br w:val="nil"/>
              <w:tr2bl w:val="nil"/>
            </w:tcBorders>
            <w:vAlign w:val="center"/>
          </w:tcPr>
          <w:p w14:paraId="1C3711A0">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上料</w:t>
            </w:r>
          </w:p>
        </w:tc>
        <w:tc>
          <w:tcPr>
            <w:tcW w:w="970" w:type="pct"/>
            <w:tcBorders>
              <w:tl2br w:val="nil"/>
              <w:tr2bl w:val="nil"/>
            </w:tcBorders>
            <w:vAlign w:val="center"/>
          </w:tcPr>
          <w:p w14:paraId="3B028851">
            <w:pPr>
              <w:pStyle w:val="1489"/>
              <w:spacing w:line="360" w:lineRule="auto"/>
              <w:rPr>
                <w:rFonts w:hint="default" w:ascii="Times New Roman" w:hAnsi="Times New Roman" w:eastAsia="宋体" w:cs="Times New Roman"/>
                <w:b w:val="0"/>
                <w:bCs/>
                <w:color w:val="auto"/>
              </w:rPr>
            </w:pPr>
            <w:r>
              <w:rPr>
                <w:rFonts w:hint="eastAsia" w:eastAsia="宋体" w:cs="Times New Roman"/>
                <w:b w:val="0"/>
                <w:bCs/>
                <w:color w:val="auto"/>
                <w:lang w:eastAsia="zh-CN"/>
              </w:rPr>
              <w:t>颗粒物</w:t>
            </w:r>
          </w:p>
        </w:tc>
        <w:tc>
          <w:tcPr>
            <w:tcW w:w="1471" w:type="pct"/>
            <w:vMerge w:val="restart"/>
            <w:tcBorders>
              <w:tl2br w:val="nil"/>
              <w:tr2bl w:val="nil"/>
            </w:tcBorders>
            <w:vAlign w:val="center"/>
          </w:tcPr>
          <w:p w14:paraId="2380D770">
            <w:pPr>
              <w:pStyle w:val="1489"/>
              <w:spacing w:line="360" w:lineRule="auto"/>
              <w:rPr>
                <w:rFonts w:hint="eastAsia" w:eastAsia="宋体" w:cs="Times New Roman"/>
                <w:b w:val="0"/>
                <w:bCs/>
                <w:color w:val="auto"/>
                <w:lang w:eastAsia="zh-CN"/>
              </w:rPr>
            </w:pPr>
            <w:r>
              <w:rPr>
                <w:rFonts w:hint="eastAsia" w:eastAsia="宋体" w:cs="Times New Roman"/>
                <w:b w:val="0"/>
                <w:bCs/>
                <w:color w:val="auto"/>
                <w:lang w:eastAsia="zh-CN"/>
              </w:rPr>
              <w:t>集气罩</w:t>
            </w:r>
            <w:r>
              <w:rPr>
                <w:rFonts w:hint="eastAsia" w:eastAsia="宋体" w:cs="Times New Roman"/>
                <w:b w:val="0"/>
                <w:bCs/>
                <w:color w:val="auto"/>
                <w:lang w:val="en-US" w:eastAsia="zh-CN"/>
              </w:rPr>
              <w:t>+布袋除尘器+15m高排气筒有组织排放</w:t>
            </w:r>
          </w:p>
        </w:tc>
      </w:tr>
      <w:tr w14:paraId="749E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449" w:type="pct"/>
            <w:vMerge w:val="continue"/>
            <w:tcBorders>
              <w:tl2br w:val="nil"/>
              <w:tr2bl w:val="nil"/>
            </w:tcBorders>
            <w:vAlign w:val="center"/>
          </w:tcPr>
          <w:p w14:paraId="118D3244">
            <w:pPr>
              <w:pStyle w:val="1489"/>
              <w:spacing w:line="360" w:lineRule="auto"/>
              <w:rPr>
                <w:rFonts w:hint="eastAsia" w:eastAsia="宋体" w:cs="Times New Roman"/>
                <w:b w:val="0"/>
                <w:bCs/>
                <w:color w:val="auto"/>
                <w:lang w:eastAsia="zh-CN"/>
              </w:rPr>
            </w:pPr>
          </w:p>
        </w:tc>
        <w:tc>
          <w:tcPr>
            <w:tcW w:w="615" w:type="pct"/>
            <w:tcBorders>
              <w:tl2br w:val="nil"/>
              <w:tr2bl w:val="nil"/>
            </w:tcBorders>
            <w:vAlign w:val="center"/>
          </w:tcPr>
          <w:p w14:paraId="21797866">
            <w:pPr>
              <w:pStyle w:val="1489"/>
              <w:spacing w:line="360" w:lineRule="auto"/>
              <w:rPr>
                <w:rFonts w:hint="eastAsia" w:eastAsia="宋体" w:cs="Times New Roman"/>
                <w:b w:val="0"/>
                <w:bCs/>
                <w:color w:val="auto"/>
                <w:lang w:val="en-US" w:eastAsia="zh-CN"/>
              </w:rPr>
            </w:pPr>
            <w:r>
              <w:rPr>
                <w:rFonts w:hint="eastAsia" w:eastAsia="宋体" w:cs="Times New Roman"/>
                <w:b w:val="0"/>
                <w:bCs/>
                <w:color w:val="auto"/>
                <w:lang w:val="en-US" w:eastAsia="zh-CN"/>
              </w:rPr>
              <w:t>G3</w:t>
            </w:r>
          </w:p>
        </w:tc>
        <w:tc>
          <w:tcPr>
            <w:tcW w:w="1493" w:type="pct"/>
            <w:tcBorders>
              <w:tl2br w:val="nil"/>
              <w:tr2bl w:val="nil"/>
            </w:tcBorders>
            <w:vAlign w:val="center"/>
          </w:tcPr>
          <w:p w14:paraId="49BC2545">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鄂式破碎</w:t>
            </w:r>
          </w:p>
        </w:tc>
        <w:tc>
          <w:tcPr>
            <w:tcW w:w="970" w:type="pct"/>
            <w:tcBorders>
              <w:tl2br w:val="nil"/>
              <w:tr2bl w:val="nil"/>
            </w:tcBorders>
            <w:vAlign w:val="center"/>
          </w:tcPr>
          <w:p w14:paraId="73F70E1F">
            <w:pPr>
              <w:pStyle w:val="1489"/>
              <w:spacing w:line="360" w:lineRule="auto"/>
              <w:rPr>
                <w:rFonts w:hint="default" w:ascii="Times New Roman" w:hAnsi="Times New Roman" w:eastAsia="宋体" w:cs="Times New Roman"/>
                <w:b w:val="0"/>
                <w:bCs/>
                <w:color w:val="auto"/>
              </w:rPr>
            </w:pPr>
            <w:r>
              <w:rPr>
                <w:rFonts w:hint="eastAsia" w:eastAsia="宋体" w:cs="Times New Roman"/>
                <w:b w:val="0"/>
                <w:bCs/>
                <w:color w:val="auto"/>
                <w:lang w:eastAsia="zh-CN"/>
              </w:rPr>
              <w:t>颗粒物</w:t>
            </w:r>
          </w:p>
        </w:tc>
        <w:tc>
          <w:tcPr>
            <w:tcW w:w="1471" w:type="pct"/>
            <w:vMerge w:val="continue"/>
            <w:tcBorders>
              <w:tl2br w:val="nil"/>
              <w:tr2bl w:val="nil"/>
            </w:tcBorders>
            <w:vAlign w:val="center"/>
          </w:tcPr>
          <w:p w14:paraId="3B156998">
            <w:pPr>
              <w:pStyle w:val="1489"/>
              <w:spacing w:line="360" w:lineRule="auto"/>
              <w:rPr>
                <w:rFonts w:hint="eastAsia" w:eastAsia="宋体" w:cs="Times New Roman"/>
                <w:b w:val="0"/>
                <w:bCs/>
                <w:color w:val="auto"/>
                <w:lang w:eastAsia="zh-CN"/>
              </w:rPr>
            </w:pPr>
          </w:p>
        </w:tc>
      </w:tr>
      <w:tr w14:paraId="2937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449" w:type="pct"/>
            <w:vMerge w:val="continue"/>
            <w:tcBorders>
              <w:tl2br w:val="nil"/>
              <w:tr2bl w:val="nil"/>
            </w:tcBorders>
            <w:vAlign w:val="center"/>
          </w:tcPr>
          <w:p w14:paraId="32944D10">
            <w:pPr>
              <w:pStyle w:val="1489"/>
              <w:spacing w:line="360" w:lineRule="auto"/>
              <w:rPr>
                <w:rFonts w:hint="eastAsia" w:eastAsia="宋体" w:cs="Times New Roman"/>
                <w:b w:val="0"/>
                <w:bCs/>
                <w:color w:val="auto"/>
                <w:lang w:eastAsia="zh-CN"/>
              </w:rPr>
            </w:pPr>
          </w:p>
        </w:tc>
        <w:tc>
          <w:tcPr>
            <w:tcW w:w="615" w:type="pct"/>
            <w:tcBorders>
              <w:tl2br w:val="nil"/>
              <w:tr2bl w:val="nil"/>
            </w:tcBorders>
            <w:vAlign w:val="center"/>
          </w:tcPr>
          <w:p w14:paraId="0DE48ABA">
            <w:pPr>
              <w:pStyle w:val="1489"/>
              <w:spacing w:line="360" w:lineRule="auto"/>
              <w:rPr>
                <w:rFonts w:hint="eastAsia" w:eastAsia="宋体" w:cs="Times New Roman"/>
                <w:b w:val="0"/>
                <w:bCs/>
                <w:color w:val="auto"/>
                <w:lang w:val="en-US" w:eastAsia="zh-CN"/>
              </w:rPr>
            </w:pPr>
            <w:r>
              <w:rPr>
                <w:rFonts w:hint="eastAsia" w:eastAsia="宋体" w:cs="Times New Roman"/>
                <w:b w:val="0"/>
                <w:bCs/>
                <w:color w:val="auto"/>
                <w:lang w:val="en-US" w:eastAsia="zh-CN"/>
              </w:rPr>
              <w:t>G4</w:t>
            </w:r>
          </w:p>
        </w:tc>
        <w:tc>
          <w:tcPr>
            <w:tcW w:w="1493" w:type="pct"/>
            <w:tcBorders>
              <w:tl2br w:val="nil"/>
              <w:tr2bl w:val="nil"/>
            </w:tcBorders>
            <w:vAlign w:val="center"/>
          </w:tcPr>
          <w:p w14:paraId="46C6140A">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锤式破碎</w:t>
            </w:r>
          </w:p>
        </w:tc>
        <w:tc>
          <w:tcPr>
            <w:tcW w:w="970" w:type="pct"/>
            <w:tcBorders>
              <w:tl2br w:val="nil"/>
              <w:tr2bl w:val="nil"/>
            </w:tcBorders>
            <w:vAlign w:val="center"/>
          </w:tcPr>
          <w:p w14:paraId="497D1746">
            <w:pPr>
              <w:pStyle w:val="1489"/>
              <w:spacing w:line="360" w:lineRule="auto"/>
              <w:rPr>
                <w:rFonts w:hint="default" w:ascii="Times New Roman" w:hAnsi="Times New Roman" w:eastAsia="宋体" w:cs="Times New Roman"/>
                <w:b w:val="0"/>
                <w:bCs/>
                <w:color w:val="auto"/>
              </w:rPr>
            </w:pPr>
            <w:r>
              <w:rPr>
                <w:rFonts w:hint="eastAsia" w:eastAsia="宋体" w:cs="Times New Roman"/>
                <w:b w:val="0"/>
                <w:bCs/>
                <w:color w:val="auto"/>
                <w:lang w:eastAsia="zh-CN"/>
              </w:rPr>
              <w:t>颗粒物</w:t>
            </w:r>
          </w:p>
        </w:tc>
        <w:tc>
          <w:tcPr>
            <w:tcW w:w="1471" w:type="pct"/>
            <w:vMerge w:val="continue"/>
            <w:tcBorders>
              <w:tl2br w:val="nil"/>
              <w:tr2bl w:val="nil"/>
            </w:tcBorders>
            <w:vAlign w:val="center"/>
          </w:tcPr>
          <w:p w14:paraId="5A1BF983">
            <w:pPr>
              <w:pStyle w:val="1489"/>
              <w:spacing w:line="360" w:lineRule="auto"/>
              <w:rPr>
                <w:rFonts w:hint="eastAsia" w:eastAsia="宋体" w:cs="Times New Roman"/>
                <w:b w:val="0"/>
                <w:bCs/>
                <w:color w:val="auto"/>
                <w:lang w:eastAsia="zh-CN"/>
              </w:rPr>
            </w:pPr>
          </w:p>
        </w:tc>
      </w:tr>
      <w:tr w14:paraId="52EF9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49" w:type="pct"/>
            <w:vMerge w:val="continue"/>
            <w:tcBorders>
              <w:tl2br w:val="nil"/>
              <w:tr2bl w:val="nil"/>
            </w:tcBorders>
            <w:vAlign w:val="center"/>
          </w:tcPr>
          <w:p w14:paraId="3181969D">
            <w:pPr>
              <w:pStyle w:val="1489"/>
              <w:spacing w:line="360" w:lineRule="auto"/>
              <w:rPr>
                <w:rFonts w:hint="eastAsia" w:eastAsia="宋体" w:cs="Times New Roman"/>
                <w:b w:val="0"/>
                <w:bCs/>
                <w:color w:val="auto"/>
                <w:lang w:eastAsia="zh-CN"/>
              </w:rPr>
            </w:pPr>
          </w:p>
        </w:tc>
        <w:tc>
          <w:tcPr>
            <w:tcW w:w="615" w:type="pct"/>
            <w:tcBorders>
              <w:tl2br w:val="nil"/>
              <w:tr2bl w:val="nil"/>
            </w:tcBorders>
            <w:vAlign w:val="center"/>
          </w:tcPr>
          <w:p w14:paraId="718496CE">
            <w:pPr>
              <w:pStyle w:val="1489"/>
              <w:spacing w:line="360" w:lineRule="auto"/>
              <w:rPr>
                <w:rFonts w:hint="eastAsia" w:eastAsia="宋体" w:cs="Times New Roman"/>
                <w:b w:val="0"/>
                <w:bCs/>
                <w:color w:val="auto"/>
                <w:lang w:val="en-US" w:eastAsia="zh-CN"/>
              </w:rPr>
            </w:pPr>
            <w:r>
              <w:rPr>
                <w:rFonts w:hint="eastAsia" w:eastAsia="宋体" w:cs="Times New Roman"/>
                <w:b w:val="0"/>
                <w:bCs/>
                <w:color w:val="auto"/>
                <w:lang w:val="en-US" w:eastAsia="zh-CN"/>
              </w:rPr>
              <w:t>G5</w:t>
            </w:r>
          </w:p>
        </w:tc>
        <w:tc>
          <w:tcPr>
            <w:tcW w:w="1493" w:type="pct"/>
            <w:tcBorders>
              <w:tl2br w:val="nil"/>
              <w:tr2bl w:val="nil"/>
            </w:tcBorders>
            <w:vAlign w:val="center"/>
          </w:tcPr>
          <w:p w14:paraId="47DFBD33">
            <w:pPr>
              <w:pStyle w:val="1489"/>
              <w:spacing w:line="360" w:lineRule="auto"/>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筛分</w:t>
            </w:r>
          </w:p>
        </w:tc>
        <w:tc>
          <w:tcPr>
            <w:tcW w:w="970" w:type="pct"/>
            <w:tcBorders>
              <w:tl2br w:val="nil"/>
              <w:tr2bl w:val="nil"/>
            </w:tcBorders>
            <w:vAlign w:val="center"/>
          </w:tcPr>
          <w:p w14:paraId="33033F61">
            <w:pPr>
              <w:pStyle w:val="1489"/>
              <w:spacing w:line="360" w:lineRule="auto"/>
              <w:rPr>
                <w:rFonts w:hint="default" w:ascii="Times New Roman" w:hAnsi="Times New Roman" w:eastAsia="宋体" w:cs="Times New Roman"/>
                <w:b w:val="0"/>
                <w:bCs/>
                <w:color w:val="auto"/>
              </w:rPr>
            </w:pPr>
            <w:r>
              <w:rPr>
                <w:rFonts w:hint="eastAsia" w:eastAsia="宋体" w:cs="Times New Roman"/>
                <w:b w:val="0"/>
                <w:bCs/>
                <w:color w:val="auto"/>
                <w:lang w:eastAsia="zh-CN"/>
              </w:rPr>
              <w:t>颗粒物</w:t>
            </w:r>
          </w:p>
        </w:tc>
        <w:tc>
          <w:tcPr>
            <w:tcW w:w="1471" w:type="pct"/>
            <w:vMerge w:val="continue"/>
            <w:tcBorders>
              <w:tl2br w:val="nil"/>
              <w:tr2bl w:val="nil"/>
            </w:tcBorders>
            <w:vAlign w:val="center"/>
          </w:tcPr>
          <w:p w14:paraId="2A02BA12">
            <w:pPr>
              <w:pStyle w:val="1489"/>
              <w:spacing w:line="360" w:lineRule="auto"/>
              <w:rPr>
                <w:rFonts w:hint="eastAsia" w:eastAsia="宋体" w:cs="Times New Roman"/>
                <w:b w:val="0"/>
                <w:bCs/>
                <w:color w:val="auto"/>
                <w:lang w:eastAsia="zh-CN"/>
              </w:rPr>
            </w:pPr>
          </w:p>
        </w:tc>
      </w:tr>
      <w:tr w14:paraId="24A1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49" w:type="pct"/>
            <w:vMerge w:val="continue"/>
            <w:tcBorders>
              <w:tl2br w:val="nil"/>
              <w:tr2bl w:val="nil"/>
            </w:tcBorders>
            <w:vAlign w:val="center"/>
          </w:tcPr>
          <w:p w14:paraId="7836C8BF">
            <w:pPr>
              <w:pStyle w:val="1489"/>
              <w:spacing w:line="360" w:lineRule="auto"/>
              <w:rPr>
                <w:rFonts w:hint="eastAsia" w:eastAsia="宋体" w:cs="Times New Roman"/>
                <w:b w:val="0"/>
                <w:bCs/>
                <w:color w:val="auto"/>
                <w:lang w:eastAsia="zh-CN"/>
              </w:rPr>
            </w:pPr>
          </w:p>
        </w:tc>
        <w:tc>
          <w:tcPr>
            <w:tcW w:w="615" w:type="pct"/>
            <w:tcBorders>
              <w:tl2br w:val="nil"/>
              <w:tr2bl w:val="nil"/>
            </w:tcBorders>
            <w:vAlign w:val="center"/>
          </w:tcPr>
          <w:p w14:paraId="58DEF4BB">
            <w:pPr>
              <w:pStyle w:val="1489"/>
              <w:spacing w:line="360" w:lineRule="auto"/>
              <w:rPr>
                <w:rFonts w:hint="eastAsia" w:eastAsia="宋体" w:cs="Times New Roman"/>
                <w:b w:val="0"/>
                <w:bCs/>
                <w:color w:val="auto"/>
                <w:lang w:val="en-US" w:eastAsia="zh-CN"/>
              </w:rPr>
            </w:pPr>
            <w:r>
              <w:rPr>
                <w:rFonts w:hint="eastAsia" w:eastAsia="宋体" w:cs="Times New Roman"/>
                <w:b w:val="0"/>
                <w:bCs/>
                <w:color w:val="auto"/>
                <w:lang w:val="en-US" w:eastAsia="zh-CN"/>
              </w:rPr>
              <w:t>G6</w:t>
            </w:r>
          </w:p>
        </w:tc>
        <w:tc>
          <w:tcPr>
            <w:tcW w:w="1493" w:type="pct"/>
            <w:tcBorders>
              <w:tl2br w:val="nil"/>
              <w:tr2bl w:val="nil"/>
            </w:tcBorders>
            <w:vAlign w:val="center"/>
          </w:tcPr>
          <w:p w14:paraId="0C50A80E">
            <w:pPr>
              <w:pStyle w:val="1489"/>
              <w:spacing w:line="360" w:lineRule="auto"/>
              <w:rPr>
                <w:rFonts w:hint="default" w:eastAsia="宋体" w:cs="Times New Roman"/>
                <w:b w:val="0"/>
                <w:bCs/>
                <w:color w:val="auto"/>
                <w:lang w:val="en-US" w:eastAsia="zh-CN"/>
              </w:rPr>
            </w:pPr>
            <w:r>
              <w:rPr>
                <w:rFonts w:hint="eastAsia" w:eastAsia="宋体" w:cs="Times New Roman"/>
                <w:b w:val="0"/>
                <w:bCs/>
                <w:color w:val="auto"/>
                <w:lang w:val="en-US" w:eastAsia="zh-CN"/>
              </w:rPr>
              <w:t>球磨</w:t>
            </w:r>
          </w:p>
        </w:tc>
        <w:tc>
          <w:tcPr>
            <w:tcW w:w="970" w:type="pct"/>
            <w:tcBorders>
              <w:tl2br w:val="nil"/>
              <w:tr2bl w:val="nil"/>
            </w:tcBorders>
            <w:vAlign w:val="center"/>
          </w:tcPr>
          <w:p w14:paraId="71B9325A">
            <w:pPr>
              <w:pStyle w:val="1489"/>
              <w:spacing w:line="360" w:lineRule="auto"/>
              <w:rPr>
                <w:rFonts w:hint="eastAsia" w:eastAsia="宋体" w:cs="Times New Roman"/>
                <w:b w:val="0"/>
                <w:bCs/>
                <w:color w:val="auto"/>
                <w:lang w:eastAsia="zh-CN"/>
              </w:rPr>
            </w:pPr>
            <w:r>
              <w:rPr>
                <w:rFonts w:hint="eastAsia" w:eastAsia="宋体" w:cs="Times New Roman"/>
                <w:b w:val="0"/>
                <w:bCs/>
                <w:color w:val="auto"/>
                <w:lang w:eastAsia="zh-CN"/>
              </w:rPr>
              <w:t>颗粒物</w:t>
            </w:r>
          </w:p>
        </w:tc>
        <w:tc>
          <w:tcPr>
            <w:tcW w:w="1471" w:type="pct"/>
            <w:vMerge w:val="continue"/>
            <w:tcBorders>
              <w:tl2br w:val="nil"/>
              <w:tr2bl w:val="nil"/>
            </w:tcBorders>
            <w:vAlign w:val="center"/>
          </w:tcPr>
          <w:p w14:paraId="03218022">
            <w:pPr>
              <w:pStyle w:val="1489"/>
              <w:spacing w:line="360" w:lineRule="auto"/>
              <w:rPr>
                <w:rFonts w:hint="eastAsia" w:eastAsia="宋体" w:cs="Times New Roman"/>
                <w:b w:val="0"/>
                <w:bCs/>
                <w:color w:val="auto"/>
                <w:lang w:eastAsia="zh-CN"/>
              </w:rPr>
            </w:pPr>
          </w:p>
        </w:tc>
      </w:tr>
      <w:tr w14:paraId="1618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restart"/>
            <w:tcBorders>
              <w:tl2br w:val="nil"/>
              <w:tr2bl w:val="nil"/>
            </w:tcBorders>
            <w:vAlign w:val="center"/>
          </w:tcPr>
          <w:p w14:paraId="2890021E">
            <w:pPr>
              <w:pStyle w:val="1489"/>
              <w:spacing w:line="360" w:lineRule="auto"/>
              <w:rPr>
                <w:rFonts w:hint="eastAsia"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废水</w:t>
            </w:r>
          </w:p>
        </w:tc>
        <w:tc>
          <w:tcPr>
            <w:tcW w:w="615" w:type="pct"/>
            <w:tcBorders>
              <w:tl2br w:val="nil"/>
              <w:tr2bl w:val="nil"/>
            </w:tcBorders>
            <w:vAlign w:val="center"/>
          </w:tcPr>
          <w:p w14:paraId="5852E05A">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r>
              <w:rPr>
                <w:rFonts w:hint="eastAsia" w:eastAsia="宋体" w:cs="Times New Roman"/>
                <w:b w:val="0"/>
                <w:bCs/>
                <w:color w:val="auto"/>
                <w:kern w:val="2"/>
                <w:sz w:val="21"/>
                <w:szCs w:val="22"/>
                <w:lang w:val="en-US" w:eastAsia="zh-CN" w:bidi="ar-SA"/>
              </w:rPr>
              <w:t>W1</w:t>
            </w:r>
          </w:p>
        </w:tc>
        <w:tc>
          <w:tcPr>
            <w:tcW w:w="1493" w:type="pct"/>
            <w:tcBorders>
              <w:tl2br w:val="nil"/>
              <w:tr2bl w:val="nil"/>
            </w:tcBorders>
            <w:vAlign w:val="center"/>
          </w:tcPr>
          <w:p w14:paraId="5B8CA159">
            <w:pPr>
              <w:pStyle w:val="1489"/>
              <w:spacing w:line="360" w:lineRule="auto"/>
              <w:ind w:firstLine="0" w:firstLineChars="0"/>
              <w:rPr>
                <w:rFonts w:hint="eastAsia" w:ascii="Times New Roman" w:hAnsi="Times New Roman" w:eastAsia="宋体" w:cs="Times New Roman"/>
                <w:b w:val="0"/>
                <w:bCs/>
                <w:color w:val="auto"/>
                <w:kern w:val="2"/>
                <w:sz w:val="21"/>
                <w:szCs w:val="22"/>
                <w:lang w:val="en-US" w:eastAsia="zh-CN" w:bidi="ar-SA"/>
              </w:rPr>
            </w:pPr>
            <w:r>
              <w:rPr>
                <w:rFonts w:hint="eastAsia" w:eastAsia="宋体" w:cs="Times New Roman"/>
                <w:b w:val="0"/>
                <w:bCs/>
                <w:color w:val="auto"/>
                <w:lang w:eastAsia="zh-CN"/>
              </w:rPr>
              <w:t>粗选浮选</w:t>
            </w:r>
          </w:p>
        </w:tc>
        <w:tc>
          <w:tcPr>
            <w:tcW w:w="970" w:type="pct"/>
            <w:vMerge w:val="restart"/>
            <w:tcBorders>
              <w:tl2br w:val="nil"/>
              <w:tr2bl w:val="nil"/>
            </w:tcBorders>
            <w:vAlign w:val="center"/>
          </w:tcPr>
          <w:p w14:paraId="3BD63291">
            <w:pPr>
              <w:pStyle w:val="1489"/>
              <w:spacing w:line="360" w:lineRule="auto"/>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SS、</w:t>
            </w:r>
            <w:r>
              <w:rPr>
                <w:rFonts w:hint="eastAsia" w:eastAsia="宋体" w:cs="Times New Roman"/>
                <w:b w:val="0"/>
                <w:bCs/>
                <w:color w:val="auto"/>
                <w:lang w:val="en-US" w:eastAsia="zh-CN"/>
              </w:rPr>
              <w:t>氨氮、</w:t>
            </w:r>
            <w:r>
              <w:rPr>
                <w:rFonts w:hint="default" w:ascii="Times New Roman" w:hAnsi="Times New Roman" w:eastAsia="宋体" w:cs="Times New Roman"/>
                <w:b w:val="0"/>
                <w:bCs/>
                <w:color w:val="auto"/>
              </w:rPr>
              <w:t>石油类</w:t>
            </w:r>
          </w:p>
        </w:tc>
        <w:tc>
          <w:tcPr>
            <w:tcW w:w="1471" w:type="pct"/>
            <w:vMerge w:val="restart"/>
            <w:tcBorders>
              <w:tl2br w:val="nil"/>
              <w:tr2bl w:val="nil"/>
            </w:tcBorders>
            <w:vAlign w:val="center"/>
          </w:tcPr>
          <w:p w14:paraId="37DDDA3D">
            <w:pPr>
              <w:pStyle w:val="1489"/>
              <w:spacing w:line="360" w:lineRule="auto"/>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lang w:val="en-US" w:eastAsia="zh-CN"/>
              </w:rPr>
              <w:t>尾矿脱水过程中产生的选矿废水</w:t>
            </w:r>
            <w:r>
              <w:rPr>
                <w:rFonts w:hint="default" w:ascii="Times New Roman" w:hAnsi="Times New Roman" w:eastAsia="宋体" w:cs="Times New Roman"/>
                <w:b w:val="0"/>
                <w:bCs/>
                <w:color w:val="auto"/>
                <w:lang w:eastAsia="zh-CN"/>
              </w:rPr>
              <w:t>可直接</w:t>
            </w:r>
            <w:r>
              <w:rPr>
                <w:rFonts w:hint="eastAsia" w:eastAsia="宋体" w:cs="Times New Roman"/>
                <w:b w:val="0"/>
                <w:bCs/>
                <w:color w:val="auto"/>
                <w:lang w:val="en-US" w:eastAsia="zh-CN"/>
              </w:rPr>
              <w:t>回用于球磨工序</w:t>
            </w:r>
            <w:r>
              <w:rPr>
                <w:rFonts w:hint="default" w:ascii="Times New Roman" w:hAnsi="Times New Roman" w:eastAsia="宋体" w:cs="Times New Roman"/>
                <w:b w:val="0"/>
                <w:bCs/>
                <w:color w:val="auto"/>
                <w:lang w:eastAsia="zh-CN"/>
              </w:rPr>
              <w:t>，当不能及时回用时</w:t>
            </w:r>
            <w:r>
              <w:rPr>
                <w:rFonts w:hint="eastAsia" w:eastAsia="宋体" w:cs="Times New Roman"/>
                <w:b w:val="0"/>
                <w:bCs/>
                <w:color w:val="auto"/>
                <w:lang w:eastAsia="zh-CN"/>
              </w:rPr>
              <w:t>，</w:t>
            </w:r>
            <w:r>
              <w:rPr>
                <w:rFonts w:hint="default" w:ascii="Times New Roman" w:hAnsi="Times New Roman" w:eastAsia="宋体" w:cs="Times New Roman"/>
                <w:b w:val="0"/>
                <w:bCs/>
                <w:color w:val="auto"/>
                <w:lang w:eastAsia="zh-CN"/>
              </w:rPr>
              <w:t>泵送至</w:t>
            </w:r>
            <w:r>
              <w:rPr>
                <w:rFonts w:hint="eastAsia" w:eastAsia="宋体" w:cs="Times New Roman"/>
                <w:b w:val="0"/>
                <w:bCs/>
                <w:color w:val="auto"/>
                <w:lang w:val="en-US" w:eastAsia="zh-CN"/>
              </w:rPr>
              <w:t>循环水</w:t>
            </w:r>
            <w:r>
              <w:rPr>
                <w:rFonts w:hint="default" w:ascii="Times New Roman" w:hAnsi="Times New Roman" w:eastAsia="宋体" w:cs="Times New Roman"/>
                <w:b w:val="0"/>
                <w:bCs/>
                <w:color w:val="auto"/>
                <w:lang w:eastAsia="zh-CN"/>
              </w:rPr>
              <w:t>池，</w:t>
            </w:r>
            <w:r>
              <w:rPr>
                <w:rFonts w:hint="eastAsia" w:eastAsia="宋体" w:cs="Times New Roman"/>
                <w:b w:val="0"/>
                <w:bCs/>
                <w:color w:val="auto"/>
                <w:lang w:val="en-US" w:eastAsia="zh-CN"/>
              </w:rPr>
              <w:t>待需要时</w:t>
            </w:r>
            <w:r>
              <w:rPr>
                <w:rFonts w:hint="default" w:ascii="Times New Roman" w:hAnsi="Times New Roman" w:eastAsia="宋体" w:cs="Times New Roman"/>
                <w:b w:val="0"/>
                <w:bCs/>
                <w:color w:val="auto"/>
                <w:lang w:eastAsia="zh-CN"/>
              </w:rPr>
              <w:t>回用</w:t>
            </w:r>
            <w:r>
              <w:rPr>
                <w:rFonts w:hint="default" w:ascii="Times New Roman" w:hAnsi="Times New Roman" w:eastAsia="宋体" w:cs="Times New Roman"/>
                <w:b w:val="0"/>
                <w:bCs/>
                <w:color w:val="auto"/>
              </w:rPr>
              <w:t>。</w:t>
            </w:r>
          </w:p>
        </w:tc>
      </w:tr>
      <w:tr w14:paraId="4763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0EA19526">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79A74FD3">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r>
              <w:rPr>
                <w:rFonts w:hint="default" w:ascii="Times New Roman" w:hAnsi="Times New Roman" w:eastAsia="宋体" w:cs="Times New Roman"/>
                <w:b w:val="0"/>
                <w:bCs/>
                <w:color w:val="auto"/>
              </w:rPr>
              <w:t>W2</w:t>
            </w:r>
          </w:p>
        </w:tc>
        <w:tc>
          <w:tcPr>
            <w:tcW w:w="1493" w:type="pct"/>
            <w:tcBorders>
              <w:tl2br w:val="nil"/>
              <w:tr2bl w:val="nil"/>
            </w:tcBorders>
            <w:vAlign w:val="center"/>
          </w:tcPr>
          <w:p w14:paraId="564E0AB2">
            <w:pPr>
              <w:pStyle w:val="1489"/>
              <w:spacing w:line="360" w:lineRule="auto"/>
              <w:ind w:firstLine="0" w:firstLineChars="0"/>
              <w:rPr>
                <w:rFonts w:hint="eastAsia" w:ascii="Times New Roman" w:hAnsi="Times New Roman" w:eastAsia="宋体" w:cs="Times New Roman"/>
                <w:b w:val="0"/>
                <w:bCs/>
                <w:color w:val="auto"/>
                <w:kern w:val="2"/>
                <w:sz w:val="21"/>
                <w:szCs w:val="22"/>
                <w:lang w:val="en-US" w:eastAsia="zh-CN" w:bidi="ar-SA"/>
              </w:rPr>
            </w:pPr>
            <w:r>
              <w:rPr>
                <w:rFonts w:hint="eastAsia" w:eastAsia="宋体" w:cs="Times New Roman"/>
                <w:b w:val="0"/>
                <w:bCs/>
                <w:color w:val="auto"/>
                <w:lang w:eastAsia="zh-CN"/>
              </w:rPr>
              <w:t>精选浮选</w:t>
            </w:r>
          </w:p>
        </w:tc>
        <w:tc>
          <w:tcPr>
            <w:tcW w:w="970" w:type="pct"/>
            <w:vMerge w:val="continue"/>
            <w:tcBorders>
              <w:tl2br w:val="nil"/>
              <w:tr2bl w:val="nil"/>
            </w:tcBorders>
            <w:vAlign w:val="center"/>
          </w:tcPr>
          <w:p w14:paraId="56A94C88">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p>
        </w:tc>
        <w:tc>
          <w:tcPr>
            <w:tcW w:w="1471" w:type="pct"/>
            <w:vMerge w:val="continue"/>
            <w:tcBorders>
              <w:tl2br w:val="nil"/>
              <w:tr2bl w:val="nil"/>
            </w:tcBorders>
            <w:vAlign w:val="center"/>
          </w:tcPr>
          <w:p w14:paraId="35278E62">
            <w:pPr>
              <w:pStyle w:val="1489"/>
              <w:spacing w:line="360" w:lineRule="auto"/>
              <w:ind w:firstLine="0" w:firstLineChars="0"/>
              <w:rPr>
                <w:rFonts w:hint="default" w:ascii="Times New Roman" w:hAnsi="Times New Roman" w:eastAsia="宋体" w:cs="Times New Roman"/>
                <w:b w:val="0"/>
                <w:bCs/>
                <w:color w:val="auto"/>
              </w:rPr>
            </w:pPr>
          </w:p>
        </w:tc>
      </w:tr>
      <w:tr w14:paraId="6D8C3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033E1F68">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532AE925">
            <w:pPr>
              <w:pStyle w:val="1489"/>
              <w:spacing w:line="360" w:lineRule="auto"/>
              <w:ind w:firstLine="0" w:firstLineChars="0"/>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W3</w:t>
            </w:r>
          </w:p>
        </w:tc>
        <w:tc>
          <w:tcPr>
            <w:tcW w:w="1493" w:type="pct"/>
            <w:tcBorders>
              <w:tl2br w:val="nil"/>
              <w:tr2bl w:val="nil"/>
            </w:tcBorders>
            <w:vAlign w:val="center"/>
          </w:tcPr>
          <w:p w14:paraId="490206F9">
            <w:pPr>
              <w:pStyle w:val="1489"/>
              <w:spacing w:line="360" w:lineRule="auto"/>
              <w:ind w:firstLine="0" w:firstLineChars="0"/>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精矿浓密</w:t>
            </w:r>
          </w:p>
        </w:tc>
        <w:tc>
          <w:tcPr>
            <w:tcW w:w="970" w:type="pct"/>
            <w:vMerge w:val="continue"/>
            <w:tcBorders>
              <w:tl2br w:val="nil"/>
              <w:tr2bl w:val="nil"/>
            </w:tcBorders>
            <w:vAlign w:val="center"/>
          </w:tcPr>
          <w:p w14:paraId="3E3CAE05">
            <w:pPr>
              <w:pStyle w:val="1489"/>
              <w:spacing w:line="360" w:lineRule="auto"/>
              <w:ind w:firstLine="0" w:firstLineChars="0"/>
              <w:rPr>
                <w:rFonts w:hint="default" w:ascii="Times New Roman" w:hAnsi="Times New Roman" w:eastAsia="宋体" w:cs="Times New Roman"/>
                <w:b w:val="0"/>
                <w:bCs/>
                <w:color w:val="auto"/>
              </w:rPr>
            </w:pPr>
          </w:p>
        </w:tc>
        <w:tc>
          <w:tcPr>
            <w:tcW w:w="1471" w:type="pct"/>
            <w:vMerge w:val="continue"/>
            <w:tcBorders>
              <w:tl2br w:val="nil"/>
              <w:tr2bl w:val="nil"/>
            </w:tcBorders>
            <w:vAlign w:val="center"/>
          </w:tcPr>
          <w:p w14:paraId="35840815">
            <w:pPr>
              <w:pStyle w:val="1489"/>
              <w:spacing w:line="360" w:lineRule="auto"/>
              <w:ind w:firstLine="0" w:firstLineChars="0"/>
              <w:rPr>
                <w:rFonts w:hint="default" w:ascii="Times New Roman" w:hAnsi="Times New Roman" w:eastAsia="宋体" w:cs="Times New Roman"/>
                <w:b w:val="0"/>
                <w:bCs/>
                <w:color w:val="auto"/>
              </w:rPr>
            </w:pPr>
          </w:p>
        </w:tc>
      </w:tr>
      <w:tr w14:paraId="2D0C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1B156B2B">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22A7D035">
            <w:pPr>
              <w:pStyle w:val="1489"/>
              <w:spacing w:line="360" w:lineRule="auto"/>
              <w:ind w:firstLine="0" w:firstLineChars="0"/>
              <w:rPr>
                <w:rFonts w:hint="default"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W4</w:t>
            </w:r>
          </w:p>
        </w:tc>
        <w:tc>
          <w:tcPr>
            <w:tcW w:w="1493" w:type="pct"/>
            <w:tcBorders>
              <w:tl2br w:val="nil"/>
              <w:tr2bl w:val="nil"/>
            </w:tcBorders>
            <w:vAlign w:val="center"/>
          </w:tcPr>
          <w:p w14:paraId="49A2DF9A">
            <w:pPr>
              <w:pStyle w:val="1489"/>
              <w:spacing w:line="360" w:lineRule="auto"/>
              <w:ind w:firstLine="0" w:firstLineChars="0"/>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精矿过滤</w:t>
            </w:r>
          </w:p>
        </w:tc>
        <w:tc>
          <w:tcPr>
            <w:tcW w:w="970" w:type="pct"/>
            <w:vMerge w:val="continue"/>
            <w:tcBorders>
              <w:tl2br w:val="nil"/>
              <w:tr2bl w:val="nil"/>
            </w:tcBorders>
            <w:vAlign w:val="center"/>
          </w:tcPr>
          <w:p w14:paraId="553F6D97">
            <w:pPr>
              <w:pStyle w:val="1489"/>
              <w:spacing w:line="360" w:lineRule="auto"/>
              <w:ind w:firstLine="0" w:firstLineChars="0"/>
              <w:rPr>
                <w:rFonts w:hint="default" w:ascii="Times New Roman" w:hAnsi="Times New Roman" w:eastAsia="宋体" w:cs="Times New Roman"/>
                <w:b w:val="0"/>
                <w:bCs/>
                <w:color w:val="auto"/>
              </w:rPr>
            </w:pPr>
          </w:p>
        </w:tc>
        <w:tc>
          <w:tcPr>
            <w:tcW w:w="1471" w:type="pct"/>
            <w:vMerge w:val="continue"/>
            <w:tcBorders>
              <w:tl2br w:val="nil"/>
              <w:tr2bl w:val="nil"/>
            </w:tcBorders>
            <w:vAlign w:val="center"/>
          </w:tcPr>
          <w:p w14:paraId="31EBDF4C">
            <w:pPr>
              <w:pStyle w:val="1489"/>
              <w:spacing w:line="360" w:lineRule="auto"/>
              <w:ind w:firstLine="0" w:firstLineChars="0"/>
              <w:rPr>
                <w:rFonts w:hint="default" w:ascii="Times New Roman" w:hAnsi="Times New Roman" w:eastAsia="宋体" w:cs="Times New Roman"/>
                <w:b w:val="0"/>
                <w:bCs/>
                <w:color w:val="auto"/>
              </w:rPr>
            </w:pPr>
          </w:p>
        </w:tc>
      </w:tr>
      <w:tr w14:paraId="36F0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37F3CCE1">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2EA41836">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W5</w:t>
            </w:r>
          </w:p>
        </w:tc>
        <w:tc>
          <w:tcPr>
            <w:tcW w:w="1493" w:type="pct"/>
            <w:tcBorders>
              <w:tl2br w:val="nil"/>
              <w:tr2bl w:val="nil"/>
            </w:tcBorders>
            <w:vAlign w:val="center"/>
          </w:tcPr>
          <w:p w14:paraId="57230CBE">
            <w:pPr>
              <w:pStyle w:val="1489"/>
              <w:spacing w:line="360" w:lineRule="auto"/>
              <w:ind w:firstLine="0" w:firstLineChars="0"/>
              <w:rPr>
                <w:rFonts w:hint="eastAsia" w:eastAsia="宋体" w:cs="Times New Roman"/>
                <w:b w:val="0"/>
                <w:bCs/>
                <w:color w:val="auto"/>
                <w:lang w:eastAsia="zh-CN"/>
              </w:rPr>
            </w:pPr>
            <w:r>
              <w:rPr>
                <w:rFonts w:hint="eastAsia" w:eastAsia="宋体" w:cs="Times New Roman"/>
                <w:b w:val="0"/>
                <w:bCs/>
                <w:color w:val="auto"/>
                <w:lang w:eastAsia="zh-CN"/>
              </w:rPr>
              <w:t>尾矿旋流机底流</w:t>
            </w:r>
          </w:p>
        </w:tc>
        <w:tc>
          <w:tcPr>
            <w:tcW w:w="970" w:type="pct"/>
            <w:vMerge w:val="continue"/>
            <w:tcBorders>
              <w:tl2br w:val="nil"/>
              <w:tr2bl w:val="nil"/>
            </w:tcBorders>
            <w:vAlign w:val="center"/>
          </w:tcPr>
          <w:p w14:paraId="06CC55E0">
            <w:pPr>
              <w:pStyle w:val="1489"/>
              <w:spacing w:line="360" w:lineRule="auto"/>
              <w:ind w:firstLine="0" w:firstLineChars="0"/>
              <w:rPr>
                <w:rFonts w:hint="default" w:ascii="Times New Roman" w:hAnsi="Times New Roman" w:eastAsia="宋体" w:cs="Times New Roman"/>
                <w:b w:val="0"/>
                <w:bCs/>
                <w:color w:val="auto"/>
              </w:rPr>
            </w:pPr>
          </w:p>
        </w:tc>
        <w:tc>
          <w:tcPr>
            <w:tcW w:w="1471" w:type="pct"/>
            <w:vMerge w:val="continue"/>
            <w:tcBorders>
              <w:tl2br w:val="nil"/>
              <w:tr2bl w:val="nil"/>
            </w:tcBorders>
            <w:vAlign w:val="center"/>
          </w:tcPr>
          <w:p w14:paraId="6D6FE5AA">
            <w:pPr>
              <w:pStyle w:val="1489"/>
              <w:spacing w:line="360" w:lineRule="auto"/>
              <w:ind w:firstLine="0" w:firstLineChars="0"/>
              <w:rPr>
                <w:rFonts w:hint="default" w:ascii="Times New Roman" w:hAnsi="Times New Roman" w:eastAsia="宋体" w:cs="Times New Roman"/>
                <w:b w:val="0"/>
                <w:bCs/>
                <w:color w:val="auto"/>
              </w:rPr>
            </w:pPr>
          </w:p>
        </w:tc>
      </w:tr>
      <w:tr w14:paraId="52E9D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125C6E00">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464EAAC4">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W6</w:t>
            </w:r>
          </w:p>
        </w:tc>
        <w:tc>
          <w:tcPr>
            <w:tcW w:w="1493" w:type="pct"/>
            <w:tcBorders>
              <w:tl2br w:val="nil"/>
              <w:tr2bl w:val="nil"/>
            </w:tcBorders>
            <w:vAlign w:val="center"/>
          </w:tcPr>
          <w:p w14:paraId="18EB8F9E">
            <w:pPr>
              <w:pStyle w:val="1489"/>
              <w:spacing w:line="360" w:lineRule="auto"/>
              <w:ind w:firstLine="0" w:firstLineChars="0"/>
              <w:rPr>
                <w:rFonts w:hint="eastAsia" w:eastAsia="宋体" w:cs="Times New Roman"/>
                <w:b w:val="0"/>
                <w:bCs/>
                <w:color w:val="auto"/>
                <w:lang w:eastAsia="zh-CN"/>
              </w:rPr>
            </w:pPr>
            <w:r>
              <w:rPr>
                <w:rFonts w:hint="eastAsia" w:eastAsia="宋体" w:cs="Times New Roman"/>
                <w:b w:val="0"/>
                <w:bCs/>
                <w:color w:val="auto"/>
                <w:lang w:eastAsia="zh-CN"/>
              </w:rPr>
              <w:t>尾矿浓密机上流</w:t>
            </w:r>
          </w:p>
        </w:tc>
        <w:tc>
          <w:tcPr>
            <w:tcW w:w="970" w:type="pct"/>
            <w:vMerge w:val="continue"/>
            <w:tcBorders>
              <w:tl2br w:val="nil"/>
              <w:tr2bl w:val="nil"/>
            </w:tcBorders>
            <w:vAlign w:val="center"/>
          </w:tcPr>
          <w:p w14:paraId="6906E3CB">
            <w:pPr>
              <w:pStyle w:val="1489"/>
              <w:spacing w:line="360" w:lineRule="auto"/>
              <w:ind w:firstLine="0" w:firstLineChars="0"/>
              <w:rPr>
                <w:rFonts w:hint="default" w:ascii="Times New Roman" w:hAnsi="Times New Roman" w:eastAsia="宋体" w:cs="Times New Roman"/>
                <w:b w:val="0"/>
                <w:bCs/>
                <w:color w:val="auto"/>
              </w:rPr>
            </w:pPr>
          </w:p>
        </w:tc>
        <w:tc>
          <w:tcPr>
            <w:tcW w:w="1471" w:type="pct"/>
            <w:vMerge w:val="continue"/>
            <w:tcBorders>
              <w:tl2br w:val="nil"/>
              <w:tr2bl w:val="nil"/>
            </w:tcBorders>
            <w:vAlign w:val="center"/>
          </w:tcPr>
          <w:p w14:paraId="145724B8">
            <w:pPr>
              <w:pStyle w:val="1489"/>
              <w:spacing w:line="360" w:lineRule="auto"/>
              <w:ind w:firstLine="0" w:firstLineChars="0"/>
              <w:rPr>
                <w:rFonts w:hint="default" w:ascii="Times New Roman" w:hAnsi="Times New Roman" w:eastAsia="宋体" w:cs="Times New Roman"/>
                <w:b w:val="0"/>
                <w:bCs/>
                <w:color w:val="auto"/>
              </w:rPr>
            </w:pPr>
          </w:p>
        </w:tc>
      </w:tr>
      <w:tr w14:paraId="3C779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9" w:type="pct"/>
            <w:vMerge w:val="continue"/>
            <w:tcBorders>
              <w:tl2br w:val="nil"/>
              <w:tr2bl w:val="nil"/>
            </w:tcBorders>
            <w:vAlign w:val="center"/>
          </w:tcPr>
          <w:p w14:paraId="5CB947CF">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28EA8C96">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W7</w:t>
            </w:r>
          </w:p>
        </w:tc>
        <w:tc>
          <w:tcPr>
            <w:tcW w:w="1493" w:type="pct"/>
            <w:tcBorders>
              <w:tl2br w:val="nil"/>
              <w:tr2bl w:val="nil"/>
            </w:tcBorders>
            <w:vAlign w:val="center"/>
          </w:tcPr>
          <w:p w14:paraId="016B38B5">
            <w:pPr>
              <w:pStyle w:val="1489"/>
              <w:spacing w:line="360" w:lineRule="auto"/>
              <w:ind w:firstLine="0" w:firstLineChars="0"/>
              <w:rPr>
                <w:rFonts w:hint="eastAsia" w:eastAsia="宋体" w:cs="Times New Roman"/>
                <w:b w:val="0"/>
                <w:bCs/>
                <w:color w:val="auto"/>
                <w:lang w:eastAsia="zh-CN"/>
              </w:rPr>
            </w:pPr>
            <w:r>
              <w:rPr>
                <w:rFonts w:hint="eastAsia" w:eastAsia="宋体" w:cs="Times New Roman"/>
                <w:b w:val="0"/>
                <w:bCs/>
                <w:color w:val="auto"/>
                <w:lang w:eastAsia="zh-CN"/>
              </w:rPr>
              <w:t>板框压滤机底流</w:t>
            </w:r>
          </w:p>
        </w:tc>
        <w:tc>
          <w:tcPr>
            <w:tcW w:w="970" w:type="pct"/>
            <w:vMerge w:val="continue"/>
            <w:tcBorders>
              <w:tl2br w:val="nil"/>
              <w:tr2bl w:val="nil"/>
            </w:tcBorders>
            <w:vAlign w:val="center"/>
          </w:tcPr>
          <w:p w14:paraId="3E4DF92C">
            <w:pPr>
              <w:pStyle w:val="1489"/>
              <w:spacing w:line="360" w:lineRule="auto"/>
              <w:ind w:firstLine="0" w:firstLineChars="0"/>
              <w:rPr>
                <w:rFonts w:hint="default" w:ascii="Times New Roman" w:hAnsi="Times New Roman" w:eastAsia="宋体" w:cs="Times New Roman"/>
                <w:b w:val="0"/>
                <w:bCs/>
                <w:color w:val="auto"/>
              </w:rPr>
            </w:pPr>
          </w:p>
        </w:tc>
        <w:tc>
          <w:tcPr>
            <w:tcW w:w="1471" w:type="pct"/>
            <w:vMerge w:val="continue"/>
            <w:tcBorders>
              <w:tl2br w:val="nil"/>
              <w:tr2bl w:val="nil"/>
            </w:tcBorders>
            <w:vAlign w:val="center"/>
          </w:tcPr>
          <w:p w14:paraId="4CF6C390">
            <w:pPr>
              <w:pStyle w:val="1489"/>
              <w:spacing w:line="360" w:lineRule="auto"/>
              <w:ind w:firstLine="0" w:firstLineChars="0"/>
              <w:rPr>
                <w:rFonts w:hint="default" w:ascii="Times New Roman" w:hAnsi="Times New Roman" w:eastAsia="宋体" w:cs="Times New Roman"/>
                <w:b w:val="0"/>
                <w:bCs/>
                <w:color w:val="auto"/>
              </w:rPr>
            </w:pPr>
          </w:p>
        </w:tc>
      </w:tr>
      <w:tr w14:paraId="3064A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449" w:type="pct"/>
            <w:vMerge w:val="continue"/>
            <w:tcBorders>
              <w:tl2br w:val="nil"/>
              <w:tr2bl w:val="nil"/>
            </w:tcBorders>
            <w:vAlign w:val="center"/>
          </w:tcPr>
          <w:p w14:paraId="534C6A5F">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2BA64F70">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W8</w:t>
            </w:r>
          </w:p>
        </w:tc>
        <w:tc>
          <w:tcPr>
            <w:tcW w:w="1493" w:type="pct"/>
            <w:tcBorders>
              <w:tl2br w:val="nil"/>
              <w:tr2bl w:val="nil"/>
            </w:tcBorders>
            <w:vAlign w:val="center"/>
          </w:tcPr>
          <w:p w14:paraId="3DF58535">
            <w:pPr>
              <w:pStyle w:val="1489"/>
              <w:spacing w:line="360" w:lineRule="auto"/>
              <w:ind w:firstLine="0" w:firstLineChars="0"/>
              <w:rPr>
                <w:rFonts w:hint="eastAsia" w:eastAsia="宋体" w:cs="Times New Roman"/>
                <w:b w:val="0"/>
                <w:bCs/>
                <w:color w:val="auto"/>
                <w:lang w:eastAsia="zh-CN"/>
              </w:rPr>
            </w:pPr>
            <w:r>
              <w:rPr>
                <w:rFonts w:hint="eastAsia" w:eastAsia="宋体" w:cs="Times New Roman"/>
                <w:b w:val="0"/>
                <w:bCs/>
                <w:color w:val="auto"/>
                <w:lang w:eastAsia="zh-CN"/>
              </w:rPr>
              <w:t>高频脱水筛底流</w:t>
            </w:r>
          </w:p>
        </w:tc>
        <w:tc>
          <w:tcPr>
            <w:tcW w:w="970" w:type="pct"/>
            <w:vMerge w:val="continue"/>
            <w:tcBorders>
              <w:tl2br w:val="nil"/>
              <w:tr2bl w:val="nil"/>
            </w:tcBorders>
            <w:vAlign w:val="center"/>
          </w:tcPr>
          <w:p w14:paraId="7CE8E06D">
            <w:pPr>
              <w:pStyle w:val="1489"/>
              <w:spacing w:line="360" w:lineRule="auto"/>
              <w:ind w:firstLine="0" w:firstLineChars="0"/>
              <w:rPr>
                <w:rFonts w:hint="default" w:ascii="Times New Roman" w:hAnsi="Times New Roman" w:eastAsia="宋体" w:cs="Times New Roman"/>
                <w:b w:val="0"/>
                <w:bCs/>
                <w:color w:val="auto"/>
              </w:rPr>
            </w:pPr>
          </w:p>
        </w:tc>
        <w:tc>
          <w:tcPr>
            <w:tcW w:w="1471" w:type="pct"/>
            <w:vMerge w:val="continue"/>
            <w:tcBorders>
              <w:tl2br w:val="nil"/>
              <w:tr2bl w:val="nil"/>
            </w:tcBorders>
            <w:vAlign w:val="center"/>
          </w:tcPr>
          <w:p w14:paraId="07ADE590">
            <w:pPr>
              <w:pStyle w:val="1489"/>
              <w:spacing w:line="360" w:lineRule="auto"/>
              <w:ind w:firstLine="0" w:firstLineChars="0"/>
              <w:rPr>
                <w:rFonts w:hint="default" w:ascii="Times New Roman" w:hAnsi="Times New Roman" w:eastAsia="宋体" w:cs="Times New Roman"/>
                <w:b w:val="0"/>
                <w:bCs/>
                <w:color w:val="auto"/>
              </w:rPr>
            </w:pPr>
          </w:p>
        </w:tc>
      </w:tr>
      <w:tr w14:paraId="2DE7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tcBorders>
              <w:tl2br w:val="nil"/>
              <w:tr2bl w:val="nil"/>
            </w:tcBorders>
            <w:vAlign w:val="center"/>
          </w:tcPr>
          <w:p w14:paraId="4624C339">
            <w:pPr>
              <w:pStyle w:val="1489"/>
              <w:spacing w:line="360" w:lineRule="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噪声</w:t>
            </w:r>
          </w:p>
        </w:tc>
        <w:tc>
          <w:tcPr>
            <w:tcW w:w="615" w:type="pct"/>
            <w:tcBorders>
              <w:tl2br w:val="nil"/>
              <w:tr2bl w:val="nil"/>
            </w:tcBorders>
            <w:vAlign w:val="center"/>
          </w:tcPr>
          <w:p w14:paraId="7B36D1A2">
            <w:pPr>
              <w:pStyle w:val="1489"/>
              <w:spacing w:line="360" w:lineRule="auto"/>
              <w:rPr>
                <w:rFonts w:hint="default" w:ascii="Times New Roman" w:hAnsi="Times New Roman" w:eastAsia="宋体" w:cs="Times New Roman"/>
                <w:b w:val="0"/>
                <w:bCs/>
                <w:color w:val="auto"/>
                <w:lang w:val="en-US"/>
              </w:rPr>
            </w:pPr>
            <w:r>
              <w:rPr>
                <w:rFonts w:hint="default" w:ascii="Times New Roman" w:hAnsi="Times New Roman" w:eastAsia="宋体" w:cs="Times New Roman"/>
                <w:b w:val="0"/>
                <w:bCs/>
                <w:color w:val="auto"/>
              </w:rPr>
              <w:t>N</w:t>
            </w:r>
            <w:r>
              <w:rPr>
                <w:rFonts w:hint="eastAsia" w:eastAsia="宋体" w:cs="Times New Roman"/>
                <w:b w:val="0"/>
                <w:bCs/>
                <w:color w:val="auto"/>
                <w:lang w:val="en-US" w:eastAsia="zh-CN"/>
              </w:rPr>
              <w:t>1</w:t>
            </w:r>
            <w:r>
              <w:rPr>
                <w:rFonts w:hint="default" w:ascii="Times New Roman" w:hAnsi="Times New Roman" w:eastAsia="宋体" w:cs="Times New Roman"/>
                <w:b w:val="0"/>
                <w:bCs/>
                <w:color w:val="auto"/>
              </w:rPr>
              <w:t>-N</w:t>
            </w:r>
            <w:r>
              <w:rPr>
                <w:rFonts w:hint="eastAsia" w:eastAsia="宋体" w:cs="Times New Roman"/>
                <w:b w:val="0"/>
                <w:bCs/>
                <w:color w:val="auto"/>
                <w:lang w:val="en-US" w:eastAsia="zh-CN"/>
              </w:rPr>
              <w:t>7</w:t>
            </w:r>
          </w:p>
        </w:tc>
        <w:tc>
          <w:tcPr>
            <w:tcW w:w="1493" w:type="pct"/>
            <w:tcBorders>
              <w:tl2br w:val="nil"/>
              <w:tr2bl w:val="nil"/>
            </w:tcBorders>
            <w:vAlign w:val="center"/>
          </w:tcPr>
          <w:p w14:paraId="07B2EE74">
            <w:pPr>
              <w:pStyle w:val="1489"/>
              <w:spacing w:line="360" w:lineRule="auto"/>
              <w:rPr>
                <w:rFonts w:hint="default" w:ascii="Times New Roman" w:hAnsi="Times New Roman" w:eastAsia="宋体" w:cs="Times New Roman"/>
                <w:b w:val="0"/>
                <w:bCs/>
                <w:color w:val="auto"/>
              </w:rPr>
            </w:pPr>
            <w:r>
              <w:rPr>
                <w:rFonts w:hint="eastAsia" w:eastAsia="宋体" w:cs="Times New Roman"/>
                <w:b w:val="0"/>
                <w:bCs/>
                <w:color w:val="auto"/>
                <w:lang w:val="en-US" w:eastAsia="zh-CN"/>
              </w:rPr>
              <w:t>配药、</w:t>
            </w:r>
            <w:r>
              <w:rPr>
                <w:rFonts w:hint="default" w:ascii="Times New Roman" w:hAnsi="Times New Roman" w:eastAsia="宋体" w:cs="Times New Roman"/>
                <w:b w:val="0"/>
                <w:bCs/>
                <w:color w:val="auto"/>
              </w:rPr>
              <w:t>浮选、过滤等机械设备运转</w:t>
            </w:r>
          </w:p>
        </w:tc>
        <w:tc>
          <w:tcPr>
            <w:tcW w:w="970" w:type="pct"/>
            <w:tcBorders>
              <w:tl2br w:val="nil"/>
              <w:tr2bl w:val="nil"/>
            </w:tcBorders>
            <w:vAlign w:val="center"/>
          </w:tcPr>
          <w:p w14:paraId="67AAA16F">
            <w:pPr>
              <w:pStyle w:val="1489"/>
              <w:spacing w:line="360" w:lineRule="auto"/>
              <w:rPr>
                <w:rFonts w:hint="default"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L</w:t>
            </w:r>
            <w:r>
              <w:rPr>
                <w:rFonts w:hint="eastAsia" w:eastAsia="宋体" w:cs="Times New Roman"/>
                <w:b w:val="0"/>
                <w:bCs/>
                <w:color w:val="auto"/>
                <w:vertAlign w:val="subscript"/>
                <w:lang w:val="en-US" w:eastAsia="zh-CN"/>
              </w:rPr>
              <w:t>eq</w:t>
            </w:r>
            <w:r>
              <w:rPr>
                <w:rFonts w:hint="eastAsia" w:eastAsia="宋体" w:cs="Times New Roman"/>
                <w:b w:val="0"/>
                <w:bCs/>
                <w:color w:val="auto"/>
                <w:lang w:val="en-US" w:eastAsia="zh-CN"/>
              </w:rPr>
              <w:t>(A)</w:t>
            </w:r>
          </w:p>
        </w:tc>
        <w:tc>
          <w:tcPr>
            <w:tcW w:w="1471" w:type="pct"/>
            <w:tcBorders>
              <w:tl2br w:val="nil"/>
              <w:tr2bl w:val="nil"/>
            </w:tcBorders>
            <w:vAlign w:val="center"/>
          </w:tcPr>
          <w:p w14:paraId="4FD86BBB">
            <w:pPr>
              <w:pStyle w:val="1489"/>
              <w:spacing w:line="360" w:lineRule="auto"/>
              <w:rPr>
                <w:rFonts w:hint="eastAsia" w:eastAsia="宋体" w:cs="Times New Roman"/>
                <w:b w:val="0"/>
                <w:bCs/>
                <w:color w:val="auto"/>
                <w:lang w:val="en-US" w:eastAsia="zh-CN"/>
              </w:rPr>
            </w:pPr>
            <w:r>
              <w:rPr>
                <w:rFonts w:hint="eastAsia" w:eastAsia="宋体" w:cs="Times New Roman"/>
                <w:b w:val="0"/>
                <w:bCs/>
                <w:color w:val="auto"/>
                <w:lang w:val="en-US" w:eastAsia="zh-CN"/>
              </w:rPr>
              <w:t>选用低噪声设备，基础减振、厂房隔声，风机进出口软连接</w:t>
            </w:r>
          </w:p>
        </w:tc>
      </w:tr>
      <w:tr w14:paraId="0C5C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restart"/>
            <w:tcBorders>
              <w:tl2br w:val="nil"/>
              <w:tr2bl w:val="nil"/>
            </w:tcBorders>
            <w:vAlign w:val="center"/>
          </w:tcPr>
          <w:p w14:paraId="1294BACD">
            <w:pPr>
              <w:pStyle w:val="1489"/>
              <w:spacing w:line="360" w:lineRule="auto"/>
              <w:rPr>
                <w:rFonts w:hint="default" w:ascii="Times New Roman" w:hAnsi="Times New Roman" w:eastAsia="宋体" w:cs="Times New Roman"/>
                <w:b w:val="0"/>
                <w:bCs/>
                <w:color w:val="auto"/>
              </w:rPr>
            </w:pPr>
            <w:r>
              <w:rPr>
                <w:rFonts w:hint="default" w:ascii="Times New Roman" w:hAnsi="Times New Roman" w:eastAsia="宋体" w:cs="Times New Roman"/>
                <w:b w:val="0"/>
                <w:bCs/>
                <w:color w:val="auto"/>
              </w:rPr>
              <w:t>固废</w:t>
            </w:r>
          </w:p>
        </w:tc>
        <w:tc>
          <w:tcPr>
            <w:tcW w:w="615" w:type="pct"/>
            <w:tcBorders>
              <w:tl2br w:val="nil"/>
              <w:tr2bl w:val="nil"/>
            </w:tcBorders>
            <w:vAlign w:val="center"/>
          </w:tcPr>
          <w:p w14:paraId="358B6497">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r>
              <w:rPr>
                <w:rFonts w:hint="eastAsia" w:eastAsia="宋体" w:cs="Times New Roman"/>
                <w:b w:val="0"/>
                <w:bCs/>
                <w:color w:val="auto"/>
                <w:kern w:val="2"/>
                <w:sz w:val="21"/>
                <w:szCs w:val="22"/>
                <w:lang w:val="en-US" w:eastAsia="zh-CN" w:bidi="ar-SA"/>
              </w:rPr>
              <w:t>S1</w:t>
            </w:r>
          </w:p>
        </w:tc>
        <w:tc>
          <w:tcPr>
            <w:tcW w:w="1493" w:type="pct"/>
            <w:tcBorders>
              <w:tl2br w:val="nil"/>
              <w:tr2bl w:val="nil"/>
            </w:tcBorders>
            <w:vAlign w:val="center"/>
          </w:tcPr>
          <w:p w14:paraId="133F55EC">
            <w:pPr>
              <w:pStyle w:val="1489"/>
              <w:spacing w:line="360" w:lineRule="auto"/>
              <w:ind w:firstLine="0" w:firstLineChars="0"/>
              <w:rPr>
                <w:rFonts w:hint="eastAsia" w:ascii="Times New Roman" w:hAnsi="Times New Roman" w:eastAsia="宋体" w:cs="Times New Roman"/>
                <w:b w:val="0"/>
                <w:bCs/>
                <w:color w:val="auto"/>
                <w:kern w:val="2"/>
                <w:sz w:val="21"/>
                <w:szCs w:val="22"/>
                <w:lang w:val="en-US" w:eastAsia="zh-CN" w:bidi="ar-SA"/>
              </w:rPr>
            </w:pPr>
            <w:r>
              <w:rPr>
                <w:rFonts w:hint="default" w:ascii="Times New Roman" w:hAnsi="Times New Roman" w:eastAsia="宋体" w:cs="Times New Roman"/>
                <w:b w:val="0"/>
                <w:bCs/>
                <w:color w:val="auto"/>
              </w:rPr>
              <w:t>选矿设备</w:t>
            </w:r>
            <w:r>
              <w:rPr>
                <w:rFonts w:hint="eastAsia" w:eastAsia="宋体" w:cs="Times New Roman"/>
                <w:b w:val="0"/>
                <w:bCs/>
                <w:color w:val="auto"/>
                <w:lang w:eastAsia="zh-CN"/>
              </w:rPr>
              <w:t>维修保养</w:t>
            </w:r>
          </w:p>
        </w:tc>
        <w:tc>
          <w:tcPr>
            <w:tcW w:w="970" w:type="pct"/>
            <w:tcBorders>
              <w:tl2br w:val="nil"/>
              <w:tr2bl w:val="nil"/>
            </w:tcBorders>
            <w:vAlign w:val="center"/>
          </w:tcPr>
          <w:p w14:paraId="14673E01">
            <w:pPr>
              <w:pStyle w:val="1489"/>
              <w:spacing w:line="360" w:lineRule="auto"/>
              <w:ind w:firstLine="0" w:firstLineChars="0"/>
              <w:rPr>
                <w:rFonts w:hint="eastAsia" w:ascii="Times New Roman" w:hAnsi="Times New Roman" w:eastAsia="宋体" w:cs="Times New Roman"/>
                <w:b w:val="0"/>
                <w:bCs/>
                <w:color w:val="auto"/>
                <w:kern w:val="2"/>
                <w:sz w:val="21"/>
                <w:szCs w:val="22"/>
                <w:lang w:val="en-US" w:eastAsia="zh-CN" w:bidi="ar-SA"/>
              </w:rPr>
            </w:pPr>
            <w:r>
              <w:rPr>
                <w:rFonts w:hint="default" w:ascii="Times New Roman" w:hAnsi="Times New Roman" w:eastAsia="宋体" w:cs="Times New Roman"/>
                <w:b w:val="0"/>
                <w:bCs/>
                <w:color w:val="auto"/>
              </w:rPr>
              <w:t>废机油</w:t>
            </w:r>
            <w:r>
              <w:rPr>
                <w:rFonts w:hint="eastAsia" w:eastAsia="宋体" w:cs="Times New Roman"/>
                <w:b w:val="0"/>
                <w:bCs/>
                <w:color w:val="auto"/>
                <w:lang w:eastAsia="zh-CN"/>
              </w:rPr>
              <w:t>、废油桶</w:t>
            </w:r>
          </w:p>
        </w:tc>
        <w:tc>
          <w:tcPr>
            <w:tcW w:w="1471" w:type="pct"/>
            <w:vMerge w:val="restart"/>
            <w:tcBorders>
              <w:tl2br w:val="nil"/>
              <w:tr2bl w:val="nil"/>
            </w:tcBorders>
            <w:vAlign w:val="center"/>
          </w:tcPr>
          <w:p w14:paraId="2DBFAA35">
            <w:pPr>
              <w:pStyle w:val="1489"/>
              <w:spacing w:line="360" w:lineRule="auto"/>
              <w:ind w:firstLine="0" w:firstLineChars="0"/>
              <w:rPr>
                <w:rFonts w:hint="eastAsia" w:ascii="Times New Roman" w:hAnsi="Times New Roman" w:eastAsia="宋体" w:cs="Times New Roman"/>
                <w:b w:val="0"/>
                <w:bCs/>
                <w:color w:val="auto"/>
                <w:lang w:eastAsia="zh-CN"/>
              </w:rPr>
            </w:pPr>
            <w:r>
              <w:rPr>
                <w:rFonts w:hint="eastAsia" w:eastAsia="宋体" w:cs="Times New Roman"/>
                <w:b w:val="0"/>
                <w:bCs/>
                <w:color w:val="auto"/>
                <w:lang w:eastAsia="zh-CN"/>
              </w:rPr>
              <w:t>暂存于危废贮存点，委托有资质单位定期处理</w:t>
            </w:r>
          </w:p>
        </w:tc>
      </w:tr>
      <w:tr w14:paraId="2F51C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1DFB91C6">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5704FCE7">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r>
              <w:rPr>
                <w:rFonts w:hint="default" w:ascii="Times New Roman" w:hAnsi="Times New Roman" w:eastAsia="宋体" w:cs="Times New Roman"/>
                <w:b w:val="0"/>
                <w:bCs/>
                <w:color w:val="auto"/>
              </w:rPr>
              <w:t>S</w:t>
            </w:r>
            <w:r>
              <w:rPr>
                <w:rFonts w:hint="eastAsia" w:eastAsia="宋体" w:cs="Times New Roman"/>
                <w:b w:val="0"/>
                <w:bCs/>
                <w:color w:val="auto"/>
                <w:lang w:val="en-US" w:eastAsia="zh-CN"/>
              </w:rPr>
              <w:t>2</w:t>
            </w:r>
          </w:p>
        </w:tc>
        <w:tc>
          <w:tcPr>
            <w:tcW w:w="1493" w:type="pct"/>
            <w:tcBorders>
              <w:tl2br w:val="nil"/>
              <w:tr2bl w:val="nil"/>
            </w:tcBorders>
            <w:vAlign w:val="center"/>
          </w:tcPr>
          <w:p w14:paraId="0469DFD3">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r>
              <w:rPr>
                <w:rFonts w:hint="default" w:ascii="Times New Roman" w:hAnsi="Times New Roman" w:eastAsia="宋体" w:cs="Times New Roman"/>
                <w:b w:val="0"/>
                <w:bCs/>
                <w:color w:val="auto"/>
              </w:rPr>
              <w:t>药剂配置</w:t>
            </w:r>
          </w:p>
        </w:tc>
        <w:tc>
          <w:tcPr>
            <w:tcW w:w="970" w:type="pct"/>
            <w:tcBorders>
              <w:tl2br w:val="nil"/>
              <w:tr2bl w:val="nil"/>
            </w:tcBorders>
            <w:vAlign w:val="center"/>
          </w:tcPr>
          <w:p w14:paraId="7809536A">
            <w:pPr>
              <w:pStyle w:val="1489"/>
              <w:spacing w:line="360" w:lineRule="auto"/>
              <w:ind w:firstLine="0" w:firstLineChars="0"/>
              <w:rPr>
                <w:rFonts w:hint="default" w:ascii="Times New Roman" w:hAnsi="Times New Roman" w:eastAsia="宋体" w:cs="Times New Roman"/>
                <w:b w:val="0"/>
                <w:bCs/>
                <w:color w:val="auto"/>
                <w:kern w:val="2"/>
                <w:sz w:val="21"/>
                <w:szCs w:val="22"/>
                <w:lang w:val="en-US" w:eastAsia="zh-CN" w:bidi="ar-SA"/>
              </w:rPr>
            </w:pPr>
            <w:r>
              <w:rPr>
                <w:rFonts w:hint="eastAsia" w:eastAsia="宋体" w:cs="Times New Roman"/>
                <w:b w:val="0"/>
                <w:bCs/>
                <w:color w:val="auto"/>
                <w:lang w:val="en-US" w:eastAsia="zh-CN"/>
              </w:rPr>
              <w:t>药剂废包装</w:t>
            </w:r>
          </w:p>
        </w:tc>
        <w:tc>
          <w:tcPr>
            <w:tcW w:w="1471" w:type="pct"/>
            <w:vMerge w:val="continue"/>
            <w:tcBorders>
              <w:tl2br w:val="nil"/>
              <w:tr2bl w:val="nil"/>
            </w:tcBorders>
            <w:vAlign w:val="center"/>
          </w:tcPr>
          <w:p w14:paraId="4BA5DA9D">
            <w:pPr>
              <w:pStyle w:val="1489"/>
              <w:spacing w:line="360" w:lineRule="auto"/>
              <w:ind w:firstLine="0" w:firstLineChars="0"/>
              <w:rPr>
                <w:rFonts w:hint="default" w:ascii="Times New Roman" w:hAnsi="Times New Roman" w:eastAsia="宋体" w:cs="Times New Roman"/>
                <w:b w:val="0"/>
                <w:bCs/>
                <w:color w:val="auto"/>
              </w:rPr>
            </w:pPr>
          </w:p>
        </w:tc>
      </w:tr>
      <w:tr w14:paraId="0DF7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20812F32">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541DCEF2">
            <w:pPr>
              <w:pStyle w:val="1489"/>
              <w:spacing w:line="360" w:lineRule="auto"/>
              <w:ind w:firstLine="0" w:firstLineChars="0"/>
              <w:rPr>
                <w:rFonts w:hint="eastAsia" w:ascii="Times New Roman" w:hAnsi="Times New Roman" w:eastAsia="宋体" w:cs="Times New Roman"/>
                <w:b w:val="0"/>
                <w:bCs/>
                <w:color w:val="auto"/>
                <w:kern w:val="2"/>
                <w:sz w:val="21"/>
                <w:szCs w:val="22"/>
                <w:lang w:val="en-US" w:eastAsia="zh-CN" w:bidi="ar-SA"/>
              </w:rPr>
            </w:pPr>
            <w:r>
              <w:rPr>
                <w:rFonts w:hint="default" w:ascii="Times New Roman" w:hAnsi="Times New Roman" w:eastAsia="宋体" w:cs="Times New Roman"/>
                <w:b w:val="0"/>
                <w:bCs/>
                <w:color w:val="auto"/>
              </w:rPr>
              <w:t>S</w:t>
            </w:r>
            <w:r>
              <w:rPr>
                <w:rFonts w:hint="eastAsia" w:eastAsia="宋体" w:cs="Times New Roman"/>
                <w:b w:val="0"/>
                <w:bCs/>
                <w:color w:val="auto"/>
                <w:lang w:val="en-US" w:eastAsia="zh-CN"/>
              </w:rPr>
              <w:t>3</w:t>
            </w:r>
          </w:p>
        </w:tc>
        <w:tc>
          <w:tcPr>
            <w:tcW w:w="1493" w:type="pct"/>
            <w:tcBorders>
              <w:tl2br w:val="nil"/>
              <w:tr2bl w:val="nil"/>
            </w:tcBorders>
            <w:vAlign w:val="center"/>
          </w:tcPr>
          <w:p w14:paraId="0E337CDF">
            <w:pPr>
              <w:pStyle w:val="1489"/>
              <w:spacing w:line="360" w:lineRule="auto"/>
              <w:ind w:firstLine="0" w:firstLineChars="0"/>
              <w:rPr>
                <w:rFonts w:hint="default"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尾矿压滤</w:t>
            </w:r>
          </w:p>
        </w:tc>
        <w:tc>
          <w:tcPr>
            <w:tcW w:w="970" w:type="pct"/>
            <w:tcBorders>
              <w:tl2br w:val="nil"/>
              <w:tr2bl w:val="nil"/>
            </w:tcBorders>
            <w:vAlign w:val="center"/>
          </w:tcPr>
          <w:p w14:paraId="29C49AB7">
            <w:pPr>
              <w:pStyle w:val="1489"/>
              <w:spacing w:line="360" w:lineRule="auto"/>
              <w:ind w:firstLine="0" w:firstLineChars="0"/>
              <w:rPr>
                <w:rFonts w:hint="eastAsia"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尾矿</w:t>
            </w:r>
          </w:p>
        </w:tc>
        <w:tc>
          <w:tcPr>
            <w:tcW w:w="1471" w:type="pct"/>
            <w:tcBorders>
              <w:tl2br w:val="nil"/>
              <w:tr2bl w:val="nil"/>
            </w:tcBorders>
            <w:vAlign w:val="center"/>
          </w:tcPr>
          <w:p w14:paraId="4732651C">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外运综合利用</w:t>
            </w:r>
            <w:r>
              <w:rPr>
                <w:rFonts w:hint="default" w:eastAsia="宋体" w:cs="Times New Roman"/>
                <w:b w:val="0"/>
                <w:bCs/>
                <w:color w:val="auto"/>
                <w:lang w:val="en-US" w:eastAsia="zh-CN"/>
              </w:rPr>
              <w:t>，不外排</w:t>
            </w:r>
          </w:p>
        </w:tc>
      </w:tr>
      <w:tr w14:paraId="5B9F5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1D640C83">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5043C457">
            <w:pPr>
              <w:pStyle w:val="1489"/>
              <w:spacing w:line="360" w:lineRule="auto"/>
              <w:ind w:firstLine="0" w:firstLineChars="0"/>
              <w:rPr>
                <w:rFonts w:hint="default"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S4</w:t>
            </w:r>
          </w:p>
        </w:tc>
        <w:tc>
          <w:tcPr>
            <w:tcW w:w="1493" w:type="pct"/>
            <w:tcBorders>
              <w:tl2br w:val="nil"/>
              <w:tr2bl w:val="nil"/>
            </w:tcBorders>
            <w:vAlign w:val="center"/>
          </w:tcPr>
          <w:p w14:paraId="7996DBA4">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布袋除尘器</w:t>
            </w:r>
          </w:p>
        </w:tc>
        <w:tc>
          <w:tcPr>
            <w:tcW w:w="970" w:type="pct"/>
            <w:tcBorders>
              <w:tl2br w:val="nil"/>
              <w:tr2bl w:val="nil"/>
            </w:tcBorders>
            <w:vAlign w:val="center"/>
          </w:tcPr>
          <w:p w14:paraId="3471EAEB">
            <w:pPr>
              <w:pStyle w:val="1489"/>
              <w:spacing w:line="360" w:lineRule="auto"/>
              <w:ind w:firstLine="0" w:firstLineChars="0"/>
              <w:rPr>
                <w:rFonts w:hint="eastAsia" w:eastAsia="宋体" w:cs="Times New Roman"/>
                <w:b w:val="0"/>
                <w:bCs/>
                <w:color w:val="auto"/>
                <w:lang w:val="en-US" w:eastAsia="zh-CN"/>
              </w:rPr>
            </w:pPr>
            <w:r>
              <w:rPr>
                <w:rFonts w:hint="eastAsia" w:eastAsia="宋体" w:cs="Times New Roman"/>
                <w:b w:val="0"/>
                <w:bCs/>
                <w:color w:val="auto"/>
                <w:lang w:val="en-US" w:eastAsia="zh-CN"/>
              </w:rPr>
              <w:t>除尘灰</w:t>
            </w:r>
          </w:p>
        </w:tc>
        <w:tc>
          <w:tcPr>
            <w:tcW w:w="1471" w:type="pct"/>
            <w:tcBorders>
              <w:tl2br w:val="nil"/>
              <w:tr2bl w:val="nil"/>
            </w:tcBorders>
            <w:vAlign w:val="center"/>
          </w:tcPr>
          <w:p w14:paraId="37BC47E3">
            <w:pPr>
              <w:pStyle w:val="1489"/>
              <w:spacing w:line="360" w:lineRule="auto"/>
              <w:ind w:firstLine="0" w:firstLineChars="0"/>
              <w:rPr>
                <w:rFonts w:hint="default" w:eastAsia="宋体" w:cs="Times New Roman"/>
                <w:b w:val="0"/>
                <w:bCs/>
                <w:color w:val="auto"/>
                <w:lang w:val="en-US" w:eastAsia="zh-CN"/>
              </w:rPr>
            </w:pPr>
            <w:r>
              <w:rPr>
                <w:rFonts w:hint="default" w:eastAsia="宋体" w:cs="Times New Roman"/>
                <w:b w:val="0"/>
                <w:bCs/>
                <w:color w:val="auto"/>
                <w:lang w:val="en-US" w:eastAsia="zh-CN"/>
              </w:rPr>
              <w:t>收集后返回工艺，不外排</w:t>
            </w:r>
          </w:p>
        </w:tc>
      </w:tr>
      <w:tr w14:paraId="2EDF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9" w:type="pct"/>
            <w:vMerge w:val="continue"/>
            <w:tcBorders>
              <w:tl2br w:val="nil"/>
              <w:tr2bl w:val="nil"/>
            </w:tcBorders>
            <w:vAlign w:val="center"/>
          </w:tcPr>
          <w:p w14:paraId="2214C457">
            <w:pPr>
              <w:pStyle w:val="1489"/>
              <w:spacing w:line="360" w:lineRule="auto"/>
              <w:rPr>
                <w:rFonts w:hint="default" w:ascii="Times New Roman" w:hAnsi="Times New Roman" w:eastAsia="宋体" w:cs="Times New Roman"/>
                <w:b w:val="0"/>
                <w:bCs/>
                <w:color w:val="auto"/>
              </w:rPr>
            </w:pPr>
          </w:p>
        </w:tc>
        <w:tc>
          <w:tcPr>
            <w:tcW w:w="615" w:type="pct"/>
            <w:tcBorders>
              <w:tl2br w:val="nil"/>
              <w:tr2bl w:val="nil"/>
            </w:tcBorders>
            <w:vAlign w:val="center"/>
          </w:tcPr>
          <w:p w14:paraId="1D867F3D">
            <w:pPr>
              <w:pStyle w:val="1489"/>
              <w:spacing w:line="360" w:lineRule="auto"/>
              <w:ind w:firstLine="0" w:firstLineChars="0"/>
              <w:rPr>
                <w:rFonts w:hint="default" w:ascii="Times New Roman" w:hAnsi="Times New Roman" w:eastAsia="宋体" w:cs="Times New Roman"/>
                <w:b w:val="0"/>
                <w:bCs/>
                <w:color w:val="auto"/>
                <w:lang w:val="en-US" w:eastAsia="zh-CN"/>
              </w:rPr>
            </w:pPr>
            <w:r>
              <w:rPr>
                <w:rFonts w:hint="eastAsia" w:eastAsia="宋体" w:cs="Times New Roman"/>
                <w:b w:val="0"/>
                <w:bCs/>
                <w:color w:val="auto"/>
                <w:lang w:val="en-US" w:eastAsia="zh-CN"/>
              </w:rPr>
              <w:t>S5</w:t>
            </w:r>
          </w:p>
        </w:tc>
        <w:tc>
          <w:tcPr>
            <w:tcW w:w="1493" w:type="pct"/>
            <w:tcBorders>
              <w:tl2br w:val="nil"/>
              <w:tr2bl w:val="nil"/>
            </w:tcBorders>
            <w:vAlign w:val="center"/>
          </w:tcPr>
          <w:p w14:paraId="280C4B73">
            <w:pPr>
              <w:pStyle w:val="1489"/>
              <w:spacing w:line="360" w:lineRule="auto"/>
              <w:ind w:firstLine="0" w:firstLineChars="0"/>
              <w:rPr>
                <w:rFonts w:hint="default" w:eastAsia="宋体" w:cs="Times New Roman"/>
                <w:b w:val="0"/>
                <w:bCs/>
                <w:color w:val="auto"/>
                <w:lang w:val="en-US" w:eastAsia="zh-CN"/>
              </w:rPr>
            </w:pPr>
            <w:r>
              <w:rPr>
                <w:rFonts w:hint="eastAsia" w:eastAsia="宋体" w:cs="Times New Roman"/>
                <w:b w:val="0"/>
                <w:bCs/>
                <w:color w:val="auto"/>
                <w:lang w:val="en-US" w:eastAsia="zh-CN"/>
              </w:rPr>
              <w:t>员工生活</w:t>
            </w:r>
          </w:p>
        </w:tc>
        <w:tc>
          <w:tcPr>
            <w:tcW w:w="970" w:type="pct"/>
            <w:tcBorders>
              <w:tl2br w:val="nil"/>
              <w:tr2bl w:val="nil"/>
            </w:tcBorders>
            <w:vAlign w:val="center"/>
          </w:tcPr>
          <w:p w14:paraId="0F6FCCF3">
            <w:pPr>
              <w:pStyle w:val="1489"/>
              <w:spacing w:line="360" w:lineRule="auto"/>
              <w:ind w:firstLine="0" w:firstLineChars="0"/>
              <w:rPr>
                <w:rFonts w:hint="eastAsia" w:eastAsia="宋体" w:cs="Times New Roman"/>
                <w:b w:val="0"/>
                <w:bCs/>
                <w:color w:val="auto"/>
                <w:lang w:val="en-US" w:eastAsia="zh-CN"/>
              </w:rPr>
            </w:pPr>
            <w:r>
              <w:rPr>
                <w:rFonts w:hint="eastAsia" w:eastAsia="宋体" w:cs="Times New Roman"/>
                <w:b w:val="0"/>
                <w:bCs/>
                <w:color w:val="auto"/>
                <w:lang w:val="en-US" w:eastAsia="zh-CN"/>
              </w:rPr>
              <w:t>生活垃圾</w:t>
            </w:r>
          </w:p>
        </w:tc>
        <w:tc>
          <w:tcPr>
            <w:tcW w:w="1471" w:type="pct"/>
            <w:tcBorders>
              <w:tl2br w:val="nil"/>
              <w:tr2bl w:val="nil"/>
            </w:tcBorders>
            <w:vAlign w:val="center"/>
          </w:tcPr>
          <w:p w14:paraId="024D33A7">
            <w:pPr>
              <w:pStyle w:val="1489"/>
              <w:spacing w:line="360" w:lineRule="auto"/>
              <w:ind w:firstLine="0" w:firstLineChars="0"/>
              <w:rPr>
                <w:rFonts w:hint="eastAsia" w:eastAsia="宋体" w:cs="Times New Roman"/>
                <w:b w:val="0"/>
                <w:bCs/>
                <w:color w:val="auto"/>
                <w:lang w:val="en-US" w:eastAsia="zh-CN"/>
              </w:rPr>
            </w:pPr>
            <w:r>
              <w:rPr>
                <w:rFonts w:hint="default" w:ascii="Times New Roman" w:hAnsi="Times New Roman" w:eastAsia="宋体" w:cs="Times New Roman"/>
                <w:b w:val="0"/>
                <w:color w:val="auto"/>
                <w:kern w:val="2"/>
                <w:sz w:val="21"/>
                <w:szCs w:val="20"/>
                <w:lang w:val="en-US" w:eastAsia="zh-CN" w:bidi="ar-SA"/>
              </w:rPr>
              <w:t>设置</w:t>
            </w:r>
            <w:r>
              <w:rPr>
                <w:rFonts w:hint="eastAsia" w:ascii="Times New Roman" w:hAnsi="Times New Roman" w:eastAsia="宋体" w:cs="Times New Roman"/>
                <w:b w:val="0"/>
                <w:color w:val="auto"/>
                <w:kern w:val="2"/>
                <w:sz w:val="21"/>
                <w:szCs w:val="20"/>
                <w:lang w:val="en-US" w:eastAsia="zh-CN" w:bidi="ar-SA"/>
              </w:rPr>
              <w:t>生活</w:t>
            </w:r>
            <w:r>
              <w:rPr>
                <w:rFonts w:hint="default" w:ascii="Times New Roman" w:hAnsi="Times New Roman" w:eastAsia="宋体" w:cs="Times New Roman"/>
                <w:b w:val="0"/>
                <w:color w:val="auto"/>
                <w:kern w:val="2"/>
                <w:sz w:val="21"/>
                <w:szCs w:val="20"/>
                <w:lang w:val="en-US" w:eastAsia="zh-CN" w:bidi="ar-SA"/>
              </w:rPr>
              <w:t>垃圾桶，定期由环卫部门处理。</w:t>
            </w:r>
          </w:p>
        </w:tc>
      </w:tr>
    </w:tbl>
    <w:p w14:paraId="3C76A814">
      <w:pPr>
        <w:bidi w:val="0"/>
        <w:spacing w:line="360" w:lineRule="auto"/>
        <w:rPr>
          <w:rFonts w:hint="eastAsia"/>
          <w:b/>
          <w:bCs/>
          <w:color w:val="auto"/>
          <w:sz w:val="24"/>
          <w:szCs w:val="32"/>
          <w:highlight w:val="none"/>
          <w:lang w:val="en-US" w:eastAsia="zh-CN"/>
        </w:rPr>
      </w:pPr>
      <w:r>
        <w:rPr>
          <w:rFonts w:hint="eastAsia"/>
          <w:b/>
          <w:bCs/>
          <w:color w:val="auto"/>
          <w:sz w:val="24"/>
          <w:szCs w:val="32"/>
          <w:highlight w:val="none"/>
          <w:lang w:val="en-US" w:eastAsia="zh-CN"/>
        </w:rPr>
        <w:t>物料平衡</w:t>
      </w:r>
    </w:p>
    <w:p w14:paraId="7F670620">
      <w:pPr>
        <w:bidi w:val="0"/>
        <w:spacing w:line="360" w:lineRule="auto"/>
        <w:jc w:val="center"/>
        <w:rPr>
          <w:rFonts w:hint="eastAsia"/>
          <w:b/>
          <w:bCs/>
          <w:sz w:val="24"/>
          <w:szCs w:val="32"/>
          <w:lang w:val="en-US" w:eastAsia="zh-CN"/>
        </w:rPr>
      </w:pPr>
      <w:r>
        <w:rPr>
          <w:rFonts w:hint="eastAsia"/>
          <w:b/>
          <w:bCs/>
          <w:sz w:val="24"/>
          <w:szCs w:val="32"/>
          <w:lang w:val="en-US" w:eastAsia="zh-CN"/>
        </w:rPr>
        <w:t>表3.3-2  本项目物料平衡一览表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15"/>
        <w:gridCol w:w="2447"/>
        <w:gridCol w:w="1541"/>
        <w:gridCol w:w="2625"/>
        <w:gridCol w:w="1389"/>
      </w:tblGrid>
      <w:tr w14:paraId="6168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97" w:type="pct"/>
            <w:gridSpan w:val="3"/>
            <w:shd w:val="clear" w:color="auto" w:fill="auto"/>
            <w:noWrap/>
            <w:vAlign w:val="center"/>
          </w:tcPr>
          <w:p w14:paraId="159AD257">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投入</w:t>
            </w:r>
            <w:r>
              <w:rPr>
                <w:rFonts w:hint="eastAsia" w:cs="Times New Roman"/>
                <w:i w:val="0"/>
                <w:iCs w:val="0"/>
                <w:color w:val="000000"/>
                <w:kern w:val="0"/>
                <w:sz w:val="21"/>
                <w:szCs w:val="21"/>
                <w:u w:val="none"/>
                <w:lang w:val="en-US" w:eastAsia="zh-CN" w:bidi="ar"/>
              </w:rPr>
              <w:t>（t/a）</w:t>
            </w:r>
          </w:p>
        </w:tc>
        <w:tc>
          <w:tcPr>
            <w:tcW w:w="2302" w:type="pct"/>
            <w:gridSpan w:val="2"/>
            <w:shd w:val="clear" w:color="auto" w:fill="auto"/>
            <w:noWrap/>
            <w:vAlign w:val="center"/>
          </w:tcPr>
          <w:p w14:paraId="332941C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产出</w:t>
            </w:r>
            <w:r>
              <w:rPr>
                <w:rFonts w:hint="eastAsia" w:cs="Times New Roman"/>
                <w:i w:val="0"/>
                <w:iCs w:val="0"/>
                <w:color w:val="000000"/>
                <w:kern w:val="0"/>
                <w:sz w:val="21"/>
                <w:szCs w:val="21"/>
                <w:u w:val="none"/>
                <w:lang w:val="en-US" w:eastAsia="zh-CN" w:bidi="ar"/>
              </w:rPr>
              <w:t>（t/a）</w:t>
            </w:r>
          </w:p>
        </w:tc>
      </w:tr>
      <w:tr w14:paraId="2A28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13" w:type="pct"/>
            <w:gridSpan w:val="2"/>
            <w:shd w:val="clear" w:color="auto" w:fill="auto"/>
            <w:noWrap/>
            <w:vAlign w:val="center"/>
          </w:tcPr>
          <w:p w14:paraId="48A82FFA">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883" w:type="pct"/>
            <w:shd w:val="clear" w:color="auto" w:fill="auto"/>
            <w:noWrap/>
            <w:vAlign w:val="center"/>
          </w:tcPr>
          <w:p w14:paraId="62DCAB6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c>
          <w:tcPr>
            <w:tcW w:w="1505" w:type="pct"/>
            <w:shd w:val="clear" w:color="auto" w:fill="auto"/>
            <w:noWrap/>
            <w:vAlign w:val="center"/>
          </w:tcPr>
          <w:p w14:paraId="3A52D8E6">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名称</w:t>
            </w:r>
          </w:p>
        </w:tc>
        <w:tc>
          <w:tcPr>
            <w:tcW w:w="796" w:type="pct"/>
            <w:shd w:val="clear" w:color="auto" w:fill="auto"/>
            <w:noWrap/>
            <w:vAlign w:val="center"/>
          </w:tcPr>
          <w:p w14:paraId="50BABDD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数量</w:t>
            </w:r>
          </w:p>
        </w:tc>
      </w:tr>
      <w:tr w14:paraId="6480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13" w:type="pct"/>
            <w:gridSpan w:val="2"/>
            <w:shd w:val="clear" w:color="auto" w:fill="auto"/>
            <w:noWrap/>
            <w:vAlign w:val="center"/>
          </w:tcPr>
          <w:p w14:paraId="7A578E78">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矿石</w:t>
            </w:r>
          </w:p>
        </w:tc>
        <w:tc>
          <w:tcPr>
            <w:tcW w:w="883" w:type="pct"/>
            <w:shd w:val="clear" w:color="auto" w:fill="auto"/>
            <w:noWrap/>
            <w:vAlign w:val="center"/>
          </w:tcPr>
          <w:p w14:paraId="23D93E8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200000</w:t>
            </w:r>
          </w:p>
        </w:tc>
        <w:tc>
          <w:tcPr>
            <w:tcW w:w="1505" w:type="pct"/>
            <w:shd w:val="clear" w:color="auto" w:fill="auto"/>
            <w:noWrap/>
            <w:vAlign w:val="center"/>
          </w:tcPr>
          <w:p w14:paraId="443181C7">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精矿</w:t>
            </w:r>
          </w:p>
        </w:tc>
        <w:tc>
          <w:tcPr>
            <w:tcW w:w="796" w:type="pct"/>
            <w:shd w:val="clear" w:color="auto" w:fill="auto"/>
            <w:noWrap/>
            <w:vAlign w:val="center"/>
          </w:tcPr>
          <w:p w14:paraId="285C0487">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14060</w:t>
            </w:r>
          </w:p>
        </w:tc>
      </w:tr>
      <w:tr w14:paraId="1703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13" w:type="pct"/>
            <w:gridSpan w:val="2"/>
            <w:shd w:val="clear" w:color="auto" w:fill="auto"/>
            <w:noWrap/>
            <w:vAlign w:val="top"/>
          </w:tcPr>
          <w:p w14:paraId="77F1019E">
            <w:pPr>
              <w:spacing w:line="240" w:lineRule="auto"/>
              <w:jc w:val="center"/>
              <w:rPr>
                <w:rFonts w:hint="default" w:ascii="Times New Roman" w:hAnsi="Times New Roman" w:eastAsia="宋体" w:cs="Times New Roman"/>
                <w:i w:val="0"/>
                <w:iCs w:val="0"/>
                <w:color w:val="000000"/>
                <w:sz w:val="21"/>
                <w:szCs w:val="21"/>
                <w:u w:val="none"/>
              </w:rPr>
            </w:pPr>
            <w:r>
              <w:rPr>
                <w:rFonts w:hint="eastAsia" w:cs="Times New Roman"/>
                <w:b w:val="0"/>
                <w:bCs/>
                <w:color w:val="auto"/>
                <w:kern w:val="2"/>
                <w:sz w:val="21"/>
                <w:szCs w:val="21"/>
                <w:vertAlign w:val="baseline"/>
                <w:lang w:val="en-US" w:eastAsia="zh-CN" w:bidi="ar-SA"/>
              </w:rPr>
              <w:t>丁铵黑药</w:t>
            </w:r>
          </w:p>
        </w:tc>
        <w:tc>
          <w:tcPr>
            <w:tcW w:w="883" w:type="pct"/>
            <w:shd w:val="clear" w:color="auto" w:fill="auto"/>
            <w:noWrap/>
            <w:vAlign w:val="top"/>
          </w:tcPr>
          <w:p w14:paraId="3A09B654">
            <w:pPr>
              <w:spacing w:line="240" w:lineRule="auto"/>
              <w:jc w:val="center"/>
              <w:rPr>
                <w:rFonts w:hint="default" w:ascii="Times New Roman" w:hAnsi="Times New Roman" w:eastAsia="宋体" w:cs="Times New Roman"/>
                <w:i w:val="0"/>
                <w:iCs w:val="0"/>
                <w:color w:val="000000"/>
                <w:sz w:val="21"/>
                <w:szCs w:val="21"/>
                <w:u w:val="none"/>
              </w:rPr>
            </w:pPr>
            <w:r>
              <w:rPr>
                <w:rFonts w:hint="eastAsia" w:cs="Times New Roman"/>
                <w:b w:val="0"/>
                <w:bCs/>
                <w:color w:val="auto"/>
                <w:kern w:val="2"/>
                <w:sz w:val="21"/>
                <w:szCs w:val="21"/>
                <w:vertAlign w:val="baseline"/>
                <w:lang w:val="en-US" w:eastAsia="zh-CN" w:bidi="ar-SA"/>
              </w:rPr>
              <w:t>7</w:t>
            </w:r>
          </w:p>
        </w:tc>
        <w:tc>
          <w:tcPr>
            <w:tcW w:w="1505" w:type="pct"/>
            <w:shd w:val="clear" w:color="auto" w:fill="auto"/>
            <w:noWrap/>
            <w:vAlign w:val="center"/>
          </w:tcPr>
          <w:p w14:paraId="695DA107">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尾矿</w:t>
            </w:r>
          </w:p>
        </w:tc>
        <w:tc>
          <w:tcPr>
            <w:tcW w:w="796" w:type="pct"/>
            <w:shd w:val="clear" w:color="auto" w:fill="auto"/>
            <w:noWrap/>
            <w:vAlign w:val="center"/>
          </w:tcPr>
          <w:p w14:paraId="25CFDB7F">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ascii="Times New Roman" w:hAnsi="Times New Roman" w:eastAsia="宋体" w:cs="Times New Roman"/>
                <w:i w:val="0"/>
                <w:iCs w:val="0"/>
                <w:color w:val="000000"/>
                <w:sz w:val="21"/>
                <w:szCs w:val="21"/>
                <w:u w:val="none"/>
                <w:lang w:val="en-US" w:eastAsia="zh-CN"/>
              </w:rPr>
              <w:t>18594</w:t>
            </w:r>
            <w:r>
              <w:rPr>
                <w:rFonts w:hint="eastAsia" w:cs="Times New Roman"/>
                <w:i w:val="0"/>
                <w:iCs w:val="0"/>
                <w:color w:val="000000"/>
                <w:sz w:val="21"/>
                <w:szCs w:val="21"/>
                <w:u w:val="none"/>
                <w:lang w:val="en-US" w:eastAsia="zh-CN"/>
              </w:rPr>
              <w:t>0</w:t>
            </w:r>
          </w:p>
        </w:tc>
      </w:tr>
      <w:tr w14:paraId="6583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13" w:type="pct"/>
            <w:gridSpan w:val="2"/>
            <w:shd w:val="clear" w:color="auto" w:fill="auto"/>
            <w:noWrap/>
            <w:vAlign w:val="top"/>
          </w:tcPr>
          <w:p w14:paraId="0F4727B4">
            <w:pPr>
              <w:spacing w:line="240" w:lineRule="auto"/>
              <w:jc w:val="center"/>
              <w:rPr>
                <w:rFonts w:hint="default" w:ascii="Times New Roman" w:hAnsi="Times New Roman" w:eastAsia="宋体" w:cs="Times New Roman"/>
                <w:i w:val="0"/>
                <w:iCs w:val="0"/>
                <w:color w:val="000000"/>
                <w:sz w:val="21"/>
                <w:szCs w:val="21"/>
                <w:u w:val="none"/>
              </w:rPr>
            </w:pPr>
            <w:r>
              <w:rPr>
                <w:rFonts w:hint="eastAsia" w:cs="Times New Roman"/>
                <w:b w:val="0"/>
                <w:bCs/>
                <w:color w:val="auto"/>
                <w:kern w:val="2"/>
                <w:sz w:val="21"/>
                <w:szCs w:val="21"/>
                <w:vertAlign w:val="baseline"/>
                <w:lang w:val="en-US" w:eastAsia="zh-CN" w:bidi="ar-SA"/>
              </w:rPr>
              <w:t>丁基黄药</w:t>
            </w:r>
          </w:p>
        </w:tc>
        <w:tc>
          <w:tcPr>
            <w:tcW w:w="883" w:type="pct"/>
            <w:shd w:val="clear" w:color="auto" w:fill="auto"/>
            <w:noWrap/>
            <w:vAlign w:val="top"/>
          </w:tcPr>
          <w:p w14:paraId="158E83AC">
            <w:pPr>
              <w:spacing w:line="240" w:lineRule="auto"/>
              <w:jc w:val="center"/>
              <w:rPr>
                <w:rFonts w:hint="default" w:ascii="Times New Roman" w:hAnsi="Times New Roman" w:eastAsia="宋体" w:cs="Times New Roman"/>
                <w:i w:val="0"/>
                <w:iCs w:val="0"/>
                <w:color w:val="000000"/>
                <w:sz w:val="21"/>
                <w:szCs w:val="21"/>
                <w:u w:val="none"/>
              </w:rPr>
            </w:pPr>
            <w:r>
              <w:rPr>
                <w:rFonts w:hint="eastAsia" w:cs="Times New Roman"/>
                <w:b w:val="0"/>
                <w:bCs/>
                <w:color w:val="auto"/>
                <w:kern w:val="2"/>
                <w:sz w:val="21"/>
                <w:szCs w:val="21"/>
                <w:vertAlign w:val="baseline"/>
                <w:lang w:val="en-US" w:eastAsia="zh-CN" w:bidi="ar-SA"/>
              </w:rPr>
              <w:t>3.2</w:t>
            </w:r>
          </w:p>
        </w:tc>
        <w:tc>
          <w:tcPr>
            <w:tcW w:w="1505" w:type="pct"/>
            <w:shd w:val="clear" w:color="auto" w:fill="auto"/>
            <w:noWrap/>
            <w:vAlign w:val="center"/>
          </w:tcPr>
          <w:p w14:paraId="046E1D3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有组织</w:t>
            </w:r>
            <w:r>
              <w:rPr>
                <w:rFonts w:hint="eastAsia" w:cs="Times New Roman"/>
                <w:i w:val="0"/>
                <w:iCs w:val="0"/>
                <w:color w:val="000000"/>
                <w:kern w:val="0"/>
                <w:sz w:val="21"/>
                <w:szCs w:val="21"/>
                <w:u w:val="none"/>
                <w:lang w:val="en-US" w:eastAsia="zh-CN" w:bidi="ar"/>
              </w:rPr>
              <w:t>粉尘排放量</w:t>
            </w:r>
          </w:p>
        </w:tc>
        <w:tc>
          <w:tcPr>
            <w:tcW w:w="796" w:type="pct"/>
            <w:shd w:val="clear" w:color="auto" w:fill="auto"/>
            <w:noWrap/>
            <w:vAlign w:val="center"/>
          </w:tcPr>
          <w:p w14:paraId="12BC1909">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0.63</w:t>
            </w:r>
          </w:p>
        </w:tc>
      </w:tr>
      <w:tr w14:paraId="2ED4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13" w:type="pct"/>
            <w:gridSpan w:val="2"/>
            <w:shd w:val="clear" w:color="auto" w:fill="auto"/>
            <w:noWrap/>
            <w:vAlign w:val="top"/>
          </w:tcPr>
          <w:p w14:paraId="35CB073E">
            <w:pPr>
              <w:spacing w:line="240" w:lineRule="auto"/>
              <w:jc w:val="center"/>
              <w:rPr>
                <w:rFonts w:hint="default" w:ascii="Times New Roman" w:hAnsi="Times New Roman" w:eastAsia="宋体" w:cs="Times New Roman"/>
                <w:i w:val="0"/>
                <w:iCs w:val="0"/>
                <w:color w:val="000000"/>
                <w:sz w:val="21"/>
                <w:szCs w:val="21"/>
                <w:u w:val="none"/>
              </w:rPr>
            </w:pPr>
            <w:r>
              <w:rPr>
                <w:rFonts w:hint="eastAsia" w:cs="Times New Roman"/>
                <w:b w:val="0"/>
                <w:bCs/>
                <w:color w:val="auto"/>
                <w:kern w:val="2"/>
                <w:sz w:val="21"/>
                <w:szCs w:val="21"/>
                <w:vertAlign w:val="baseline"/>
                <w:lang w:val="en-US" w:eastAsia="zh-CN" w:bidi="ar-SA"/>
              </w:rPr>
              <w:t>2号油</w:t>
            </w:r>
          </w:p>
        </w:tc>
        <w:tc>
          <w:tcPr>
            <w:tcW w:w="883" w:type="pct"/>
            <w:shd w:val="clear" w:color="auto" w:fill="auto"/>
            <w:noWrap/>
            <w:vAlign w:val="top"/>
          </w:tcPr>
          <w:p w14:paraId="12129C13">
            <w:pPr>
              <w:spacing w:line="240" w:lineRule="auto"/>
              <w:jc w:val="center"/>
              <w:rPr>
                <w:rFonts w:hint="default" w:ascii="Times New Roman" w:hAnsi="Times New Roman" w:eastAsia="宋体" w:cs="Times New Roman"/>
                <w:i w:val="0"/>
                <w:iCs w:val="0"/>
                <w:color w:val="000000"/>
                <w:sz w:val="21"/>
                <w:szCs w:val="21"/>
                <w:u w:val="none"/>
                <w:lang w:val="en-US"/>
              </w:rPr>
            </w:pPr>
            <w:r>
              <w:rPr>
                <w:rFonts w:hint="eastAsia" w:cs="Times New Roman"/>
                <w:b w:val="0"/>
                <w:bCs/>
                <w:color w:val="auto"/>
                <w:kern w:val="2"/>
                <w:sz w:val="21"/>
                <w:szCs w:val="21"/>
                <w:vertAlign w:val="baseline"/>
                <w:lang w:val="en-US" w:eastAsia="zh-CN" w:bidi="ar-SA"/>
              </w:rPr>
              <w:t>6</w:t>
            </w:r>
          </w:p>
        </w:tc>
        <w:tc>
          <w:tcPr>
            <w:tcW w:w="1505" w:type="pct"/>
            <w:shd w:val="clear" w:color="auto" w:fill="auto"/>
            <w:noWrap/>
            <w:vAlign w:val="center"/>
          </w:tcPr>
          <w:p w14:paraId="62B203DD">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无组织</w:t>
            </w:r>
            <w:r>
              <w:rPr>
                <w:rFonts w:hint="eastAsia" w:cs="Times New Roman"/>
                <w:i w:val="0"/>
                <w:iCs w:val="0"/>
                <w:color w:val="000000"/>
                <w:kern w:val="0"/>
                <w:sz w:val="21"/>
                <w:szCs w:val="21"/>
                <w:u w:val="none"/>
                <w:lang w:val="en-US" w:eastAsia="zh-CN" w:bidi="ar"/>
              </w:rPr>
              <w:t>粉尘排放量</w:t>
            </w:r>
          </w:p>
        </w:tc>
        <w:tc>
          <w:tcPr>
            <w:tcW w:w="796" w:type="pct"/>
            <w:shd w:val="clear" w:color="auto" w:fill="auto"/>
            <w:noWrap/>
            <w:vAlign w:val="center"/>
          </w:tcPr>
          <w:p w14:paraId="2E84C689">
            <w:pPr>
              <w:keepNext w:val="0"/>
              <w:keepLines w:val="0"/>
              <w:widowControl/>
              <w:suppressLineNumbers w:val="0"/>
              <w:spacing w:line="360" w:lineRule="auto"/>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1.8605</w:t>
            </w:r>
          </w:p>
        </w:tc>
      </w:tr>
      <w:tr w14:paraId="4497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410" w:type="pct"/>
            <w:vMerge w:val="restart"/>
            <w:shd w:val="clear" w:color="auto" w:fill="auto"/>
            <w:noWrap/>
            <w:vAlign w:val="center"/>
          </w:tcPr>
          <w:p w14:paraId="4181202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选矿用水</w:t>
            </w:r>
          </w:p>
        </w:tc>
        <w:tc>
          <w:tcPr>
            <w:tcW w:w="1403" w:type="pct"/>
            <w:shd w:val="clear" w:color="auto" w:fill="auto"/>
            <w:noWrap/>
            <w:vAlign w:val="center"/>
          </w:tcPr>
          <w:p w14:paraId="11A184EF">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药剂配置加水</w:t>
            </w:r>
          </w:p>
        </w:tc>
        <w:tc>
          <w:tcPr>
            <w:tcW w:w="883" w:type="pct"/>
            <w:shd w:val="clear" w:color="auto" w:fill="auto"/>
            <w:noWrap/>
            <w:vAlign w:val="center"/>
          </w:tcPr>
          <w:p w14:paraId="1FC306F0">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900</w:t>
            </w:r>
          </w:p>
        </w:tc>
        <w:tc>
          <w:tcPr>
            <w:tcW w:w="1505" w:type="pct"/>
            <w:shd w:val="clear" w:color="auto" w:fill="auto"/>
            <w:noWrap/>
            <w:vAlign w:val="center"/>
          </w:tcPr>
          <w:p w14:paraId="045541C1">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rPr>
            </w:pPr>
            <w:r>
              <w:rPr>
                <w:rFonts w:hint="eastAsia" w:cs="Times New Roman"/>
                <w:i w:val="0"/>
                <w:iCs w:val="0"/>
                <w:color w:val="000000"/>
                <w:sz w:val="21"/>
                <w:szCs w:val="21"/>
                <w:u w:val="none"/>
                <w:lang w:val="en-US" w:eastAsia="zh-CN"/>
              </w:rPr>
              <w:t>工艺损耗水</w:t>
            </w:r>
          </w:p>
        </w:tc>
        <w:tc>
          <w:tcPr>
            <w:tcW w:w="796" w:type="pct"/>
            <w:shd w:val="clear" w:color="auto" w:fill="auto"/>
            <w:noWrap/>
            <w:vAlign w:val="center"/>
          </w:tcPr>
          <w:p w14:paraId="5B4C2768">
            <w:pPr>
              <w:keepNext w:val="0"/>
              <w:keepLines w:val="0"/>
              <w:widowControl/>
              <w:suppressLineNumbers w:val="0"/>
              <w:spacing w:line="360" w:lineRule="auto"/>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36185.7</w:t>
            </w:r>
          </w:p>
        </w:tc>
      </w:tr>
      <w:tr w14:paraId="7A057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10" w:type="pct"/>
            <w:vMerge w:val="continue"/>
            <w:shd w:val="clear" w:color="auto" w:fill="auto"/>
            <w:noWrap/>
            <w:vAlign w:val="center"/>
          </w:tcPr>
          <w:p w14:paraId="4C3BA2A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rPr>
            </w:pPr>
          </w:p>
        </w:tc>
        <w:tc>
          <w:tcPr>
            <w:tcW w:w="1403" w:type="pct"/>
            <w:shd w:val="clear" w:color="auto" w:fill="auto"/>
            <w:noWrap/>
            <w:vAlign w:val="center"/>
          </w:tcPr>
          <w:p w14:paraId="74D8C1E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选矿工艺</w:t>
            </w:r>
            <w:r>
              <w:rPr>
                <w:rFonts w:hint="eastAsia" w:cs="Times New Roman"/>
                <w:i w:val="0"/>
                <w:iCs w:val="0"/>
                <w:color w:val="000000"/>
                <w:kern w:val="0"/>
                <w:sz w:val="21"/>
                <w:szCs w:val="21"/>
                <w:u w:val="none"/>
                <w:lang w:val="en-US" w:eastAsia="zh-CN" w:bidi="ar"/>
              </w:rPr>
              <w:t>加新鲜水</w:t>
            </w:r>
          </w:p>
        </w:tc>
        <w:tc>
          <w:tcPr>
            <w:tcW w:w="883" w:type="pct"/>
            <w:shd w:val="clear" w:color="auto" w:fill="auto"/>
            <w:noWrap/>
            <w:vAlign w:val="center"/>
          </w:tcPr>
          <w:p w14:paraId="43DB434C">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58765.5</w:t>
            </w:r>
          </w:p>
        </w:tc>
        <w:tc>
          <w:tcPr>
            <w:tcW w:w="1505" w:type="pct"/>
            <w:shd w:val="clear" w:color="auto" w:fill="auto"/>
            <w:noWrap/>
            <w:vAlign w:val="center"/>
          </w:tcPr>
          <w:p w14:paraId="1F85C57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kern w:val="0"/>
                <w:sz w:val="21"/>
                <w:szCs w:val="21"/>
                <w:u w:val="none"/>
                <w:lang w:val="en-US" w:eastAsia="zh-CN" w:bidi="ar"/>
              </w:rPr>
              <w:t>产品带走水</w:t>
            </w:r>
          </w:p>
        </w:tc>
        <w:tc>
          <w:tcPr>
            <w:tcW w:w="796" w:type="pct"/>
            <w:shd w:val="clear" w:color="auto" w:fill="auto"/>
            <w:noWrap/>
            <w:vAlign w:val="center"/>
          </w:tcPr>
          <w:p w14:paraId="554CB19D">
            <w:pPr>
              <w:keepNext w:val="0"/>
              <w:keepLines w:val="0"/>
              <w:widowControl/>
              <w:suppressLineNumbers w:val="0"/>
              <w:spacing w:line="360" w:lineRule="auto"/>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kern w:val="0"/>
                <w:sz w:val="21"/>
                <w:szCs w:val="21"/>
                <w:u w:val="none"/>
                <w:lang w:val="en-US" w:eastAsia="zh-CN" w:bidi="ar"/>
              </w:rPr>
              <w:t>1407</w:t>
            </w:r>
          </w:p>
        </w:tc>
      </w:tr>
      <w:tr w14:paraId="68FDA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410" w:type="pct"/>
            <w:vMerge w:val="continue"/>
            <w:shd w:val="clear" w:color="auto" w:fill="auto"/>
            <w:noWrap/>
            <w:vAlign w:val="center"/>
          </w:tcPr>
          <w:p w14:paraId="02823703">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p>
        </w:tc>
        <w:tc>
          <w:tcPr>
            <w:tcW w:w="1403" w:type="pct"/>
            <w:shd w:val="clear" w:color="auto" w:fill="auto"/>
            <w:noWrap/>
            <w:vAlign w:val="center"/>
          </w:tcPr>
          <w:p w14:paraId="2382283A">
            <w:pPr>
              <w:keepNext w:val="0"/>
              <w:keepLines w:val="0"/>
              <w:widowControl/>
              <w:suppressLineNumbers w:val="0"/>
              <w:spacing w:line="360" w:lineRule="auto"/>
              <w:jc w:val="center"/>
              <w:textAlignment w:val="center"/>
              <w:rPr>
                <w:rFonts w:hint="eastAsia" w:cs="Times New Roman"/>
                <w:i w:val="0"/>
                <w:iCs w:val="0"/>
                <w:color w:val="000000"/>
                <w:sz w:val="21"/>
                <w:szCs w:val="21"/>
                <w:u w:val="none"/>
                <w:lang w:val="en-US" w:eastAsia="zh-CN"/>
              </w:rPr>
            </w:pPr>
            <w:r>
              <w:rPr>
                <w:rFonts w:hint="eastAsia" w:cs="Times New Roman"/>
                <w:i w:val="0"/>
                <w:iCs w:val="0"/>
                <w:color w:val="000000"/>
                <w:sz w:val="21"/>
                <w:szCs w:val="21"/>
                <w:u w:val="none"/>
                <w:lang w:val="en-US" w:eastAsia="zh-CN"/>
              </w:rPr>
              <w:t>车间地面冲洗回用水</w:t>
            </w:r>
          </w:p>
        </w:tc>
        <w:tc>
          <w:tcPr>
            <w:tcW w:w="883" w:type="pct"/>
            <w:shd w:val="clear" w:color="auto" w:fill="auto"/>
            <w:noWrap/>
            <w:vAlign w:val="center"/>
          </w:tcPr>
          <w:p w14:paraId="5BA0D9B3">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240</w:t>
            </w:r>
          </w:p>
        </w:tc>
        <w:tc>
          <w:tcPr>
            <w:tcW w:w="1505" w:type="pct"/>
            <w:shd w:val="clear" w:color="auto" w:fill="auto"/>
            <w:noWrap/>
            <w:vAlign w:val="center"/>
          </w:tcPr>
          <w:p w14:paraId="32499544">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lang w:val="en-US" w:eastAsia="zh-CN"/>
              </w:rPr>
            </w:pPr>
            <w:r>
              <w:rPr>
                <w:rFonts w:hint="eastAsia" w:cs="Times New Roman"/>
                <w:i w:val="0"/>
                <w:iCs w:val="0"/>
                <w:color w:val="000000"/>
                <w:kern w:val="0"/>
                <w:sz w:val="21"/>
                <w:szCs w:val="21"/>
                <w:u w:val="none"/>
                <w:lang w:val="en-US" w:eastAsia="zh-CN" w:bidi="ar"/>
              </w:rPr>
              <w:t>尾矿带走水</w:t>
            </w:r>
          </w:p>
        </w:tc>
        <w:tc>
          <w:tcPr>
            <w:tcW w:w="796" w:type="pct"/>
            <w:shd w:val="clear" w:color="auto" w:fill="auto"/>
            <w:noWrap/>
            <w:vAlign w:val="center"/>
          </w:tcPr>
          <w:p w14:paraId="66939CA7">
            <w:pPr>
              <w:keepNext w:val="0"/>
              <w:keepLines w:val="0"/>
              <w:widowControl/>
              <w:suppressLineNumbers w:val="0"/>
              <w:spacing w:line="360" w:lineRule="auto"/>
              <w:jc w:val="center"/>
              <w:textAlignment w:val="center"/>
              <w:rPr>
                <w:rFonts w:hint="default" w:cs="Times New Roman"/>
                <w:i w:val="0"/>
                <w:iCs w:val="0"/>
                <w:color w:val="000000"/>
                <w:sz w:val="21"/>
                <w:szCs w:val="21"/>
                <w:u w:val="none"/>
                <w:lang w:val="en-US" w:eastAsia="zh-CN"/>
              </w:rPr>
            </w:pPr>
            <w:r>
              <w:rPr>
                <w:rFonts w:hint="eastAsia" w:cs="Times New Roman"/>
                <w:i w:val="0"/>
                <w:iCs w:val="0"/>
                <w:color w:val="000000"/>
                <w:kern w:val="0"/>
                <w:sz w:val="21"/>
                <w:szCs w:val="21"/>
                <w:u w:val="none"/>
                <w:lang w:val="en-US" w:eastAsia="zh-CN" w:bidi="ar"/>
              </w:rPr>
              <w:t>22312.8</w:t>
            </w:r>
          </w:p>
        </w:tc>
      </w:tr>
      <w:tr w14:paraId="1249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813" w:type="pct"/>
            <w:gridSpan w:val="2"/>
            <w:shd w:val="clear" w:color="auto" w:fill="auto"/>
            <w:noWrap/>
            <w:vAlign w:val="center"/>
          </w:tcPr>
          <w:p w14:paraId="3D927D90">
            <w:pPr>
              <w:keepNext w:val="0"/>
              <w:keepLines w:val="0"/>
              <w:widowControl/>
              <w:suppressLineNumbers w:val="0"/>
              <w:spacing w:line="360" w:lineRule="auto"/>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合计</w:t>
            </w:r>
          </w:p>
        </w:tc>
        <w:tc>
          <w:tcPr>
            <w:tcW w:w="883" w:type="pct"/>
            <w:shd w:val="clear" w:color="auto" w:fill="auto"/>
            <w:noWrap/>
            <w:vAlign w:val="center"/>
          </w:tcPr>
          <w:p w14:paraId="01079179">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26万</w:t>
            </w:r>
          </w:p>
        </w:tc>
        <w:tc>
          <w:tcPr>
            <w:tcW w:w="2302" w:type="pct"/>
            <w:gridSpan w:val="2"/>
            <w:shd w:val="clear" w:color="auto" w:fill="auto"/>
            <w:noWrap/>
            <w:vAlign w:val="center"/>
          </w:tcPr>
          <w:p w14:paraId="2206F542">
            <w:pPr>
              <w:spacing w:line="240" w:lineRule="auto"/>
              <w:jc w:val="center"/>
              <w:rPr>
                <w:rFonts w:hint="default" w:cs="Times New Roman"/>
                <w:b w:val="0"/>
                <w:bCs/>
                <w:color w:val="auto"/>
                <w:kern w:val="2"/>
                <w:sz w:val="21"/>
                <w:szCs w:val="21"/>
                <w:vertAlign w:val="baseline"/>
                <w:lang w:val="en-US" w:eastAsia="zh-CN" w:bidi="ar-SA"/>
              </w:rPr>
            </w:pPr>
            <w:r>
              <w:rPr>
                <w:rFonts w:hint="eastAsia" w:cs="Times New Roman"/>
                <w:b w:val="0"/>
                <w:bCs/>
                <w:color w:val="auto"/>
                <w:kern w:val="2"/>
                <w:sz w:val="21"/>
                <w:szCs w:val="21"/>
                <w:vertAlign w:val="baseline"/>
                <w:lang w:val="en-US" w:eastAsia="zh-CN" w:bidi="ar-SA"/>
              </w:rPr>
              <w:t>26万</w:t>
            </w:r>
          </w:p>
        </w:tc>
      </w:tr>
    </w:tbl>
    <w:p w14:paraId="307FA9CB">
      <w:pPr>
        <w:bidi w:val="0"/>
        <w:spacing w:line="360" w:lineRule="auto"/>
        <w:rPr>
          <w:rFonts w:hint="default"/>
          <w:b w:val="0"/>
          <w:bCs w:val="0"/>
          <w:sz w:val="21"/>
          <w:szCs w:val="24"/>
          <w:highlight w:val="none"/>
          <w:lang w:val="en-US" w:eastAsia="zh-CN"/>
        </w:rPr>
      </w:pPr>
      <w:r>
        <w:rPr>
          <w:rFonts w:hint="eastAsia"/>
          <w:b w:val="0"/>
          <w:bCs w:val="0"/>
          <w:sz w:val="21"/>
          <w:szCs w:val="24"/>
          <w:highlight w:val="none"/>
          <w:lang w:val="en-US" w:eastAsia="zh-CN"/>
        </w:rPr>
        <w:t>注：产品精矿中包含72.9t回用的收尘灰。</w:t>
      </w:r>
    </w:p>
    <w:p w14:paraId="61C6B2CA">
      <w:pPr>
        <w:pStyle w:val="5"/>
        <w:bidi w:val="0"/>
        <w:rPr>
          <w:rFonts w:hint="default"/>
          <w:lang w:val="en-US" w:eastAsia="zh-CN"/>
        </w:rPr>
      </w:pPr>
      <w:r>
        <w:rPr>
          <w:rFonts w:hint="eastAsia"/>
          <w:lang w:val="en-US" w:eastAsia="zh-CN"/>
        </w:rPr>
        <w:t>3.3.3公用</w:t>
      </w:r>
      <w:r>
        <w:rPr>
          <w:rFonts w:hint="default"/>
          <w:lang w:val="en-US" w:eastAsia="zh-CN"/>
        </w:rPr>
        <w:t>工程</w:t>
      </w:r>
    </w:p>
    <w:p w14:paraId="33BFDCFB">
      <w:pPr>
        <w:spacing w:line="360" w:lineRule="auto"/>
        <w:ind w:firstLine="480" w:firstLineChars="200"/>
        <w:rPr>
          <w:rFonts w:hint="default"/>
          <w:sz w:val="24"/>
          <w:szCs w:val="32"/>
          <w:lang w:val="en-US" w:eastAsia="zh-CN"/>
        </w:rPr>
      </w:pPr>
      <w:r>
        <w:rPr>
          <w:rFonts w:hint="eastAsia"/>
          <w:sz w:val="24"/>
          <w:szCs w:val="32"/>
          <w:lang w:val="en-US" w:eastAsia="zh-CN"/>
        </w:rPr>
        <w:t>本项目用水主要包括生产用水和生活用水。产生的生产废水全部回用于生产工艺，不外排；生活污水排入现有旱厕后定期清掏，不外排。具体给排情况如下。</w:t>
      </w:r>
    </w:p>
    <w:p w14:paraId="15F669A7">
      <w:pPr>
        <w:spacing w:line="360" w:lineRule="auto"/>
        <w:rPr>
          <w:rFonts w:hint="default"/>
          <w:b/>
          <w:bCs/>
          <w:sz w:val="24"/>
          <w:szCs w:val="32"/>
          <w:lang w:val="en-US" w:eastAsia="zh-CN"/>
        </w:rPr>
      </w:pPr>
      <w:r>
        <w:rPr>
          <w:rFonts w:hint="eastAsia"/>
          <w:b/>
          <w:bCs/>
          <w:sz w:val="24"/>
          <w:szCs w:val="32"/>
          <w:lang w:val="en-US" w:eastAsia="zh-CN"/>
        </w:rPr>
        <w:t>1、生产用水</w:t>
      </w:r>
    </w:p>
    <w:p w14:paraId="6764BE37">
      <w:pPr>
        <w:spacing w:line="360" w:lineRule="auto"/>
        <w:ind w:firstLine="480" w:firstLineChars="200"/>
        <w:rPr>
          <w:rFonts w:hint="eastAsia"/>
          <w:sz w:val="24"/>
          <w:szCs w:val="32"/>
          <w:lang w:val="en-US" w:eastAsia="zh-CN"/>
        </w:rPr>
      </w:pPr>
      <w:r>
        <w:rPr>
          <w:rFonts w:hint="eastAsia"/>
          <w:sz w:val="24"/>
          <w:szCs w:val="32"/>
          <w:lang w:val="en-US" w:eastAsia="zh-CN"/>
        </w:rPr>
        <w:t>本项目生产用水主要包括选矿生产工艺用水、药剂制备用水、车间抑尘用水、车间地面冲洗水、运输道路抑尘洒水，本项目为改扩建项目，在现有厂区内建设，不新增绿化面积，因此，不新增绿化用水。</w:t>
      </w:r>
    </w:p>
    <w:p w14:paraId="51572665">
      <w:pPr>
        <w:spacing w:line="360" w:lineRule="auto"/>
        <w:rPr>
          <w:rFonts w:hint="eastAsia"/>
          <w:b/>
          <w:bCs/>
          <w:sz w:val="24"/>
          <w:szCs w:val="32"/>
          <w:lang w:val="en-US" w:eastAsia="zh-CN"/>
        </w:rPr>
      </w:pPr>
      <w:r>
        <w:rPr>
          <w:rFonts w:hint="eastAsia"/>
          <w:b/>
          <w:bCs/>
          <w:sz w:val="24"/>
          <w:szCs w:val="32"/>
          <w:lang w:val="en-US" w:eastAsia="zh-CN"/>
        </w:rPr>
        <w:t>①选矿工艺用水</w:t>
      </w:r>
    </w:p>
    <w:p w14:paraId="6E9FB0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lang w:val="en-US" w:eastAsia="zh-CN"/>
        </w:rPr>
      </w:pPr>
      <w:r>
        <w:rPr>
          <w:rFonts w:hint="eastAsia"/>
          <w:sz w:val="24"/>
          <w:szCs w:val="32"/>
          <w:lang w:val="en-US" w:eastAsia="zh-CN"/>
        </w:rPr>
        <w:t>根据企业提供资料，处理1t矿石用水量为3t，本项目年处理20万t矿石，年生产300天，日处理矿石量约为666.67t/d，则选矿工艺日用水量约为2000t/d。来自工艺循环水、车间地面冲洗废水和补充水，其中工艺循环水包括溢流循环水、精矿压滤水、尾矿压滤水。</w:t>
      </w:r>
    </w:p>
    <w:p w14:paraId="4686B8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②浮选药剂制备用水</w:t>
      </w:r>
    </w:p>
    <w:p w14:paraId="759A00C6">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sz w:val="24"/>
          <w:szCs w:val="32"/>
          <w:lang w:val="en-US" w:eastAsia="zh-CN"/>
        </w:rPr>
      </w:pPr>
      <w:r>
        <w:rPr>
          <w:rFonts w:hint="eastAsia" w:eastAsia="宋体" w:cs="Times New Roman"/>
          <w:color w:val="auto"/>
          <w:lang w:val="en-US" w:eastAsia="zh-CN"/>
        </w:rPr>
        <w:t>浮选药剂在使用前需加水，用水量约为3t/d，用水全部损耗，无废水产生。</w:t>
      </w:r>
    </w:p>
    <w:p w14:paraId="2ECD19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③车间地面冲洗用水</w:t>
      </w:r>
    </w:p>
    <w:p w14:paraId="5EF1DF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 xml:space="preserve">    车间地面冲洗水用水量约为1t/d，其中20%蒸发损耗，剩余80%排入现有循环水池后回用选矿工序，回用量为0.8t/d。</w:t>
      </w:r>
    </w:p>
    <w:p w14:paraId="317A28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④车间抑尘用水</w:t>
      </w:r>
    </w:p>
    <w:p w14:paraId="111ADFC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 xml:space="preserve">    主要产尘车间为选矿车间和干排车间，总建筑面积为540m</w:t>
      </w:r>
      <w:r>
        <w:rPr>
          <w:rFonts w:hint="eastAsia"/>
          <w:sz w:val="24"/>
          <w:szCs w:val="32"/>
          <w:vertAlign w:val="superscript"/>
          <w:lang w:val="en-US" w:eastAsia="zh-CN"/>
        </w:rPr>
        <w:t>2</w:t>
      </w:r>
      <w:r>
        <w:rPr>
          <w:rFonts w:hint="eastAsia"/>
          <w:sz w:val="24"/>
          <w:szCs w:val="32"/>
          <w:lang w:val="en-US" w:eastAsia="zh-CN"/>
        </w:rPr>
        <w:t>，用水系数按1L/m</w:t>
      </w:r>
      <w:r>
        <w:rPr>
          <w:rFonts w:hint="eastAsia"/>
          <w:sz w:val="24"/>
          <w:szCs w:val="32"/>
          <w:vertAlign w:val="superscript"/>
          <w:lang w:val="en-US" w:eastAsia="zh-CN"/>
        </w:rPr>
        <w:t>2</w:t>
      </w:r>
      <w:r>
        <w:rPr>
          <w:rFonts w:hint="eastAsia"/>
          <w:sz w:val="24"/>
          <w:szCs w:val="32"/>
          <w:lang w:val="en-US" w:eastAsia="zh-CN"/>
        </w:rPr>
        <w:t>计，则，日用水量为0.54t/d，用水全部损耗，无外排废水。</w:t>
      </w:r>
    </w:p>
    <w:p w14:paraId="4F8FF0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⑤运输道路洒水降尘用水</w:t>
      </w:r>
    </w:p>
    <w:p w14:paraId="52100803">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sz w:val="24"/>
          <w:szCs w:val="32"/>
          <w:lang w:val="en-US" w:eastAsia="zh-CN"/>
        </w:rPr>
      </w:pPr>
      <w:r>
        <w:rPr>
          <w:rFonts w:hint="eastAsia"/>
          <w:sz w:val="24"/>
          <w:szCs w:val="32"/>
          <w:lang w:val="en-US" w:eastAsia="zh-CN"/>
        </w:rPr>
        <w:t>厂区内部运输道路约为260m，路面宽为4m，面积为1040m</w:t>
      </w:r>
      <w:r>
        <w:rPr>
          <w:rFonts w:hint="eastAsia"/>
          <w:sz w:val="24"/>
          <w:szCs w:val="32"/>
          <w:vertAlign w:val="superscript"/>
          <w:lang w:val="en-US" w:eastAsia="zh-CN"/>
        </w:rPr>
        <w:t>2</w:t>
      </w:r>
      <w:r>
        <w:rPr>
          <w:rFonts w:hint="eastAsia"/>
          <w:sz w:val="24"/>
          <w:szCs w:val="32"/>
          <w:lang w:val="en-US" w:eastAsia="zh-CN"/>
        </w:rPr>
        <w:t>，用水系数按1.5L/m</w:t>
      </w:r>
      <w:r>
        <w:rPr>
          <w:rFonts w:hint="eastAsia"/>
          <w:sz w:val="24"/>
          <w:szCs w:val="32"/>
          <w:vertAlign w:val="superscript"/>
          <w:lang w:val="en-US" w:eastAsia="zh-CN"/>
        </w:rPr>
        <w:t>2</w:t>
      </w:r>
      <w:r>
        <w:rPr>
          <w:rFonts w:hint="eastAsia"/>
          <w:sz w:val="24"/>
          <w:szCs w:val="32"/>
          <w:lang w:val="en-US" w:eastAsia="zh-CN"/>
        </w:rPr>
        <w:t>计，每天洒水2次，日用水量为3.12t/d，用水全部损耗，无外排废水。冬季不洒水。</w:t>
      </w:r>
    </w:p>
    <w:p w14:paraId="33D6EE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24"/>
          <w:szCs w:val="32"/>
          <w:lang w:val="en-US" w:eastAsia="zh-CN"/>
        </w:rPr>
      </w:pPr>
      <w:r>
        <w:rPr>
          <w:rFonts w:hint="eastAsia"/>
          <w:b/>
          <w:bCs/>
          <w:sz w:val="24"/>
          <w:szCs w:val="32"/>
          <w:lang w:val="en-US" w:eastAsia="zh-CN"/>
        </w:rPr>
        <w:t>⑥厂区洒水降尘用水</w:t>
      </w:r>
    </w:p>
    <w:p w14:paraId="4C72929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32"/>
          <w:lang w:val="en-US" w:eastAsia="zh-CN"/>
        </w:rPr>
      </w:pPr>
      <w:r>
        <w:rPr>
          <w:rFonts w:hint="eastAsia"/>
          <w:sz w:val="24"/>
          <w:szCs w:val="32"/>
          <w:lang w:val="en-US" w:eastAsia="zh-CN"/>
        </w:rPr>
        <w:t xml:space="preserve">    包括物料装卸过程中洒水、厂区内日常洒水，用水量约为1.5t/d，用水全部损耗，无外排废水。</w:t>
      </w:r>
    </w:p>
    <w:p w14:paraId="3CD02A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sz w:val="24"/>
          <w:szCs w:val="32"/>
          <w:lang w:val="en-US" w:eastAsia="zh-CN"/>
        </w:rPr>
      </w:pPr>
      <w:r>
        <w:rPr>
          <w:rFonts w:hint="eastAsia"/>
          <w:b/>
          <w:bCs/>
          <w:sz w:val="24"/>
          <w:szCs w:val="32"/>
          <w:lang w:val="en-US" w:eastAsia="zh-CN"/>
        </w:rPr>
        <w:t>2、生活用水</w:t>
      </w:r>
    </w:p>
    <w:p w14:paraId="4C31A3B3">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sz w:val="24"/>
          <w:szCs w:val="32"/>
          <w:lang w:val="en-US" w:eastAsia="zh-CN"/>
        </w:rPr>
      </w:pPr>
      <w:r>
        <w:rPr>
          <w:rFonts w:hint="eastAsia" w:eastAsia="宋体" w:cs="Times New Roman"/>
          <w:color w:val="000000"/>
          <w:sz w:val="24"/>
          <w:szCs w:val="24"/>
          <w:highlight w:val="none"/>
          <w:lang w:val="en-US" w:eastAsia="zh-CN"/>
        </w:rPr>
        <w:t>企业不设置食堂，生活用水仅为员工日常饮用，用水量按</w:t>
      </w:r>
      <w:r>
        <w:rPr>
          <w:rFonts w:hint="eastAsia" w:eastAsia="宋体" w:cs="Times New Roman"/>
          <w:color w:val="auto"/>
          <w:lang w:val="en-US" w:eastAsia="zh-CN"/>
        </w:rPr>
        <w:t>40L</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人•</w:t>
      </w:r>
      <w:r>
        <w:rPr>
          <w:rFonts w:hint="eastAsia" w:eastAsia="宋体" w:cs="Times New Roman"/>
          <w:color w:val="auto"/>
          <w:lang w:val="en-US" w:eastAsia="zh-CN"/>
        </w:rPr>
        <w:t>d</w:t>
      </w:r>
      <w:r>
        <w:rPr>
          <w:rFonts w:hint="default" w:ascii="Times New Roman" w:hAnsi="Times New Roman" w:eastAsia="宋体" w:cs="Times New Roman"/>
          <w:color w:val="auto"/>
          <w:lang w:val="en-US" w:eastAsia="zh-CN"/>
        </w:rPr>
        <w:t>计</w:t>
      </w:r>
      <w:r>
        <w:rPr>
          <w:rFonts w:hint="default" w:ascii="Times New Roman" w:hAnsi="Times New Roman" w:eastAsia="宋体" w:cs="Times New Roman"/>
          <w:color w:val="000000"/>
          <w:sz w:val="24"/>
          <w:szCs w:val="24"/>
          <w:highlight w:val="none"/>
          <w:lang w:val="en-US" w:eastAsia="zh-CN"/>
        </w:rPr>
        <w:t>算，</w:t>
      </w:r>
      <w:r>
        <w:rPr>
          <w:rFonts w:hint="eastAsia" w:eastAsia="宋体" w:cs="Times New Roman"/>
          <w:color w:val="000000"/>
          <w:sz w:val="24"/>
          <w:szCs w:val="24"/>
          <w:highlight w:val="none"/>
          <w:lang w:val="en-US" w:eastAsia="zh-CN"/>
        </w:rPr>
        <w:t>本次</w:t>
      </w:r>
      <w:r>
        <w:rPr>
          <w:rFonts w:hint="eastAsia" w:ascii="Times New Roman" w:hAnsi="Times New Roman" w:eastAsia="宋体" w:cs="Times New Roman"/>
          <w:color w:val="000000"/>
          <w:sz w:val="24"/>
          <w:szCs w:val="24"/>
          <w:highlight w:val="none"/>
          <w:lang w:val="en-US" w:eastAsia="zh-CN"/>
        </w:rPr>
        <w:t>新增</w:t>
      </w:r>
      <w:r>
        <w:rPr>
          <w:rFonts w:hint="default" w:ascii="Times New Roman" w:hAnsi="Times New Roman" w:eastAsia="宋体" w:cs="Times New Roman"/>
          <w:color w:val="000000"/>
          <w:sz w:val="24"/>
          <w:szCs w:val="24"/>
          <w:highlight w:val="none"/>
          <w:lang w:val="en-US" w:eastAsia="zh-CN"/>
        </w:rPr>
        <w:t>劳动定员</w:t>
      </w:r>
      <w:r>
        <w:rPr>
          <w:rFonts w:hint="eastAsia" w:eastAsia="宋体" w:cs="Times New Roman"/>
          <w:color w:val="000000"/>
          <w:sz w:val="24"/>
          <w:szCs w:val="24"/>
          <w:highlight w:val="none"/>
          <w:lang w:val="en-US" w:eastAsia="zh-CN"/>
        </w:rPr>
        <w:t>20</w:t>
      </w:r>
      <w:r>
        <w:rPr>
          <w:rFonts w:hint="default" w:ascii="Times New Roman" w:hAnsi="Times New Roman" w:eastAsia="宋体" w:cs="Times New Roman"/>
          <w:color w:val="000000"/>
          <w:sz w:val="24"/>
          <w:szCs w:val="24"/>
          <w:highlight w:val="none"/>
          <w:lang w:val="en-US" w:eastAsia="zh-CN"/>
        </w:rPr>
        <w:t>人</w:t>
      </w:r>
      <w:r>
        <w:rPr>
          <w:rFonts w:hint="eastAsia"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年生产</w:t>
      </w:r>
      <w:r>
        <w:rPr>
          <w:rFonts w:hint="eastAsia" w:eastAsia="宋体" w:cs="Times New Roman"/>
          <w:color w:val="000000"/>
          <w:sz w:val="24"/>
          <w:szCs w:val="24"/>
          <w:highlight w:val="none"/>
          <w:lang w:val="en-US" w:eastAsia="zh-CN"/>
        </w:rPr>
        <w:t>300</w:t>
      </w:r>
      <w:r>
        <w:rPr>
          <w:rFonts w:hint="default" w:ascii="Times New Roman" w:hAnsi="Times New Roman" w:eastAsia="宋体" w:cs="Times New Roman"/>
          <w:color w:val="000000"/>
          <w:sz w:val="24"/>
          <w:szCs w:val="24"/>
          <w:highlight w:val="none"/>
          <w:lang w:val="en-US" w:eastAsia="zh-CN"/>
        </w:rPr>
        <w:t>天，则用水量为</w:t>
      </w:r>
      <w:r>
        <w:rPr>
          <w:rFonts w:hint="eastAsia" w:eastAsia="宋体" w:cs="Times New Roman"/>
          <w:color w:val="000000"/>
          <w:sz w:val="24"/>
          <w:szCs w:val="24"/>
          <w:highlight w:val="none"/>
          <w:lang w:val="en-US" w:eastAsia="zh-CN"/>
        </w:rPr>
        <w:t>240</w:t>
      </w:r>
      <w:r>
        <w:rPr>
          <w:rFonts w:hint="eastAsia" w:cs="Times New Roman"/>
          <w:color w:val="000000"/>
          <w:sz w:val="24"/>
          <w:szCs w:val="24"/>
          <w:highlight w:val="none"/>
          <w:lang w:val="en-US" w:eastAsia="zh-CN"/>
        </w:rPr>
        <w:t>t</w:t>
      </w:r>
      <w:r>
        <w:rPr>
          <w:rFonts w:hint="default"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a</w:t>
      </w:r>
      <w:r>
        <w:rPr>
          <w:rFonts w:hint="eastAsia" w:ascii="Times New Roman" w:hAnsi="Times New Roman" w:eastAsia="宋体" w:cs="Times New Roman"/>
          <w:color w:val="auto"/>
          <w:sz w:val="24"/>
          <w:szCs w:val="21"/>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lang w:val="en-US" w:eastAsia="zh-CN"/>
        </w:rPr>
        <w:t>生活污水排放</w:t>
      </w:r>
      <w:r>
        <w:rPr>
          <w:rFonts w:hint="default" w:eastAsia="宋体" w:cs="Times New Roman"/>
          <w:color w:val="000000"/>
          <w:sz w:val="24"/>
          <w:szCs w:val="24"/>
          <w:highlight w:val="none"/>
          <w:lang w:val="en-US" w:eastAsia="zh-CN"/>
        </w:rPr>
        <w:t>量按</w:t>
      </w:r>
      <w:r>
        <w:rPr>
          <w:rFonts w:hint="eastAsia" w:eastAsia="宋体" w:cs="Times New Roman"/>
          <w:color w:val="000000"/>
          <w:sz w:val="24"/>
          <w:szCs w:val="24"/>
          <w:highlight w:val="none"/>
          <w:lang w:val="en-US" w:eastAsia="zh-CN"/>
        </w:rPr>
        <w:t>用水量</w:t>
      </w:r>
      <w:r>
        <w:rPr>
          <w:rFonts w:hint="default" w:eastAsia="宋体" w:cs="Times New Roman"/>
          <w:color w:val="000000"/>
          <w:sz w:val="24"/>
          <w:szCs w:val="24"/>
          <w:highlight w:val="none"/>
          <w:lang w:val="en-US" w:eastAsia="zh-CN"/>
        </w:rPr>
        <w:t>的80%计算，</w:t>
      </w:r>
      <w:r>
        <w:rPr>
          <w:rFonts w:hint="eastAsia" w:eastAsia="宋体" w:cs="Times New Roman"/>
          <w:color w:val="000000"/>
          <w:sz w:val="24"/>
          <w:szCs w:val="24"/>
          <w:highlight w:val="none"/>
          <w:lang w:val="en-US" w:eastAsia="zh-CN"/>
        </w:rPr>
        <w:t>产生</w:t>
      </w:r>
      <w:r>
        <w:rPr>
          <w:rFonts w:hint="default" w:eastAsia="宋体" w:cs="Times New Roman"/>
          <w:color w:val="000000"/>
          <w:sz w:val="24"/>
          <w:szCs w:val="24"/>
          <w:highlight w:val="none"/>
          <w:lang w:val="en-US" w:eastAsia="zh-CN"/>
        </w:rPr>
        <w:t>量为</w:t>
      </w:r>
      <w:r>
        <w:rPr>
          <w:rFonts w:hint="eastAsia" w:eastAsia="宋体" w:cs="Times New Roman"/>
          <w:color w:val="000000"/>
          <w:sz w:val="24"/>
          <w:szCs w:val="24"/>
          <w:highlight w:val="none"/>
          <w:lang w:val="en-US" w:eastAsia="zh-CN"/>
        </w:rPr>
        <w:t>192t</w:t>
      </w:r>
      <w:r>
        <w:rPr>
          <w:rFonts w:hint="default"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a，生活污水排入厂区现有旱厕，定期清掏，不外排。</w:t>
      </w:r>
    </w:p>
    <w:p w14:paraId="26E5F1C5">
      <w:pPr>
        <w:pStyle w:val="1486"/>
        <w:ind w:left="0" w:leftChars="0" w:firstLine="0" w:firstLineChars="0"/>
        <w:rPr>
          <w:rFonts w:hint="eastAsia" w:eastAsia="宋体" w:cs="Times New Roman"/>
          <w:b/>
          <w:bCs/>
          <w:color w:val="auto"/>
          <w:highlight w:val="yellow"/>
          <w:lang w:val="en-US" w:eastAsia="zh-CN"/>
        </w:rPr>
      </w:pPr>
    </w:p>
    <w:p w14:paraId="1981FCF4">
      <w:pPr>
        <w:pStyle w:val="1486"/>
        <w:ind w:left="0" w:leftChars="0" w:firstLine="0" w:firstLineChars="0"/>
        <w:rPr>
          <w:rFonts w:hint="eastAsia" w:eastAsia="宋体" w:cs="Times New Roman"/>
          <w:b/>
          <w:bCs/>
          <w:color w:val="auto"/>
          <w:highlight w:val="yellow"/>
          <w:lang w:val="en-US" w:eastAsia="zh-CN"/>
        </w:rPr>
      </w:pPr>
    </w:p>
    <w:p w14:paraId="40692650">
      <w:pPr>
        <w:pStyle w:val="1486"/>
        <w:ind w:left="0" w:leftChars="0" w:firstLine="0" w:firstLineChars="0"/>
        <w:rPr>
          <w:rFonts w:hint="eastAsia" w:eastAsia="宋体" w:cs="Times New Roman"/>
          <w:b/>
          <w:bCs/>
          <w:color w:val="auto"/>
          <w:highlight w:val="yellow"/>
          <w:lang w:val="en-US" w:eastAsia="zh-CN"/>
        </w:rPr>
        <w:sectPr>
          <w:headerReference r:id="rId6" w:type="default"/>
          <w:footerReference r:id="rId7" w:type="default"/>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1C434DE2">
      <w:pPr>
        <w:pStyle w:val="1486"/>
        <w:spacing w:line="360" w:lineRule="auto"/>
        <w:ind w:left="0" w:leftChars="0" w:firstLine="0" w:firstLineChars="0"/>
        <w:jc w:val="center"/>
        <w:rPr>
          <w:rFonts w:hint="default" w:eastAsia="宋体" w:cs="Times New Roman"/>
          <w:b/>
          <w:bCs/>
          <w:color w:val="auto"/>
          <w:highlight w:val="none"/>
          <w:lang w:val="en-US" w:eastAsia="zh-CN"/>
        </w:rPr>
      </w:pPr>
      <w:r>
        <w:rPr>
          <w:rFonts w:hint="eastAsia" w:eastAsia="宋体" w:cs="Times New Roman"/>
          <w:b/>
          <w:bCs/>
          <w:color w:val="auto"/>
          <w:highlight w:val="none"/>
          <w:lang w:val="en-US" w:eastAsia="zh-CN"/>
        </w:rPr>
        <w:object>
          <v:shape id="_x0000_i1025" o:spt="75" type="#_x0000_t75" style="height:386.55pt;width:670.35pt;" o:ole="t" filled="f" o:preferrelative="t" stroked="f" coordsize="21600,21600">
            <v:path/>
            <v:fill on="f" focussize="0,0"/>
            <v:stroke on="f"/>
            <v:imagedata r:id="rId40" o:title=""/>
            <o:lock v:ext="edit" aspectratio="f"/>
            <w10:wrap type="none"/>
            <w10:anchorlock/>
          </v:shape>
          <o:OLEObject Type="Embed" ProgID="Visio.Drawing.15" ShapeID="_x0000_i1025" DrawAspect="Content" ObjectID="_1468075725" r:id="rId39">
            <o:LockedField>false</o:LockedField>
          </o:OLEObject>
        </w:object>
      </w:r>
      <w:r>
        <w:rPr>
          <w:rFonts w:hint="eastAsia" w:eastAsia="宋体" w:cs="Times New Roman"/>
          <w:b/>
          <w:bCs/>
          <w:color w:val="auto"/>
          <w:highlight w:val="none"/>
          <w:lang w:val="en-US" w:eastAsia="zh-CN"/>
        </w:rPr>
        <w:t>图3.3-3     本项目冬季水平衡图（不进行道路洒水降尘）  单位：t/d</w:t>
      </w:r>
    </w:p>
    <w:p w14:paraId="77191FEC">
      <w:pPr>
        <w:pStyle w:val="1486"/>
        <w:spacing w:line="240" w:lineRule="auto"/>
        <w:ind w:left="0" w:leftChars="0" w:firstLine="0" w:firstLineChars="0"/>
        <w:rPr>
          <w:rFonts w:hint="eastAsia" w:eastAsia="宋体" w:cs="Times New Roman"/>
          <w:b/>
          <w:bCs/>
          <w:color w:val="auto"/>
          <w:highlight w:val="none"/>
          <w:lang w:val="en-US" w:eastAsia="zh-CN"/>
        </w:rPr>
      </w:pPr>
      <w:r>
        <w:rPr>
          <w:sz w:val="24"/>
        </w:rPr>
        <mc:AlternateContent>
          <mc:Choice Requires="wps">
            <w:drawing>
              <wp:anchor distT="0" distB="0" distL="114300" distR="114300" simplePos="0" relativeHeight="251830272" behindDoc="0" locked="0" layoutInCell="1" allowOverlap="1">
                <wp:simplePos x="0" y="0"/>
                <wp:positionH relativeFrom="column">
                  <wp:posOffset>-6407785</wp:posOffset>
                </wp:positionH>
                <wp:positionV relativeFrom="paragraph">
                  <wp:posOffset>4520565</wp:posOffset>
                </wp:positionV>
                <wp:extent cx="5581650" cy="533400"/>
                <wp:effectExtent l="0" t="0" r="0" b="0"/>
                <wp:wrapNone/>
                <wp:docPr id="4" name="文本框 4"/>
                <wp:cNvGraphicFramePr/>
                <a:graphic xmlns:a="http://schemas.openxmlformats.org/drawingml/2006/main">
                  <a:graphicData uri="http://schemas.microsoft.com/office/word/2010/wordprocessingShape">
                    <wps:wsp>
                      <wps:cNvSpPr txBox="1"/>
                      <wps:spPr>
                        <a:xfrm>
                          <a:off x="2760980" y="5943600"/>
                          <a:ext cx="5581650" cy="533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E7EAA0">
                            <w:pPr>
                              <w:rPr>
                                <w:rFonts w:hint="default" w:eastAsia="宋体"/>
                                <w:b/>
                                <w:bCs/>
                                <w:sz w:val="24"/>
                                <w:szCs w:val="32"/>
                                <w:lang w:val="en-US" w:eastAsia="zh-CN"/>
                              </w:rPr>
                            </w:pPr>
                            <w:r>
                              <w:rPr>
                                <w:rFonts w:hint="eastAsia"/>
                                <w:b/>
                                <w:bCs/>
                                <w:sz w:val="24"/>
                                <w:szCs w:val="32"/>
                                <w:lang w:val="en-US" w:eastAsia="zh-CN"/>
                              </w:rPr>
                              <w:t>图     本项目夏季水平衡图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55pt;margin-top:355.95pt;height:42pt;width:439.5pt;z-index:251830272;mso-width-relative:page;mso-height-relative:page;" filled="f" stroked="f" coordsize="21600,21600" o:gfxdata="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NAwWi3QAAAA4BAAAPAAAAAAAA&#10;AAEAIAAAACIAAABkcnMvZG93bnJldi54bWxQSwECFAAUAAAACACHTuJA4NP5wUYCAAByBAAADgAA&#10;AAAAAAABACAAAAAsAQAAZHJzL2Uyb0RvYy54bWxQSwUGAAAAAAYABgBZAQAA5AUAAAAA&#10;">
                <v:fill on="f" focussize="0,0"/>
                <v:stroke on="f" weight="0.5pt"/>
                <v:imagedata o:title=""/>
                <o:lock v:ext="edit" aspectratio="f"/>
                <v:textbox>
                  <w:txbxContent>
                    <w:p w14:paraId="0CE7EAA0">
                      <w:pPr>
                        <w:rPr>
                          <w:rFonts w:hint="default" w:eastAsia="宋体"/>
                          <w:b/>
                          <w:bCs/>
                          <w:sz w:val="24"/>
                          <w:szCs w:val="32"/>
                          <w:lang w:val="en-US" w:eastAsia="zh-CN"/>
                        </w:rPr>
                      </w:pPr>
                      <w:r>
                        <w:rPr>
                          <w:rFonts w:hint="eastAsia"/>
                          <w:b/>
                          <w:bCs/>
                          <w:sz w:val="24"/>
                          <w:szCs w:val="32"/>
                          <w:lang w:val="en-US" w:eastAsia="zh-CN"/>
                        </w:rPr>
                        <w:t>图     本项目夏季水平衡图</w:t>
                      </w:r>
                    </w:p>
                  </w:txbxContent>
                </v:textbox>
              </v:shape>
            </w:pict>
          </mc:Fallback>
        </mc:AlternateContent>
      </w:r>
      <w:r>
        <w:rPr>
          <w:rFonts w:hint="eastAsia" w:eastAsia="宋体" w:cs="Times New Roman"/>
          <w:b/>
          <w:bCs/>
          <w:color w:val="auto"/>
          <w:highlight w:val="none"/>
          <w:lang w:val="en-US" w:eastAsia="zh-CN"/>
        </w:rPr>
        <w:object>
          <v:shape id="_x0000_i1026" o:spt="75" type="#_x0000_t75" style="height:357.15pt;width:644.1pt;" o:ole="t" filled="f" o:preferrelative="t" stroked="f" coordsize="21600,21600">
            <v:path/>
            <v:fill on="f" focussize="0,0"/>
            <v:stroke on="f"/>
            <v:imagedata r:id="rId42" o:title=""/>
            <o:lock v:ext="edit" aspectratio="f"/>
            <w10:wrap type="none"/>
            <w10:anchorlock/>
          </v:shape>
          <o:OLEObject Type="Embed" ProgID="Visio.Drawing.15" ShapeID="_x0000_i1026" DrawAspect="Content" ObjectID="_1468075726" r:id="rId41">
            <o:LockedField>false</o:LockedField>
          </o:OLEObject>
        </w:object>
      </w:r>
    </w:p>
    <w:p w14:paraId="30B1D0B5">
      <w:pPr>
        <w:pStyle w:val="1486"/>
        <w:spacing w:line="240" w:lineRule="auto"/>
        <w:ind w:left="0" w:leftChars="0" w:firstLine="0" w:firstLineChars="0"/>
        <w:rPr>
          <w:rFonts w:hint="eastAsia" w:eastAsia="宋体" w:cs="Times New Roman"/>
          <w:b/>
          <w:bCs/>
          <w:color w:val="auto"/>
          <w:highlight w:val="none"/>
          <w:lang w:val="en-US" w:eastAsia="zh-CN"/>
        </w:rPr>
      </w:pPr>
    </w:p>
    <w:p w14:paraId="663CF8F1">
      <w:pPr>
        <w:pStyle w:val="1486"/>
        <w:ind w:left="0" w:leftChars="0" w:firstLine="0" w:firstLineChars="0"/>
        <w:jc w:val="center"/>
        <w:rPr>
          <w:rFonts w:hint="default" w:eastAsia="宋体" w:cs="Times New Roman"/>
          <w:b/>
          <w:bCs/>
          <w:color w:val="auto"/>
          <w:highlight w:val="none"/>
          <w:lang w:val="en-US" w:eastAsia="zh-CN"/>
        </w:rPr>
        <w:sectPr>
          <w:pgSz w:w="16838" w:h="11906"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cs="Times New Roman"/>
          <w:b/>
          <w:bCs/>
          <w:color w:val="auto"/>
          <w:highlight w:val="none"/>
          <w:lang w:val="en-US" w:eastAsia="zh-CN"/>
        </w:rPr>
        <w:t>图3.3-4   本项目夏季水平衡图   单位：t/d</w:t>
      </w:r>
    </w:p>
    <w:p w14:paraId="7636FE45">
      <w:pPr>
        <w:pStyle w:val="1486"/>
        <w:ind w:left="0" w:leftChars="0" w:firstLine="0" w:firstLineChars="0"/>
        <w:rPr>
          <w:rFonts w:hint="eastAsia" w:eastAsia="宋体" w:cs="Times New Roman"/>
          <w:b/>
          <w:bCs/>
          <w:color w:val="auto"/>
          <w:lang w:val="en-US" w:eastAsia="zh-CN"/>
        </w:rPr>
      </w:pPr>
      <w:r>
        <w:rPr>
          <w:rFonts w:hint="eastAsia" w:eastAsia="宋体" w:cs="Times New Roman"/>
          <w:b/>
          <w:bCs/>
          <w:color w:val="auto"/>
          <w:lang w:val="en-US" w:eastAsia="zh-CN"/>
        </w:rPr>
        <w:t>3.2.8.3供电</w:t>
      </w:r>
    </w:p>
    <w:p w14:paraId="55069A7E">
      <w:pPr>
        <w:spacing w:line="360" w:lineRule="auto"/>
        <w:ind w:firstLine="480" w:firstLineChars="200"/>
        <w:rPr>
          <w:color w:val="auto"/>
          <w:sz w:val="24"/>
        </w:rPr>
      </w:pPr>
      <w:r>
        <w:rPr>
          <w:rFonts w:hint="eastAsia"/>
          <w:color w:val="auto"/>
          <w:sz w:val="24"/>
        </w:rPr>
        <w:t>本项目</w:t>
      </w:r>
      <w:r>
        <w:rPr>
          <w:color w:val="auto"/>
          <w:sz w:val="24"/>
        </w:rPr>
        <w:t>在主厂房附近设置了一座低压配电室，用</w:t>
      </w:r>
      <w:r>
        <w:rPr>
          <w:rFonts w:hint="eastAsia"/>
          <w:color w:val="auto"/>
          <w:sz w:val="24"/>
        </w:rPr>
        <w:t>于</w:t>
      </w:r>
      <w:r>
        <w:rPr>
          <w:color w:val="auto"/>
          <w:sz w:val="24"/>
        </w:rPr>
        <w:t>向</w:t>
      </w:r>
      <w:r>
        <w:rPr>
          <w:rFonts w:hint="eastAsia"/>
          <w:color w:val="auto"/>
          <w:sz w:val="24"/>
          <w:lang w:val="en-US" w:eastAsia="zh-CN"/>
        </w:rPr>
        <w:t>厂内</w:t>
      </w:r>
      <w:r>
        <w:rPr>
          <w:color w:val="auto"/>
          <w:sz w:val="24"/>
        </w:rPr>
        <w:t>各用电设备</w:t>
      </w:r>
      <w:r>
        <w:rPr>
          <w:rFonts w:hint="eastAsia"/>
          <w:color w:val="auto"/>
          <w:sz w:val="24"/>
        </w:rPr>
        <w:t>配电</w:t>
      </w:r>
      <w:r>
        <w:rPr>
          <w:rFonts w:hint="eastAsia"/>
          <w:color w:val="auto"/>
          <w:sz w:val="24"/>
          <w:lang w:eastAsia="zh-CN"/>
        </w:rPr>
        <w:t>，</w:t>
      </w:r>
      <w:r>
        <w:rPr>
          <w:rFonts w:hint="eastAsia"/>
          <w:color w:val="auto"/>
          <w:sz w:val="24"/>
          <w:lang w:val="en-US" w:eastAsia="zh-CN"/>
        </w:rPr>
        <w:t>本项目用电量为800万kW</w:t>
      </w:r>
      <w:r>
        <w:rPr>
          <w:rFonts w:hint="default" w:ascii="Times New Roman" w:hAnsi="Times New Roman" w:cs="Times New Roman"/>
          <w:color w:val="auto"/>
          <w:sz w:val="24"/>
          <w:lang w:val="en-US" w:eastAsia="zh-CN"/>
        </w:rPr>
        <w:t>·</w:t>
      </w:r>
      <w:r>
        <w:rPr>
          <w:rFonts w:hint="eastAsia"/>
          <w:color w:val="auto"/>
          <w:sz w:val="24"/>
          <w:lang w:val="en-US" w:eastAsia="zh-CN"/>
        </w:rPr>
        <w:t>h/a</w:t>
      </w:r>
      <w:r>
        <w:rPr>
          <w:rFonts w:hint="eastAsia"/>
          <w:color w:val="auto"/>
          <w:sz w:val="24"/>
        </w:rPr>
        <w:t>。</w:t>
      </w:r>
    </w:p>
    <w:p w14:paraId="4FDF6E62">
      <w:pPr>
        <w:pStyle w:val="1486"/>
        <w:ind w:left="0" w:leftChars="0" w:firstLine="0" w:firstLineChars="0"/>
        <w:rPr>
          <w:rFonts w:hint="eastAsia" w:eastAsia="宋体" w:cs="Times New Roman"/>
          <w:b/>
          <w:bCs/>
          <w:color w:val="auto"/>
          <w:lang w:val="en-US" w:eastAsia="zh-CN"/>
        </w:rPr>
      </w:pPr>
      <w:r>
        <w:rPr>
          <w:rFonts w:hint="eastAsia" w:eastAsia="宋体" w:cs="Times New Roman"/>
          <w:b/>
          <w:bCs/>
          <w:color w:val="auto"/>
          <w:lang w:val="en-US" w:eastAsia="zh-CN"/>
        </w:rPr>
        <w:t>3.2.8.4供热</w:t>
      </w:r>
    </w:p>
    <w:p w14:paraId="6FEFF3C9">
      <w:pPr>
        <w:spacing w:line="360" w:lineRule="auto"/>
        <w:ind w:firstLine="480" w:firstLineChars="200"/>
        <w:rPr>
          <w:b/>
          <w:color w:val="auto"/>
          <w:sz w:val="24"/>
        </w:rPr>
      </w:pPr>
      <w:r>
        <w:rPr>
          <w:color w:val="auto"/>
          <w:sz w:val="24"/>
        </w:rPr>
        <w:t>项目办公</w:t>
      </w:r>
      <w:r>
        <w:rPr>
          <w:rFonts w:hint="eastAsia"/>
          <w:color w:val="auto"/>
          <w:sz w:val="24"/>
        </w:rPr>
        <w:t>室内</w:t>
      </w:r>
      <w:r>
        <w:rPr>
          <w:color w:val="auto"/>
          <w:sz w:val="24"/>
        </w:rPr>
        <w:t>冬季</w:t>
      </w:r>
      <w:r>
        <w:rPr>
          <w:rFonts w:hint="eastAsia"/>
          <w:color w:val="auto"/>
          <w:sz w:val="24"/>
          <w:lang w:val="en-US" w:eastAsia="zh-CN"/>
        </w:rPr>
        <w:t>采用</w:t>
      </w:r>
      <w:r>
        <w:rPr>
          <w:color w:val="auto"/>
          <w:sz w:val="24"/>
        </w:rPr>
        <w:t>电供暖</w:t>
      </w:r>
      <w:r>
        <w:rPr>
          <w:rFonts w:hint="eastAsia"/>
          <w:color w:val="auto"/>
          <w:sz w:val="24"/>
          <w:lang w:eastAsia="zh-CN"/>
        </w:rPr>
        <w:t>，</w:t>
      </w:r>
      <w:r>
        <w:rPr>
          <w:rFonts w:hint="eastAsia"/>
          <w:color w:val="auto"/>
          <w:sz w:val="24"/>
          <w:lang w:val="en-US" w:eastAsia="zh-CN"/>
        </w:rPr>
        <w:t>车间不供暖</w:t>
      </w:r>
      <w:r>
        <w:rPr>
          <w:color w:val="auto"/>
          <w:sz w:val="24"/>
        </w:rPr>
        <w:t>。</w:t>
      </w:r>
    </w:p>
    <w:bookmarkEnd w:id="65"/>
    <w:p w14:paraId="05C4EEEC">
      <w:pPr>
        <w:pStyle w:val="5"/>
        <w:bidi w:val="0"/>
        <w:rPr>
          <w:rFonts w:hint="default"/>
          <w:lang w:val="en-US" w:eastAsia="zh-CN"/>
        </w:rPr>
      </w:pPr>
      <w:r>
        <w:rPr>
          <w:rFonts w:hint="eastAsia"/>
          <w:lang w:val="en-US" w:eastAsia="zh-CN"/>
        </w:rPr>
        <w:t>3.3.4</w:t>
      </w:r>
      <w:r>
        <w:rPr>
          <w:rFonts w:hint="default"/>
          <w:lang w:val="en-US" w:eastAsia="zh-CN"/>
        </w:rPr>
        <w:t>工作制度与劳动定员</w:t>
      </w:r>
    </w:p>
    <w:p w14:paraId="4E50FDDF">
      <w:pPr>
        <w:spacing w:line="360" w:lineRule="auto"/>
        <w:ind w:left="105" w:leftChars="50" w:firstLine="360" w:firstLineChars="150"/>
        <w:rPr>
          <w:color w:val="auto"/>
          <w:sz w:val="24"/>
        </w:rPr>
      </w:pPr>
      <w:r>
        <w:rPr>
          <w:rFonts w:hint="eastAsia"/>
          <w:color w:val="auto"/>
          <w:sz w:val="24"/>
          <w:lang w:eastAsia="zh-CN"/>
        </w:rPr>
        <w:t>本次改扩建新增员工</w:t>
      </w:r>
      <w:r>
        <w:rPr>
          <w:rFonts w:hint="eastAsia"/>
          <w:color w:val="auto"/>
          <w:sz w:val="24"/>
          <w:lang w:val="en-US" w:eastAsia="zh-CN"/>
        </w:rPr>
        <w:t>20人，</w:t>
      </w:r>
      <w:r>
        <w:rPr>
          <w:color w:val="auto"/>
          <w:sz w:val="24"/>
        </w:rPr>
        <w:t>每年工作</w:t>
      </w:r>
      <w:r>
        <w:rPr>
          <w:rFonts w:hint="eastAsia"/>
          <w:color w:val="auto"/>
          <w:sz w:val="24"/>
          <w:lang w:val="en-US" w:eastAsia="zh-CN"/>
        </w:rPr>
        <w:t>300</w:t>
      </w:r>
      <w:r>
        <w:rPr>
          <w:color w:val="auto"/>
          <w:sz w:val="24"/>
        </w:rPr>
        <w:t>天</w:t>
      </w:r>
      <w:r>
        <w:rPr>
          <w:color w:val="000000" w:themeColor="text1"/>
          <w:sz w:val="24"/>
          <w14:textFill>
            <w14:solidFill>
              <w14:schemeClr w14:val="tx1"/>
            </w14:solidFill>
          </w14:textFill>
        </w:rPr>
        <w:t>，</w:t>
      </w:r>
      <w:r>
        <w:rPr>
          <w:rFonts w:hint="eastAsia"/>
          <w:color w:val="000000" w:themeColor="text1"/>
          <w:sz w:val="24"/>
          <w:lang w:val="en-US" w:eastAsia="zh-CN"/>
          <w14:textFill>
            <w14:solidFill>
              <w14:schemeClr w14:val="tx1"/>
            </w14:solidFill>
          </w14:textFill>
        </w:rPr>
        <w:t>三班制工作制度，</w:t>
      </w:r>
      <w:r>
        <w:rPr>
          <w:color w:val="000000" w:themeColor="text1"/>
          <w:sz w:val="24"/>
          <w14:textFill>
            <w14:solidFill>
              <w14:schemeClr w14:val="tx1"/>
            </w14:solidFill>
          </w14:textFill>
        </w:rPr>
        <w:t>每班工作时间8小时</w:t>
      </w:r>
      <w:r>
        <w:rPr>
          <w:rFonts w:hint="eastAsia"/>
          <w:color w:val="000000" w:themeColor="text1"/>
          <w:sz w:val="24"/>
          <w:lang w:eastAsia="zh-CN"/>
          <w14:textFill>
            <w14:solidFill>
              <w14:schemeClr w14:val="tx1"/>
            </w14:solidFill>
          </w14:textFill>
        </w:rPr>
        <w:t>，</w:t>
      </w:r>
      <w:r>
        <w:rPr>
          <w:rFonts w:hint="eastAsia"/>
          <w:color w:val="000000" w:themeColor="text1"/>
          <w:sz w:val="24"/>
          <w:lang w:val="en-US" w:eastAsia="zh-CN"/>
          <w14:textFill>
            <w14:solidFill>
              <w14:schemeClr w14:val="tx1"/>
            </w14:solidFill>
          </w14:textFill>
        </w:rPr>
        <w:t>全年工作7200小时</w:t>
      </w:r>
      <w:r>
        <w:rPr>
          <w:color w:val="000000" w:themeColor="text1"/>
          <w:sz w:val="24"/>
          <w14:textFill>
            <w14:solidFill>
              <w14:schemeClr w14:val="tx1"/>
            </w14:solidFill>
          </w14:textFill>
        </w:rPr>
        <w:t>。</w:t>
      </w:r>
    </w:p>
    <w:p w14:paraId="58B4444F">
      <w:pPr>
        <w:pStyle w:val="5"/>
        <w:bidi w:val="0"/>
        <w:rPr>
          <w:rFonts w:hint="eastAsia"/>
          <w:lang w:val="en-US" w:eastAsia="zh-CN"/>
        </w:rPr>
      </w:pPr>
      <w:bookmarkStart w:id="67" w:name="_Toc436571626"/>
      <w:bookmarkEnd w:id="67"/>
      <w:r>
        <w:rPr>
          <w:rFonts w:hint="eastAsia"/>
          <w:lang w:val="en-US" w:eastAsia="zh-CN"/>
        </w:rPr>
        <w:t>3.3.5污染源分析</w:t>
      </w:r>
    </w:p>
    <w:p w14:paraId="26BD8BE0">
      <w:pPr>
        <w:pStyle w:val="1486"/>
        <w:pageBreakBefore w:val="0"/>
        <w:kinsoku/>
        <w:wordWrap/>
        <w:overflowPunct/>
        <w:topLinePunct w:val="0"/>
        <w:autoSpaceDE/>
        <w:autoSpaceDN/>
        <w:bidi w:val="0"/>
        <w:adjustRightInd/>
        <w:spacing w:line="360" w:lineRule="auto"/>
        <w:ind w:left="0" w:leftChars="0" w:firstLine="0" w:firstLineChars="0"/>
        <w:textAlignment w:val="auto"/>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3.3.5.1施工期污染源分析</w:t>
      </w:r>
    </w:p>
    <w:p w14:paraId="2CC66DC4">
      <w:pPr>
        <w:pageBreakBefore w:val="0"/>
        <w:kinsoku/>
        <w:wordWrap/>
        <w:overflowPunct/>
        <w:topLinePunct w:val="0"/>
        <w:autoSpaceDE/>
        <w:autoSpaceDN/>
        <w:bidi w:val="0"/>
        <w:adjustRightInd/>
        <w:spacing w:line="360" w:lineRule="auto"/>
        <w:ind w:firstLine="480" w:firstLineChars="200"/>
        <w:textAlignment w:val="auto"/>
        <w:rPr>
          <w:rFonts w:hint="eastAsia"/>
          <w:color w:val="auto"/>
          <w:sz w:val="24"/>
        </w:rPr>
      </w:pPr>
      <w:r>
        <w:rPr>
          <w:rFonts w:hint="eastAsia"/>
          <w:color w:val="auto"/>
          <w:sz w:val="24"/>
          <w:lang w:val="en-US" w:eastAsia="zh-CN"/>
        </w:rPr>
        <w:t>本项目属于未批先建项目，施工期已过，在施工期主要为设备安装，不涉及土建工程，污染物排放量较小，对环境影响较小</w:t>
      </w:r>
      <w:r>
        <w:rPr>
          <w:rFonts w:hint="eastAsia"/>
          <w:color w:val="auto"/>
          <w:sz w:val="24"/>
        </w:rPr>
        <w:t>。</w:t>
      </w:r>
    </w:p>
    <w:p w14:paraId="06C002AF">
      <w:pPr>
        <w:pStyle w:val="6"/>
        <w:pageBreakBefore w:val="0"/>
        <w:tabs>
          <w:tab w:val="left" w:pos="1008"/>
        </w:tabs>
        <w:kinsoku/>
        <w:wordWrap/>
        <w:overflowPunct/>
        <w:topLinePunct w:val="0"/>
        <w:autoSpaceDE/>
        <w:autoSpaceDN/>
        <w:bidi w:val="0"/>
        <w:adjustRightInd/>
        <w:spacing w:before="0" w:after="0" w:line="360" w:lineRule="auto"/>
        <w:textAlignment w:val="auto"/>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3.3.5</w:t>
      </w:r>
      <w:r>
        <w:rPr>
          <w:rFonts w:hint="eastAsia" w:ascii="Times New Roman" w:hAnsi="Times New Roman" w:eastAsia="宋体"/>
          <w:color w:val="auto"/>
          <w:sz w:val="24"/>
          <w:szCs w:val="24"/>
        </w:rPr>
        <w:t>.2</w:t>
      </w:r>
      <w:r>
        <w:rPr>
          <w:rFonts w:ascii="Times New Roman" w:hAnsi="Times New Roman" w:eastAsia="宋体"/>
          <w:color w:val="auto"/>
          <w:sz w:val="24"/>
          <w:szCs w:val="24"/>
        </w:rPr>
        <w:t>营运期污染源分析</w:t>
      </w:r>
    </w:p>
    <w:p w14:paraId="2F7B3AF4">
      <w:pPr>
        <w:pStyle w:val="1486"/>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cs="Times New Roman"/>
          <w:b/>
          <w:bCs/>
          <w:color w:val="auto"/>
          <w:lang w:val="en-US" w:eastAsia="zh-CN"/>
        </w:rPr>
      </w:pPr>
      <w:r>
        <w:rPr>
          <w:rFonts w:hint="eastAsia" w:eastAsia="宋体" w:cs="Times New Roman"/>
          <w:b/>
          <w:bCs/>
          <w:color w:val="auto"/>
          <w:lang w:val="en-US" w:eastAsia="zh-CN"/>
        </w:rPr>
        <w:t>（一）大气污染源分析</w:t>
      </w:r>
    </w:p>
    <w:p w14:paraId="12FEB737">
      <w:pPr>
        <w:pStyle w:val="1486"/>
        <w:pageBreakBefore w:val="0"/>
        <w:kinsoku/>
        <w:wordWrap/>
        <w:overflowPunct/>
        <w:topLinePunct w:val="0"/>
        <w:autoSpaceDE/>
        <w:autoSpaceDN/>
        <w:bidi w:val="0"/>
        <w:adjustRightInd/>
        <w:spacing w:line="360" w:lineRule="auto"/>
        <w:ind w:firstLine="480"/>
        <w:textAlignment w:val="auto"/>
        <w:rPr>
          <w:rFonts w:hint="default" w:eastAsia="宋体" w:cs="Times New Roman"/>
          <w:color w:val="auto"/>
          <w:lang w:val="en-US" w:eastAsia="zh-CN"/>
        </w:rPr>
      </w:pPr>
      <w:r>
        <w:rPr>
          <w:rFonts w:hint="eastAsia" w:eastAsia="宋体" w:cs="Times New Roman"/>
          <w:color w:val="auto"/>
          <w:lang w:val="en-US" w:eastAsia="zh-CN"/>
        </w:rPr>
        <w:t>本次改扩建项目主要新增浮选工艺，年处理矿石规模为20万t/a，经前文分析，主要大气污染源为原矿及尾矿装卸过程、破碎区、球磨、运输道路、皮带输送过程，污染物均为颗粒物。其中原矿及尾矿装卸过程、运输道路、皮带输送过程经处理后无组织排放，破碎区、球磨有组织排放，具体源强核算内容如下</w:t>
      </w:r>
      <w:r>
        <w:rPr>
          <w:rFonts w:hint="default" w:eastAsia="宋体" w:cs="Times New Roman"/>
          <w:color w:val="auto"/>
          <w:lang w:val="en-US" w:eastAsia="zh-CN"/>
        </w:rPr>
        <w:t>。</w:t>
      </w:r>
    </w:p>
    <w:p w14:paraId="5DBCF28B">
      <w:pPr>
        <w:pageBreakBefore w:val="0"/>
        <w:widowControl/>
        <w:kinsoku/>
        <w:wordWrap/>
        <w:overflowPunct/>
        <w:topLinePunct w:val="0"/>
        <w:autoSpaceDE/>
        <w:autoSpaceDN/>
        <w:bidi w:val="0"/>
        <w:adjustRightInd/>
        <w:spacing w:line="360" w:lineRule="auto"/>
        <w:textAlignment w:val="auto"/>
        <w:rPr>
          <w:rFonts w:hint="default" w:hAnsi="宋体" w:cs="Times New Roman"/>
          <w:b/>
          <w:bCs w:val="0"/>
          <w:color w:val="auto"/>
          <w:kern w:val="2"/>
          <w:sz w:val="24"/>
          <w:szCs w:val="24"/>
          <w:lang w:val="en-US" w:eastAsia="zh-CN" w:bidi="ar-SA"/>
        </w:rPr>
      </w:pPr>
      <w:r>
        <w:rPr>
          <w:rFonts w:hint="eastAsia" w:hAnsi="宋体" w:cs="Times New Roman"/>
          <w:b/>
          <w:bCs w:val="0"/>
          <w:color w:val="auto"/>
          <w:kern w:val="2"/>
          <w:sz w:val="24"/>
          <w:szCs w:val="24"/>
          <w:lang w:val="en-US" w:eastAsia="zh-CN" w:bidi="ar-SA"/>
        </w:rPr>
        <w:t>1、无组织排放：</w:t>
      </w:r>
    </w:p>
    <w:p w14:paraId="60CB745D">
      <w:pPr>
        <w:pageBreakBefore w:val="0"/>
        <w:widowControl/>
        <w:kinsoku/>
        <w:wordWrap/>
        <w:overflowPunct/>
        <w:topLinePunct w:val="0"/>
        <w:autoSpaceDE/>
        <w:autoSpaceDN/>
        <w:bidi w:val="0"/>
        <w:adjustRightInd/>
        <w:spacing w:line="360" w:lineRule="auto"/>
        <w:textAlignment w:val="auto"/>
        <w:rPr>
          <w:rFonts w:hint="eastAsia" w:ascii="Times New Roman" w:hAnsi="宋体" w:eastAsia="宋体" w:cs="Times New Roman"/>
          <w:b/>
          <w:bCs w:val="0"/>
          <w:color w:val="auto"/>
          <w:kern w:val="2"/>
          <w:sz w:val="24"/>
          <w:szCs w:val="24"/>
          <w:lang w:val="en-US" w:eastAsia="zh-CN" w:bidi="ar-SA"/>
        </w:rPr>
      </w:pPr>
      <w:r>
        <w:rPr>
          <w:rFonts w:hint="eastAsia" w:hAnsi="宋体" w:cs="Times New Roman"/>
          <w:b/>
          <w:bCs w:val="0"/>
          <w:color w:val="auto"/>
          <w:kern w:val="2"/>
          <w:sz w:val="24"/>
          <w:szCs w:val="24"/>
          <w:lang w:val="en-US" w:eastAsia="zh-CN" w:bidi="ar-SA"/>
        </w:rPr>
        <w:t>①原矿、尾矿</w:t>
      </w:r>
      <w:r>
        <w:rPr>
          <w:rFonts w:hint="eastAsia" w:ascii="Times New Roman" w:hAnsi="宋体" w:eastAsia="宋体" w:cs="Times New Roman"/>
          <w:b/>
          <w:bCs w:val="0"/>
          <w:color w:val="auto"/>
          <w:kern w:val="2"/>
          <w:sz w:val="24"/>
          <w:szCs w:val="24"/>
          <w:lang w:val="en-US" w:eastAsia="zh-CN" w:bidi="ar-SA"/>
        </w:rPr>
        <w:t>装卸扬尘</w:t>
      </w:r>
    </w:p>
    <w:p w14:paraId="6DB5BDBC">
      <w:pPr>
        <w:pageBreakBefore w:val="0"/>
        <w:widowControl/>
        <w:kinsoku/>
        <w:wordWrap/>
        <w:overflowPunct/>
        <w:topLinePunct w:val="0"/>
        <w:autoSpaceDE/>
        <w:autoSpaceDN/>
        <w:bidi w:val="0"/>
        <w:adjustRightInd/>
        <w:spacing w:line="360" w:lineRule="auto"/>
        <w:ind w:firstLine="480" w:firstLineChars="200"/>
        <w:textAlignment w:val="auto"/>
        <w:rPr>
          <w:rFonts w:hint="eastAsia" w:hAnsi="宋体" w:cs="Times New Roman"/>
          <w:b w:val="0"/>
          <w:bCs/>
          <w:color w:val="auto"/>
          <w:kern w:val="2"/>
          <w:sz w:val="24"/>
          <w:szCs w:val="24"/>
          <w:lang w:val="en-US" w:eastAsia="zh-CN" w:bidi="ar-SA"/>
        </w:rPr>
      </w:pPr>
      <w:r>
        <w:rPr>
          <w:rFonts w:hint="eastAsia" w:hAnsi="宋体" w:cs="Times New Roman"/>
          <w:b w:val="0"/>
          <w:bCs/>
          <w:color w:val="auto"/>
          <w:kern w:val="2"/>
          <w:sz w:val="24"/>
          <w:szCs w:val="24"/>
          <w:lang w:val="en-US" w:eastAsia="zh-CN" w:bidi="ar-SA"/>
        </w:rPr>
        <w:t>装卸粉尘主要来自原矿、尾矿装卸过程中产生的粉尘，主要为装卸过程中的高度落差带来的扬尘，本次环评采用物料装卸起尘计算模式进行估算，具体如下：</w:t>
      </w:r>
    </w:p>
    <w:p w14:paraId="2A48D67B">
      <w:pPr>
        <w:pageBreakBefore w:val="0"/>
        <w:widowControl/>
        <w:kinsoku/>
        <w:wordWrap/>
        <w:overflowPunct/>
        <w:topLinePunct w:val="0"/>
        <w:autoSpaceDE/>
        <w:autoSpaceDN/>
        <w:bidi w:val="0"/>
        <w:adjustRightInd/>
        <w:spacing w:line="360" w:lineRule="auto"/>
        <w:ind w:firstLine="420" w:firstLineChars="200"/>
        <w:textAlignment w:val="auto"/>
        <w:rPr>
          <w:rFonts w:ascii="Times New Roman" w:hAnsi="Times New Roman" w:cs="Times New Roman"/>
          <w:b/>
          <w:color w:val="000000" w:themeColor="text1"/>
          <w:position w:val="-14"/>
          <w:sz w:val="24"/>
          <w14:textFill>
            <w14:solidFill>
              <w14:schemeClr w14:val="tx1"/>
            </w14:solidFill>
          </w14:textFill>
        </w:rPr>
      </w:pPr>
      <w:r>
        <w:rPr>
          <w:rFonts w:hint="eastAsia"/>
          <w:lang w:val="en-US" w:eastAsia="zh-CN"/>
        </w:rPr>
        <w:t xml:space="preserve">                      </w:t>
      </w:r>
      <w:r>
        <w:rPr>
          <w:rFonts w:ascii="Times New Roman" w:hAnsi="Times New Roman" w:cs="Times New Roman"/>
          <w:b/>
          <w:color w:val="000000" w:themeColor="text1"/>
          <w:position w:val="-14"/>
          <w:sz w:val="24"/>
          <w14:textFill>
            <w14:solidFill>
              <w14:schemeClr w14:val="tx1"/>
            </w14:solidFill>
          </w14:textFill>
        </w:rPr>
        <w:drawing>
          <wp:inline distT="0" distB="0" distL="0" distR="0">
            <wp:extent cx="1828800" cy="263525"/>
            <wp:effectExtent l="0" t="0" r="0" b="0"/>
            <wp:docPr id="1" name="_x0000_i1029"/>
            <wp:cNvGraphicFramePr/>
            <a:graphic xmlns:a="http://schemas.openxmlformats.org/drawingml/2006/main">
              <a:graphicData uri="http://schemas.openxmlformats.org/drawingml/2006/picture">
                <pic:pic xmlns:pic="http://schemas.openxmlformats.org/drawingml/2006/picture">
                  <pic:nvPicPr>
                    <pic:cNvPr id="1" name="_x0000_i1029"/>
                    <pic:cNvPicPr/>
                  </pic:nvPicPr>
                  <pic:blipFill>
                    <a:blip r:embed="rId37"/>
                    <a:stretch>
                      <a:fillRect/>
                    </a:stretch>
                  </pic:blipFill>
                  <pic:spPr>
                    <a:xfrm>
                      <a:off x="0" y="0"/>
                      <a:ext cx="1828800" cy="263525"/>
                    </a:xfrm>
                    <a:prstGeom prst="rect">
                      <a:avLst/>
                    </a:prstGeom>
                  </pic:spPr>
                </pic:pic>
              </a:graphicData>
            </a:graphic>
          </wp:inline>
        </w:drawing>
      </w:r>
    </w:p>
    <w:p w14:paraId="6582A91A">
      <w:pPr>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式中：Q—装卸起尘量，kg/a；</w:t>
      </w:r>
    </w:p>
    <w:p w14:paraId="75C067F4">
      <w:pPr>
        <w:pageBreakBefore w:val="0"/>
        <w:kinsoku/>
        <w:wordWrap/>
        <w:overflowPunct/>
        <w:topLinePunct w:val="0"/>
        <w:autoSpaceDE/>
        <w:autoSpaceDN/>
        <w:bidi w:val="0"/>
        <w:adjustRightInd/>
        <w:spacing w:line="360" w:lineRule="auto"/>
        <w:ind w:firstLine="1200" w:firstLineChars="5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V—平均风速，</w:t>
      </w:r>
      <w:r>
        <w:rPr>
          <w:rFonts w:hint="eastAsia" w:cs="Times New Roman"/>
          <w:color w:val="000000" w:themeColor="text1"/>
          <w:sz w:val="24"/>
          <w:lang w:val="en-US" w:eastAsia="zh-CN"/>
          <w14:textFill>
            <w14:solidFill>
              <w14:schemeClr w14:val="tx1"/>
            </w14:solidFill>
          </w14:textFill>
        </w:rPr>
        <w:t>2.7</w:t>
      </w:r>
      <w:r>
        <w:rPr>
          <w:rFonts w:ascii="Times New Roman" w:hAnsi="Times New Roman" w:cs="Times New Roman"/>
          <w:color w:val="000000" w:themeColor="text1"/>
          <w:sz w:val="24"/>
          <w14:textFill>
            <w14:solidFill>
              <w14:schemeClr w14:val="tx1"/>
            </w14:solidFill>
          </w14:textFill>
        </w:rPr>
        <w:t>m/s</w:t>
      </w:r>
      <w:r>
        <w:rPr>
          <w:rFonts w:hint="eastAsia" w:cs="Times New Roman"/>
          <w:color w:val="000000" w:themeColor="text1"/>
          <w:sz w:val="24"/>
          <w:lang w:eastAsia="zh-CN"/>
          <w14:textFill>
            <w14:solidFill>
              <w14:schemeClr w14:val="tx1"/>
            </w14:solidFill>
          </w14:textFill>
        </w:rPr>
        <w:t>；</w:t>
      </w:r>
    </w:p>
    <w:p w14:paraId="2033B8A9">
      <w:pPr>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H—物料装卸平均高度，</w:t>
      </w:r>
      <w:r>
        <w:rPr>
          <w:rFonts w:hint="eastAsia" w:cs="Times New Roman"/>
          <w:color w:val="000000" w:themeColor="text1"/>
          <w:sz w:val="24"/>
          <w:lang w:val="en-US" w:eastAsia="zh-CN"/>
          <w14:textFill>
            <w14:solidFill>
              <w14:schemeClr w14:val="tx1"/>
            </w14:solidFill>
          </w14:textFill>
        </w:rPr>
        <w:t>2</w:t>
      </w:r>
      <w:r>
        <w:rPr>
          <w:rFonts w:ascii="Times New Roman" w:hAnsi="Times New Roman" w:cs="Times New Roman"/>
          <w:color w:val="000000" w:themeColor="text1"/>
          <w:sz w:val="24"/>
          <w14:textFill>
            <w14:solidFill>
              <w14:schemeClr w14:val="tx1"/>
            </w14:solidFill>
          </w14:textFill>
        </w:rPr>
        <w:t>m；</w:t>
      </w:r>
    </w:p>
    <w:p w14:paraId="49807BA3">
      <w:pPr>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W—物料含水量，</w:t>
      </w:r>
      <w:r>
        <w:rPr>
          <w:rFonts w:hint="eastAsia" w:cs="Times New Roman"/>
          <w:color w:val="000000" w:themeColor="text1"/>
          <w:sz w:val="24"/>
          <w:lang w:val="en-US" w:eastAsia="zh-CN"/>
          <w14:textFill>
            <w14:solidFill>
              <w14:schemeClr w14:val="tx1"/>
            </w14:solidFill>
          </w14:textFill>
        </w:rPr>
        <w:t>原矿7</w:t>
      </w:r>
      <w:r>
        <w:rPr>
          <w:rFonts w:hint="eastAsia"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尾矿15%</w:t>
      </w:r>
      <w:r>
        <w:rPr>
          <w:rFonts w:ascii="Times New Roman" w:hAnsi="Times New Roman" w:cs="Times New Roman"/>
          <w:color w:val="000000" w:themeColor="text1"/>
          <w:sz w:val="24"/>
          <w14:textFill>
            <w14:solidFill>
              <w14:schemeClr w14:val="tx1"/>
            </w14:solidFill>
          </w14:textFill>
        </w:rPr>
        <w:t>；</w:t>
      </w:r>
    </w:p>
    <w:p w14:paraId="258173F0">
      <w:pPr>
        <w:spacing w:line="360" w:lineRule="auto"/>
        <w:ind w:firstLine="1200" w:firstLineChars="5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G—物料装载量，</w:t>
      </w:r>
      <w:r>
        <w:rPr>
          <w:rFonts w:hint="eastAsia" w:cs="Times New Roman"/>
          <w:color w:val="000000" w:themeColor="text1"/>
          <w:sz w:val="24"/>
          <w:lang w:val="en-US" w:eastAsia="zh-CN"/>
          <w14:textFill>
            <w14:solidFill>
              <w14:schemeClr w14:val="tx1"/>
            </w14:solidFill>
          </w14:textFill>
        </w:rPr>
        <w:t>原矿20</w:t>
      </w:r>
      <w:r>
        <w:rPr>
          <w:rFonts w:hint="eastAsia" w:ascii="Times New Roman" w:hAnsi="Times New Roman" w:cs="Times New Roman"/>
          <w:color w:val="000000" w:themeColor="text1"/>
          <w:sz w:val="24"/>
          <w14:textFill>
            <w14:solidFill>
              <w14:schemeClr w14:val="tx1"/>
            </w14:solidFill>
          </w14:textFill>
        </w:rPr>
        <w:t>万</w:t>
      </w:r>
      <w:r>
        <w:rPr>
          <w:rFonts w:ascii="Times New Roman" w:hAnsi="Times New Roman" w:cs="Times New Roman"/>
          <w:color w:val="000000" w:themeColor="text1"/>
          <w:sz w:val="24"/>
          <w14:textFill>
            <w14:solidFill>
              <w14:schemeClr w14:val="tx1"/>
            </w14:solidFill>
          </w14:textFill>
        </w:rPr>
        <w:t>t/a</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尾矿18.594</w:t>
      </w:r>
      <w:r>
        <w:rPr>
          <w:rFonts w:hint="eastAsia" w:ascii="Times New Roman" w:hAnsi="Times New Roman" w:cs="Times New Roman"/>
          <w:color w:val="000000" w:themeColor="text1"/>
          <w:sz w:val="24"/>
          <w14:textFill>
            <w14:solidFill>
              <w14:schemeClr w14:val="tx1"/>
            </w14:solidFill>
          </w14:textFill>
        </w:rPr>
        <w:t>万</w:t>
      </w:r>
      <w:r>
        <w:rPr>
          <w:rFonts w:ascii="Times New Roman" w:hAnsi="Times New Roman" w:cs="Times New Roman"/>
          <w:color w:val="000000" w:themeColor="text1"/>
          <w:sz w:val="24"/>
          <w14:textFill>
            <w14:solidFill>
              <w14:schemeClr w14:val="tx1"/>
            </w14:solidFill>
          </w14:textFill>
        </w:rPr>
        <w:t>t/a。</w:t>
      </w:r>
    </w:p>
    <w:p w14:paraId="5AF94858">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经计算得，本项目原矿装卸起尘量为0.965t/a，尾矿装卸起尘量为0.093</w:t>
      </w:r>
      <w:r>
        <w:rPr>
          <w:rFonts w:ascii="Times New Roman" w:hAnsi="Times New Roman" w:cs="Times New Roman"/>
          <w:color w:val="000000" w:themeColor="text1"/>
          <w:sz w:val="24"/>
          <w14:textFill>
            <w14:solidFill>
              <w14:schemeClr w14:val="tx1"/>
            </w14:solidFill>
          </w14:textFill>
        </w:rPr>
        <w:t>t/a</w:t>
      </w:r>
      <w:r>
        <w:rPr>
          <w:rFonts w:hint="eastAsia" w:cs="Times New Roman"/>
          <w:color w:val="000000" w:themeColor="text1"/>
          <w:sz w:val="24"/>
          <w:lang w:val="en-US" w:eastAsia="zh-CN"/>
          <w14:textFill>
            <w14:solidFill>
              <w14:schemeClr w14:val="tx1"/>
            </w14:solidFill>
          </w14:textFill>
        </w:rPr>
        <w:t>，总装卸起尘量为1.058t/a，项目采取降低装卸高度、适量的洒水抑尘措施，可有效减少粉尘排放量，综合抑尘效率为85%，装卸粉尘总排放量为0.159t/a</w:t>
      </w:r>
      <w:r>
        <w:rPr>
          <w:rFonts w:ascii="Times New Roman" w:hAnsi="Times New Roman" w:cs="Times New Roman"/>
          <w:color w:val="000000" w:themeColor="text1"/>
          <w:sz w:val="24"/>
          <w14:textFill>
            <w14:solidFill>
              <w14:schemeClr w14:val="tx1"/>
            </w14:solidFill>
          </w14:textFill>
        </w:rPr>
        <w:t>。</w:t>
      </w:r>
    </w:p>
    <w:p w14:paraId="620E63D2">
      <w:pPr>
        <w:bidi w:val="0"/>
        <w:spacing w:line="360" w:lineRule="auto"/>
        <w:rPr>
          <w:rFonts w:hint="eastAsia"/>
          <w:b/>
          <w:bCs/>
          <w:sz w:val="24"/>
          <w:szCs w:val="32"/>
          <w:lang w:val="en-US" w:eastAsia="zh-CN"/>
        </w:rPr>
      </w:pPr>
      <w:r>
        <w:rPr>
          <w:rFonts w:hint="eastAsia"/>
          <w:b/>
          <w:bCs/>
          <w:sz w:val="24"/>
          <w:szCs w:val="32"/>
          <w:lang w:val="en-US" w:eastAsia="zh-CN"/>
        </w:rPr>
        <w:t>②道路运输粉尘</w:t>
      </w:r>
    </w:p>
    <w:p w14:paraId="2EE58E86">
      <w:pPr>
        <w:widowControl w:val="0"/>
        <w:snapToGrid w:val="0"/>
        <w:spacing w:line="360" w:lineRule="auto"/>
        <w:ind w:firstLine="480" w:firstLineChars="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汽车在厂区道路上行驶产生的扬尘按照下述经验公式进行计算：</w:t>
      </w:r>
    </w:p>
    <w:p w14:paraId="19E4D723">
      <w:pPr>
        <w:widowControl w:val="0"/>
        <w:snapToGrid w:val="0"/>
        <w:spacing w:line="360" w:lineRule="auto"/>
        <w:ind w:firstLine="2400" w:firstLineChars="1000"/>
        <w:jc w:val="both"/>
        <w:rPr>
          <w:rFonts w:hint="default" w:ascii="Times New Roman" w:hAnsi="Times New Roman" w:eastAsia="宋体" w:cs="Times New Roman"/>
          <w:color w:val="auto"/>
          <w:kern w:val="2"/>
          <w:sz w:val="24"/>
          <w:szCs w:val="22"/>
          <w:vertAlign w:val="superscript"/>
          <w:lang w:val="en-US" w:eastAsia="zh-CN" w:bidi="ar-SA"/>
        </w:rPr>
      </w:pPr>
      <w:r>
        <w:rPr>
          <w:rFonts w:hint="default" w:ascii="Times New Roman" w:hAnsi="Times New Roman" w:eastAsia="宋体" w:cs="Times New Roman"/>
          <w:color w:val="auto"/>
          <w:kern w:val="2"/>
          <w:sz w:val="24"/>
          <w:szCs w:val="22"/>
          <w:lang w:val="en-US" w:eastAsia="zh-CN" w:bidi="ar-SA"/>
        </w:rPr>
        <w:t>Q=0.0079V×M</w:t>
      </w:r>
      <w:r>
        <w:rPr>
          <w:rFonts w:hint="default" w:ascii="Times New Roman" w:hAnsi="Times New Roman" w:eastAsia="宋体" w:cs="Times New Roman"/>
          <w:color w:val="auto"/>
          <w:kern w:val="2"/>
          <w:sz w:val="24"/>
          <w:szCs w:val="22"/>
          <w:vertAlign w:val="superscript"/>
          <w:lang w:val="en-US" w:eastAsia="zh-CN" w:bidi="ar-SA"/>
        </w:rPr>
        <w:t>0.85</w:t>
      </w:r>
      <w:r>
        <w:rPr>
          <w:rFonts w:hint="default" w:ascii="Times New Roman" w:hAnsi="Times New Roman" w:eastAsia="宋体" w:cs="Times New Roman"/>
          <w:color w:val="auto"/>
          <w:kern w:val="2"/>
          <w:sz w:val="24"/>
          <w:szCs w:val="22"/>
          <w:lang w:val="en-US" w:eastAsia="zh-CN" w:bidi="ar-SA"/>
        </w:rPr>
        <w:t>×P</w:t>
      </w:r>
      <w:r>
        <w:rPr>
          <w:rFonts w:hint="default" w:ascii="Times New Roman" w:hAnsi="Times New Roman" w:eastAsia="宋体" w:cs="Times New Roman"/>
          <w:color w:val="auto"/>
          <w:kern w:val="2"/>
          <w:sz w:val="24"/>
          <w:szCs w:val="22"/>
          <w:vertAlign w:val="superscript"/>
          <w:lang w:val="en-US" w:eastAsia="zh-CN" w:bidi="ar-SA"/>
        </w:rPr>
        <w:t>0.72</w:t>
      </w:r>
    </w:p>
    <w:p w14:paraId="0C0B315D">
      <w:pPr>
        <w:widowControl w:val="0"/>
        <w:snapToGrid w:val="0"/>
        <w:spacing w:line="360" w:lineRule="auto"/>
        <w:ind w:firstLine="2880" w:firstLineChars="1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Q</w:t>
      </w:r>
      <w:r>
        <w:rPr>
          <w:rFonts w:hint="default" w:ascii="Times New Roman" w:hAnsi="Times New Roman" w:eastAsia="宋体" w:cs="Times New Roman"/>
          <w:color w:val="auto"/>
          <w:kern w:val="2"/>
          <w:sz w:val="24"/>
          <w:szCs w:val="22"/>
          <w:vertAlign w:val="subscript"/>
          <w:lang w:val="en-US" w:eastAsia="zh-CN" w:bidi="ar-SA"/>
        </w:rPr>
        <w:t>总</w:t>
      </w:r>
      <w:r>
        <w:rPr>
          <w:rFonts w:hint="default" w:ascii="Times New Roman" w:hAnsi="Times New Roman" w:eastAsia="宋体" w:cs="Times New Roman"/>
          <w:color w:val="auto"/>
          <w:kern w:val="2"/>
          <w:sz w:val="24"/>
          <w:szCs w:val="22"/>
          <w:lang w:val="en-US" w:eastAsia="zh-CN" w:bidi="ar-SA"/>
        </w:rPr>
        <w:t>=Q×L×G/M</w:t>
      </w:r>
    </w:p>
    <w:p w14:paraId="00D2B65B">
      <w:pPr>
        <w:widowControl w:val="0"/>
        <w:snapToGrid w:val="0"/>
        <w:spacing w:line="360" w:lineRule="auto"/>
        <w:ind w:firstLine="480" w:firstLineChars="2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式中：Q—每辆汽车行驶的扬尘量（kg/km</w:t>
      </w:r>
      <w:r>
        <w:rPr>
          <w:rFonts w:hint="default" w:ascii="Times New Roman" w:hAnsi="Times New Roman" w:eastAsia="宋体" w:cs="Times New Roman"/>
          <w:color w:val="auto"/>
          <w:kern w:val="2"/>
          <w:sz w:val="24"/>
          <w:szCs w:val="21"/>
          <w:lang w:val="en-US" w:eastAsia="zh-CN" w:bidi="ar-SA"/>
        </w:rPr>
        <w:t>•</w:t>
      </w:r>
      <w:r>
        <w:rPr>
          <w:rFonts w:hint="default" w:ascii="Times New Roman" w:hAnsi="Times New Roman" w:eastAsia="宋体" w:cs="Times New Roman"/>
          <w:color w:val="auto"/>
          <w:kern w:val="2"/>
          <w:sz w:val="24"/>
          <w:szCs w:val="22"/>
          <w:lang w:val="en-US" w:eastAsia="zh-CN" w:bidi="ar-SA"/>
        </w:rPr>
        <w:t>辆）；</w:t>
      </w:r>
    </w:p>
    <w:p w14:paraId="113623C6">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Q</w:t>
      </w:r>
      <w:r>
        <w:rPr>
          <w:rFonts w:hint="default" w:ascii="Times New Roman" w:hAnsi="Times New Roman" w:eastAsia="宋体" w:cs="Times New Roman"/>
          <w:color w:val="auto"/>
          <w:kern w:val="2"/>
          <w:sz w:val="24"/>
          <w:szCs w:val="22"/>
          <w:vertAlign w:val="subscript"/>
          <w:lang w:val="en-US" w:eastAsia="zh-CN" w:bidi="ar-SA"/>
        </w:rPr>
        <w:t>总</w:t>
      </w:r>
      <w:r>
        <w:rPr>
          <w:rFonts w:hint="default" w:ascii="Times New Roman" w:hAnsi="Times New Roman" w:eastAsia="宋体" w:cs="Times New Roman"/>
          <w:color w:val="auto"/>
          <w:kern w:val="2"/>
          <w:sz w:val="24"/>
          <w:szCs w:val="22"/>
          <w:lang w:val="en-US" w:eastAsia="zh-CN" w:bidi="ar-SA"/>
        </w:rPr>
        <w:t>—汽车运输总扬尘量（kg/a）；</w:t>
      </w:r>
    </w:p>
    <w:p w14:paraId="63F8016E">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V—汽车行驶速度（km/h），本项目场内运输取10km/h；</w:t>
      </w:r>
    </w:p>
    <w:p w14:paraId="08090903">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M—</w:t>
      </w:r>
      <w:r>
        <w:rPr>
          <w:rStyle w:val="1503"/>
          <w:rFonts w:hint="default" w:ascii="Times New Roman" w:hAnsi="Times New Roman" w:eastAsia="宋体" w:cs="Times New Roman"/>
          <w:color w:val="auto"/>
        </w:rPr>
        <w:t>汽车</w:t>
      </w:r>
      <w:r>
        <w:rPr>
          <w:rFonts w:hint="default" w:ascii="Times New Roman" w:hAnsi="Times New Roman" w:eastAsia="宋体" w:cs="Times New Roman"/>
          <w:color w:val="auto"/>
          <w:kern w:val="2"/>
          <w:sz w:val="24"/>
          <w:szCs w:val="22"/>
          <w:lang w:val="en-US" w:eastAsia="zh-CN" w:bidi="ar-SA"/>
        </w:rPr>
        <w:t>重量（t），</w:t>
      </w:r>
      <w:r>
        <w:rPr>
          <w:rFonts w:hint="eastAsia" w:cs="Times New Roman"/>
          <w:color w:val="auto"/>
          <w:kern w:val="2"/>
          <w:sz w:val="24"/>
          <w:szCs w:val="22"/>
          <w:lang w:val="en-US" w:eastAsia="zh-CN" w:bidi="ar-SA"/>
        </w:rPr>
        <w:t>3</w:t>
      </w:r>
      <w:r>
        <w:rPr>
          <w:rFonts w:hint="default" w:ascii="Times New Roman" w:hAnsi="Times New Roman" w:eastAsia="宋体" w:cs="Times New Roman"/>
          <w:color w:val="auto"/>
          <w:kern w:val="2"/>
          <w:sz w:val="24"/>
          <w:szCs w:val="22"/>
          <w:lang w:val="en-US" w:eastAsia="zh-CN" w:bidi="ar-SA"/>
        </w:rPr>
        <w:t>0t/辆；</w:t>
      </w:r>
    </w:p>
    <w:p w14:paraId="1A1AF01A">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P—道路表面粉尘量（kg/m</w:t>
      </w:r>
      <w:r>
        <w:rPr>
          <w:rFonts w:hint="default" w:ascii="Times New Roman" w:hAnsi="Times New Roman" w:eastAsia="宋体" w:cs="Times New Roman"/>
          <w:color w:val="auto"/>
          <w:kern w:val="2"/>
          <w:sz w:val="24"/>
          <w:szCs w:val="22"/>
          <w:vertAlign w:val="superscript"/>
          <w:lang w:val="en-US" w:eastAsia="zh-CN" w:bidi="ar-SA"/>
        </w:rPr>
        <w:t>2</w:t>
      </w:r>
      <w:r>
        <w:rPr>
          <w:rFonts w:hint="default" w:ascii="Times New Roman" w:hAnsi="Times New Roman" w:eastAsia="宋体" w:cs="Times New Roman"/>
          <w:color w:val="auto"/>
          <w:kern w:val="2"/>
          <w:sz w:val="24"/>
          <w:szCs w:val="22"/>
          <w:lang w:val="en-US" w:eastAsia="zh-CN" w:bidi="ar-SA"/>
        </w:rPr>
        <w:t>），取0.8kg/m</w:t>
      </w:r>
      <w:r>
        <w:rPr>
          <w:rFonts w:hint="default" w:ascii="Times New Roman" w:hAnsi="Times New Roman" w:eastAsia="宋体" w:cs="Times New Roman"/>
          <w:color w:val="auto"/>
          <w:kern w:val="2"/>
          <w:sz w:val="24"/>
          <w:szCs w:val="22"/>
          <w:vertAlign w:val="superscript"/>
          <w:lang w:val="en-US" w:eastAsia="zh-CN" w:bidi="ar-SA"/>
        </w:rPr>
        <w:t>2</w:t>
      </w:r>
      <w:r>
        <w:rPr>
          <w:rFonts w:hint="default" w:ascii="Times New Roman" w:hAnsi="Times New Roman" w:eastAsia="宋体" w:cs="Times New Roman"/>
          <w:color w:val="auto"/>
          <w:kern w:val="2"/>
          <w:sz w:val="24"/>
          <w:szCs w:val="22"/>
          <w:lang w:val="en-US" w:eastAsia="zh-CN" w:bidi="ar-SA"/>
        </w:rPr>
        <w:t>；</w:t>
      </w:r>
    </w:p>
    <w:p w14:paraId="7243AF15">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L—运距（km），内部平均运距0.2</w:t>
      </w:r>
      <w:r>
        <w:rPr>
          <w:rFonts w:hint="eastAsia" w:cs="Times New Roman"/>
          <w:color w:val="auto"/>
          <w:kern w:val="2"/>
          <w:sz w:val="24"/>
          <w:szCs w:val="22"/>
          <w:lang w:val="en-US" w:eastAsia="zh-CN" w:bidi="ar-SA"/>
        </w:rPr>
        <w:t>6</w:t>
      </w:r>
      <w:r>
        <w:rPr>
          <w:rFonts w:hint="default" w:ascii="Times New Roman" w:hAnsi="Times New Roman" w:eastAsia="宋体" w:cs="Times New Roman"/>
          <w:color w:val="auto"/>
          <w:kern w:val="2"/>
          <w:sz w:val="24"/>
          <w:szCs w:val="22"/>
          <w:lang w:val="en-US" w:eastAsia="zh-CN" w:bidi="ar-SA"/>
        </w:rPr>
        <w:t>km；</w:t>
      </w:r>
    </w:p>
    <w:p w14:paraId="0D597C74">
      <w:pPr>
        <w:widowControl w:val="0"/>
        <w:snapToGrid w:val="0"/>
        <w:spacing w:line="360" w:lineRule="auto"/>
        <w:ind w:firstLine="1200" w:firstLineChars="500"/>
        <w:jc w:val="both"/>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G—运输量（t），</w:t>
      </w:r>
      <w:r>
        <w:rPr>
          <w:rFonts w:hint="eastAsia" w:eastAsia="宋体" w:cs="Times New Roman"/>
          <w:color w:val="auto"/>
          <w:kern w:val="2"/>
          <w:sz w:val="24"/>
          <w:szCs w:val="22"/>
          <w:lang w:val="en-US" w:eastAsia="zh-CN" w:bidi="ar-SA"/>
        </w:rPr>
        <w:t>现有项目原矿运输量为</w:t>
      </w:r>
      <w:r>
        <w:rPr>
          <w:rFonts w:hint="eastAsia" w:cs="Times New Roman"/>
          <w:color w:val="auto"/>
          <w:kern w:val="2"/>
          <w:sz w:val="24"/>
          <w:szCs w:val="22"/>
          <w:lang w:val="en-US" w:eastAsia="zh-CN" w:bidi="ar-SA"/>
        </w:rPr>
        <w:t>20</w:t>
      </w:r>
      <w:r>
        <w:rPr>
          <w:rFonts w:hint="default" w:ascii="Times New Roman" w:hAnsi="Times New Roman" w:eastAsia="宋体" w:cs="Times New Roman"/>
          <w:color w:val="auto"/>
          <w:kern w:val="2"/>
          <w:sz w:val="24"/>
          <w:szCs w:val="22"/>
          <w:lang w:val="en-US" w:eastAsia="zh-CN" w:bidi="ar-SA"/>
        </w:rPr>
        <w:t>万t/a</w:t>
      </w:r>
      <w:r>
        <w:rPr>
          <w:rFonts w:hint="eastAsia" w:eastAsia="宋体" w:cs="Times New Roman"/>
          <w:color w:val="auto"/>
          <w:kern w:val="2"/>
          <w:sz w:val="24"/>
          <w:szCs w:val="22"/>
          <w:lang w:val="en-US" w:eastAsia="zh-CN" w:bidi="ar-SA"/>
        </w:rPr>
        <w:t>，尾矿运输量为18.594万</w:t>
      </w:r>
      <w:r>
        <w:rPr>
          <w:rFonts w:hint="default" w:ascii="Times New Roman" w:hAnsi="Times New Roman" w:eastAsia="宋体" w:cs="Times New Roman"/>
          <w:color w:val="auto"/>
          <w:kern w:val="2"/>
          <w:sz w:val="24"/>
          <w:szCs w:val="22"/>
          <w:lang w:val="en-US" w:eastAsia="zh-CN" w:bidi="ar-SA"/>
        </w:rPr>
        <w:t>t/a。</w:t>
      </w:r>
    </w:p>
    <w:p w14:paraId="255938DC">
      <w:pPr>
        <w:spacing w:line="360" w:lineRule="auto"/>
        <w:ind w:firstLine="480" w:firstLineChars="200"/>
        <w:rPr>
          <w:rFonts w:hint="default"/>
          <w:lang w:val="en-US" w:eastAsia="zh-CN"/>
        </w:rPr>
      </w:pPr>
      <w:r>
        <w:rPr>
          <w:rFonts w:hint="default"/>
          <w:color w:val="auto"/>
          <w:sz w:val="24"/>
        </w:rPr>
        <w:t>经计算，</w:t>
      </w:r>
      <w:r>
        <w:rPr>
          <w:rFonts w:hint="eastAsia" w:eastAsia="宋体" w:cs="Times New Roman"/>
          <w:color w:val="auto"/>
          <w:kern w:val="2"/>
          <w:sz w:val="24"/>
          <w:szCs w:val="22"/>
          <w:lang w:val="en-US" w:eastAsia="zh-CN" w:bidi="ar-SA"/>
        </w:rPr>
        <w:t>原矿</w:t>
      </w:r>
      <w:r>
        <w:rPr>
          <w:rFonts w:hint="default"/>
          <w:color w:val="auto"/>
          <w:sz w:val="24"/>
        </w:rPr>
        <w:t>运输粉尘产生量为</w:t>
      </w:r>
      <w:r>
        <w:rPr>
          <w:rFonts w:hint="eastAsia"/>
          <w:color w:val="auto"/>
          <w:sz w:val="24"/>
          <w:lang w:val="en-US" w:eastAsia="zh-CN"/>
        </w:rPr>
        <w:t>2.1</w:t>
      </w:r>
      <w:r>
        <w:rPr>
          <w:rFonts w:hint="eastAsia" w:ascii="Times New Roman" w:eastAsia="宋体"/>
          <w:color w:val="auto"/>
          <w:sz w:val="24"/>
          <w:lang w:val="en-US" w:eastAsia="zh-CN"/>
        </w:rPr>
        <w:t>t</w:t>
      </w:r>
      <w:r>
        <w:rPr>
          <w:rFonts w:hint="default"/>
          <w:color w:val="auto"/>
          <w:sz w:val="24"/>
        </w:rPr>
        <w:t>/a，</w:t>
      </w:r>
      <w:r>
        <w:rPr>
          <w:rFonts w:hint="eastAsia"/>
          <w:color w:val="auto"/>
          <w:sz w:val="24"/>
          <w:lang w:val="en-US" w:eastAsia="zh-CN"/>
        </w:rPr>
        <w:t>尾矿</w:t>
      </w:r>
      <w:r>
        <w:rPr>
          <w:rFonts w:hint="default"/>
          <w:color w:val="auto"/>
          <w:sz w:val="24"/>
        </w:rPr>
        <w:t>运输粉尘产生量为</w:t>
      </w:r>
      <w:r>
        <w:rPr>
          <w:rFonts w:hint="eastAsia"/>
          <w:color w:val="auto"/>
          <w:sz w:val="24"/>
          <w:lang w:val="en-US" w:eastAsia="zh-CN"/>
        </w:rPr>
        <w:t>1.952</w:t>
      </w:r>
      <w:r>
        <w:rPr>
          <w:rFonts w:hint="eastAsia" w:ascii="Times New Roman" w:eastAsia="宋体"/>
          <w:color w:val="auto"/>
          <w:sz w:val="24"/>
          <w:lang w:val="en-US" w:eastAsia="zh-CN"/>
        </w:rPr>
        <w:t>t</w:t>
      </w:r>
      <w:r>
        <w:rPr>
          <w:rFonts w:hint="default"/>
          <w:color w:val="auto"/>
          <w:sz w:val="24"/>
        </w:rPr>
        <w:t>/a，</w:t>
      </w:r>
      <w:r>
        <w:rPr>
          <w:rFonts w:hint="eastAsia"/>
          <w:color w:val="auto"/>
          <w:sz w:val="24"/>
          <w:lang w:val="en-US" w:eastAsia="zh-CN"/>
        </w:rPr>
        <w:t>总运输粉尘产生量为4.052</w:t>
      </w:r>
      <w:r>
        <w:rPr>
          <w:rFonts w:hint="eastAsia" w:ascii="Times New Roman" w:eastAsia="宋体"/>
          <w:color w:val="auto"/>
          <w:sz w:val="24"/>
          <w:lang w:val="en-US" w:eastAsia="zh-CN"/>
        </w:rPr>
        <w:t>t</w:t>
      </w:r>
      <w:r>
        <w:rPr>
          <w:rFonts w:hint="default"/>
          <w:color w:val="auto"/>
          <w:sz w:val="24"/>
        </w:rPr>
        <w:t>/a，</w:t>
      </w:r>
      <w:r>
        <w:rPr>
          <w:rFonts w:hint="default" w:ascii="Times New Roman" w:hAnsi="Times New Roman" w:cs="Times New Roman"/>
          <w:bCs/>
          <w:color w:val="auto"/>
          <w:sz w:val="24"/>
        </w:rPr>
        <w:t>参考《逸散</w:t>
      </w:r>
      <w:r>
        <w:rPr>
          <w:rFonts w:hint="default" w:ascii="Times New Roman" w:hAnsi="Times New Roman" w:cs="Times New Roman"/>
          <w:bCs/>
          <w:color w:val="auto"/>
          <w:sz w:val="24"/>
          <w:lang w:eastAsia="zh-CN"/>
        </w:rPr>
        <w:t>性</w:t>
      </w:r>
      <w:r>
        <w:rPr>
          <w:rFonts w:hint="default" w:ascii="Times New Roman" w:hAnsi="Times New Roman" w:cs="Times New Roman"/>
          <w:bCs/>
          <w:color w:val="auto"/>
          <w:sz w:val="24"/>
        </w:rPr>
        <w:t>工业粉尘控制技术》可知，</w:t>
      </w:r>
      <w:r>
        <w:rPr>
          <w:rFonts w:hint="default"/>
          <w:color w:val="auto"/>
          <w:sz w:val="24"/>
        </w:rPr>
        <w:t>车辆运输过程中采取洒水抑尘</w:t>
      </w:r>
      <w:r>
        <w:rPr>
          <w:rFonts w:hint="eastAsia"/>
          <w:color w:val="auto"/>
          <w:sz w:val="24"/>
          <w:lang w:eastAsia="zh-CN"/>
        </w:rPr>
        <w:t>、</w:t>
      </w:r>
      <w:r>
        <w:rPr>
          <w:rFonts w:hint="eastAsia"/>
          <w:color w:val="auto"/>
          <w:sz w:val="24"/>
          <w:lang w:val="en-US" w:eastAsia="zh-CN"/>
        </w:rPr>
        <w:t>车辆苫盖等</w:t>
      </w:r>
      <w:r>
        <w:rPr>
          <w:rFonts w:hint="default"/>
          <w:color w:val="auto"/>
          <w:sz w:val="24"/>
        </w:rPr>
        <w:t>措施，</w:t>
      </w:r>
      <w:r>
        <w:rPr>
          <w:rFonts w:hint="eastAsia"/>
          <w:color w:val="auto"/>
          <w:sz w:val="24"/>
          <w:lang w:val="en-US" w:eastAsia="zh-CN"/>
        </w:rPr>
        <w:t>抑尘效率可达85%</w:t>
      </w:r>
      <w:r>
        <w:rPr>
          <w:rFonts w:hint="default"/>
          <w:color w:val="auto"/>
          <w:sz w:val="24"/>
        </w:rPr>
        <w:t>，</w:t>
      </w:r>
      <w:r>
        <w:rPr>
          <w:rFonts w:hint="eastAsia"/>
          <w:color w:val="auto"/>
          <w:sz w:val="24"/>
          <w:lang w:val="en-US" w:eastAsia="zh-CN"/>
        </w:rPr>
        <w:t>运输</w:t>
      </w:r>
      <w:r>
        <w:rPr>
          <w:rFonts w:hint="default"/>
          <w:color w:val="auto"/>
          <w:sz w:val="24"/>
        </w:rPr>
        <w:t>粉尘排放量为</w:t>
      </w:r>
      <w:r>
        <w:rPr>
          <w:rFonts w:hint="eastAsia"/>
          <w:color w:val="auto"/>
          <w:sz w:val="24"/>
          <w:lang w:val="en-US" w:eastAsia="zh-CN"/>
        </w:rPr>
        <w:t>0.608</w:t>
      </w:r>
      <w:r>
        <w:rPr>
          <w:rFonts w:hint="default"/>
          <w:color w:val="auto"/>
          <w:sz w:val="24"/>
        </w:rPr>
        <w:t>t/a。</w:t>
      </w:r>
    </w:p>
    <w:p w14:paraId="0CDEA1F5">
      <w:pPr>
        <w:spacing w:line="360" w:lineRule="auto"/>
        <w:rPr>
          <w:rFonts w:hint="eastAsia"/>
          <w:b/>
          <w:bCs w:val="0"/>
          <w:color w:val="auto"/>
          <w:sz w:val="24"/>
          <w:szCs w:val="24"/>
          <w:lang w:eastAsia="zh-CN"/>
        </w:rPr>
      </w:pPr>
      <w:r>
        <w:rPr>
          <w:rFonts w:hint="eastAsia"/>
          <w:b/>
          <w:bCs w:val="0"/>
          <w:color w:val="auto"/>
          <w:sz w:val="24"/>
          <w:highlight w:val="none"/>
          <w:lang w:val="en-US" w:eastAsia="zh-CN"/>
        </w:rPr>
        <w:t>③</w:t>
      </w:r>
      <w:r>
        <w:rPr>
          <w:rFonts w:hint="eastAsia"/>
          <w:b/>
          <w:bCs w:val="0"/>
          <w:color w:val="auto"/>
          <w:sz w:val="24"/>
          <w:highlight w:val="none"/>
          <w:lang w:eastAsia="zh-CN"/>
        </w:rPr>
        <w:t>皮带输送粉尘</w:t>
      </w:r>
    </w:p>
    <w:p w14:paraId="19AFE87F">
      <w:pPr>
        <w:spacing w:line="360" w:lineRule="auto"/>
        <w:ind w:firstLine="480" w:firstLineChars="200"/>
        <w:rPr>
          <w:rFonts w:hint="eastAsia" w:hAnsi="宋体"/>
          <w:bCs/>
          <w:color w:val="auto"/>
          <w:sz w:val="24"/>
          <w:highlight w:val="none"/>
        </w:rPr>
      </w:pPr>
      <w:r>
        <w:rPr>
          <w:rFonts w:hint="eastAsia" w:hAnsi="宋体"/>
          <w:bCs/>
          <w:color w:val="auto"/>
          <w:sz w:val="24"/>
          <w:highlight w:val="none"/>
          <w:lang w:val="en-US" w:eastAsia="zh-CN"/>
        </w:rPr>
        <w:t>本项目皮带运输污染源生产工艺产生粉尘源强参考《逸散性工业粉尘控制技术》中“粒料加工厂”相关工序粉尘排放因子（皮带接口参照碎石出料排放因子 0.00145kg/t），现有项目年运输量为20万t/a，则皮带运输粉尘产生量为0.29t/a，企业采取密闭输送，抑尘效率可达85%，粉尘排放量为0.0435t/a。</w:t>
      </w:r>
    </w:p>
    <w:p w14:paraId="142E7D38">
      <w:pPr>
        <w:spacing w:line="360" w:lineRule="auto"/>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2、有组织排放：</w:t>
      </w:r>
    </w:p>
    <w:p w14:paraId="00239CE0">
      <w:pPr>
        <w:spacing w:line="360" w:lineRule="auto"/>
        <w:ind w:firstLine="480" w:firstLineChars="200"/>
        <w:rPr>
          <w:rFonts w:hint="eastAsia"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包括破碎区、球磨工序，产生的粉尘经收集后，通过1台布袋除尘器（TA001）处理，处理后经15m高排气筒（DA001）有组织排放。破碎区源强核算依据来源于《逸散性工业粉尘控制技术》中“粒料加工厂”章节，球磨工序源强核算依据来源于《排放源调查统计产排污核算方法和系数手册-0921金矿采选行业系数手册》，核算情况如下。</w:t>
      </w:r>
    </w:p>
    <w:p w14:paraId="72263A16">
      <w:pPr>
        <w:bidi w:val="0"/>
        <w:spacing w:line="360" w:lineRule="auto"/>
        <w:jc w:val="center"/>
        <w:rPr>
          <w:rFonts w:hint="default"/>
          <w:b/>
          <w:bCs/>
          <w:sz w:val="24"/>
          <w:szCs w:val="32"/>
          <w:lang w:val="en-US" w:eastAsia="zh-CN"/>
        </w:rPr>
      </w:pPr>
      <w:r>
        <w:rPr>
          <w:rFonts w:hint="eastAsia"/>
          <w:b/>
          <w:bCs/>
          <w:sz w:val="24"/>
          <w:szCs w:val="32"/>
          <w:lang w:val="en-US" w:eastAsia="zh-CN"/>
        </w:rPr>
        <w:t>表3.3-3  破碎区、球磨工序产排情况一览表</w:t>
      </w:r>
    </w:p>
    <w:tbl>
      <w:tblPr>
        <w:tblStyle w:val="7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860"/>
        <w:gridCol w:w="935"/>
        <w:gridCol w:w="786"/>
        <w:gridCol w:w="1089"/>
        <w:gridCol w:w="885"/>
        <w:gridCol w:w="885"/>
        <w:gridCol w:w="1192"/>
        <w:gridCol w:w="1248"/>
      </w:tblGrid>
      <w:tr w14:paraId="04393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67E232A9">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产污环节</w:t>
            </w:r>
          </w:p>
        </w:tc>
        <w:tc>
          <w:tcPr>
            <w:tcW w:w="510" w:type="pct"/>
            <w:vAlign w:val="center"/>
          </w:tcPr>
          <w:p w14:paraId="017A1874">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污染物</w:t>
            </w:r>
          </w:p>
        </w:tc>
        <w:tc>
          <w:tcPr>
            <w:tcW w:w="553" w:type="pct"/>
            <w:vAlign w:val="center"/>
          </w:tcPr>
          <w:p w14:paraId="6829BC89">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产污</w:t>
            </w:r>
          </w:p>
          <w:p w14:paraId="2EA61768">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系数</w:t>
            </w:r>
          </w:p>
        </w:tc>
        <w:tc>
          <w:tcPr>
            <w:tcW w:w="467" w:type="pct"/>
            <w:vAlign w:val="center"/>
          </w:tcPr>
          <w:p w14:paraId="5E7566D6">
            <w:pPr>
              <w:spacing w:line="36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产生量</w:t>
            </w:r>
          </w:p>
        </w:tc>
        <w:tc>
          <w:tcPr>
            <w:tcW w:w="641" w:type="pct"/>
            <w:vAlign w:val="center"/>
          </w:tcPr>
          <w:p w14:paraId="2F6DBA7B">
            <w:pPr>
              <w:spacing w:line="360" w:lineRule="auto"/>
              <w:jc w:val="center"/>
              <w:rPr>
                <w:rFonts w:hint="default" w:cs="Times New Roman"/>
                <w:b w:val="0"/>
                <w:bCs w:val="0"/>
                <w:color w:val="auto"/>
                <w:sz w:val="21"/>
                <w:szCs w:val="21"/>
                <w:vertAlign w:val="baseline"/>
                <w:lang w:val="en-US" w:eastAsia="zh-CN"/>
              </w:rPr>
            </w:pPr>
            <w:r>
              <w:rPr>
                <w:rFonts w:hint="eastAsia" w:cs="Times New Roman"/>
                <w:b w:val="0"/>
                <w:bCs w:val="0"/>
                <w:color w:val="auto"/>
                <w:sz w:val="21"/>
                <w:szCs w:val="21"/>
                <w:vertAlign w:val="baseline"/>
                <w:lang w:val="en-US" w:eastAsia="zh-CN"/>
              </w:rPr>
              <w:t>集气罩收集的量</w:t>
            </w:r>
          </w:p>
        </w:tc>
        <w:tc>
          <w:tcPr>
            <w:tcW w:w="524" w:type="pct"/>
            <w:vAlign w:val="center"/>
          </w:tcPr>
          <w:p w14:paraId="1BDCDE76">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治理</w:t>
            </w:r>
          </w:p>
          <w:p w14:paraId="09E35D8B">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效率</w:t>
            </w:r>
          </w:p>
        </w:tc>
        <w:tc>
          <w:tcPr>
            <w:tcW w:w="524" w:type="pct"/>
            <w:vAlign w:val="center"/>
          </w:tcPr>
          <w:p w14:paraId="42A4A744">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排放量</w:t>
            </w:r>
          </w:p>
        </w:tc>
        <w:tc>
          <w:tcPr>
            <w:tcW w:w="610" w:type="pct"/>
            <w:vAlign w:val="center"/>
          </w:tcPr>
          <w:p w14:paraId="3F08C195">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排放速率</w:t>
            </w:r>
          </w:p>
        </w:tc>
        <w:tc>
          <w:tcPr>
            <w:tcW w:w="717" w:type="pct"/>
            <w:vAlign w:val="center"/>
          </w:tcPr>
          <w:p w14:paraId="2AB1BBD8">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排放浓度</w:t>
            </w:r>
          </w:p>
        </w:tc>
      </w:tr>
      <w:tr w14:paraId="0A2D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3BCE9A4D">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default" w:cs="Times New Roman"/>
                <w:b w:val="0"/>
                <w:bCs w:val="0"/>
                <w:color w:val="000000" w:themeColor="text1"/>
                <w:sz w:val="21"/>
                <w:szCs w:val="21"/>
                <w:vertAlign w:val="baseline"/>
                <w:lang w:val="en-US" w:eastAsia="zh-CN"/>
                <w14:textFill>
                  <w14:solidFill>
                    <w14:schemeClr w14:val="tx1"/>
                  </w14:solidFill>
                </w14:textFill>
              </w:rPr>
              <w:t>鄂式破碎</w:t>
            </w:r>
          </w:p>
        </w:tc>
        <w:tc>
          <w:tcPr>
            <w:tcW w:w="510" w:type="pct"/>
            <w:vAlign w:val="center"/>
          </w:tcPr>
          <w:p w14:paraId="32BED6B4">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颗粒物</w:t>
            </w:r>
          </w:p>
        </w:tc>
        <w:tc>
          <w:tcPr>
            <w:tcW w:w="553" w:type="pct"/>
            <w:vAlign w:val="center"/>
          </w:tcPr>
          <w:p w14:paraId="54000A3D">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0.05kg/t</w:t>
            </w:r>
          </w:p>
        </w:tc>
        <w:tc>
          <w:tcPr>
            <w:tcW w:w="467" w:type="pct"/>
            <w:vAlign w:val="center"/>
          </w:tcPr>
          <w:p w14:paraId="4E2ECB92">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10t/a</w:t>
            </w:r>
          </w:p>
        </w:tc>
        <w:tc>
          <w:tcPr>
            <w:tcW w:w="641" w:type="pct"/>
            <w:vAlign w:val="center"/>
          </w:tcPr>
          <w:p w14:paraId="697842C3">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9t/a</w:t>
            </w:r>
          </w:p>
        </w:tc>
        <w:tc>
          <w:tcPr>
            <w:tcW w:w="524" w:type="pct"/>
            <w:vAlign w:val="center"/>
          </w:tcPr>
          <w:p w14:paraId="6031E025">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99%</w:t>
            </w:r>
          </w:p>
        </w:tc>
        <w:tc>
          <w:tcPr>
            <w:tcW w:w="524" w:type="pct"/>
            <w:vAlign w:val="center"/>
          </w:tcPr>
          <w:p w14:paraId="29B8EF75">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0.09t/a</w:t>
            </w:r>
          </w:p>
        </w:tc>
        <w:tc>
          <w:tcPr>
            <w:tcW w:w="610" w:type="pct"/>
            <w:vAlign w:val="center"/>
          </w:tcPr>
          <w:p w14:paraId="297A622B">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0.038kg/h</w:t>
            </w:r>
          </w:p>
        </w:tc>
        <w:tc>
          <w:tcPr>
            <w:tcW w:w="717" w:type="pct"/>
            <w:vAlign w:val="center"/>
          </w:tcPr>
          <w:p w14:paraId="10E42F32">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2.506mg/m</w:t>
            </w:r>
            <w:r>
              <w:rPr>
                <w:rFonts w:hint="eastAsia" w:cs="Times New Roman"/>
                <w:b w:val="0"/>
                <w:bCs w:val="0"/>
                <w:color w:val="000000" w:themeColor="text1"/>
                <w:sz w:val="21"/>
                <w:szCs w:val="21"/>
                <w:vertAlign w:val="superscript"/>
                <w:lang w:val="en-US" w:eastAsia="zh-CN"/>
                <w14:textFill>
                  <w14:solidFill>
                    <w14:schemeClr w14:val="tx1"/>
                  </w14:solidFill>
                </w14:textFill>
              </w:rPr>
              <w:t>3</w:t>
            </w:r>
          </w:p>
        </w:tc>
      </w:tr>
      <w:tr w14:paraId="0FD3E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398909C2">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锤式破碎</w:t>
            </w:r>
          </w:p>
        </w:tc>
        <w:tc>
          <w:tcPr>
            <w:tcW w:w="510" w:type="pct"/>
            <w:vAlign w:val="center"/>
          </w:tcPr>
          <w:p w14:paraId="3EF96235">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颗粒物</w:t>
            </w:r>
          </w:p>
        </w:tc>
        <w:tc>
          <w:tcPr>
            <w:tcW w:w="553" w:type="pct"/>
            <w:vAlign w:val="center"/>
          </w:tcPr>
          <w:p w14:paraId="4587C90B">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0.05kg/t</w:t>
            </w:r>
          </w:p>
        </w:tc>
        <w:tc>
          <w:tcPr>
            <w:tcW w:w="467" w:type="pct"/>
            <w:vAlign w:val="center"/>
          </w:tcPr>
          <w:p w14:paraId="643DB367">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10t/a</w:t>
            </w:r>
          </w:p>
        </w:tc>
        <w:tc>
          <w:tcPr>
            <w:tcW w:w="641" w:type="pct"/>
            <w:vAlign w:val="center"/>
          </w:tcPr>
          <w:p w14:paraId="3D99934A">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9t/a</w:t>
            </w:r>
          </w:p>
        </w:tc>
        <w:tc>
          <w:tcPr>
            <w:tcW w:w="524" w:type="pct"/>
            <w:vAlign w:val="center"/>
          </w:tcPr>
          <w:p w14:paraId="43331A4A">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99%</w:t>
            </w:r>
          </w:p>
        </w:tc>
        <w:tc>
          <w:tcPr>
            <w:tcW w:w="524" w:type="pct"/>
            <w:shd w:val="clear" w:color="auto" w:fill="auto"/>
            <w:vAlign w:val="center"/>
          </w:tcPr>
          <w:p w14:paraId="493F40DF">
            <w:pPr>
              <w:spacing w:line="360" w:lineRule="auto"/>
              <w:jc w:val="center"/>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0.09t/a</w:t>
            </w:r>
          </w:p>
        </w:tc>
        <w:tc>
          <w:tcPr>
            <w:tcW w:w="610" w:type="pct"/>
            <w:vAlign w:val="center"/>
          </w:tcPr>
          <w:p w14:paraId="19A80115">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0.038kg/h</w:t>
            </w:r>
          </w:p>
        </w:tc>
        <w:tc>
          <w:tcPr>
            <w:tcW w:w="717" w:type="pct"/>
            <w:vAlign w:val="center"/>
          </w:tcPr>
          <w:p w14:paraId="476795DF">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2.506mg/m</w:t>
            </w:r>
            <w:r>
              <w:rPr>
                <w:rFonts w:hint="eastAsia" w:cs="Times New Roman"/>
                <w:b w:val="0"/>
                <w:bCs w:val="0"/>
                <w:color w:val="000000" w:themeColor="text1"/>
                <w:sz w:val="21"/>
                <w:szCs w:val="21"/>
                <w:vertAlign w:val="superscript"/>
                <w:lang w:val="en-US" w:eastAsia="zh-CN"/>
                <w14:textFill>
                  <w14:solidFill>
                    <w14:schemeClr w14:val="tx1"/>
                  </w14:solidFill>
                </w14:textFill>
              </w:rPr>
              <w:t>3</w:t>
            </w:r>
          </w:p>
        </w:tc>
      </w:tr>
      <w:tr w14:paraId="1340B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55672F39">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球磨</w:t>
            </w:r>
          </w:p>
        </w:tc>
        <w:tc>
          <w:tcPr>
            <w:tcW w:w="510" w:type="pct"/>
            <w:vAlign w:val="center"/>
          </w:tcPr>
          <w:p w14:paraId="036813D3">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颗粒物</w:t>
            </w:r>
          </w:p>
        </w:tc>
        <w:tc>
          <w:tcPr>
            <w:tcW w:w="553" w:type="pct"/>
            <w:vAlign w:val="center"/>
          </w:tcPr>
          <w:p w14:paraId="6A2A467C">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0.25kg/t</w:t>
            </w:r>
          </w:p>
        </w:tc>
        <w:tc>
          <w:tcPr>
            <w:tcW w:w="467" w:type="pct"/>
            <w:vAlign w:val="center"/>
          </w:tcPr>
          <w:p w14:paraId="2C543A91">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50t/a</w:t>
            </w:r>
          </w:p>
        </w:tc>
        <w:tc>
          <w:tcPr>
            <w:tcW w:w="641" w:type="pct"/>
            <w:vAlign w:val="center"/>
          </w:tcPr>
          <w:p w14:paraId="6409F2BD">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45t/a</w:t>
            </w:r>
          </w:p>
        </w:tc>
        <w:tc>
          <w:tcPr>
            <w:tcW w:w="524" w:type="pct"/>
            <w:vAlign w:val="center"/>
          </w:tcPr>
          <w:p w14:paraId="6991F221">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99%</w:t>
            </w:r>
          </w:p>
        </w:tc>
        <w:tc>
          <w:tcPr>
            <w:tcW w:w="524" w:type="pct"/>
            <w:vAlign w:val="center"/>
          </w:tcPr>
          <w:p w14:paraId="62EFD439">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0.45t/a</w:t>
            </w:r>
          </w:p>
        </w:tc>
        <w:tc>
          <w:tcPr>
            <w:tcW w:w="610" w:type="pct"/>
            <w:vAlign w:val="center"/>
          </w:tcPr>
          <w:p w14:paraId="37C13466">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0.0625kg/h</w:t>
            </w:r>
          </w:p>
        </w:tc>
        <w:tc>
          <w:tcPr>
            <w:tcW w:w="717" w:type="pct"/>
            <w:vAlign w:val="center"/>
          </w:tcPr>
          <w:p w14:paraId="194643AA">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4.167mg/m</w:t>
            </w:r>
            <w:r>
              <w:rPr>
                <w:rFonts w:hint="eastAsia" w:cs="Times New Roman"/>
                <w:b w:val="0"/>
                <w:bCs w:val="0"/>
                <w:color w:val="000000" w:themeColor="text1"/>
                <w:sz w:val="21"/>
                <w:szCs w:val="21"/>
                <w:vertAlign w:val="superscript"/>
                <w:lang w:val="en-US" w:eastAsia="zh-CN"/>
                <w14:textFill>
                  <w14:solidFill>
                    <w14:schemeClr w14:val="tx1"/>
                  </w14:solidFill>
                </w14:textFill>
              </w:rPr>
              <w:t>3</w:t>
            </w:r>
          </w:p>
        </w:tc>
      </w:tr>
      <w:tr w14:paraId="06BC5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9" w:type="pct"/>
            <w:vAlign w:val="center"/>
          </w:tcPr>
          <w:p w14:paraId="5455563C">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DA001</w:t>
            </w:r>
          </w:p>
        </w:tc>
        <w:tc>
          <w:tcPr>
            <w:tcW w:w="510" w:type="pct"/>
            <w:vAlign w:val="center"/>
          </w:tcPr>
          <w:p w14:paraId="615D1696">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颗粒物</w:t>
            </w:r>
          </w:p>
        </w:tc>
        <w:tc>
          <w:tcPr>
            <w:tcW w:w="553" w:type="pct"/>
            <w:vAlign w:val="center"/>
          </w:tcPr>
          <w:p w14:paraId="08F88062">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w:t>
            </w:r>
          </w:p>
        </w:tc>
        <w:tc>
          <w:tcPr>
            <w:tcW w:w="467" w:type="pct"/>
            <w:vAlign w:val="center"/>
          </w:tcPr>
          <w:p w14:paraId="7B3CDB5A">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70t/a</w:t>
            </w:r>
          </w:p>
        </w:tc>
        <w:tc>
          <w:tcPr>
            <w:tcW w:w="641" w:type="pct"/>
            <w:vAlign w:val="center"/>
          </w:tcPr>
          <w:p w14:paraId="6C1394C0">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63t/a</w:t>
            </w:r>
          </w:p>
        </w:tc>
        <w:tc>
          <w:tcPr>
            <w:tcW w:w="524" w:type="pct"/>
            <w:vAlign w:val="center"/>
          </w:tcPr>
          <w:p w14:paraId="759F55AE">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99%</w:t>
            </w:r>
          </w:p>
        </w:tc>
        <w:tc>
          <w:tcPr>
            <w:tcW w:w="524" w:type="pct"/>
            <w:vAlign w:val="center"/>
          </w:tcPr>
          <w:p w14:paraId="51CED425">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0.63t/a</w:t>
            </w:r>
          </w:p>
        </w:tc>
        <w:tc>
          <w:tcPr>
            <w:tcW w:w="610" w:type="pct"/>
            <w:vAlign w:val="center"/>
          </w:tcPr>
          <w:p w14:paraId="319DFF0D">
            <w:pPr>
              <w:spacing w:line="360" w:lineRule="auto"/>
              <w:jc w:val="center"/>
              <w:rPr>
                <w:rFonts w:hint="default"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0.1385kg/h</w:t>
            </w:r>
          </w:p>
        </w:tc>
        <w:tc>
          <w:tcPr>
            <w:tcW w:w="717" w:type="pct"/>
            <w:vAlign w:val="center"/>
          </w:tcPr>
          <w:p w14:paraId="6EDAA96E">
            <w:pPr>
              <w:spacing w:line="360" w:lineRule="auto"/>
              <w:jc w:val="center"/>
              <w:rPr>
                <w:rFonts w:hint="default" w:cs="Times New Roman"/>
                <w:b/>
                <w:bCs/>
                <w:color w:val="000000" w:themeColor="text1"/>
                <w:sz w:val="21"/>
                <w:szCs w:val="21"/>
                <w:vertAlign w:val="baseline"/>
                <w:lang w:val="en-US" w:eastAsia="zh-CN"/>
                <w14:textFill>
                  <w14:solidFill>
                    <w14:schemeClr w14:val="tx1"/>
                  </w14:solidFill>
                </w14:textFill>
              </w:rPr>
            </w:pPr>
            <w:r>
              <w:rPr>
                <w:rFonts w:hint="eastAsia" w:cs="Times New Roman"/>
                <w:b/>
                <w:bCs/>
                <w:color w:val="000000" w:themeColor="text1"/>
                <w:sz w:val="21"/>
                <w:szCs w:val="21"/>
                <w:vertAlign w:val="baseline"/>
                <w:lang w:val="en-US" w:eastAsia="zh-CN"/>
                <w14:textFill>
                  <w14:solidFill>
                    <w14:schemeClr w14:val="tx1"/>
                  </w14:solidFill>
                </w14:textFill>
              </w:rPr>
              <w:t>9.23mg/m</w:t>
            </w:r>
            <w:r>
              <w:rPr>
                <w:rFonts w:hint="eastAsia" w:cs="Times New Roman"/>
                <w:b/>
                <w:bCs/>
                <w:color w:val="000000" w:themeColor="text1"/>
                <w:sz w:val="21"/>
                <w:szCs w:val="21"/>
                <w:vertAlign w:val="superscript"/>
                <w:lang w:val="en-US" w:eastAsia="zh-CN"/>
                <w14:textFill>
                  <w14:solidFill>
                    <w14:schemeClr w14:val="tx1"/>
                  </w14:solidFill>
                </w14:textFill>
              </w:rPr>
              <w:t>3</w:t>
            </w:r>
          </w:p>
        </w:tc>
      </w:tr>
    </w:tbl>
    <w:p w14:paraId="3BBC8A98">
      <w:pPr>
        <w:spacing w:line="360" w:lineRule="auto"/>
        <w:rPr>
          <w:rFonts w:hint="default" w:cs="Times New Roman"/>
          <w:b w:val="0"/>
          <w:bCs w:val="0"/>
          <w:color w:val="000000" w:themeColor="text1"/>
          <w:sz w:val="21"/>
          <w:szCs w:val="21"/>
          <w:lang w:val="en-US" w:eastAsia="zh-CN"/>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注：风机设计风量为15000m</w:t>
      </w:r>
      <w:r>
        <w:rPr>
          <w:rFonts w:hint="eastAsia" w:cs="Times New Roman"/>
          <w:b w:val="0"/>
          <w:bCs w:val="0"/>
          <w:color w:val="000000" w:themeColor="text1"/>
          <w:sz w:val="21"/>
          <w:szCs w:val="21"/>
          <w:vertAlign w:val="superscript"/>
          <w:lang w:val="en-US" w:eastAsia="zh-CN"/>
          <w14:textFill>
            <w14:solidFill>
              <w14:schemeClr w14:val="tx1"/>
            </w14:solidFill>
          </w14:textFill>
        </w:rPr>
        <w:t>3</w:t>
      </w:r>
      <w:r>
        <w:rPr>
          <w:rFonts w:hint="eastAsia" w:cs="Times New Roman"/>
          <w:b w:val="0"/>
          <w:bCs w:val="0"/>
          <w:color w:val="000000" w:themeColor="text1"/>
          <w:sz w:val="21"/>
          <w:szCs w:val="21"/>
          <w:lang w:val="en-US" w:eastAsia="zh-CN"/>
          <w14:textFill>
            <w14:solidFill>
              <w14:schemeClr w14:val="tx1"/>
            </w14:solidFill>
          </w14:textFill>
        </w:rPr>
        <w:t>/h，年破碎、球磨时间均为2400h。球磨时间为7200h。</w:t>
      </w:r>
    </w:p>
    <w:p w14:paraId="327730F4">
      <w:pPr>
        <w:spacing w:line="360" w:lineRule="auto"/>
        <w:ind w:firstLine="480" w:firstLineChars="200"/>
        <w:rPr>
          <w:rFonts w:hint="eastAsia"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由上表可知，</w:t>
      </w:r>
      <w:r>
        <w:rPr>
          <w:rFonts w:hint="eastAsia" w:cs="Times New Roman"/>
          <w:color w:val="000000" w:themeColor="text1"/>
          <w:sz w:val="24"/>
          <w:lang w:val="en-US" w:eastAsia="zh-CN"/>
          <w14:textFill>
            <w14:solidFill>
              <w14:schemeClr w14:val="tx1"/>
            </w14:solidFill>
          </w14:textFill>
        </w:rPr>
        <w:t>粉尘经治理后，排气筒出口</w:t>
      </w:r>
      <w:r>
        <w:rPr>
          <w:rFonts w:hint="default" w:ascii="Times New Roman" w:hAnsi="Times New Roman" w:cs="Times New Roman"/>
          <w:color w:val="000000" w:themeColor="text1"/>
          <w:sz w:val="24"/>
          <w:lang w:val="en-US" w:eastAsia="zh-CN"/>
          <w14:textFill>
            <w14:solidFill>
              <w14:schemeClr w14:val="tx1"/>
            </w14:solidFill>
          </w14:textFill>
        </w:rPr>
        <w:t>排放浓度和排放速率</w:t>
      </w:r>
      <w:r>
        <w:rPr>
          <w:rFonts w:hint="eastAsia" w:cs="Times New Roman"/>
          <w:color w:val="000000" w:themeColor="text1"/>
          <w:sz w:val="24"/>
          <w:lang w:val="en-US" w:eastAsia="zh-CN"/>
          <w14:textFill>
            <w14:solidFill>
              <w14:schemeClr w14:val="tx1"/>
            </w14:solidFill>
          </w14:textFill>
        </w:rPr>
        <w:t>均</w:t>
      </w:r>
      <w:r>
        <w:rPr>
          <w:rFonts w:hint="default" w:ascii="Times New Roman" w:hAnsi="Times New Roman" w:cs="Times New Roman"/>
          <w:color w:val="000000" w:themeColor="text1"/>
          <w:sz w:val="24"/>
          <w:lang w:val="en-US" w:eastAsia="zh-CN"/>
          <w14:textFill>
            <w14:solidFill>
              <w14:schemeClr w14:val="tx1"/>
            </w14:solidFill>
          </w14:textFill>
        </w:rPr>
        <w:t>满足《大气污染物综合排放标准》(GB16297-1996)表2标准要求</w:t>
      </w:r>
      <w:r>
        <w:rPr>
          <w:rFonts w:hint="eastAsia" w:cs="Times New Roman"/>
          <w:color w:val="000000" w:themeColor="text1"/>
          <w:sz w:val="24"/>
          <w:lang w:val="en-US" w:eastAsia="zh-CN"/>
          <w14:textFill>
            <w14:solidFill>
              <w14:schemeClr w14:val="tx1"/>
            </w14:solidFill>
          </w14:textFill>
        </w:rPr>
        <w:t>，即</w:t>
      </w:r>
      <w:r>
        <w:rPr>
          <w:rFonts w:hint="default" w:ascii="Times New Roman" w:hAnsi="Times New Roman" w:cs="Times New Roman"/>
          <w:color w:val="000000" w:themeColor="text1"/>
          <w:sz w:val="24"/>
          <w:lang w:val="en-US" w:eastAsia="zh-CN"/>
          <w14:textFill>
            <w14:solidFill>
              <w14:schemeClr w14:val="tx1"/>
            </w14:solidFill>
          </w14:textFill>
        </w:rPr>
        <w:t>120mg/m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、3.5kg/h</w:t>
      </w:r>
      <w:r>
        <w:rPr>
          <w:rFonts w:hint="eastAsia" w:cs="Times New Roman"/>
          <w:color w:val="000000" w:themeColor="text1"/>
          <w:sz w:val="24"/>
          <w:lang w:val="en-US" w:eastAsia="zh-CN"/>
          <w14:textFill>
            <w14:solidFill>
              <w14:schemeClr w14:val="tx1"/>
            </w14:solidFill>
          </w14:textFill>
        </w:rPr>
        <w:t>。</w:t>
      </w:r>
    </w:p>
    <w:p w14:paraId="5B1EB721">
      <w:pPr>
        <w:spacing w:line="360" w:lineRule="auto"/>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 xml:space="preserve">本项目粉尘产排情况汇总  </w:t>
      </w:r>
    </w:p>
    <w:p w14:paraId="30BEAA23">
      <w:pPr>
        <w:spacing w:line="360" w:lineRule="auto"/>
        <w:jc w:val="center"/>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表3.3-4  粉尘产排情况一览表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1328"/>
        <w:gridCol w:w="1286"/>
        <w:gridCol w:w="1158"/>
        <w:gridCol w:w="1453"/>
        <w:gridCol w:w="1453"/>
      </w:tblGrid>
      <w:tr w14:paraId="209D6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668FC20B">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排放源</w:t>
            </w:r>
          </w:p>
        </w:tc>
        <w:tc>
          <w:tcPr>
            <w:tcW w:w="1328" w:type="dxa"/>
            <w:vAlign w:val="center"/>
          </w:tcPr>
          <w:p w14:paraId="59F61E4A">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排放方式</w:t>
            </w:r>
          </w:p>
        </w:tc>
        <w:tc>
          <w:tcPr>
            <w:tcW w:w="1286" w:type="dxa"/>
            <w:vAlign w:val="center"/>
          </w:tcPr>
          <w:p w14:paraId="2838AE30">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产生量</w:t>
            </w:r>
          </w:p>
        </w:tc>
        <w:tc>
          <w:tcPr>
            <w:tcW w:w="1158" w:type="dxa"/>
            <w:vAlign w:val="center"/>
          </w:tcPr>
          <w:p w14:paraId="617760A4">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排放量</w:t>
            </w:r>
          </w:p>
        </w:tc>
        <w:tc>
          <w:tcPr>
            <w:tcW w:w="1453" w:type="dxa"/>
            <w:vAlign w:val="center"/>
          </w:tcPr>
          <w:p w14:paraId="4A33B8F9">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排放速率</w:t>
            </w:r>
          </w:p>
        </w:tc>
        <w:tc>
          <w:tcPr>
            <w:tcW w:w="1453" w:type="dxa"/>
            <w:vAlign w:val="center"/>
          </w:tcPr>
          <w:p w14:paraId="5C35FF99">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排放浓度</w:t>
            </w:r>
          </w:p>
        </w:tc>
      </w:tr>
      <w:tr w14:paraId="4AC08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654BCC38">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DA001</w:t>
            </w:r>
          </w:p>
        </w:tc>
        <w:tc>
          <w:tcPr>
            <w:tcW w:w="1328" w:type="dxa"/>
            <w:vAlign w:val="center"/>
          </w:tcPr>
          <w:p w14:paraId="50A68121">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有组织</w:t>
            </w:r>
          </w:p>
        </w:tc>
        <w:tc>
          <w:tcPr>
            <w:tcW w:w="1286" w:type="dxa"/>
            <w:vAlign w:val="center"/>
          </w:tcPr>
          <w:p w14:paraId="536CA9A3">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63</w:t>
            </w:r>
            <w:r>
              <w:rPr>
                <w:rFonts w:hint="eastAsia" w:cs="Times New Roman"/>
                <w:color w:val="auto"/>
                <w:sz w:val="21"/>
                <w:szCs w:val="21"/>
                <w:lang w:val="en-US" w:eastAsia="zh-CN"/>
              </w:rPr>
              <w:t>t/a</w:t>
            </w:r>
          </w:p>
        </w:tc>
        <w:tc>
          <w:tcPr>
            <w:tcW w:w="1158" w:type="dxa"/>
            <w:vAlign w:val="center"/>
          </w:tcPr>
          <w:p w14:paraId="7520FD58">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0.63</w:t>
            </w:r>
            <w:r>
              <w:rPr>
                <w:rFonts w:hint="eastAsia" w:cs="Times New Roman"/>
                <w:color w:val="auto"/>
                <w:sz w:val="21"/>
                <w:szCs w:val="21"/>
                <w:lang w:val="en-US" w:eastAsia="zh-CN"/>
              </w:rPr>
              <w:t>t/a</w:t>
            </w:r>
          </w:p>
        </w:tc>
        <w:tc>
          <w:tcPr>
            <w:tcW w:w="1453" w:type="dxa"/>
            <w:vAlign w:val="center"/>
          </w:tcPr>
          <w:p w14:paraId="703DEBA5">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0.1385kg/h</w:t>
            </w:r>
          </w:p>
        </w:tc>
        <w:tc>
          <w:tcPr>
            <w:tcW w:w="1453" w:type="dxa"/>
            <w:vAlign w:val="center"/>
          </w:tcPr>
          <w:p w14:paraId="6FFDF300">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9.23</w:t>
            </w:r>
            <w:r>
              <w:rPr>
                <w:rFonts w:hint="eastAsia" w:cs="Times New Roman"/>
                <w:b w:val="0"/>
                <w:bCs w:val="0"/>
                <w:color w:val="000000" w:themeColor="text1"/>
                <w:sz w:val="21"/>
                <w:szCs w:val="21"/>
                <w:vertAlign w:val="baseline"/>
                <w:lang w:val="en-US" w:eastAsia="zh-CN"/>
                <w14:textFill>
                  <w14:solidFill>
                    <w14:schemeClr w14:val="tx1"/>
                  </w14:solidFill>
                </w14:textFill>
              </w:rPr>
              <w:t>mg/m</w:t>
            </w:r>
            <w:r>
              <w:rPr>
                <w:rFonts w:hint="eastAsia" w:cs="Times New Roman"/>
                <w:b w:val="0"/>
                <w:bCs w:val="0"/>
                <w:color w:val="000000" w:themeColor="text1"/>
                <w:sz w:val="21"/>
                <w:szCs w:val="21"/>
                <w:vertAlign w:val="superscript"/>
                <w:lang w:val="en-US" w:eastAsia="zh-CN"/>
                <w14:textFill>
                  <w14:solidFill>
                    <w14:schemeClr w14:val="tx1"/>
                  </w14:solidFill>
                </w14:textFill>
              </w:rPr>
              <w:t>3</w:t>
            </w:r>
          </w:p>
        </w:tc>
      </w:tr>
      <w:tr w14:paraId="52A0D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692E49F7">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选矿车间</w:t>
            </w:r>
          </w:p>
        </w:tc>
        <w:tc>
          <w:tcPr>
            <w:tcW w:w="1328" w:type="dxa"/>
            <w:vAlign w:val="center"/>
          </w:tcPr>
          <w:p w14:paraId="7B9FC490">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无组织</w:t>
            </w:r>
          </w:p>
        </w:tc>
        <w:tc>
          <w:tcPr>
            <w:tcW w:w="1286" w:type="dxa"/>
            <w:vAlign w:val="center"/>
          </w:tcPr>
          <w:p w14:paraId="1B0A6182">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7</w:t>
            </w:r>
            <w:r>
              <w:rPr>
                <w:rFonts w:hint="eastAsia" w:cs="Times New Roman"/>
                <w:color w:val="auto"/>
                <w:sz w:val="21"/>
                <w:szCs w:val="21"/>
                <w:lang w:val="en-US" w:eastAsia="zh-CN"/>
              </w:rPr>
              <w:t>t/a</w:t>
            </w:r>
          </w:p>
        </w:tc>
        <w:tc>
          <w:tcPr>
            <w:tcW w:w="1158" w:type="dxa"/>
            <w:vAlign w:val="center"/>
          </w:tcPr>
          <w:p w14:paraId="115DE348">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1.05</w:t>
            </w:r>
            <w:r>
              <w:rPr>
                <w:rFonts w:hint="eastAsia" w:cs="Times New Roman"/>
                <w:color w:val="auto"/>
                <w:sz w:val="21"/>
                <w:szCs w:val="21"/>
                <w:lang w:val="en-US" w:eastAsia="zh-CN"/>
              </w:rPr>
              <w:t>t/a</w:t>
            </w:r>
          </w:p>
        </w:tc>
        <w:tc>
          <w:tcPr>
            <w:tcW w:w="1453" w:type="dxa"/>
            <w:vAlign w:val="center"/>
          </w:tcPr>
          <w:p w14:paraId="6947D121">
            <w:pPr>
              <w:bidi w:val="0"/>
              <w:spacing w:line="360" w:lineRule="auto"/>
              <w:jc w:val="center"/>
              <w:rPr>
                <w:rFonts w:hint="default"/>
                <w:color w:val="auto"/>
                <w:sz w:val="21"/>
                <w:szCs w:val="21"/>
                <w:vertAlign w:val="baseline"/>
                <w:lang w:val="en-US" w:eastAsia="zh-CN"/>
              </w:rPr>
            </w:pPr>
            <w:r>
              <w:rPr>
                <w:rFonts w:hint="eastAsia"/>
                <w:color w:val="auto"/>
                <w:sz w:val="21"/>
                <w:szCs w:val="21"/>
                <w:vertAlign w:val="baseline"/>
                <w:lang w:val="en-US" w:eastAsia="zh-CN"/>
              </w:rPr>
              <w:t>-</w:t>
            </w:r>
          </w:p>
        </w:tc>
        <w:tc>
          <w:tcPr>
            <w:tcW w:w="1453" w:type="dxa"/>
            <w:vAlign w:val="center"/>
          </w:tcPr>
          <w:p w14:paraId="5085B8E6">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r>
      <w:tr w14:paraId="27BE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54D816A1">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原矿装卸</w:t>
            </w:r>
          </w:p>
        </w:tc>
        <w:tc>
          <w:tcPr>
            <w:tcW w:w="1328" w:type="dxa"/>
            <w:vAlign w:val="center"/>
          </w:tcPr>
          <w:p w14:paraId="73416392">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无组织</w:t>
            </w:r>
          </w:p>
        </w:tc>
        <w:tc>
          <w:tcPr>
            <w:tcW w:w="1286" w:type="dxa"/>
            <w:vAlign w:val="center"/>
          </w:tcPr>
          <w:p w14:paraId="4CEDEB6F">
            <w:pPr>
              <w:bidi w:val="0"/>
              <w:spacing w:line="360" w:lineRule="auto"/>
              <w:jc w:val="center"/>
              <w:rPr>
                <w:rFonts w:hint="eastAsia"/>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0.965t/a</w:t>
            </w:r>
          </w:p>
        </w:tc>
        <w:tc>
          <w:tcPr>
            <w:tcW w:w="1158" w:type="dxa"/>
            <w:vAlign w:val="center"/>
          </w:tcPr>
          <w:p w14:paraId="4CF0EC1A">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0.145</w:t>
            </w:r>
            <w:r>
              <w:rPr>
                <w:rFonts w:hint="eastAsia" w:cs="Times New Roman"/>
                <w:color w:val="000000" w:themeColor="text1"/>
                <w:sz w:val="21"/>
                <w:szCs w:val="21"/>
                <w:lang w:val="en-US" w:eastAsia="zh-CN"/>
                <w14:textFill>
                  <w14:solidFill>
                    <w14:schemeClr w14:val="tx1"/>
                  </w14:solidFill>
                </w14:textFill>
              </w:rPr>
              <w:t>t/a</w:t>
            </w:r>
          </w:p>
        </w:tc>
        <w:tc>
          <w:tcPr>
            <w:tcW w:w="1453" w:type="dxa"/>
            <w:vAlign w:val="center"/>
          </w:tcPr>
          <w:p w14:paraId="5B89F120">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c>
          <w:tcPr>
            <w:tcW w:w="1453" w:type="dxa"/>
            <w:vAlign w:val="center"/>
          </w:tcPr>
          <w:p w14:paraId="1433AB65">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r>
      <w:tr w14:paraId="09725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2F18C3BE">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尾矿装卸</w:t>
            </w:r>
          </w:p>
        </w:tc>
        <w:tc>
          <w:tcPr>
            <w:tcW w:w="1328" w:type="dxa"/>
            <w:vAlign w:val="center"/>
          </w:tcPr>
          <w:p w14:paraId="52C4A448">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无组织</w:t>
            </w:r>
          </w:p>
        </w:tc>
        <w:tc>
          <w:tcPr>
            <w:tcW w:w="1286" w:type="dxa"/>
            <w:vAlign w:val="center"/>
          </w:tcPr>
          <w:p w14:paraId="66FAEC58">
            <w:pPr>
              <w:bidi w:val="0"/>
              <w:spacing w:line="360" w:lineRule="auto"/>
              <w:jc w:val="center"/>
              <w:rPr>
                <w:rFonts w:hint="eastAsia"/>
                <w:sz w:val="21"/>
                <w:szCs w:val="21"/>
                <w:vertAlign w:val="baseline"/>
                <w:lang w:val="en-US" w:eastAsia="zh-CN"/>
              </w:rPr>
            </w:pPr>
            <w:r>
              <w:rPr>
                <w:rFonts w:hint="eastAsia" w:cs="Times New Roman"/>
                <w:color w:val="000000" w:themeColor="text1"/>
                <w:sz w:val="21"/>
                <w:szCs w:val="21"/>
                <w:lang w:val="en-US" w:eastAsia="zh-CN"/>
                <w14:textFill>
                  <w14:solidFill>
                    <w14:schemeClr w14:val="tx1"/>
                  </w14:solidFill>
                </w14:textFill>
              </w:rPr>
              <w:t>0.093</w:t>
            </w:r>
            <w:r>
              <w:rPr>
                <w:rFonts w:ascii="Times New Roman" w:hAnsi="Times New Roman" w:cs="Times New Roman"/>
                <w:color w:val="000000" w:themeColor="text1"/>
                <w:sz w:val="21"/>
                <w:szCs w:val="21"/>
                <w14:textFill>
                  <w14:solidFill>
                    <w14:schemeClr w14:val="tx1"/>
                  </w14:solidFill>
                </w14:textFill>
              </w:rPr>
              <w:t>t/a</w:t>
            </w:r>
          </w:p>
        </w:tc>
        <w:tc>
          <w:tcPr>
            <w:tcW w:w="1158" w:type="dxa"/>
            <w:vAlign w:val="center"/>
          </w:tcPr>
          <w:p w14:paraId="6444220B">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0.014</w:t>
            </w:r>
            <w:r>
              <w:rPr>
                <w:rFonts w:hint="eastAsia" w:cs="Times New Roman"/>
                <w:color w:val="000000" w:themeColor="text1"/>
                <w:sz w:val="21"/>
                <w:szCs w:val="21"/>
                <w:lang w:val="en-US" w:eastAsia="zh-CN"/>
                <w14:textFill>
                  <w14:solidFill>
                    <w14:schemeClr w14:val="tx1"/>
                  </w14:solidFill>
                </w14:textFill>
              </w:rPr>
              <w:t>t/a</w:t>
            </w:r>
          </w:p>
        </w:tc>
        <w:tc>
          <w:tcPr>
            <w:tcW w:w="1453" w:type="dxa"/>
            <w:vAlign w:val="center"/>
          </w:tcPr>
          <w:p w14:paraId="199F9F53">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c>
          <w:tcPr>
            <w:tcW w:w="1453" w:type="dxa"/>
            <w:vAlign w:val="center"/>
          </w:tcPr>
          <w:p w14:paraId="3AA14C43">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r>
      <w:tr w14:paraId="6A24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156908F5">
            <w:pPr>
              <w:bidi w:val="0"/>
              <w:spacing w:line="360" w:lineRule="auto"/>
              <w:jc w:val="center"/>
              <w:rPr>
                <w:rFonts w:hint="default"/>
                <w:sz w:val="21"/>
                <w:szCs w:val="21"/>
                <w:vertAlign w:val="baseline"/>
                <w:lang w:val="en-US" w:eastAsia="zh-CN"/>
              </w:rPr>
            </w:pPr>
            <w:r>
              <w:rPr>
                <w:rFonts w:hint="eastAsia"/>
                <w:sz w:val="21"/>
                <w:szCs w:val="21"/>
                <w:vertAlign w:val="baseline"/>
                <w:lang w:val="en-US" w:eastAsia="zh-CN"/>
              </w:rPr>
              <w:t>道路运输</w:t>
            </w:r>
          </w:p>
        </w:tc>
        <w:tc>
          <w:tcPr>
            <w:tcW w:w="1328" w:type="dxa"/>
            <w:vAlign w:val="center"/>
          </w:tcPr>
          <w:p w14:paraId="14E13C24">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无组织</w:t>
            </w:r>
          </w:p>
        </w:tc>
        <w:tc>
          <w:tcPr>
            <w:tcW w:w="1286" w:type="dxa"/>
            <w:vAlign w:val="center"/>
          </w:tcPr>
          <w:p w14:paraId="77712CCE">
            <w:pPr>
              <w:bidi w:val="0"/>
              <w:spacing w:line="360" w:lineRule="auto"/>
              <w:jc w:val="center"/>
              <w:rPr>
                <w:rFonts w:hint="eastAsia"/>
                <w:sz w:val="21"/>
                <w:szCs w:val="21"/>
                <w:vertAlign w:val="baseline"/>
                <w:lang w:val="en-US" w:eastAsia="zh-CN"/>
              </w:rPr>
            </w:pPr>
            <w:r>
              <w:rPr>
                <w:rFonts w:hint="eastAsia"/>
                <w:color w:val="auto"/>
                <w:sz w:val="21"/>
                <w:szCs w:val="21"/>
                <w:lang w:val="en-US" w:eastAsia="zh-CN"/>
              </w:rPr>
              <w:t>4.052</w:t>
            </w:r>
            <w:r>
              <w:rPr>
                <w:rFonts w:hint="eastAsia" w:ascii="Times New Roman" w:eastAsia="宋体"/>
                <w:color w:val="auto"/>
                <w:sz w:val="21"/>
                <w:szCs w:val="21"/>
                <w:lang w:val="en-US" w:eastAsia="zh-CN"/>
              </w:rPr>
              <w:t>t</w:t>
            </w:r>
            <w:r>
              <w:rPr>
                <w:rFonts w:hint="default"/>
                <w:color w:val="auto"/>
                <w:sz w:val="21"/>
                <w:szCs w:val="21"/>
              </w:rPr>
              <w:t>/a</w:t>
            </w:r>
          </w:p>
        </w:tc>
        <w:tc>
          <w:tcPr>
            <w:tcW w:w="1158" w:type="dxa"/>
            <w:vAlign w:val="center"/>
          </w:tcPr>
          <w:p w14:paraId="46B67140">
            <w:pPr>
              <w:bidi w:val="0"/>
              <w:spacing w:line="360" w:lineRule="auto"/>
              <w:jc w:val="center"/>
              <w:rPr>
                <w:rFonts w:hint="eastAsia"/>
                <w:sz w:val="21"/>
                <w:szCs w:val="21"/>
                <w:vertAlign w:val="baseline"/>
                <w:lang w:val="en-US" w:eastAsia="zh-CN"/>
              </w:rPr>
            </w:pPr>
            <w:r>
              <w:rPr>
                <w:rFonts w:hint="eastAsia"/>
                <w:color w:val="auto"/>
                <w:sz w:val="21"/>
                <w:szCs w:val="21"/>
                <w:lang w:val="en-US" w:eastAsia="zh-CN"/>
              </w:rPr>
              <w:t>0.608</w:t>
            </w:r>
            <w:r>
              <w:rPr>
                <w:rFonts w:hint="default"/>
                <w:color w:val="auto"/>
                <w:sz w:val="21"/>
                <w:szCs w:val="21"/>
              </w:rPr>
              <w:t>t/a</w:t>
            </w:r>
          </w:p>
        </w:tc>
        <w:tc>
          <w:tcPr>
            <w:tcW w:w="1453" w:type="dxa"/>
            <w:vAlign w:val="center"/>
          </w:tcPr>
          <w:p w14:paraId="18E31B4B">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c>
          <w:tcPr>
            <w:tcW w:w="1453" w:type="dxa"/>
            <w:vAlign w:val="center"/>
          </w:tcPr>
          <w:p w14:paraId="2435FD89">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r>
      <w:tr w14:paraId="38BD9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0" w:type="dxa"/>
            <w:vAlign w:val="center"/>
          </w:tcPr>
          <w:p w14:paraId="01B14D50">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皮带输送</w:t>
            </w:r>
          </w:p>
        </w:tc>
        <w:tc>
          <w:tcPr>
            <w:tcW w:w="1328" w:type="dxa"/>
            <w:vAlign w:val="center"/>
          </w:tcPr>
          <w:p w14:paraId="15AEF0FF">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无组织</w:t>
            </w:r>
          </w:p>
        </w:tc>
        <w:tc>
          <w:tcPr>
            <w:tcW w:w="1286" w:type="dxa"/>
            <w:vAlign w:val="center"/>
          </w:tcPr>
          <w:p w14:paraId="3FC15233">
            <w:pPr>
              <w:bidi w:val="0"/>
              <w:spacing w:line="360" w:lineRule="auto"/>
              <w:jc w:val="center"/>
              <w:rPr>
                <w:rFonts w:hint="eastAsia" w:hAnsi="宋体"/>
                <w:bCs/>
                <w:color w:val="auto"/>
                <w:sz w:val="21"/>
                <w:szCs w:val="21"/>
                <w:highlight w:val="none"/>
                <w:lang w:val="en-US" w:eastAsia="zh-CN"/>
              </w:rPr>
            </w:pPr>
            <w:r>
              <w:rPr>
                <w:rFonts w:hint="eastAsia" w:hAnsi="宋体"/>
                <w:bCs/>
                <w:color w:val="auto"/>
                <w:sz w:val="21"/>
                <w:szCs w:val="21"/>
                <w:highlight w:val="none"/>
                <w:lang w:val="en-US" w:eastAsia="zh-CN"/>
              </w:rPr>
              <w:t>0.29t/a</w:t>
            </w:r>
          </w:p>
        </w:tc>
        <w:tc>
          <w:tcPr>
            <w:tcW w:w="1158" w:type="dxa"/>
            <w:vAlign w:val="center"/>
          </w:tcPr>
          <w:p w14:paraId="052965AB">
            <w:pPr>
              <w:bidi w:val="0"/>
              <w:spacing w:line="360" w:lineRule="auto"/>
              <w:jc w:val="center"/>
              <w:rPr>
                <w:rFonts w:hint="eastAsia" w:hAnsi="宋体"/>
                <w:bCs/>
                <w:color w:val="auto"/>
                <w:sz w:val="21"/>
                <w:szCs w:val="21"/>
                <w:highlight w:val="none"/>
                <w:lang w:val="en-US" w:eastAsia="zh-CN"/>
              </w:rPr>
            </w:pPr>
            <w:r>
              <w:rPr>
                <w:rFonts w:hint="eastAsia" w:hAnsi="宋体"/>
                <w:bCs/>
                <w:color w:val="auto"/>
                <w:sz w:val="21"/>
                <w:szCs w:val="21"/>
                <w:highlight w:val="none"/>
                <w:lang w:val="en-US" w:eastAsia="zh-CN"/>
              </w:rPr>
              <w:t>0.0435t/a</w:t>
            </w:r>
          </w:p>
        </w:tc>
        <w:tc>
          <w:tcPr>
            <w:tcW w:w="1453" w:type="dxa"/>
            <w:vAlign w:val="center"/>
          </w:tcPr>
          <w:p w14:paraId="570F21EA">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c>
          <w:tcPr>
            <w:tcW w:w="1453" w:type="dxa"/>
            <w:vAlign w:val="center"/>
          </w:tcPr>
          <w:p w14:paraId="25B67932">
            <w:pPr>
              <w:bidi w:val="0"/>
              <w:spacing w:line="360" w:lineRule="auto"/>
              <w:jc w:val="center"/>
              <w:rPr>
                <w:rFonts w:hint="eastAsia"/>
                <w:sz w:val="21"/>
                <w:szCs w:val="21"/>
                <w:vertAlign w:val="baseline"/>
                <w:lang w:val="en-US" w:eastAsia="zh-CN"/>
              </w:rPr>
            </w:pPr>
            <w:r>
              <w:rPr>
                <w:rFonts w:hint="eastAsia"/>
                <w:sz w:val="21"/>
                <w:szCs w:val="21"/>
                <w:vertAlign w:val="baseline"/>
                <w:lang w:val="en-US" w:eastAsia="zh-CN"/>
              </w:rPr>
              <w:t>-</w:t>
            </w:r>
          </w:p>
        </w:tc>
      </w:tr>
    </w:tbl>
    <w:p w14:paraId="5D2876A0">
      <w:pPr>
        <w:pStyle w:val="1486"/>
        <w:ind w:left="0" w:leftChars="0" w:firstLine="0" w:firstLineChars="0"/>
        <w:rPr>
          <w:rFonts w:hint="eastAsia" w:eastAsia="宋体" w:cs="Times New Roman"/>
          <w:b/>
          <w:bCs/>
          <w:color w:val="auto"/>
          <w:highlight w:val="none"/>
          <w:lang w:val="en-US" w:eastAsia="zh-CN"/>
        </w:rPr>
      </w:pPr>
      <w:r>
        <w:rPr>
          <w:rFonts w:hint="eastAsia" w:eastAsia="宋体" w:cs="Times New Roman"/>
          <w:b/>
          <w:bCs/>
          <w:color w:val="auto"/>
          <w:highlight w:val="none"/>
          <w:lang w:val="en-US" w:eastAsia="zh-CN"/>
        </w:rPr>
        <w:t>（二）水污染源分析</w:t>
      </w:r>
    </w:p>
    <w:p w14:paraId="02D135AE">
      <w:pPr>
        <w:spacing w:line="360" w:lineRule="auto"/>
        <w:ind w:firstLine="480" w:firstLineChars="200"/>
        <w:rPr>
          <w:rFonts w:hint="default"/>
          <w:sz w:val="24"/>
          <w:szCs w:val="32"/>
          <w:lang w:val="en-US" w:eastAsia="zh-CN"/>
        </w:rPr>
      </w:pPr>
      <w:r>
        <w:rPr>
          <w:rFonts w:hint="eastAsia"/>
          <w:sz w:val="24"/>
          <w:szCs w:val="32"/>
          <w:highlight w:val="none"/>
          <w:lang w:val="en-US" w:eastAsia="zh-CN"/>
        </w:rPr>
        <w:t>本项目用水主要包括生产用水和生活用水。产生的生产废水全部回用于生产工艺，不外排；生</w:t>
      </w:r>
      <w:r>
        <w:rPr>
          <w:rFonts w:hint="eastAsia"/>
          <w:sz w:val="24"/>
          <w:szCs w:val="32"/>
          <w:lang w:val="en-US" w:eastAsia="zh-CN"/>
        </w:rPr>
        <w:t>活污水排入现有旱厕后定期清掏，不外排。具体情况如下。</w:t>
      </w:r>
    </w:p>
    <w:p w14:paraId="65B1CFE1">
      <w:pPr>
        <w:spacing w:line="360" w:lineRule="auto"/>
        <w:rPr>
          <w:rFonts w:hint="default"/>
          <w:b/>
          <w:bCs/>
          <w:sz w:val="24"/>
          <w:szCs w:val="32"/>
          <w:lang w:val="en-US" w:eastAsia="zh-CN"/>
        </w:rPr>
      </w:pPr>
      <w:r>
        <w:rPr>
          <w:rFonts w:hint="eastAsia"/>
          <w:b/>
          <w:bCs/>
          <w:sz w:val="24"/>
          <w:szCs w:val="32"/>
          <w:lang w:val="en-US" w:eastAsia="zh-CN"/>
        </w:rPr>
        <w:t>（1）生产用水</w:t>
      </w:r>
    </w:p>
    <w:p w14:paraId="1474F15F">
      <w:pPr>
        <w:spacing w:line="360" w:lineRule="auto"/>
        <w:ind w:firstLine="480" w:firstLineChars="200"/>
        <w:rPr>
          <w:rFonts w:hint="eastAsia"/>
          <w:sz w:val="24"/>
          <w:szCs w:val="32"/>
          <w:lang w:val="en-US" w:eastAsia="zh-CN"/>
        </w:rPr>
      </w:pPr>
      <w:r>
        <w:rPr>
          <w:rFonts w:hint="eastAsia"/>
          <w:sz w:val="24"/>
          <w:szCs w:val="32"/>
          <w:lang w:val="en-US" w:eastAsia="zh-CN"/>
        </w:rPr>
        <w:t>本项目生产用水主要包括选矿生产工艺用水、药剂制备用水、车间抑尘用水、车间地面冲洗水、运输道路抑尘洒水，本项目为改扩建项目，在现有厂区内建设，不新增绿化面积，因此，不新增绿化用水。</w:t>
      </w:r>
    </w:p>
    <w:p w14:paraId="1775EA20">
      <w:pPr>
        <w:spacing w:line="360" w:lineRule="auto"/>
        <w:rPr>
          <w:rFonts w:hint="eastAsia"/>
          <w:b/>
          <w:bCs/>
          <w:sz w:val="24"/>
          <w:szCs w:val="32"/>
          <w:lang w:val="en-US" w:eastAsia="zh-CN"/>
        </w:rPr>
      </w:pPr>
      <w:r>
        <w:rPr>
          <w:rFonts w:hint="eastAsia"/>
          <w:b/>
          <w:bCs/>
          <w:sz w:val="24"/>
          <w:szCs w:val="32"/>
          <w:lang w:val="en-US" w:eastAsia="zh-CN"/>
        </w:rPr>
        <w:t>①选矿工艺用水</w:t>
      </w:r>
    </w:p>
    <w:p w14:paraId="3AE842D8">
      <w:pPr>
        <w:spacing w:line="360" w:lineRule="auto"/>
        <w:ind w:firstLine="480" w:firstLineChars="200"/>
        <w:rPr>
          <w:rFonts w:hint="eastAsia"/>
          <w:sz w:val="24"/>
          <w:szCs w:val="32"/>
          <w:lang w:val="en-US" w:eastAsia="zh-CN"/>
        </w:rPr>
      </w:pPr>
      <w:r>
        <w:rPr>
          <w:rFonts w:hint="eastAsia"/>
          <w:sz w:val="24"/>
          <w:szCs w:val="32"/>
          <w:lang w:val="en-US" w:eastAsia="zh-CN"/>
        </w:rPr>
        <w:t>根据企业提供资料，处理1t矿石用水量为3t，本项目年处理20万t矿石，年生产300天，日处理矿石量约为666.67t/d，则选矿工艺日用水量约为2000t/d。来自工艺循环水、车间地面冲洗废水和补充水，工艺循环水包括溢流循环水、精矿压滤水、尾矿压滤水。</w:t>
      </w:r>
    </w:p>
    <w:p w14:paraId="4DF46515">
      <w:pPr>
        <w:spacing w:line="360" w:lineRule="auto"/>
        <w:rPr>
          <w:rFonts w:hint="eastAsia"/>
          <w:b/>
          <w:bCs/>
          <w:sz w:val="24"/>
          <w:szCs w:val="32"/>
          <w:lang w:val="en-US" w:eastAsia="zh-CN"/>
        </w:rPr>
      </w:pPr>
      <w:r>
        <w:rPr>
          <w:rFonts w:hint="eastAsia"/>
          <w:b/>
          <w:bCs/>
          <w:sz w:val="24"/>
          <w:szCs w:val="32"/>
          <w:lang w:val="en-US" w:eastAsia="zh-CN"/>
        </w:rPr>
        <w:t>②浮选药剂制备用水</w:t>
      </w:r>
    </w:p>
    <w:p w14:paraId="3B41DEC5">
      <w:pPr>
        <w:pStyle w:val="1486"/>
        <w:numPr>
          <w:ilvl w:val="0"/>
          <w:numId w:val="0"/>
        </w:numPr>
        <w:ind w:leftChars="0" w:firstLine="480" w:firstLineChars="200"/>
        <w:rPr>
          <w:rFonts w:hint="eastAsia"/>
          <w:sz w:val="24"/>
          <w:szCs w:val="32"/>
          <w:lang w:val="en-US" w:eastAsia="zh-CN"/>
        </w:rPr>
      </w:pPr>
      <w:r>
        <w:rPr>
          <w:rFonts w:hint="eastAsia" w:eastAsia="宋体" w:cs="Times New Roman"/>
          <w:color w:val="auto"/>
          <w:lang w:val="en-US" w:eastAsia="zh-CN"/>
        </w:rPr>
        <w:t>浮选药剂在使用前需加水，用水量约为3t/d，用水全部损耗，无废水产生。</w:t>
      </w:r>
    </w:p>
    <w:p w14:paraId="4E1BBBCA">
      <w:pPr>
        <w:spacing w:line="360" w:lineRule="auto"/>
        <w:rPr>
          <w:rFonts w:hint="eastAsia"/>
          <w:b/>
          <w:bCs/>
          <w:sz w:val="24"/>
          <w:szCs w:val="32"/>
          <w:lang w:val="en-US" w:eastAsia="zh-CN"/>
        </w:rPr>
      </w:pPr>
      <w:r>
        <w:rPr>
          <w:rFonts w:hint="eastAsia"/>
          <w:b/>
          <w:bCs/>
          <w:sz w:val="24"/>
          <w:szCs w:val="32"/>
          <w:lang w:val="en-US" w:eastAsia="zh-CN"/>
        </w:rPr>
        <w:t>③车间地面冲洗用水</w:t>
      </w:r>
    </w:p>
    <w:p w14:paraId="4ED48BA7">
      <w:pPr>
        <w:spacing w:line="360" w:lineRule="auto"/>
        <w:rPr>
          <w:rFonts w:hint="default"/>
          <w:sz w:val="24"/>
          <w:szCs w:val="32"/>
          <w:lang w:val="en-US" w:eastAsia="zh-CN"/>
        </w:rPr>
      </w:pPr>
      <w:r>
        <w:rPr>
          <w:rFonts w:hint="eastAsia"/>
          <w:sz w:val="24"/>
          <w:szCs w:val="32"/>
          <w:lang w:val="en-US" w:eastAsia="zh-CN"/>
        </w:rPr>
        <w:t xml:space="preserve">    车间地面冲洗水用水量约为1t/d，其中20%蒸发损耗，剩余80%排入现有循环水池后回用选矿工序，回用量为0.8t/d。</w:t>
      </w:r>
    </w:p>
    <w:p w14:paraId="7D6178AD">
      <w:pPr>
        <w:spacing w:line="360" w:lineRule="auto"/>
        <w:rPr>
          <w:rFonts w:hint="eastAsia"/>
          <w:b/>
          <w:bCs/>
          <w:sz w:val="24"/>
          <w:szCs w:val="32"/>
          <w:lang w:val="en-US" w:eastAsia="zh-CN"/>
        </w:rPr>
      </w:pPr>
      <w:r>
        <w:rPr>
          <w:rFonts w:hint="eastAsia"/>
          <w:b/>
          <w:bCs/>
          <w:sz w:val="24"/>
          <w:szCs w:val="32"/>
          <w:lang w:val="en-US" w:eastAsia="zh-CN"/>
        </w:rPr>
        <w:t>④车间抑尘用水</w:t>
      </w:r>
    </w:p>
    <w:p w14:paraId="2A79294B">
      <w:pPr>
        <w:spacing w:line="360" w:lineRule="auto"/>
        <w:rPr>
          <w:rFonts w:hint="default"/>
          <w:sz w:val="24"/>
          <w:szCs w:val="32"/>
          <w:lang w:val="en-US" w:eastAsia="zh-CN"/>
        </w:rPr>
      </w:pPr>
      <w:r>
        <w:rPr>
          <w:rFonts w:hint="eastAsia"/>
          <w:sz w:val="24"/>
          <w:szCs w:val="32"/>
          <w:lang w:val="en-US" w:eastAsia="zh-CN"/>
        </w:rPr>
        <w:t xml:space="preserve">    主要产尘车间为选矿车间和干排车间，总建筑面积为540m</w:t>
      </w:r>
      <w:r>
        <w:rPr>
          <w:rFonts w:hint="eastAsia"/>
          <w:sz w:val="24"/>
          <w:szCs w:val="32"/>
          <w:vertAlign w:val="superscript"/>
          <w:lang w:val="en-US" w:eastAsia="zh-CN"/>
        </w:rPr>
        <w:t>2</w:t>
      </w:r>
      <w:r>
        <w:rPr>
          <w:rFonts w:hint="eastAsia"/>
          <w:sz w:val="24"/>
          <w:szCs w:val="32"/>
          <w:lang w:val="en-US" w:eastAsia="zh-CN"/>
        </w:rPr>
        <w:t>，用水系数按1L/m</w:t>
      </w:r>
      <w:r>
        <w:rPr>
          <w:rFonts w:hint="eastAsia"/>
          <w:sz w:val="24"/>
          <w:szCs w:val="32"/>
          <w:vertAlign w:val="superscript"/>
          <w:lang w:val="en-US" w:eastAsia="zh-CN"/>
        </w:rPr>
        <w:t>2</w:t>
      </w:r>
      <w:r>
        <w:rPr>
          <w:rFonts w:hint="eastAsia"/>
          <w:sz w:val="24"/>
          <w:szCs w:val="32"/>
          <w:lang w:val="en-US" w:eastAsia="zh-CN"/>
        </w:rPr>
        <w:t>计，则，日用水量为0.54t/d，用水全部损耗，无外排废水。</w:t>
      </w:r>
    </w:p>
    <w:p w14:paraId="06EF2BA5">
      <w:pPr>
        <w:spacing w:line="360" w:lineRule="auto"/>
        <w:rPr>
          <w:rFonts w:hint="eastAsia"/>
          <w:b/>
          <w:bCs/>
          <w:sz w:val="24"/>
          <w:szCs w:val="32"/>
          <w:lang w:val="en-US" w:eastAsia="zh-CN"/>
        </w:rPr>
      </w:pPr>
      <w:r>
        <w:rPr>
          <w:rFonts w:hint="eastAsia"/>
          <w:b/>
          <w:bCs/>
          <w:sz w:val="24"/>
          <w:szCs w:val="32"/>
          <w:lang w:val="en-US" w:eastAsia="zh-CN"/>
        </w:rPr>
        <w:t>⑤运输道路洒水降尘用水</w:t>
      </w:r>
    </w:p>
    <w:p w14:paraId="025E4BB7">
      <w:pPr>
        <w:spacing w:line="360" w:lineRule="auto"/>
        <w:ind w:firstLine="480"/>
        <w:rPr>
          <w:rFonts w:hint="default"/>
          <w:sz w:val="24"/>
          <w:szCs w:val="32"/>
          <w:lang w:val="en-US" w:eastAsia="zh-CN"/>
        </w:rPr>
      </w:pPr>
      <w:r>
        <w:rPr>
          <w:rFonts w:hint="eastAsia"/>
          <w:sz w:val="24"/>
          <w:szCs w:val="32"/>
          <w:lang w:val="en-US" w:eastAsia="zh-CN"/>
        </w:rPr>
        <w:t>厂区内部运输道路约为260m，路面宽为4m，面积为1040m</w:t>
      </w:r>
      <w:r>
        <w:rPr>
          <w:rFonts w:hint="eastAsia"/>
          <w:sz w:val="24"/>
          <w:szCs w:val="32"/>
          <w:vertAlign w:val="superscript"/>
          <w:lang w:val="en-US" w:eastAsia="zh-CN"/>
        </w:rPr>
        <w:t>2</w:t>
      </w:r>
      <w:r>
        <w:rPr>
          <w:rFonts w:hint="eastAsia"/>
          <w:sz w:val="24"/>
          <w:szCs w:val="32"/>
          <w:lang w:val="en-US" w:eastAsia="zh-CN"/>
        </w:rPr>
        <w:t>，用水系数按1.5L/m</w:t>
      </w:r>
      <w:r>
        <w:rPr>
          <w:rFonts w:hint="eastAsia"/>
          <w:sz w:val="24"/>
          <w:szCs w:val="32"/>
          <w:vertAlign w:val="superscript"/>
          <w:lang w:val="en-US" w:eastAsia="zh-CN"/>
        </w:rPr>
        <w:t>2</w:t>
      </w:r>
      <w:r>
        <w:rPr>
          <w:rFonts w:hint="eastAsia"/>
          <w:sz w:val="24"/>
          <w:szCs w:val="32"/>
          <w:lang w:val="en-US" w:eastAsia="zh-CN"/>
        </w:rPr>
        <w:t>计，每天洒水2次，日用水量为3.12t/d，用水全部损耗，无外排废水。冬季不洒水。</w:t>
      </w:r>
    </w:p>
    <w:p w14:paraId="15D93EB5">
      <w:pPr>
        <w:spacing w:line="360" w:lineRule="auto"/>
        <w:rPr>
          <w:rFonts w:hint="eastAsia"/>
          <w:b/>
          <w:bCs/>
          <w:sz w:val="24"/>
          <w:szCs w:val="32"/>
          <w:lang w:val="en-US" w:eastAsia="zh-CN"/>
        </w:rPr>
      </w:pPr>
      <w:r>
        <w:rPr>
          <w:rFonts w:hint="eastAsia"/>
          <w:b/>
          <w:bCs/>
          <w:sz w:val="24"/>
          <w:szCs w:val="32"/>
          <w:lang w:val="en-US" w:eastAsia="zh-CN"/>
        </w:rPr>
        <w:t>⑥厂区洒水降尘用水</w:t>
      </w:r>
    </w:p>
    <w:p w14:paraId="02DC2262">
      <w:pPr>
        <w:spacing w:line="360" w:lineRule="auto"/>
        <w:rPr>
          <w:rFonts w:hint="default"/>
          <w:sz w:val="24"/>
          <w:szCs w:val="32"/>
          <w:lang w:val="en-US" w:eastAsia="zh-CN"/>
        </w:rPr>
      </w:pPr>
      <w:r>
        <w:rPr>
          <w:rFonts w:hint="eastAsia"/>
          <w:sz w:val="24"/>
          <w:szCs w:val="32"/>
          <w:lang w:val="en-US" w:eastAsia="zh-CN"/>
        </w:rPr>
        <w:t xml:space="preserve">    包括物料装卸过程中洒水、厂区内日常洒水，用水量约为1.5t/d，用水全部损耗，无外排废水。</w:t>
      </w:r>
    </w:p>
    <w:p w14:paraId="0D0A41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b/>
          <w:bCs/>
          <w:sz w:val="24"/>
          <w:szCs w:val="32"/>
          <w:lang w:val="en-US" w:eastAsia="zh-CN"/>
        </w:rPr>
      </w:pPr>
      <w:r>
        <w:rPr>
          <w:rFonts w:hint="eastAsia"/>
          <w:b/>
          <w:bCs/>
          <w:sz w:val="24"/>
          <w:szCs w:val="32"/>
          <w:lang w:val="en-US" w:eastAsia="zh-CN"/>
        </w:rPr>
        <w:t>（2）生活用水</w:t>
      </w:r>
    </w:p>
    <w:p w14:paraId="580C42E0">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eastAsia" w:eastAsia="宋体" w:cs="Times New Roman"/>
          <w:color w:val="000000"/>
          <w:sz w:val="24"/>
          <w:szCs w:val="24"/>
          <w:highlight w:val="none"/>
          <w:lang w:val="en-US" w:eastAsia="zh-CN"/>
        </w:rPr>
        <w:t>企业不设置食堂，生活用水仅为员工日常饮用，用水量按</w:t>
      </w:r>
      <w:r>
        <w:rPr>
          <w:rFonts w:hint="eastAsia" w:eastAsia="宋体" w:cs="Times New Roman"/>
          <w:color w:val="auto"/>
          <w:lang w:val="en-US" w:eastAsia="zh-CN"/>
        </w:rPr>
        <w:t>40L</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人•</w:t>
      </w:r>
      <w:r>
        <w:rPr>
          <w:rFonts w:hint="eastAsia" w:eastAsia="宋体" w:cs="Times New Roman"/>
          <w:color w:val="auto"/>
          <w:lang w:val="en-US" w:eastAsia="zh-CN"/>
        </w:rPr>
        <w:t>d</w:t>
      </w:r>
      <w:r>
        <w:rPr>
          <w:rFonts w:hint="default" w:ascii="Times New Roman" w:hAnsi="Times New Roman" w:eastAsia="宋体" w:cs="Times New Roman"/>
          <w:color w:val="auto"/>
          <w:lang w:val="en-US" w:eastAsia="zh-CN"/>
        </w:rPr>
        <w:t>计</w:t>
      </w:r>
      <w:r>
        <w:rPr>
          <w:rFonts w:hint="default" w:ascii="Times New Roman" w:hAnsi="Times New Roman" w:eastAsia="宋体" w:cs="Times New Roman"/>
          <w:color w:val="000000"/>
          <w:sz w:val="24"/>
          <w:szCs w:val="24"/>
          <w:highlight w:val="none"/>
          <w:lang w:val="en-US" w:eastAsia="zh-CN"/>
        </w:rPr>
        <w:t>算，</w:t>
      </w:r>
      <w:r>
        <w:rPr>
          <w:rFonts w:hint="eastAsia" w:eastAsia="宋体" w:cs="Times New Roman"/>
          <w:color w:val="000000"/>
          <w:sz w:val="24"/>
          <w:szCs w:val="24"/>
          <w:highlight w:val="none"/>
          <w:lang w:val="en-US" w:eastAsia="zh-CN"/>
        </w:rPr>
        <w:t>本次</w:t>
      </w:r>
      <w:r>
        <w:rPr>
          <w:rFonts w:hint="eastAsia" w:ascii="Times New Roman" w:hAnsi="Times New Roman" w:eastAsia="宋体" w:cs="Times New Roman"/>
          <w:color w:val="000000"/>
          <w:sz w:val="24"/>
          <w:szCs w:val="24"/>
          <w:highlight w:val="none"/>
          <w:lang w:val="en-US" w:eastAsia="zh-CN"/>
        </w:rPr>
        <w:t>新增</w:t>
      </w:r>
      <w:r>
        <w:rPr>
          <w:rFonts w:hint="default" w:ascii="Times New Roman" w:hAnsi="Times New Roman" w:eastAsia="宋体" w:cs="Times New Roman"/>
          <w:color w:val="000000"/>
          <w:sz w:val="24"/>
          <w:szCs w:val="24"/>
          <w:highlight w:val="none"/>
          <w:lang w:val="en-US" w:eastAsia="zh-CN"/>
        </w:rPr>
        <w:t>劳动定员</w:t>
      </w:r>
      <w:r>
        <w:rPr>
          <w:rFonts w:hint="eastAsia" w:eastAsia="宋体" w:cs="Times New Roman"/>
          <w:color w:val="000000"/>
          <w:sz w:val="24"/>
          <w:szCs w:val="24"/>
          <w:highlight w:val="none"/>
          <w:lang w:val="en-US" w:eastAsia="zh-CN"/>
        </w:rPr>
        <w:t>20</w:t>
      </w:r>
      <w:r>
        <w:rPr>
          <w:rFonts w:hint="default" w:ascii="Times New Roman" w:hAnsi="Times New Roman" w:eastAsia="宋体" w:cs="Times New Roman"/>
          <w:color w:val="000000"/>
          <w:sz w:val="24"/>
          <w:szCs w:val="24"/>
          <w:highlight w:val="none"/>
          <w:lang w:val="en-US" w:eastAsia="zh-CN"/>
        </w:rPr>
        <w:t>人</w:t>
      </w:r>
      <w:r>
        <w:rPr>
          <w:rFonts w:hint="eastAsia" w:eastAsia="宋体" w:cs="Times New Roman"/>
          <w:color w:val="000000"/>
          <w:sz w:val="24"/>
          <w:szCs w:val="24"/>
          <w:highlight w:val="none"/>
          <w:lang w:val="en-US" w:eastAsia="zh-CN"/>
        </w:rPr>
        <w:t>，</w:t>
      </w:r>
      <w:r>
        <w:rPr>
          <w:rFonts w:hint="default" w:ascii="Times New Roman" w:hAnsi="Times New Roman" w:eastAsia="宋体" w:cs="Times New Roman"/>
          <w:color w:val="000000"/>
          <w:sz w:val="24"/>
          <w:szCs w:val="24"/>
          <w:highlight w:val="none"/>
          <w:lang w:val="en-US" w:eastAsia="zh-CN"/>
        </w:rPr>
        <w:t>年生产</w:t>
      </w:r>
      <w:r>
        <w:rPr>
          <w:rFonts w:hint="eastAsia" w:eastAsia="宋体" w:cs="Times New Roman"/>
          <w:color w:val="000000"/>
          <w:sz w:val="24"/>
          <w:szCs w:val="24"/>
          <w:highlight w:val="none"/>
          <w:lang w:val="en-US" w:eastAsia="zh-CN"/>
        </w:rPr>
        <w:t>300</w:t>
      </w:r>
      <w:r>
        <w:rPr>
          <w:rFonts w:hint="default" w:ascii="Times New Roman" w:hAnsi="Times New Roman" w:eastAsia="宋体" w:cs="Times New Roman"/>
          <w:color w:val="000000"/>
          <w:sz w:val="24"/>
          <w:szCs w:val="24"/>
          <w:highlight w:val="none"/>
          <w:lang w:val="en-US" w:eastAsia="zh-CN"/>
        </w:rPr>
        <w:t>天，则用水量为</w:t>
      </w:r>
      <w:r>
        <w:rPr>
          <w:rFonts w:hint="eastAsia" w:eastAsia="宋体" w:cs="Times New Roman"/>
          <w:color w:val="000000"/>
          <w:sz w:val="24"/>
          <w:szCs w:val="24"/>
          <w:highlight w:val="none"/>
          <w:lang w:val="en-US" w:eastAsia="zh-CN"/>
        </w:rPr>
        <w:t>240</w:t>
      </w:r>
      <w:r>
        <w:rPr>
          <w:rFonts w:hint="eastAsia" w:cs="Times New Roman"/>
          <w:color w:val="000000"/>
          <w:sz w:val="24"/>
          <w:szCs w:val="24"/>
          <w:highlight w:val="none"/>
          <w:lang w:val="en-US" w:eastAsia="zh-CN"/>
        </w:rPr>
        <w:t>t</w:t>
      </w:r>
      <w:r>
        <w:rPr>
          <w:rFonts w:hint="default" w:ascii="Times New Roman" w:hAnsi="Times New Roman" w:eastAsia="宋体" w:cs="Times New Roman"/>
          <w:color w:val="000000"/>
          <w:sz w:val="24"/>
          <w:szCs w:val="24"/>
          <w:highlight w:val="none"/>
          <w:lang w:val="en-US" w:eastAsia="zh-CN"/>
        </w:rPr>
        <w:t>/</w:t>
      </w:r>
      <w:r>
        <w:rPr>
          <w:rFonts w:hint="eastAsia" w:cs="Times New Roman"/>
          <w:color w:val="000000"/>
          <w:sz w:val="24"/>
          <w:szCs w:val="24"/>
          <w:highlight w:val="none"/>
          <w:lang w:val="en-US" w:eastAsia="zh-CN"/>
        </w:rPr>
        <w:t>a</w:t>
      </w:r>
      <w:r>
        <w:rPr>
          <w:rFonts w:hint="eastAsia" w:ascii="Times New Roman" w:hAnsi="Times New Roman" w:eastAsia="宋体" w:cs="Times New Roman"/>
          <w:color w:val="auto"/>
          <w:sz w:val="24"/>
          <w:szCs w:val="21"/>
          <w:highlight w:val="none"/>
          <w:shd w:val="clear" w:color="auto" w:fill="auto"/>
          <w:lang w:val="en-US" w:eastAsia="zh-CN"/>
        </w:rPr>
        <w:t>。</w:t>
      </w:r>
      <w:r>
        <w:rPr>
          <w:rFonts w:hint="default" w:ascii="Times New Roman" w:hAnsi="Times New Roman" w:eastAsia="宋体" w:cs="Times New Roman"/>
          <w:b w:val="0"/>
          <w:bCs w:val="0"/>
          <w:color w:val="auto"/>
          <w:sz w:val="24"/>
          <w:szCs w:val="24"/>
          <w:highlight w:val="none"/>
          <w:lang w:val="en-US" w:eastAsia="zh-CN"/>
        </w:rPr>
        <w:t>生活污水排放</w:t>
      </w:r>
      <w:r>
        <w:rPr>
          <w:rFonts w:hint="default" w:eastAsia="宋体" w:cs="Times New Roman"/>
          <w:color w:val="000000"/>
          <w:sz w:val="24"/>
          <w:szCs w:val="24"/>
          <w:highlight w:val="none"/>
          <w:lang w:val="en-US" w:eastAsia="zh-CN"/>
        </w:rPr>
        <w:t>量按</w:t>
      </w:r>
      <w:r>
        <w:rPr>
          <w:rFonts w:hint="eastAsia" w:eastAsia="宋体" w:cs="Times New Roman"/>
          <w:color w:val="000000"/>
          <w:sz w:val="24"/>
          <w:szCs w:val="24"/>
          <w:highlight w:val="none"/>
          <w:lang w:val="en-US" w:eastAsia="zh-CN"/>
        </w:rPr>
        <w:t>用水量</w:t>
      </w:r>
      <w:r>
        <w:rPr>
          <w:rFonts w:hint="default" w:eastAsia="宋体" w:cs="Times New Roman"/>
          <w:color w:val="000000"/>
          <w:sz w:val="24"/>
          <w:szCs w:val="24"/>
          <w:highlight w:val="none"/>
          <w:lang w:val="en-US" w:eastAsia="zh-CN"/>
        </w:rPr>
        <w:t>的80%计算，</w:t>
      </w:r>
      <w:r>
        <w:rPr>
          <w:rFonts w:hint="eastAsia" w:eastAsia="宋体" w:cs="Times New Roman"/>
          <w:color w:val="000000"/>
          <w:sz w:val="24"/>
          <w:szCs w:val="24"/>
          <w:highlight w:val="none"/>
          <w:lang w:val="en-US" w:eastAsia="zh-CN"/>
        </w:rPr>
        <w:t>产生</w:t>
      </w:r>
      <w:r>
        <w:rPr>
          <w:rFonts w:hint="default" w:eastAsia="宋体" w:cs="Times New Roman"/>
          <w:color w:val="000000"/>
          <w:sz w:val="24"/>
          <w:szCs w:val="24"/>
          <w:highlight w:val="none"/>
          <w:lang w:val="en-US" w:eastAsia="zh-CN"/>
        </w:rPr>
        <w:t>量为</w:t>
      </w:r>
      <w:r>
        <w:rPr>
          <w:rFonts w:hint="eastAsia" w:eastAsia="宋体" w:cs="Times New Roman"/>
          <w:color w:val="000000"/>
          <w:sz w:val="24"/>
          <w:szCs w:val="24"/>
          <w:highlight w:val="none"/>
          <w:lang w:val="en-US" w:eastAsia="zh-CN"/>
        </w:rPr>
        <w:t>192t</w:t>
      </w:r>
      <w:r>
        <w:rPr>
          <w:rFonts w:hint="default"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a，生活污水排入厂区现有旱厕，定期清掏，不外排</w:t>
      </w:r>
      <w:r>
        <w:rPr>
          <w:rFonts w:hint="eastAsia" w:ascii="Times New Roman" w:hAnsi="Times New Roman" w:eastAsia="宋体" w:cs="Times New Roman"/>
          <w:color w:val="auto"/>
          <w:lang w:val="en-US" w:eastAsia="zh-CN"/>
        </w:rPr>
        <w:t>。</w:t>
      </w:r>
    </w:p>
    <w:p w14:paraId="385AC0A5">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color w:val="auto"/>
          <w:sz w:val="24"/>
        </w:rPr>
      </w:pPr>
      <w:r>
        <w:rPr>
          <w:color w:val="auto"/>
          <w:sz w:val="24"/>
        </w:rPr>
        <w:t>选矿废水是一个累积的过程，</w:t>
      </w:r>
      <w:r>
        <w:rPr>
          <w:rFonts w:hint="eastAsia"/>
          <w:color w:val="auto"/>
          <w:sz w:val="24"/>
        </w:rPr>
        <w:t>选矿</w:t>
      </w:r>
      <w:r>
        <w:rPr>
          <w:color w:val="auto"/>
          <w:sz w:val="24"/>
        </w:rPr>
        <w:t>废水污染因子</w:t>
      </w:r>
      <w:r>
        <w:rPr>
          <w:rFonts w:hint="eastAsia"/>
          <w:color w:val="auto"/>
          <w:sz w:val="24"/>
          <w:lang w:val="en-US" w:eastAsia="zh-CN"/>
        </w:rPr>
        <w:t>源强</w:t>
      </w:r>
      <w:r>
        <w:rPr>
          <w:rFonts w:hint="eastAsia"/>
          <w:color w:val="auto"/>
          <w:sz w:val="24"/>
        </w:rPr>
        <w:t>类比</w:t>
      </w:r>
      <w:r>
        <w:rPr>
          <w:rFonts w:hint="eastAsia"/>
          <w:color w:val="auto"/>
          <w:sz w:val="24"/>
          <w:lang w:eastAsia="zh-CN"/>
        </w:rPr>
        <w:t>《</w:t>
      </w:r>
      <w:r>
        <w:rPr>
          <w:rFonts w:hint="eastAsia"/>
          <w:color w:val="auto"/>
          <w:sz w:val="24"/>
          <w:lang w:val="en-US" w:eastAsia="zh-CN"/>
        </w:rPr>
        <w:t>北票市龙兴矿业有限公司选矿试验中尾矿废水检测报告</w:t>
      </w:r>
      <w:r>
        <w:rPr>
          <w:rFonts w:hint="eastAsia"/>
          <w:color w:val="auto"/>
          <w:sz w:val="24"/>
          <w:lang w:eastAsia="zh-CN"/>
        </w:rPr>
        <w:t>》</w:t>
      </w:r>
      <w:r>
        <w:rPr>
          <w:color w:val="auto"/>
          <w:sz w:val="24"/>
        </w:rPr>
        <w:t>，</w:t>
      </w:r>
      <w:r>
        <w:rPr>
          <w:rFonts w:hint="eastAsia"/>
          <w:color w:val="auto"/>
          <w:sz w:val="24"/>
        </w:rPr>
        <w:t>该选厂选矿原料、</w:t>
      </w:r>
      <w:r>
        <w:rPr>
          <w:color w:val="auto"/>
          <w:sz w:val="24"/>
        </w:rPr>
        <w:t>生产产品、工艺</w:t>
      </w:r>
      <w:r>
        <w:rPr>
          <w:rFonts w:hint="eastAsia"/>
          <w:color w:val="auto"/>
          <w:sz w:val="24"/>
        </w:rPr>
        <w:t>、</w:t>
      </w:r>
      <w:r>
        <w:rPr>
          <w:color w:val="auto"/>
          <w:sz w:val="24"/>
        </w:rPr>
        <w:t>及浮选药剂</w:t>
      </w:r>
      <w:r>
        <w:rPr>
          <w:rFonts w:hint="eastAsia"/>
          <w:color w:val="auto"/>
          <w:sz w:val="24"/>
          <w:lang w:val="en-US" w:eastAsia="zh-CN"/>
        </w:rPr>
        <w:t>均与</w:t>
      </w:r>
      <w:r>
        <w:rPr>
          <w:color w:val="auto"/>
          <w:sz w:val="24"/>
        </w:rPr>
        <w:t>本项目相近，选矿废水水质</w:t>
      </w:r>
      <w:r>
        <w:rPr>
          <w:rFonts w:hint="eastAsia"/>
          <w:color w:val="auto"/>
          <w:sz w:val="24"/>
        </w:rPr>
        <w:t>分析</w:t>
      </w:r>
      <w:r>
        <w:rPr>
          <w:color w:val="auto"/>
          <w:sz w:val="24"/>
        </w:rPr>
        <w:t>如下：</w:t>
      </w:r>
    </w:p>
    <w:p w14:paraId="0A030237">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3.3-5</w:t>
      </w:r>
      <w:r>
        <w:rPr>
          <w:rFonts w:hint="eastAsia" w:ascii="Times New Roman" w:hAnsi="Times New Roman" w:eastAsia="宋体" w:cs="Times New Roman"/>
          <w:b/>
          <w:color w:val="auto"/>
          <w:kern w:val="2"/>
          <w:sz w:val="24"/>
          <w:szCs w:val="24"/>
          <w:lang w:val="en-US" w:eastAsia="zh-CN" w:bidi="ar-SA"/>
        </w:rPr>
        <w:t xml:space="preserve">     </w:t>
      </w:r>
      <w:r>
        <w:rPr>
          <w:rFonts w:hint="eastAsia" w:cs="Times New Roman"/>
          <w:b/>
          <w:color w:val="auto"/>
          <w:kern w:val="2"/>
          <w:sz w:val="24"/>
          <w:szCs w:val="24"/>
          <w:lang w:val="en-US" w:eastAsia="zh-CN" w:bidi="ar-SA"/>
        </w:rPr>
        <w:t>选矿</w:t>
      </w:r>
      <w:r>
        <w:rPr>
          <w:rFonts w:hint="eastAsia" w:ascii="Times New Roman" w:hAnsi="Times New Roman" w:eastAsia="宋体" w:cs="Times New Roman"/>
          <w:b/>
          <w:color w:val="auto"/>
          <w:kern w:val="2"/>
          <w:sz w:val="24"/>
          <w:szCs w:val="24"/>
          <w:lang w:val="en-US" w:eastAsia="zh-CN" w:bidi="ar-SA"/>
        </w:rPr>
        <w:t>废水</w:t>
      </w:r>
      <w:r>
        <w:rPr>
          <w:rFonts w:hint="eastAsia" w:cs="Times New Roman"/>
          <w:b/>
          <w:color w:val="auto"/>
          <w:kern w:val="2"/>
          <w:sz w:val="24"/>
          <w:szCs w:val="24"/>
          <w:lang w:val="en-US" w:eastAsia="zh-CN" w:bidi="ar-SA"/>
        </w:rPr>
        <w:t>污染因子检测结果一览表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0"/>
      </w:tblGrid>
      <w:tr w14:paraId="64B1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6" w:hRule="atLeast"/>
        </w:trPr>
        <w:tc>
          <w:tcPr>
            <w:tcW w:w="7760" w:type="dxa"/>
          </w:tcPr>
          <w:p w14:paraId="365A86A1">
            <w:pPr>
              <w:pStyle w:val="1486"/>
              <w:ind w:left="0" w:leftChars="0" w:firstLine="0" w:firstLineChars="0"/>
              <w:rPr>
                <w:rFonts w:hint="default" w:ascii="Times New Roman" w:hAnsi="Times New Roman" w:eastAsia="宋体" w:cs="Times New Roman"/>
                <w:color w:val="auto"/>
                <w:vertAlign w:val="baseline"/>
              </w:rPr>
            </w:pPr>
            <w:r>
              <w:drawing>
                <wp:anchor distT="0" distB="0" distL="114300" distR="114300" simplePos="0" relativeHeight="251671552" behindDoc="0" locked="0" layoutInCell="1" allowOverlap="1">
                  <wp:simplePos x="0" y="0"/>
                  <wp:positionH relativeFrom="column">
                    <wp:posOffset>-20320</wp:posOffset>
                  </wp:positionH>
                  <wp:positionV relativeFrom="paragraph">
                    <wp:posOffset>2778125</wp:posOffset>
                  </wp:positionV>
                  <wp:extent cx="4271010" cy="4189095"/>
                  <wp:effectExtent l="0" t="0" r="15240" b="1905"/>
                  <wp:wrapTopAndBottom/>
                  <wp:docPr id="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pic:cNvPicPr>
                            <a:picLocks noChangeAspect="1"/>
                          </pic:cNvPicPr>
                        </pic:nvPicPr>
                        <pic:blipFill>
                          <a:blip r:embed="rId43"/>
                          <a:stretch>
                            <a:fillRect/>
                          </a:stretch>
                        </pic:blipFill>
                        <pic:spPr>
                          <a:xfrm>
                            <a:off x="0" y="0"/>
                            <a:ext cx="4271010" cy="418909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0</wp:posOffset>
                  </wp:positionH>
                  <wp:positionV relativeFrom="paragraph">
                    <wp:posOffset>-3192780</wp:posOffset>
                  </wp:positionV>
                  <wp:extent cx="4278630" cy="2740025"/>
                  <wp:effectExtent l="0" t="0" r="7620" b="3175"/>
                  <wp:wrapTopAndBottom/>
                  <wp:docPr id="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pic:cNvPicPr>
                            <a:picLocks noChangeAspect="1"/>
                          </pic:cNvPicPr>
                        </pic:nvPicPr>
                        <pic:blipFill>
                          <a:blip r:embed="rId44"/>
                          <a:stretch>
                            <a:fillRect/>
                          </a:stretch>
                        </pic:blipFill>
                        <pic:spPr>
                          <a:xfrm>
                            <a:off x="0" y="0"/>
                            <a:ext cx="4278630" cy="2740025"/>
                          </a:xfrm>
                          <a:prstGeom prst="rect">
                            <a:avLst/>
                          </a:prstGeom>
                          <a:noFill/>
                          <a:ln>
                            <a:noFill/>
                          </a:ln>
                        </pic:spPr>
                      </pic:pic>
                    </a:graphicData>
                  </a:graphic>
                </wp:anchor>
              </w:drawing>
            </w:r>
          </w:p>
        </w:tc>
      </w:tr>
    </w:tbl>
    <w:p w14:paraId="5AC670F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2"/>
          <w:sz w:val="24"/>
          <w:szCs w:val="24"/>
          <w:highlight w:val="none"/>
          <w:lang w:val="en-US" w:eastAsia="zh-CN" w:bidi="ar-SA"/>
        </w:rPr>
      </w:pPr>
      <w:r>
        <w:rPr>
          <w:rFonts w:hint="eastAsia" w:ascii="Times New Roman" w:hAnsi="Times New Roman" w:eastAsia="宋体" w:cs="Times New Roman"/>
          <w:color w:val="000000"/>
          <w:kern w:val="2"/>
          <w:sz w:val="24"/>
          <w:szCs w:val="24"/>
          <w:highlight w:val="none"/>
          <w:lang w:val="en-US" w:eastAsia="zh-CN" w:bidi="ar-SA"/>
        </w:rPr>
        <w:t>由上表可知，</w:t>
      </w:r>
      <w:r>
        <w:rPr>
          <w:rFonts w:hint="eastAsia" w:cs="Times New Roman"/>
          <w:color w:val="000000"/>
          <w:kern w:val="2"/>
          <w:sz w:val="24"/>
          <w:szCs w:val="24"/>
          <w:highlight w:val="none"/>
          <w:lang w:val="en-US" w:eastAsia="zh-CN" w:bidi="ar-SA"/>
        </w:rPr>
        <w:t>选矿废水</w:t>
      </w:r>
      <w:r>
        <w:rPr>
          <w:rFonts w:hint="eastAsia" w:ascii="Times New Roman" w:hAnsi="Times New Roman" w:eastAsia="宋体" w:cs="Times New Roman"/>
          <w:color w:val="000000"/>
          <w:kern w:val="2"/>
          <w:sz w:val="24"/>
          <w:szCs w:val="24"/>
          <w:highlight w:val="none"/>
          <w:lang w:val="en-US" w:eastAsia="zh-CN" w:bidi="ar-SA"/>
        </w:rPr>
        <w:t>水质</w:t>
      </w:r>
      <w:r>
        <w:rPr>
          <w:rFonts w:hint="eastAsia" w:cs="Times New Roman"/>
          <w:color w:val="000000"/>
          <w:kern w:val="2"/>
          <w:sz w:val="24"/>
          <w:szCs w:val="24"/>
          <w:highlight w:val="none"/>
          <w:lang w:val="en-US" w:eastAsia="zh-CN" w:bidi="ar-SA"/>
        </w:rPr>
        <w:t>各项</w:t>
      </w:r>
      <w:r>
        <w:rPr>
          <w:rFonts w:hint="eastAsia" w:ascii="Times New Roman" w:hAnsi="Times New Roman" w:eastAsia="宋体" w:cs="Times New Roman"/>
          <w:color w:val="000000"/>
          <w:kern w:val="2"/>
          <w:sz w:val="24"/>
          <w:szCs w:val="24"/>
          <w:highlight w:val="none"/>
          <w:lang w:val="en-US" w:eastAsia="zh-CN" w:bidi="ar-SA"/>
        </w:rPr>
        <w:t>指标均满足《城市污水再生利用 工业用水水质标准》（</w:t>
      </w:r>
      <w:r>
        <w:rPr>
          <w:rFonts w:hint="default" w:ascii="Times New Roman" w:hAnsi="Times New Roman" w:eastAsia="宋体" w:cs="Times New Roman"/>
          <w:color w:val="000000"/>
          <w:kern w:val="2"/>
          <w:sz w:val="24"/>
          <w:szCs w:val="24"/>
          <w:highlight w:val="none"/>
          <w:lang w:val="en-US" w:eastAsia="zh-CN" w:bidi="ar-SA"/>
        </w:rPr>
        <w:t>GB/T19923-2024</w:t>
      </w:r>
      <w:r>
        <w:rPr>
          <w:rFonts w:hint="eastAsia" w:ascii="Times New Roman" w:hAnsi="Times New Roman" w:eastAsia="宋体" w:cs="Times New Roman"/>
          <w:color w:val="000000"/>
          <w:kern w:val="2"/>
          <w:sz w:val="24"/>
          <w:szCs w:val="24"/>
          <w:highlight w:val="none"/>
          <w:lang w:val="en-US" w:eastAsia="zh-CN" w:bidi="ar-SA"/>
        </w:rPr>
        <w:t>）工艺与产品用水标准，</w:t>
      </w:r>
      <w:r>
        <w:rPr>
          <w:rFonts w:hint="eastAsia" w:cs="Times New Roman"/>
          <w:color w:val="000000"/>
          <w:kern w:val="2"/>
          <w:sz w:val="24"/>
          <w:szCs w:val="24"/>
          <w:highlight w:val="none"/>
          <w:lang w:val="en-US" w:eastAsia="zh-CN" w:bidi="ar-SA"/>
        </w:rPr>
        <w:t>因此，满足</w:t>
      </w:r>
      <w:r>
        <w:rPr>
          <w:rFonts w:hint="eastAsia" w:ascii="Times New Roman" w:hAnsi="Times New Roman" w:eastAsia="宋体" w:cs="Times New Roman"/>
          <w:color w:val="000000"/>
          <w:kern w:val="2"/>
          <w:sz w:val="24"/>
          <w:szCs w:val="24"/>
          <w:highlight w:val="none"/>
          <w:lang w:val="en-US" w:eastAsia="zh-CN" w:bidi="ar-SA"/>
        </w:rPr>
        <w:t>回用选厂生产的</w:t>
      </w:r>
      <w:r>
        <w:rPr>
          <w:rFonts w:hint="eastAsia" w:cs="Times New Roman"/>
          <w:color w:val="000000"/>
          <w:kern w:val="2"/>
          <w:sz w:val="24"/>
          <w:szCs w:val="24"/>
          <w:highlight w:val="none"/>
          <w:lang w:val="en-US" w:eastAsia="zh-CN" w:bidi="ar-SA"/>
        </w:rPr>
        <w:t>水质</w:t>
      </w:r>
      <w:r>
        <w:rPr>
          <w:rFonts w:hint="eastAsia" w:ascii="Times New Roman" w:hAnsi="Times New Roman" w:eastAsia="宋体" w:cs="Times New Roman"/>
          <w:color w:val="000000"/>
          <w:kern w:val="2"/>
          <w:sz w:val="24"/>
          <w:szCs w:val="24"/>
          <w:highlight w:val="none"/>
          <w:lang w:val="en-US" w:eastAsia="zh-CN" w:bidi="ar-SA"/>
        </w:rPr>
        <w:t>要求。</w:t>
      </w:r>
    </w:p>
    <w:p w14:paraId="380E9096">
      <w:pPr>
        <w:pStyle w:val="1486"/>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eastAsia="宋体" w:cs="Times New Roman"/>
          <w:b/>
          <w:bCs/>
          <w:color w:val="auto"/>
          <w:lang w:val="en-US" w:eastAsia="zh-CN"/>
        </w:rPr>
      </w:pPr>
      <w:r>
        <w:rPr>
          <w:rFonts w:hint="eastAsia" w:eastAsia="宋体" w:cs="Times New Roman"/>
          <w:b/>
          <w:bCs/>
          <w:color w:val="auto"/>
          <w:lang w:val="en-US" w:eastAsia="zh-CN"/>
        </w:rPr>
        <w:t>（三）噪声污染源分析</w:t>
      </w:r>
    </w:p>
    <w:p w14:paraId="2DA2ED1C">
      <w:pPr>
        <w:spacing w:line="360" w:lineRule="auto"/>
        <w:ind w:firstLine="480" w:firstLineChars="200"/>
        <w:rPr>
          <w:color w:val="auto"/>
          <w:sz w:val="24"/>
        </w:rPr>
      </w:pPr>
      <w:r>
        <w:rPr>
          <w:color w:val="auto"/>
          <w:sz w:val="24"/>
        </w:rPr>
        <w:t>选矿工程主要的噪声源有颚式破碎机、</w:t>
      </w:r>
      <w:r>
        <w:rPr>
          <w:rFonts w:hint="eastAsia"/>
          <w:color w:val="auto"/>
          <w:sz w:val="24"/>
          <w:lang w:val="en-US" w:eastAsia="zh-CN"/>
        </w:rPr>
        <w:t>锤式</w:t>
      </w:r>
      <w:r>
        <w:rPr>
          <w:color w:val="auto"/>
          <w:sz w:val="24"/>
        </w:rPr>
        <w:t>破碎机、球磨机、磁选机等生产机械设备运行时产生的噪声。</w:t>
      </w:r>
      <w:r>
        <w:rPr>
          <w:rFonts w:hint="eastAsia"/>
          <w:color w:val="auto"/>
          <w:sz w:val="24"/>
        </w:rPr>
        <w:t>其</w:t>
      </w:r>
      <w:r>
        <w:rPr>
          <w:color w:val="auto"/>
          <w:sz w:val="24"/>
        </w:rPr>
        <w:t>产噪设备噪声产生情况，其噪声源情况见</w:t>
      </w:r>
      <w:r>
        <w:rPr>
          <w:rFonts w:hint="eastAsia"/>
          <w:color w:val="auto"/>
          <w:sz w:val="24"/>
          <w:lang w:eastAsia="zh-CN"/>
        </w:rPr>
        <w:t>下</w:t>
      </w:r>
      <w:r>
        <w:rPr>
          <w:color w:val="auto"/>
          <w:sz w:val="24"/>
        </w:rPr>
        <w:t>表。</w:t>
      </w:r>
    </w:p>
    <w:p w14:paraId="5689FE80">
      <w:pPr>
        <w:pStyle w:val="74"/>
        <w:rPr>
          <w:color w:val="auto"/>
          <w:sz w:val="24"/>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361FB7C5">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 xml:space="preserve">3.3-6 </w:t>
      </w:r>
      <w:r>
        <w:rPr>
          <w:rFonts w:hint="default" w:ascii="Times New Roman" w:hAnsi="Times New Roman" w:eastAsia="宋体" w:cs="Times New Roman"/>
          <w:b/>
          <w:color w:val="auto"/>
          <w:kern w:val="2"/>
          <w:sz w:val="24"/>
          <w:szCs w:val="24"/>
          <w:lang w:val="en-US" w:eastAsia="zh-CN" w:bidi="ar-SA"/>
        </w:rPr>
        <w:t xml:space="preserve">    工业企业噪声源强调查清单（室内声源）</w:t>
      </w:r>
    </w:p>
    <w:tbl>
      <w:tblPr>
        <w:tblStyle w:val="1496"/>
        <w:tblW w:w="138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590"/>
        <w:gridCol w:w="1130"/>
        <w:gridCol w:w="1140"/>
        <w:gridCol w:w="795"/>
        <w:gridCol w:w="754"/>
        <w:gridCol w:w="637"/>
        <w:gridCol w:w="696"/>
        <w:gridCol w:w="718"/>
        <w:gridCol w:w="1085"/>
        <w:gridCol w:w="1058"/>
        <w:gridCol w:w="1238"/>
        <w:gridCol w:w="1291"/>
        <w:gridCol w:w="1125"/>
        <w:gridCol w:w="1099"/>
      </w:tblGrid>
      <w:tr w14:paraId="3864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3" w:type="dxa"/>
            <w:vMerge w:val="restart"/>
            <w:tcBorders>
              <w:tl2br w:val="nil"/>
              <w:tr2bl w:val="nil"/>
            </w:tcBorders>
            <w:vAlign w:val="center"/>
          </w:tcPr>
          <w:p w14:paraId="0494E91B">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序号</w:t>
            </w:r>
          </w:p>
        </w:tc>
        <w:tc>
          <w:tcPr>
            <w:tcW w:w="590" w:type="dxa"/>
            <w:vMerge w:val="restart"/>
            <w:tcBorders>
              <w:tl2br w:val="nil"/>
              <w:tr2bl w:val="nil"/>
            </w:tcBorders>
            <w:vAlign w:val="center"/>
          </w:tcPr>
          <w:p w14:paraId="399A3E12">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w:t>
            </w:r>
          </w:p>
          <w:p w14:paraId="27E78FBC">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名称</w:t>
            </w:r>
          </w:p>
        </w:tc>
        <w:tc>
          <w:tcPr>
            <w:tcW w:w="1130" w:type="dxa"/>
            <w:vMerge w:val="restart"/>
            <w:tcBorders>
              <w:tl2br w:val="nil"/>
              <w:tr2bl w:val="nil"/>
            </w:tcBorders>
            <w:vAlign w:val="center"/>
          </w:tcPr>
          <w:p w14:paraId="686CC3C9">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声源名称</w:t>
            </w:r>
          </w:p>
        </w:tc>
        <w:tc>
          <w:tcPr>
            <w:tcW w:w="1140" w:type="dxa"/>
            <w:vMerge w:val="restart"/>
            <w:tcBorders>
              <w:tl2br w:val="nil"/>
              <w:tr2bl w:val="nil"/>
            </w:tcBorders>
            <w:vAlign w:val="center"/>
          </w:tcPr>
          <w:p w14:paraId="6306EEEF">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型号</w:t>
            </w:r>
          </w:p>
        </w:tc>
        <w:tc>
          <w:tcPr>
            <w:tcW w:w="795" w:type="dxa"/>
            <w:tcBorders>
              <w:tl2br w:val="nil"/>
              <w:tr2bl w:val="nil"/>
            </w:tcBorders>
            <w:vAlign w:val="center"/>
          </w:tcPr>
          <w:p w14:paraId="7702C92D">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声源源强</w:t>
            </w:r>
          </w:p>
        </w:tc>
        <w:tc>
          <w:tcPr>
            <w:tcW w:w="754" w:type="dxa"/>
            <w:vMerge w:val="restart"/>
            <w:tcBorders>
              <w:tl2br w:val="nil"/>
              <w:tr2bl w:val="nil"/>
            </w:tcBorders>
            <w:vAlign w:val="center"/>
          </w:tcPr>
          <w:p w14:paraId="1897EA3F">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声源控制措施</w:t>
            </w:r>
          </w:p>
        </w:tc>
        <w:tc>
          <w:tcPr>
            <w:tcW w:w="2051" w:type="dxa"/>
            <w:gridSpan w:val="3"/>
            <w:tcBorders>
              <w:tl2br w:val="nil"/>
              <w:tr2bl w:val="nil"/>
            </w:tcBorders>
            <w:vAlign w:val="center"/>
          </w:tcPr>
          <w:p w14:paraId="3E77C29C">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空间相对位置/m</w:t>
            </w:r>
          </w:p>
        </w:tc>
        <w:tc>
          <w:tcPr>
            <w:tcW w:w="1085" w:type="dxa"/>
            <w:vMerge w:val="restart"/>
            <w:tcBorders>
              <w:tl2br w:val="nil"/>
              <w:tr2bl w:val="nil"/>
            </w:tcBorders>
            <w:vAlign w:val="center"/>
          </w:tcPr>
          <w:p w14:paraId="61C231C1">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距离室内边界距离/m</w:t>
            </w:r>
          </w:p>
        </w:tc>
        <w:tc>
          <w:tcPr>
            <w:tcW w:w="1058" w:type="dxa"/>
            <w:vMerge w:val="restart"/>
            <w:tcBorders>
              <w:tl2br w:val="nil"/>
              <w:tr2bl w:val="nil"/>
            </w:tcBorders>
            <w:vAlign w:val="center"/>
          </w:tcPr>
          <w:p w14:paraId="03E8AD59">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室内边界声级/dB（A）</w:t>
            </w:r>
          </w:p>
        </w:tc>
        <w:tc>
          <w:tcPr>
            <w:tcW w:w="1238" w:type="dxa"/>
            <w:vMerge w:val="restart"/>
            <w:tcBorders>
              <w:tl2br w:val="nil"/>
              <w:tr2bl w:val="nil"/>
            </w:tcBorders>
            <w:vAlign w:val="center"/>
          </w:tcPr>
          <w:p w14:paraId="10E472BA">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运行时段</w:t>
            </w:r>
          </w:p>
        </w:tc>
        <w:tc>
          <w:tcPr>
            <w:tcW w:w="1291" w:type="dxa"/>
            <w:vMerge w:val="restart"/>
            <w:tcBorders>
              <w:tl2br w:val="nil"/>
              <w:tr2bl w:val="nil"/>
            </w:tcBorders>
            <w:vAlign w:val="center"/>
          </w:tcPr>
          <w:p w14:paraId="7BCE3D35">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建筑物插入损失/dB（A）</w:t>
            </w:r>
          </w:p>
        </w:tc>
        <w:tc>
          <w:tcPr>
            <w:tcW w:w="2224" w:type="dxa"/>
            <w:gridSpan w:val="2"/>
            <w:tcBorders>
              <w:tl2br w:val="nil"/>
              <w:tr2bl w:val="nil"/>
            </w:tcBorders>
            <w:vAlign w:val="center"/>
          </w:tcPr>
          <w:p w14:paraId="6662855D">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建筑物外噪声</w:t>
            </w:r>
          </w:p>
        </w:tc>
      </w:tr>
      <w:tr w14:paraId="5F762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3" w:type="dxa"/>
            <w:vMerge w:val="continue"/>
            <w:tcBorders>
              <w:tl2br w:val="nil"/>
              <w:tr2bl w:val="nil"/>
            </w:tcBorders>
            <w:vAlign w:val="center"/>
          </w:tcPr>
          <w:p w14:paraId="7727D255">
            <w:pPr>
              <w:pStyle w:val="1489"/>
              <w:spacing w:line="240" w:lineRule="auto"/>
              <w:jc w:val="center"/>
              <w:rPr>
                <w:rFonts w:hint="default" w:ascii="Times New Roman" w:hAnsi="Times New Roman" w:eastAsia="宋体" w:cs="Times New Roman"/>
                <w:b w:val="0"/>
                <w:bCs/>
                <w:color w:val="auto"/>
                <w:sz w:val="21"/>
                <w:szCs w:val="21"/>
                <w:highlight w:val="none"/>
              </w:rPr>
            </w:pPr>
          </w:p>
        </w:tc>
        <w:tc>
          <w:tcPr>
            <w:tcW w:w="590" w:type="dxa"/>
            <w:vMerge w:val="continue"/>
            <w:tcBorders>
              <w:tl2br w:val="nil"/>
              <w:tr2bl w:val="nil"/>
            </w:tcBorders>
            <w:vAlign w:val="center"/>
          </w:tcPr>
          <w:p w14:paraId="74009E41">
            <w:pPr>
              <w:pStyle w:val="1489"/>
              <w:spacing w:line="240" w:lineRule="auto"/>
              <w:jc w:val="center"/>
              <w:rPr>
                <w:rFonts w:hint="default" w:ascii="Times New Roman" w:hAnsi="Times New Roman" w:eastAsia="宋体" w:cs="Times New Roman"/>
                <w:b w:val="0"/>
                <w:bCs/>
                <w:color w:val="auto"/>
                <w:sz w:val="21"/>
                <w:szCs w:val="21"/>
                <w:highlight w:val="none"/>
              </w:rPr>
            </w:pPr>
          </w:p>
        </w:tc>
        <w:tc>
          <w:tcPr>
            <w:tcW w:w="1130" w:type="dxa"/>
            <w:vMerge w:val="continue"/>
            <w:tcBorders>
              <w:tl2br w:val="nil"/>
              <w:tr2bl w:val="nil"/>
            </w:tcBorders>
            <w:vAlign w:val="center"/>
          </w:tcPr>
          <w:p w14:paraId="5948E85E">
            <w:pPr>
              <w:pStyle w:val="1489"/>
              <w:spacing w:line="240" w:lineRule="auto"/>
              <w:jc w:val="center"/>
              <w:rPr>
                <w:rFonts w:hint="default" w:ascii="Times New Roman" w:hAnsi="Times New Roman" w:eastAsia="宋体" w:cs="Times New Roman"/>
                <w:b w:val="0"/>
                <w:bCs/>
                <w:color w:val="auto"/>
                <w:sz w:val="21"/>
                <w:szCs w:val="21"/>
                <w:highlight w:val="none"/>
              </w:rPr>
            </w:pPr>
          </w:p>
        </w:tc>
        <w:tc>
          <w:tcPr>
            <w:tcW w:w="1140" w:type="dxa"/>
            <w:vMerge w:val="continue"/>
            <w:tcBorders>
              <w:tl2br w:val="nil"/>
              <w:tr2bl w:val="nil"/>
            </w:tcBorders>
            <w:vAlign w:val="center"/>
          </w:tcPr>
          <w:p w14:paraId="33047B03">
            <w:pPr>
              <w:pStyle w:val="1489"/>
              <w:spacing w:line="240" w:lineRule="auto"/>
              <w:jc w:val="center"/>
              <w:rPr>
                <w:rFonts w:hint="default" w:ascii="Times New Roman" w:hAnsi="Times New Roman" w:eastAsia="宋体" w:cs="Times New Roman"/>
                <w:b w:val="0"/>
                <w:bCs/>
                <w:color w:val="auto"/>
                <w:sz w:val="21"/>
                <w:szCs w:val="21"/>
                <w:highlight w:val="none"/>
              </w:rPr>
            </w:pPr>
          </w:p>
        </w:tc>
        <w:tc>
          <w:tcPr>
            <w:tcW w:w="795" w:type="dxa"/>
            <w:tcBorders>
              <w:tl2br w:val="nil"/>
              <w:tr2bl w:val="nil"/>
            </w:tcBorders>
            <w:vAlign w:val="center"/>
          </w:tcPr>
          <w:p w14:paraId="33CEEEDE">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声压级/dB(A)</w:t>
            </w:r>
          </w:p>
        </w:tc>
        <w:tc>
          <w:tcPr>
            <w:tcW w:w="754" w:type="dxa"/>
            <w:vMerge w:val="continue"/>
            <w:tcBorders>
              <w:tl2br w:val="nil"/>
              <w:tr2bl w:val="nil"/>
            </w:tcBorders>
            <w:vAlign w:val="center"/>
          </w:tcPr>
          <w:p w14:paraId="30C5DE19">
            <w:pPr>
              <w:pStyle w:val="1489"/>
              <w:spacing w:line="240" w:lineRule="auto"/>
              <w:jc w:val="center"/>
              <w:rPr>
                <w:rFonts w:hint="default" w:ascii="Times New Roman" w:hAnsi="Times New Roman" w:eastAsia="宋体" w:cs="Times New Roman"/>
                <w:b w:val="0"/>
                <w:bCs/>
                <w:color w:val="auto"/>
                <w:sz w:val="21"/>
                <w:szCs w:val="21"/>
                <w:highlight w:val="none"/>
              </w:rPr>
            </w:pPr>
          </w:p>
        </w:tc>
        <w:tc>
          <w:tcPr>
            <w:tcW w:w="637" w:type="dxa"/>
            <w:tcBorders>
              <w:tl2br w:val="nil"/>
              <w:tr2bl w:val="nil"/>
            </w:tcBorders>
            <w:vAlign w:val="center"/>
          </w:tcPr>
          <w:p w14:paraId="7965E645">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X</w:t>
            </w:r>
          </w:p>
        </w:tc>
        <w:tc>
          <w:tcPr>
            <w:tcW w:w="696" w:type="dxa"/>
            <w:tcBorders>
              <w:tl2br w:val="nil"/>
              <w:tr2bl w:val="nil"/>
            </w:tcBorders>
            <w:vAlign w:val="center"/>
          </w:tcPr>
          <w:p w14:paraId="1E29E71F">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Y</w:t>
            </w:r>
          </w:p>
        </w:tc>
        <w:tc>
          <w:tcPr>
            <w:tcW w:w="718" w:type="dxa"/>
            <w:tcBorders>
              <w:tl2br w:val="nil"/>
              <w:tr2bl w:val="nil"/>
            </w:tcBorders>
            <w:vAlign w:val="center"/>
          </w:tcPr>
          <w:p w14:paraId="7E4ABC55">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Z</w:t>
            </w:r>
          </w:p>
        </w:tc>
        <w:tc>
          <w:tcPr>
            <w:tcW w:w="1085" w:type="dxa"/>
            <w:vMerge w:val="continue"/>
            <w:tcBorders>
              <w:tl2br w:val="nil"/>
              <w:tr2bl w:val="nil"/>
            </w:tcBorders>
            <w:vAlign w:val="center"/>
          </w:tcPr>
          <w:p w14:paraId="0BC26C07">
            <w:pPr>
              <w:pStyle w:val="1489"/>
              <w:spacing w:line="240" w:lineRule="auto"/>
              <w:jc w:val="center"/>
              <w:rPr>
                <w:rFonts w:hint="default" w:ascii="Times New Roman" w:hAnsi="Times New Roman" w:eastAsia="宋体" w:cs="Times New Roman"/>
                <w:b w:val="0"/>
                <w:bCs/>
                <w:color w:val="auto"/>
                <w:sz w:val="21"/>
                <w:szCs w:val="21"/>
                <w:highlight w:val="none"/>
                <w:lang w:eastAsia="zh-CN"/>
              </w:rPr>
            </w:pPr>
          </w:p>
        </w:tc>
        <w:tc>
          <w:tcPr>
            <w:tcW w:w="1058" w:type="dxa"/>
            <w:vMerge w:val="continue"/>
            <w:tcBorders>
              <w:tl2br w:val="nil"/>
              <w:tr2bl w:val="nil"/>
            </w:tcBorders>
            <w:vAlign w:val="center"/>
          </w:tcPr>
          <w:p w14:paraId="3271134B">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rPr>
            </w:pPr>
          </w:p>
        </w:tc>
        <w:tc>
          <w:tcPr>
            <w:tcW w:w="1238" w:type="dxa"/>
            <w:vMerge w:val="continue"/>
            <w:tcBorders>
              <w:tl2br w:val="nil"/>
              <w:tr2bl w:val="nil"/>
            </w:tcBorders>
            <w:vAlign w:val="center"/>
          </w:tcPr>
          <w:p w14:paraId="3C2297E0">
            <w:pPr>
              <w:pStyle w:val="1489"/>
              <w:spacing w:line="240" w:lineRule="auto"/>
              <w:jc w:val="center"/>
              <w:rPr>
                <w:rFonts w:hint="default" w:ascii="Times New Roman" w:hAnsi="Times New Roman" w:eastAsia="宋体" w:cs="Times New Roman"/>
                <w:b w:val="0"/>
                <w:bCs/>
                <w:color w:val="auto"/>
                <w:sz w:val="21"/>
                <w:szCs w:val="21"/>
                <w:highlight w:val="none"/>
              </w:rPr>
            </w:pPr>
          </w:p>
        </w:tc>
        <w:tc>
          <w:tcPr>
            <w:tcW w:w="1291" w:type="dxa"/>
            <w:vMerge w:val="continue"/>
            <w:tcBorders>
              <w:tl2br w:val="nil"/>
              <w:tr2bl w:val="nil"/>
            </w:tcBorders>
            <w:vAlign w:val="center"/>
          </w:tcPr>
          <w:p w14:paraId="48D3095E">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rPr>
            </w:pPr>
          </w:p>
        </w:tc>
        <w:tc>
          <w:tcPr>
            <w:tcW w:w="1125" w:type="dxa"/>
            <w:tcBorders>
              <w:tl2br w:val="nil"/>
              <w:tr2bl w:val="nil"/>
            </w:tcBorders>
            <w:vAlign w:val="center"/>
          </w:tcPr>
          <w:p w14:paraId="4ADC53FE">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声压级/dB(A)</w:t>
            </w:r>
          </w:p>
        </w:tc>
        <w:tc>
          <w:tcPr>
            <w:tcW w:w="1099" w:type="dxa"/>
            <w:tcBorders>
              <w:tl2br w:val="nil"/>
              <w:tr2bl w:val="nil"/>
            </w:tcBorders>
            <w:vAlign w:val="center"/>
          </w:tcPr>
          <w:p w14:paraId="47DA38DC">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建筑物外距离</w:t>
            </w:r>
          </w:p>
        </w:tc>
      </w:tr>
      <w:tr w14:paraId="5715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3" w:type="dxa"/>
            <w:vMerge w:val="restart"/>
            <w:tcBorders>
              <w:tl2br w:val="nil"/>
              <w:tr2bl w:val="nil"/>
            </w:tcBorders>
            <w:vAlign w:val="center"/>
          </w:tcPr>
          <w:p w14:paraId="79E0DF91">
            <w:pPr>
              <w:pStyle w:val="1489"/>
              <w:numPr>
                <w:ilvl w:val="0"/>
                <w:numId w:val="0"/>
              </w:numPr>
              <w:spacing w:line="240" w:lineRule="auto"/>
              <w:ind w:left="0" w:lef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w:t>
            </w:r>
          </w:p>
        </w:tc>
        <w:tc>
          <w:tcPr>
            <w:tcW w:w="590" w:type="dxa"/>
            <w:vMerge w:val="restart"/>
            <w:tcBorders>
              <w:tl2br w:val="nil"/>
              <w:tr2bl w:val="nil"/>
            </w:tcBorders>
            <w:vAlign w:val="center"/>
          </w:tcPr>
          <w:p w14:paraId="2F249D7E">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破碎区</w:t>
            </w:r>
          </w:p>
        </w:tc>
        <w:tc>
          <w:tcPr>
            <w:tcW w:w="1130" w:type="dxa"/>
            <w:tcBorders>
              <w:tl2br w:val="nil"/>
              <w:tr2bl w:val="nil"/>
            </w:tcBorders>
            <w:vAlign w:val="center"/>
          </w:tcPr>
          <w:p w14:paraId="3A03B16F">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破碎机</w:t>
            </w:r>
          </w:p>
        </w:tc>
        <w:tc>
          <w:tcPr>
            <w:tcW w:w="1140" w:type="dxa"/>
            <w:tcBorders>
              <w:tl2br w:val="nil"/>
              <w:tr2bl w:val="nil"/>
            </w:tcBorders>
            <w:vAlign w:val="center"/>
          </w:tcPr>
          <w:p w14:paraId="066C0D6D">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648CA15F">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95</w:t>
            </w:r>
          </w:p>
        </w:tc>
        <w:tc>
          <w:tcPr>
            <w:tcW w:w="754" w:type="dxa"/>
            <w:vMerge w:val="restart"/>
            <w:tcBorders>
              <w:tl2br w:val="nil"/>
              <w:tr2bl w:val="nil"/>
            </w:tcBorders>
            <w:vAlign w:val="center"/>
          </w:tcPr>
          <w:p w14:paraId="7DF75CDF">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设备封闭、距离衰减等</w:t>
            </w:r>
          </w:p>
        </w:tc>
        <w:tc>
          <w:tcPr>
            <w:tcW w:w="637" w:type="dxa"/>
            <w:tcBorders>
              <w:tl2br w:val="nil"/>
              <w:tr2bl w:val="nil"/>
            </w:tcBorders>
            <w:vAlign w:val="center"/>
          </w:tcPr>
          <w:p w14:paraId="53282E79">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302617.07</w:t>
            </w:r>
          </w:p>
        </w:tc>
        <w:tc>
          <w:tcPr>
            <w:tcW w:w="696" w:type="dxa"/>
            <w:tcBorders>
              <w:tl2br w:val="nil"/>
              <w:tr2bl w:val="nil"/>
            </w:tcBorders>
            <w:vAlign w:val="center"/>
          </w:tcPr>
          <w:p w14:paraId="3DA0FFB7">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4656198.87</w:t>
            </w:r>
          </w:p>
        </w:tc>
        <w:tc>
          <w:tcPr>
            <w:tcW w:w="718" w:type="dxa"/>
            <w:tcBorders>
              <w:tl2br w:val="nil"/>
              <w:tr2bl w:val="nil"/>
            </w:tcBorders>
            <w:vAlign w:val="center"/>
          </w:tcPr>
          <w:p w14:paraId="3E127FD9">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360</w:t>
            </w:r>
          </w:p>
        </w:tc>
        <w:tc>
          <w:tcPr>
            <w:tcW w:w="1085" w:type="dxa"/>
            <w:tcBorders>
              <w:tl2br w:val="nil"/>
              <w:tr2bl w:val="nil"/>
            </w:tcBorders>
            <w:vAlign w:val="center"/>
          </w:tcPr>
          <w:p w14:paraId="3B90E703">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1058" w:type="dxa"/>
            <w:tcBorders>
              <w:tl2br w:val="nil"/>
              <w:tr2bl w:val="nil"/>
            </w:tcBorders>
            <w:vAlign w:val="center"/>
          </w:tcPr>
          <w:p w14:paraId="4F557F6C">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89</w:t>
            </w:r>
          </w:p>
        </w:tc>
        <w:tc>
          <w:tcPr>
            <w:tcW w:w="1238" w:type="dxa"/>
            <w:tcBorders>
              <w:tl2br w:val="nil"/>
              <w:tr2bl w:val="nil"/>
            </w:tcBorders>
            <w:vAlign w:val="center"/>
          </w:tcPr>
          <w:p w14:paraId="357B50F4">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昼间</w:t>
            </w:r>
          </w:p>
        </w:tc>
        <w:tc>
          <w:tcPr>
            <w:tcW w:w="1291" w:type="dxa"/>
            <w:tcBorders>
              <w:tl2br w:val="nil"/>
              <w:tr2bl w:val="nil"/>
            </w:tcBorders>
            <w:vAlign w:val="center"/>
          </w:tcPr>
          <w:p w14:paraId="5803101E">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25B51FA3">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74</w:t>
            </w:r>
          </w:p>
        </w:tc>
        <w:tc>
          <w:tcPr>
            <w:tcW w:w="1099" w:type="dxa"/>
            <w:tcBorders>
              <w:tl2br w:val="nil"/>
              <w:tr2bl w:val="nil"/>
            </w:tcBorders>
            <w:vAlign w:val="center"/>
          </w:tcPr>
          <w:p w14:paraId="26C1270E">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1m</w:t>
            </w:r>
          </w:p>
        </w:tc>
      </w:tr>
      <w:tr w14:paraId="4A1F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453" w:type="dxa"/>
            <w:vMerge w:val="continue"/>
            <w:tcBorders>
              <w:tl2br w:val="nil"/>
              <w:tr2bl w:val="nil"/>
            </w:tcBorders>
            <w:vAlign w:val="center"/>
          </w:tcPr>
          <w:p w14:paraId="41535A78">
            <w:pPr>
              <w:pStyle w:val="1489"/>
              <w:spacing w:line="240" w:lineRule="auto"/>
              <w:jc w:val="center"/>
              <w:rPr>
                <w:rFonts w:hint="default" w:ascii="Times New Roman" w:hAnsi="Times New Roman" w:cs="Times New Roman"/>
                <w:sz w:val="21"/>
                <w:szCs w:val="21"/>
                <w:highlight w:val="none"/>
              </w:rPr>
            </w:pPr>
          </w:p>
        </w:tc>
        <w:tc>
          <w:tcPr>
            <w:tcW w:w="590" w:type="dxa"/>
            <w:vMerge w:val="continue"/>
            <w:tcBorders>
              <w:tl2br w:val="nil"/>
              <w:tr2bl w:val="nil"/>
            </w:tcBorders>
            <w:vAlign w:val="center"/>
          </w:tcPr>
          <w:p w14:paraId="0CFCF87B">
            <w:pPr>
              <w:pStyle w:val="1489"/>
              <w:spacing w:line="240" w:lineRule="auto"/>
              <w:jc w:val="center"/>
              <w:rPr>
                <w:rFonts w:hint="default" w:ascii="Times New Roman" w:hAnsi="Times New Roman" w:cs="Times New Roman"/>
                <w:sz w:val="21"/>
                <w:szCs w:val="21"/>
                <w:highlight w:val="none"/>
              </w:rPr>
            </w:pPr>
          </w:p>
        </w:tc>
        <w:tc>
          <w:tcPr>
            <w:tcW w:w="1130" w:type="dxa"/>
            <w:tcBorders>
              <w:tl2br w:val="nil"/>
              <w:tr2bl w:val="nil"/>
            </w:tcBorders>
            <w:vAlign w:val="center"/>
          </w:tcPr>
          <w:p w14:paraId="7A908777">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破碎机</w:t>
            </w:r>
          </w:p>
        </w:tc>
        <w:tc>
          <w:tcPr>
            <w:tcW w:w="1140" w:type="dxa"/>
            <w:tcBorders>
              <w:tl2br w:val="nil"/>
              <w:tr2bl w:val="nil"/>
            </w:tcBorders>
            <w:vAlign w:val="center"/>
          </w:tcPr>
          <w:p w14:paraId="64B86911">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02238F4F">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95</w:t>
            </w:r>
          </w:p>
        </w:tc>
        <w:tc>
          <w:tcPr>
            <w:tcW w:w="754" w:type="dxa"/>
            <w:vMerge w:val="continue"/>
            <w:tcBorders>
              <w:tl2br w:val="nil"/>
              <w:tr2bl w:val="nil"/>
            </w:tcBorders>
            <w:vAlign w:val="center"/>
          </w:tcPr>
          <w:p w14:paraId="79FDE111">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637" w:type="dxa"/>
            <w:tcBorders>
              <w:tl2br w:val="nil"/>
              <w:tr2bl w:val="nil"/>
            </w:tcBorders>
            <w:vAlign w:val="center"/>
          </w:tcPr>
          <w:p w14:paraId="3D410BE0">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302616.03</w:t>
            </w:r>
          </w:p>
        </w:tc>
        <w:tc>
          <w:tcPr>
            <w:tcW w:w="696" w:type="dxa"/>
            <w:tcBorders>
              <w:tl2br w:val="nil"/>
              <w:tr2bl w:val="nil"/>
            </w:tcBorders>
            <w:vAlign w:val="center"/>
          </w:tcPr>
          <w:p w14:paraId="0F333386">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4656197.45</w:t>
            </w:r>
          </w:p>
        </w:tc>
        <w:tc>
          <w:tcPr>
            <w:tcW w:w="718" w:type="dxa"/>
            <w:tcBorders>
              <w:tl2br w:val="nil"/>
              <w:tr2bl w:val="nil"/>
            </w:tcBorders>
            <w:vAlign w:val="center"/>
          </w:tcPr>
          <w:p w14:paraId="28F2894A">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360</w:t>
            </w:r>
          </w:p>
        </w:tc>
        <w:tc>
          <w:tcPr>
            <w:tcW w:w="1085" w:type="dxa"/>
            <w:tcBorders>
              <w:tl2br w:val="nil"/>
              <w:tr2bl w:val="nil"/>
            </w:tcBorders>
            <w:vAlign w:val="center"/>
          </w:tcPr>
          <w:p w14:paraId="49377520">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2</w:t>
            </w:r>
          </w:p>
        </w:tc>
        <w:tc>
          <w:tcPr>
            <w:tcW w:w="1058" w:type="dxa"/>
            <w:tcBorders>
              <w:tl2br w:val="nil"/>
              <w:tr2bl w:val="nil"/>
            </w:tcBorders>
            <w:vAlign w:val="center"/>
          </w:tcPr>
          <w:p w14:paraId="27B9A516">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89</w:t>
            </w:r>
          </w:p>
        </w:tc>
        <w:tc>
          <w:tcPr>
            <w:tcW w:w="1238" w:type="dxa"/>
            <w:tcBorders>
              <w:tl2br w:val="nil"/>
              <w:tr2bl w:val="nil"/>
            </w:tcBorders>
            <w:vAlign w:val="center"/>
          </w:tcPr>
          <w:p w14:paraId="66ED84CB">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昼间</w:t>
            </w:r>
          </w:p>
        </w:tc>
        <w:tc>
          <w:tcPr>
            <w:tcW w:w="1291" w:type="dxa"/>
            <w:tcBorders>
              <w:tl2br w:val="nil"/>
              <w:tr2bl w:val="nil"/>
            </w:tcBorders>
            <w:vAlign w:val="center"/>
          </w:tcPr>
          <w:p w14:paraId="35789A97">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3A3ACD8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73</w:t>
            </w:r>
          </w:p>
        </w:tc>
        <w:tc>
          <w:tcPr>
            <w:tcW w:w="1099" w:type="dxa"/>
            <w:tcBorders>
              <w:tl2br w:val="nil"/>
              <w:tr2bl w:val="nil"/>
            </w:tcBorders>
            <w:vAlign w:val="center"/>
          </w:tcPr>
          <w:p w14:paraId="284881C2">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1m</w:t>
            </w:r>
          </w:p>
        </w:tc>
      </w:tr>
      <w:tr w14:paraId="6400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53" w:type="dxa"/>
            <w:vMerge w:val="restart"/>
            <w:tcBorders>
              <w:tl2br w:val="nil"/>
              <w:tr2bl w:val="nil"/>
            </w:tcBorders>
            <w:vAlign w:val="center"/>
          </w:tcPr>
          <w:p w14:paraId="6FEFB5F6">
            <w:pPr>
              <w:pStyle w:val="1489"/>
              <w:numPr>
                <w:ilvl w:val="0"/>
                <w:numId w:val="0"/>
              </w:numPr>
              <w:spacing w:line="240" w:lineRule="auto"/>
              <w:ind w:left="0" w:leftChars="0"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w:t>
            </w:r>
          </w:p>
        </w:tc>
        <w:tc>
          <w:tcPr>
            <w:tcW w:w="590" w:type="dxa"/>
            <w:vMerge w:val="restart"/>
            <w:tcBorders>
              <w:tl2br w:val="nil"/>
              <w:tr2bl w:val="nil"/>
            </w:tcBorders>
            <w:vAlign w:val="center"/>
          </w:tcPr>
          <w:p w14:paraId="5DA53099">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选矿车间</w:t>
            </w:r>
          </w:p>
        </w:tc>
        <w:tc>
          <w:tcPr>
            <w:tcW w:w="1130" w:type="dxa"/>
            <w:tcBorders>
              <w:tl2br w:val="nil"/>
              <w:tr2bl w:val="nil"/>
            </w:tcBorders>
            <w:vAlign w:val="center"/>
          </w:tcPr>
          <w:p w14:paraId="0C3FFEFC">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球磨</w:t>
            </w:r>
            <w:r>
              <w:rPr>
                <w:rFonts w:hint="default" w:ascii="Times New Roman" w:hAnsi="Times New Roman" w:eastAsia="宋体" w:cs="Times New Roman"/>
                <w:color w:val="auto"/>
                <w:sz w:val="21"/>
                <w:szCs w:val="21"/>
                <w:highlight w:val="none"/>
                <w:lang w:eastAsia="zh-CN"/>
              </w:rPr>
              <w:t>机</w:t>
            </w:r>
          </w:p>
        </w:tc>
        <w:tc>
          <w:tcPr>
            <w:tcW w:w="1140" w:type="dxa"/>
            <w:tcBorders>
              <w:tl2br w:val="nil"/>
              <w:tr2bl w:val="nil"/>
            </w:tcBorders>
            <w:vAlign w:val="center"/>
          </w:tcPr>
          <w:p w14:paraId="08CD2A33">
            <w:pPr>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1A674307">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95</w:t>
            </w:r>
          </w:p>
        </w:tc>
        <w:tc>
          <w:tcPr>
            <w:tcW w:w="754" w:type="dxa"/>
            <w:vMerge w:val="restart"/>
            <w:tcBorders>
              <w:tl2br w:val="nil"/>
              <w:tr2bl w:val="nil"/>
            </w:tcBorders>
            <w:vAlign w:val="center"/>
          </w:tcPr>
          <w:p w14:paraId="39999AA4">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设置在封闭车间内</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并采取</w:t>
            </w:r>
            <w:r>
              <w:rPr>
                <w:rFonts w:hint="default" w:ascii="Times New Roman" w:hAnsi="Times New Roman" w:eastAsia="宋体" w:cs="Times New Roman"/>
                <w:b w:val="0"/>
                <w:bCs/>
                <w:color w:val="auto"/>
                <w:sz w:val="21"/>
                <w:szCs w:val="21"/>
                <w:highlight w:val="none"/>
              </w:rPr>
              <w:t>基础减振</w:t>
            </w:r>
            <w:r>
              <w:rPr>
                <w:rFonts w:hint="eastAsia"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消声等措施</w:t>
            </w:r>
          </w:p>
        </w:tc>
        <w:tc>
          <w:tcPr>
            <w:tcW w:w="637" w:type="dxa"/>
            <w:tcBorders>
              <w:tl2br w:val="nil"/>
              <w:tr2bl w:val="nil"/>
            </w:tcBorders>
            <w:vAlign w:val="center"/>
          </w:tcPr>
          <w:p w14:paraId="2D9B29A8">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302591.57</w:t>
            </w:r>
          </w:p>
        </w:tc>
        <w:tc>
          <w:tcPr>
            <w:tcW w:w="696" w:type="dxa"/>
            <w:tcBorders>
              <w:tl2br w:val="nil"/>
              <w:tr2bl w:val="nil"/>
            </w:tcBorders>
            <w:vAlign w:val="center"/>
          </w:tcPr>
          <w:p w14:paraId="43F67395">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4656224.60</w:t>
            </w:r>
          </w:p>
        </w:tc>
        <w:tc>
          <w:tcPr>
            <w:tcW w:w="718" w:type="dxa"/>
            <w:tcBorders>
              <w:tl2br w:val="nil"/>
              <w:tr2bl w:val="nil"/>
            </w:tcBorders>
            <w:vAlign w:val="center"/>
          </w:tcPr>
          <w:p w14:paraId="3A1113D5">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360</w:t>
            </w:r>
          </w:p>
        </w:tc>
        <w:tc>
          <w:tcPr>
            <w:tcW w:w="1085" w:type="dxa"/>
            <w:tcBorders>
              <w:tl2br w:val="nil"/>
              <w:tr2bl w:val="nil"/>
            </w:tcBorders>
            <w:vAlign w:val="center"/>
          </w:tcPr>
          <w:p w14:paraId="3E590CD9">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1058" w:type="dxa"/>
            <w:tcBorders>
              <w:tl2br w:val="nil"/>
              <w:tr2bl w:val="nil"/>
            </w:tcBorders>
            <w:vAlign w:val="center"/>
          </w:tcPr>
          <w:p w14:paraId="2148154D">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85</w:t>
            </w:r>
          </w:p>
        </w:tc>
        <w:tc>
          <w:tcPr>
            <w:tcW w:w="1238" w:type="dxa"/>
            <w:tcBorders>
              <w:tl2br w:val="nil"/>
              <w:tr2bl w:val="nil"/>
            </w:tcBorders>
            <w:vAlign w:val="center"/>
          </w:tcPr>
          <w:p w14:paraId="08941AD6">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昼、夜间</w:t>
            </w:r>
          </w:p>
        </w:tc>
        <w:tc>
          <w:tcPr>
            <w:tcW w:w="1291" w:type="dxa"/>
            <w:tcBorders>
              <w:tl2br w:val="nil"/>
              <w:tr2bl w:val="nil"/>
            </w:tcBorders>
            <w:vAlign w:val="center"/>
          </w:tcPr>
          <w:p w14:paraId="7D848BF2">
            <w:pPr>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067A1B22">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68</w:t>
            </w:r>
          </w:p>
        </w:tc>
        <w:tc>
          <w:tcPr>
            <w:tcW w:w="1099" w:type="dxa"/>
            <w:tcBorders>
              <w:tl2br w:val="nil"/>
              <w:tr2bl w:val="nil"/>
            </w:tcBorders>
            <w:vAlign w:val="center"/>
          </w:tcPr>
          <w:p w14:paraId="36C32C30">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1m</w:t>
            </w:r>
          </w:p>
        </w:tc>
      </w:tr>
      <w:tr w14:paraId="73C2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53" w:type="dxa"/>
            <w:vMerge w:val="continue"/>
            <w:tcBorders>
              <w:tl2br w:val="nil"/>
              <w:tr2bl w:val="nil"/>
            </w:tcBorders>
            <w:vAlign w:val="center"/>
          </w:tcPr>
          <w:p w14:paraId="0176510C">
            <w:pPr>
              <w:pStyle w:val="1489"/>
              <w:spacing w:line="240" w:lineRule="auto"/>
              <w:jc w:val="center"/>
              <w:rPr>
                <w:rFonts w:hint="default" w:ascii="Times New Roman" w:hAnsi="Times New Roman" w:cs="Times New Roman"/>
                <w:sz w:val="21"/>
                <w:szCs w:val="21"/>
                <w:highlight w:val="none"/>
              </w:rPr>
            </w:pPr>
          </w:p>
        </w:tc>
        <w:tc>
          <w:tcPr>
            <w:tcW w:w="590" w:type="dxa"/>
            <w:vMerge w:val="continue"/>
            <w:tcBorders>
              <w:tl2br w:val="nil"/>
              <w:tr2bl w:val="nil"/>
            </w:tcBorders>
            <w:vAlign w:val="center"/>
          </w:tcPr>
          <w:p w14:paraId="7D299289">
            <w:pPr>
              <w:pStyle w:val="1489"/>
              <w:spacing w:line="240" w:lineRule="auto"/>
              <w:jc w:val="center"/>
              <w:rPr>
                <w:rFonts w:hint="default" w:ascii="Times New Roman" w:hAnsi="Times New Roman" w:cs="Times New Roman"/>
                <w:sz w:val="21"/>
                <w:szCs w:val="21"/>
                <w:highlight w:val="none"/>
              </w:rPr>
            </w:pPr>
          </w:p>
        </w:tc>
        <w:tc>
          <w:tcPr>
            <w:tcW w:w="1130" w:type="dxa"/>
            <w:tcBorders>
              <w:tl2br w:val="nil"/>
              <w:tr2bl w:val="nil"/>
            </w:tcBorders>
            <w:vAlign w:val="center"/>
          </w:tcPr>
          <w:p w14:paraId="2379A56B">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分级机</w:t>
            </w:r>
          </w:p>
        </w:tc>
        <w:tc>
          <w:tcPr>
            <w:tcW w:w="1140" w:type="dxa"/>
            <w:tcBorders>
              <w:tl2br w:val="nil"/>
              <w:tr2bl w:val="nil"/>
            </w:tcBorders>
            <w:vAlign w:val="center"/>
          </w:tcPr>
          <w:p w14:paraId="5B25AA4D">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742F3C78">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80</w:t>
            </w:r>
          </w:p>
        </w:tc>
        <w:tc>
          <w:tcPr>
            <w:tcW w:w="754" w:type="dxa"/>
            <w:vMerge w:val="continue"/>
            <w:tcBorders>
              <w:tl2br w:val="nil"/>
              <w:tr2bl w:val="nil"/>
            </w:tcBorders>
            <w:vAlign w:val="center"/>
          </w:tcPr>
          <w:p w14:paraId="6BE7ABEB">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637" w:type="dxa"/>
            <w:tcBorders>
              <w:tl2br w:val="nil"/>
              <w:tr2bl w:val="nil"/>
            </w:tcBorders>
            <w:vAlign w:val="center"/>
          </w:tcPr>
          <w:p w14:paraId="5179A024">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302590.53</w:t>
            </w:r>
          </w:p>
        </w:tc>
        <w:tc>
          <w:tcPr>
            <w:tcW w:w="696" w:type="dxa"/>
            <w:tcBorders>
              <w:tl2br w:val="nil"/>
              <w:tr2bl w:val="nil"/>
            </w:tcBorders>
            <w:vAlign w:val="center"/>
          </w:tcPr>
          <w:p w14:paraId="48B5C039">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4656223.24</w:t>
            </w:r>
          </w:p>
        </w:tc>
        <w:tc>
          <w:tcPr>
            <w:tcW w:w="718" w:type="dxa"/>
            <w:tcBorders>
              <w:tl2br w:val="nil"/>
              <w:tr2bl w:val="nil"/>
            </w:tcBorders>
            <w:vAlign w:val="center"/>
          </w:tcPr>
          <w:p w14:paraId="6BA364BF">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360</w:t>
            </w:r>
          </w:p>
        </w:tc>
        <w:tc>
          <w:tcPr>
            <w:tcW w:w="1085" w:type="dxa"/>
            <w:tcBorders>
              <w:tl2br w:val="nil"/>
              <w:tr2bl w:val="nil"/>
            </w:tcBorders>
            <w:vAlign w:val="center"/>
          </w:tcPr>
          <w:p w14:paraId="116E6556">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w:t>
            </w:r>
          </w:p>
        </w:tc>
        <w:tc>
          <w:tcPr>
            <w:tcW w:w="1058" w:type="dxa"/>
            <w:tcBorders>
              <w:tl2br w:val="nil"/>
              <w:tr2bl w:val="nil"/>
            </w:tcBorders>
            <w:vAlign w:val="center"/>
          </w:tcPr>
          <w:p w14:paraId="43CF30CE">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70</w:t>
            </w:r>
          </w:p>
        </w:tc>
        <w:tc>
          <w:tcPr>
            <w:tcW w:w="1238" w:type="dxa"/>
            <w:tcBorders>
              <w:tl2br w:val="nil"/>
              <w:tr2bl w:val="nil"/>
            </w:tcBorders>
            <w:vAlign w:val="center"/>
          </w:tcPr>
          <w:p w14:paraId="37AA048F">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昼、夜间</w:t>
            </w:r>
          </w:p>
        </w:tc>
        <w:tc>
          <w:tcPr>
            <w:tcW w:w="1291" w:type="dxa"/>
            <w:tcBorders>
              <w:tl2br w:val="nil"/>
              <w:tr2bl w:val="nil"/>
            </w:tcBorders>
            <w:vAlign w:val="center"/>
          </w:tcPr>
          <w:p w14:paraId="4D284621">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4A1B541A">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1099" w:type="dxa"/>
            <w:tcBorders>
              <w:tl2br w:val="nil"/>
              <w:tr2bl w:val="nil"/>
            </w:tcBorders>
            <w:vAlign w:val="center"/>
          </w:tcPr>
          <w:p w14:paraId="3AE5F08B">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1m</w:t>
            </w:r>
          </w:p>
        </w:tc>
      </w:tr>
      <w:tr w14:paraId="1C19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53" w:type="dxa"/>
            <w:vMerge w:val="continue"/>
            <w:tcBorders>
              <w:tl2br w:val="nil"/>
              <w:tr2bl w:val="nil"/>
            </w:tcBorders>
            <w:vAlign w:val="center"/>
          </w:tcPr>
          <w:p w14:paraId="48E9FFD7">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590" w:type="dxa"/>
            <w:vMerge w:val="continue"/>
            <w:tcBorders>
              <w:tl2br w:val="nil"/>
              <w:tr2bl w:val="nil"/>
            </w:tcBorders>
            <w:vAlign w:val="center"/>
          </w:tcPr>
          <w:p w14:paraId="27E92F79">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130" w:type="dxa"/>
            <w:tcBorders>
              <w:tl2br w:val="nil"/>
              <w:tr2bl w:val="nil"/>
            </w:tcBorders>
            <w:vAlign w:val="center"/>
          </w:tcPr>
          <w:p w14:paraId="3961B155">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浮选机</w:t>
            </w:r>
            <w:r>
              <w:rPr>
                <w:rFonts w:hint="default" w:ascii="Times New Roman" w:hAnsi="Times New Roman" w:cs="Times New Roman"/>
                <w:color w:val="auto"/>
                <w:sz w:val="21"/>
                <w:szCs w:val="21"/>
                <w:highlight w:val="none"/>
                <w:lang w:val="en-US" w:eastAsia="zh-CN"/>
              </w:rPr>
              <w:t>（14组）</w:t>
            </w:r>
          </w:p>
        </w:tc>
        <w:tc>
          <w:tcPr>
            <w:tcW w:w="1140" w:type="dxa"/>
            <w:tcBorders>
              <w:tl2br w:val="nil"/>
              <w:tr2bl w:val="nil"/>
            </w:tcBorders>
            <w:vAlign w:val="center"/>
          </w:tcPr>
          <w:p w14:paraId="6B11F582">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647D549F">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85/96</w:t>
            </w:r>
          </w:p>
        </w:tc>
        <w:tc>
          <w:tcPr>
            <w:tcW w:w="754" w:type="dxa"/>
            <w:vMerge w:val="continue"/>
            <w:tcBorders>
              <w:tl2br w:val="nil"/>
              <w:tr2bl w:val="nil"/>
            </w:tcBorders>
            <w:vAlign w:val="center"/>
          </w:tcPr>
          <w:p w14:paraId="24592133">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637" w:type="dxa"/>
            <w:tcBorders>
              <w:tl2br w:val="nil"/>
              <w:tr2bl w:val="nil"/>
            </w:tcBorders>
            <w:vAlign w:val="center"/>
          </w:tcPr>
          <w:p w14:paraId="7D78D4C3">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302585.72</w:t>
            </w:r>
          </w:p>
        </w:tc>
        <w:tc>
          <w:tcPr>
            <w:tcW w:w="696" w:type="dxa"/>
            <w:tcBorders>
              <w:tl2br w:val="nil"/>
              <w:tr2bl w:val="nil"/>
            </w:tcBorders>
            <w:vAlign w:val="center"/>
          </w:tcPr>
          <w:p w14:paraId="3D627632">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4656230.07</w:t>
            </w:r>
          </w:p>
        </w:tc>
        <w:tc>
          <w:tcPr>
            <w:tcW w:w="718" w:type="dxa"/>
            <w:tcBorders>
              <w:tl2br w:val="nil"/>
              <w:tr2bl w:val="nil"/>
            </w:tcBorders>
            <w:vAlign w:val="center"/>
          </w:tcPr>
          <w:p w14:paraId="0F6D90E0">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360</w:t>
            </w:r>
          </w:p>
        </w:tc>
        <w:tc>
          <w:tcPr>
            <w:tcW w:w="1085" w:type="dxa"/>
            <w:tcBorders>
              <w:tl2br w:val="nil"/>
              <w:tr2bl w:val="nil"/>
            </w:tcBorders>
            <w:vAlign w:val="center"/>
          </w:tcPr>
          <w:p w14:paraId="7DED53BA">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w:t>
            </w:r>
          </w:p>
        </w:tc>
        <w:tc>
          <w:tcPr>
            <w:tcW w:w="1058" w:type="dxa"/>
            <w:tcBorders>
              <w:tl2br w:val="nil"/>
              <w:tr2bl w:val="nil"/>
            </w:tcBorders>
            <w:vAlign w:val="center"/>
          </w:tcPr>
          <w:p w14:paraId="548B46A9">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86</w:t>
            </w:r>
          </w:p>
        </w:tc>
        <w:tc>
          <w:tcPr>
            <w:tcW w:w="1238" w:type="dxa"/>
            <w:tcBorders>
              <w:tl2br w:val="nil"/>
              <w:tr2bl w:val="nil"/>
            </w:tcBorders>
            <w:vAlign w:val="center"/>
          </w:tcPr>
          <w:p w14:paraId="4A0872F4">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昼、夜间</w:t>
            </w:r>
          </w:p>
        </w:tc>
        <w:tc>
          <w:tcPr>
            <w:tcW w:w="1291" w:type="dxa"/>
            <w:tcBorders>
              <w:tl2br w:val="nil"/>
              <w:tr2bl w:val="nil"/>
            </w:tcBorders>
            <w:vAlign w:val="center"/>
          </w:tcPr>
          <w:p w14:paraId="3B4ABCCB">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536E4B45">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cs="Times New Roman"/>
                <w:i w:val="0"/>
                <w:iCs w:val="0"/>
                <w:color w:val="000000"/>
                <w:kern w:val="0"/>
                <w:sz w:val="21"/>
                <w:szCs w:val="21"/>
                <w:u w:val="none"/>
                <w:lang w:val="en-US" w:eastAsia="zh-CN" w:bidi="ar"/>
              </w:rPr>
              <w:t>71</w:t>
            </w:r>
          </w:p>
        </w:tc>
        <w:tc>
          <w:tcPr>
            <w:tcW w:w="1099" w:type="dxa"/>
            <w:tcBorders>
              <w:tl2br w:val="nil"/>
              <w:tr2bl w:val="nil"/>
            </w:tcBorders>
            <w:vAlign w:val="center"/>
          </w:tcPr>
          <w:p w14:paraId="7661A074">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1m</w:t>
            </w:r>
          </w:p>
        </w:tc>
      </w:tr>
      <w:tr w14:paraId="289A1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453" w:type="dxa"/>
            <w:vMerge w:val="continue"/>
            <w:tcBorders>
              <w:tl2br w:val="nil"/>
              <w:tr2bl w:val="nil"/>
            </w:tcBorders>
            <w:vAlign w:val="center"/>
          </w:tcPr>
          <w:p w14:paraId="0AE11C31">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590" w:type="dxa"/>
            <w:vMerge w:val="continue"/>
            <w:tcBorders>
              <w:tl2br w:val="nil"/>
              <w:tr2bl w:val="nil"/>
            </w:tcBorders>
            <w:vAlign w:val="center"/>
          </w:tcPr>
          <w:p w14:paraId="06675922">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1130" w:type="dxa"/>
            <w:tcBorders>
              <w:tl2br w:val="nil"/>
              <w:tr2bl w:val="nil"/>
            </w:tcBorders>
            <w:vAlign w:val="center"/>
          </w:tcPr>
          <w:p w14:paraId="5BB1083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精粉压滤机</w:t>
            </w:r>
          </w:p>
        </w:tc>
        <w:tc>
          <w:tcPr>
            <w:tcW w:w="1140" w:type="dxa"/>
            <w:tcBorders>
              <w:tl2br w:val="nil"/>
              <w:tr2bl w:val="nil"/>
            </w:tcBorders>
            <w:vAlign w:val="center"/>
          </w:tcPr>
          <w:p w14:paraId="747AC191">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28998334">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80</w:t>
            </w:r>
          </w:p>
        </w:tc>
        <w:tc>
          <w:tcPr>
            <w:tcW w:w="754" w:type="dxa"/>
            <w:vMerge w:val="continue"/>
            <w:tcBorders>
              <w:tl2br w:val="nil"/>
              <w:tr2bl w:val="nil"/>
            </w:tcBorders>
            <w:vAlign w:val="center"/>
          </w:tcPr>
          <w:p w14:paraId="260B2BFA">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p>
        </w:tc>
        <w:tc>
          <w:tcPr>
            <w:tcW w:w="637" w:type="dxa"/>
            <w:tcBorders>
              <w:tl2br w:val="nil"/>
              <w:tr2bl w:val="nil"/>
            </w:tcBorders>
            <w:vAlign w:val="center"/>
          </w:tcPr>
          <w:p w14:paraId="7C93AC97">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302577.35</w:t>
            </w:r>
          </w:p>
        </w:tc>
        <w:tc>
          <w:tcPr>
            <w:tcW w:w="696" w:type="dxa"/>
            <w:tcBorders>
              <w:tl2br w:val="nil"/>
              <w:tr2bl w:val="nil"/>
            </w:tcBorders>
            <w:vAlign w:val="center"/>
          </w:tcPr>
          <w:p w14:paraId="534FEDFE">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4656232.74</w:t>
            </w:r>
          </w:p>
        </w:tc>
        <w:tc>
          <w:tcPr>
            <w:tcW w:w="718" w:type="dxa"/>
            <w:tcBorders>
              <w:tl2br w:val="nil"/>
              <w:tr2bl w:val="nil"/>
            </w:tcBorders>
            <w:vAlign w:val="center"/>
          </w:tcPr>
          <w:p w14:paraId="399A7F36">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360</w:t>
            </w:r>
          </w:p>
        </w:tc>
        <w:tc>
          <w:tcPr>
            <w:tcW w:w="1085" w:type="dxa"/>
            <w:tcBorders>
              <w:tl2br w:val="nil"/>
              <w:tr2bl w:val="nil"/>
            </w:tcBorders>
            <w:vAlign w:val="center"/>
          </w:tcPr>
          <w:p w14:paraId="7F4F3E0F">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3</w:t>
            </w:r>
          </w:p>
        </w:tc>
        <w:tc>
          <w:tcPr>
            <w:tcW w:w="1058" w:type="dxa"/>
            <w:tcBorders>
              <w:tl2br w:val="nil"/>
              <w:tr2bl w:val="nil"/>
            </w:tcBorders>
            <w:vAlign w:val="center"/>
          </w:tcPr>
          <w:p w14:paraId="76AC0679">
            <w:pPr>
              <w:pStyle w:val="1489"/>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70</w:t>
            </w:r>
          </w:p>
        </w:tc>
        <w:tc>
          <w:tcPr>
            <w:tcW w:w="1238" w:type="dxa"/>
            <w:tcBorders>
              <w:tl2br w:val="nil"/>
              <w:tr2bl w:val="nil"/>
            </w:tcBorders>
            <w:vAlign w:val="center"/>
          </w:tcPr>
          <w:p w14:paraId="4FCA242B">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昼、夜间</w:t>
            </w:r>
          </w:p>
        </w:tc>
        <w:tc>
          <w:tcPr>
            <w:tcW w:w="1291" w:type="dxa"/>
            <w:tcBorders>
              <w:tl2br w:val="nil"/>
              <w:tr2bl w:val="nil"/>
            </w:tcBorders>
            <w:vAlign w:val="center"/>
          </w:tcPr>
          <w:p w14:paraId="7AC938F2">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42ADA484">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099" w:type="dxa"/>
            <w:tcBorders>
              <w:tl2br w:val="nil"/>
              <w:tr2bl w:val="nil"/>
            </w:tcBorders>
            <w:vAlign w:val="center"/>
          </w:tcPr>
          <w:p w14:paraId="3A140DEE">
            <w:pPr>
              <w:spacing w:line="240" w:lineRule="auto"/>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1m</w:t>
            </w:r>
          </w:p>
        </w:tc>
      </w:tr>
      <w:tr w14:paraId="703F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53" w:type="dxa"/>
            <w:tcBorders>
              <w:tl2br w:val="nil"/>
              <w:tr2bl w:val="nil"/>
            </w:tcBorders>
            <w:vAlign w:val="center"/>
          </w:tcPr>
          <w:p w14:paraId="66C284BA">
            <w:pPr>
              <w:pStyle w:val="1489"/>
              <w:numPr>
                <w:ilvl w:val="0"/>
                <w:numId w:val="0"/>
              </w:numPr>
              <w:spacing w:line="240" w:lineRule="auto"/>
              <w:ind w:left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w:t>
            </w:r>
          </w:p>
        </w:tc>
        <w:tc>
          <w:tcPr>
            <w:tcW w:w="590" w:type="dxa"/>
            <w:tcBorders>
              <w:tl2br w:val="nil"/>
              <w:tr2bl w:val="nil"/>
            </w:tcBorders>
            <w:vAlign w:val="center"/>
          </w:tcPr>
          <w:p w14:paraId="6FB3B917">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干排车间</w:t>
            </w:r>
          </w:p>
        </w:tc>
        <w:tc>
          <w:tcPr>
            <w:tcW w:w="1130" w:type="dxa"/>
            <w:tcBorders>
              <w:tl2br w:val="nil"/>
              <w:tr2bl w:val="nil"/>
            </w:tcBorders>
            <w:vAlign w:val="center"/>
          </w:tcPr>
          <w:p w14:paraId="1C70754D">
            <w:pPr>
              <w:pStyle w:val="1489"/>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干排压滤机</w:t>
            </w:r>
          </w:p>
        </w:tc>
        <w:tc>
          <w:tcPr>
            <w:tcW w:w="1140" w:type="dxa"/>
            <w:tcBorders>
              <w:tl2br w:val="nil"/>
              <w:tr2bl w:val="nil"/>
            </w:tcBorders>
            <w:vAlign w:val="center"/>
          </w:tcPr>
          <w:p w14:paraId="2944C533">
            <w:pPr>
              <w:spacing w:line="240" w:lineRule="auto"/>
              <w:ind w:firstLine="0" w:firstLineChars="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c>
          <w:tcPr>
            <w:tcW w:w="795" w:type="dxa"/>
            <w:tcBorders>
              <w:tl2br w:val="nil"/>
              <w:tr2bl w:val="nil"/>
            </w:tcBorders>
            <w:vAlign w:val="center"/>
          </w:tcPr>
          <w:p w14:paraId="7F03F8EB">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80</w:t>
            </w:r>
          </w:p>
        </w:tc>
        <w:tc>
          <w:tcPr>
            <w:tcW w:w="754" w:type="dxa"/>
            <w:tcBorders>
              <w:tl2br w:val="nil"/>
              <w:tr2bl w:val="nil"/>
            </w:tcBorders>
            <w:vAlign w:val="center"/>
          </w:tcPr>
          <w:p w14:paraId="39554516">
            <w:pPr>
              <w:pStyle w:val="1489"/>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设置在封闭车间内</w:t>
            </w:r>
            <w:r>
              <w:rPr>
                <w:rFonts w:hint="default" w:ascii="Times New Roman" w:hAnsi="Times New Roman" w:eastAsia="宋体" w:cs="Times New Roman"/>
                <w:b w:val="0"/>
                <w:bCs/>
                <w:color w:val="auto"/>
                <w:sz w:val="21"/>
                <w:szCs w:val="21"/>
                <w:highlight w:val="none"/>
              </w:rPr>
              <w:t>，</w:t>
            </w:r>
            <w:r>
              <w:rPr>
                <w:rFonts w:hint="default" w:ascii="Times New Roman" w:hAnsi="Times New Roman" w:eastAsia="宋体" w:cs="Times New Roman"/>
                <w:b w:val="0"/>
                <w:bCs/>
                <w:color w:val="auto"/>
                <w:sz w:val="21"/>
                <w:szCs w:val="21"/>
                <w:highlight w:val="none"/>
                <w:lang w:val="en-US" w:eastAsia="zh-CN"/>
              </w:rPr>
              <w:t>并采取</w:t>
            </w:r>
            <w:r>
              <w:rPr>
                <w:rFonts w:hint="default" w:ascii="Times New Roman" w:hAnsi="Times New Roman" w:eastAsia="宋体" w:cs="Times New Roman"/>
                <w:b w:val="0"/>
                <w:bCs/>
                <w:color w:val="auto"/>
                <w:sz w:val="21"/>
                <w:szCs w:val="21"/>
                <w:highlight w:val="none"/>
              </w:rPr>
              <w:t>基础减振</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消声等措施</w:t>
            </w:r>
          </w:p>
        </w:tc>
        <w:tc>
          <w:tcPr>
            <w:tcW w:w="637" w:type="dxa"/>
            <w:tcBorders>
              <w:tl2br w:val="nil"/>
              <w:tr2bl w:val="nil"/>
            </w:tcBorders>
            <w:vAlign w:val="center"/>
          </w:tcPr>
          <w:p w14:paraId="63E64E6A">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302628.40</w:t>
            </w:r>
          </w:p>
        </w:tc>
        <w:tc>
          <w:tcPr>
            <w:tcW w:w="696" w:type="dxa"/>
            <w:tcBorders>
              <w:tl2br w:val="nil"/>
              <w:tr2bl w:val="nil"/>
            </w:tcBorders>
            <w:vAlign w:val="center"/>
          </w:tcPr>
          <w:p w14:paraId="2172580C">
            <w:pPr>
              <w:pStyle w:val="1489"/>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4656234.75</w:t>
            </w:r>
          </w:p>
        </w:tc>
        <w:tc>
          <w:tcPr>
            <w:tcW w:w="718" w:type="dxa"/>
            <w:tcBorders>
              <w:tl2br w:val="nil"/>
              <w:tr2bl w:val="nil"/>
            </w:tcBorders>
            <w:vAlign w:val="center"/>
          </w:tcPr>
          <w:p w14:paraId="53A462C7">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eastAsia="zh-CN"/>
              </w:rPr>
            </w:pPr>
            <w:r>
              <w:rPr>
                <w:rFonts w:hint="default" w:ascii="Times New Roman" w:hAnsi="Times New Roman" w:eastAsia="宋体" w:cs="Times New Roman"/>
                <w:b w:val="0"/>
                <w:bCs/>
                <w:color w:val="auto"/>
                <w:kern w:val="2"/>
                <w:sz w:val="21"/>
                <w:szCs w:val="21"/>
                <w:highlight w:val="none"/>
                <w:lang w:val="en-US" w:eastAsia="zh-CN" w:bidi="ar-SA"/>
              </w:rPr>
              <w:t>360</w:t>
            </w:r>
          </w:p>
        </w:tc>
        <w:tc>
          <w:tcPr>
            <w:tcW w:w="1085" w:type="dxa"/>
            <w:tcBorders>
              <w:tl2br w:val="nil"/>
              <w:tr2bl w:val="nil"/>
            </w:tcBorders>
            <w:vAlign w:val="center"/>
          </w:tcPr>
          <w:p w14:paraId="70C83E40">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kern w:val="2"/>
                <w:sz w:val="21"/>
                <w:szCs w:val="21"/>
                <w:highlight w:val="none"/>
                <w:lang w:val="en-US" w:eastAsia="zh-CN" w:bidi="ar-SA"/>
              </w:rPr>
              <w:t>3</w:t>
            </w:r>
          </w:p>
        </w:tc>
        <w:tc>
          <w:tcPr>
            <w:tcW w:w="1058" w:type="dxa"/>
            <w:tcBorders>
              <w:tl2br w:val="nil"/>
              <w:tr2bl w:val="nil"/>
            </w:tcBorders>
            <w:vAlign w:val="center"/>
          </w:tcPr>
          <w:p w14:paraId="0748AB32">
            <w:pPr>
              <w:pStyle w:val="1489"/>
              <w:spacing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70</w:t>
            </w:r>
          </w:p>
        </w:tc>
        <w:tc>
          <w:tcPr>
            <w:tcW w:w="1238" w:type="dxa"/>
            <w:tcBorders>
              <w:tl2br w:val="nil"/>
              <w:tr2bl w:val="nil"/>
            </w:tcBorders>
            <w:vAlign w:val="center"/>
          </w:tcPr>
          <w:p w14:paraId="69949ED6">
            <w:pPr>
              <w:spacing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昼、夜间</w:t>
            </w:r>
          </w:p>
        </w:tc>
        <w:tc>
          <w:tcPr>
            <w:tcW w:w="1291" w:type="dxa"/>
            <w:tcBorders>
              <w:tl2br w:val="nil"/>
              <w:tr2bl w:val="nil"/>
            </w:tcBorders>
            <w:vAlign w:val="center"/>
          </w:tcPr>
          <w:p w14:paraId="2D967E59">
            <w:pPr>
              <w:spacing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15</w:t>
            </w:r>
          </w:p>
        </w:tc>
        <w:tc>
          <w:tcPr>
            <w:tcW w:w="1125" w:type="dxa"/>
            <w:tcBorders>
              <w:tl2br w:val="nil"/>
              <w:tr2bl w:val="nil"/>
            </w:tcBorders>
            <w:vAlign w:val="center"/>
          </w:tcPr>
          <w:p w14:paraId="7053EF7C">
            <w:pPr>
              <w:keepNext w:val="0"/>
              <w:keepLines w:val="0"/>
              <w:widowControl/>
              <w:suppressLineNumbers w:val="0"/>
              <w:spacing w:line="240" w:lineRule="auto"/>
              <w:jc w:val="center"/>
              <w:textAlignment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1099" w:type="dxa"/>
            <w:tcBorders>
              <w:tl2br w:val="nil"/>
              <w:tr2bl w:val="nil"/>
            </w:tcBorders>
            <w:vAlign w:val="center"/>
          </w:tcPr>
          <w:p w14:paraId="49B8B417">
            <w:pPr>
              <w:spacing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1m</w:t>
            </w:r>
          </w:p>
        </w:tc>
      </w:tr>
    </w:tbl>
    <w:p w14:paraId="5652762E">
      <w:pPr>
        <w:rPr>
          <w:rFonts w:hint="default" w:eastAsia="宋体"/>
          <w:lang w:val="en-US" w:eastAsia="zh-CN"/>
        </w:rPr>
        <w:sectPr>
          <w:pgSz w:w="16838" w:h="11906"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lang w:val="en-US" w:eastAsia="zh-CN"/>
        </w:rPr>
        <w:t>注：由于浮选机数量较多，为14组，本次环评对浮选机噪声源强先叠加，再衰减。单台浮选机噪声源强为85dB(A)，叠加后为96dB(A)。破碎区在封闭的彩钢结构中，对噪声有一定程度的削减，可视为室内声源。</w:t>
      </w:r>
    </w:p>
    <w:p w14:paraId="03DC5D57">
      <w:pPr>
        <w:pStyle w:val="1486"/>
        <w:ind w:left="0" w:leftChars="0" w:firstLine="0" w:firstLineChars="0"/>
        <w:rPr>
          <w:rFonts w:hint="eastAsia" w:eastAsia="宋体" w:cs="Times New Roman"/>
          <w:b/>
          <w:bCs/>
          <w:color w:val="auto"/>
          <w:lang w:val="en-US" w:eastAsia="zh-CN"/>
        </w:rPr>
      </w:pPr>
      <w:r>
        <w:rPr>
          <w:rFonts w:hint="eastAsia" w:eastAsia="宋体" w:cs="Times New Roman"/>
          <w:b/>
          <w:bCs/>
          <w:color w:val="auto"/>
          <w:lang w:val="en-US" w:eastAsia="zh-CN"/>
        </w:rPr>
        <w:t>（四）固体废物污染源分析</w:t>
      </w:r>
    </w:p>
    <w:p w14:paraId="3BFC341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本项目</w:t>
      </w:r>
      <w:r>
        <w:rPr>
          <w:rFonts w:hint="eastAsia" w:cs="Times New Roman"/>
          <w:color w:val="auto"/>
          <w:kern w:val="2"/>
          <w:sz w:val="24"/>
          <w:szCs w:val="22"/>
          <w:lang w:val="en-US" w:eastAsia="zh-CN" w:bidi="ar-SA"/>
        </w:rPr>
        <w:t>生产过程中产生一般固废、危废及生活垃圾。一般固废包括</w:t>
      </w:r>
      <w:r>
        <w:rPr>
          <w:rFonts w:hint="eastAsia" w:ascii="Times New Roman" w:hAnsi="Times New Roman" w:eastAsia="宋体" w:cs="Times New Roman"/>
          <w:color w:val="auto"/>
          <w:kern w:val="2"/>
          <w:sz w:val="24"/>
          <w:szCs w:val="22"/>
          <w:lang w:val="en-US" w:eastAsia="zh-CN" w:bidi="ar-SA"/>
        </w:rPr>
        <w:t>尾矿、除尘灰</w:t>
      </w:r>
      <w:r>
        <w:rPr>
          <w:rFonts w:hint="eastAsia" w:cs="Times New Roman"/>
          <w:color w:val="auto"/>
          <w:kern w:val="2"/>
          <w:sz w:val="24"/>
          <w:szCs w:val="22"/>
          <w:lang w:val="en-US" w:eastAsia="zh-CN" w:bidi="ar-SA"/>
        </w:rPr>
        <w:t>，危废包括</w:t>
      </w:r>
      <w:r>
        <w:rPr>
          <w:rFonts w:hint="eastAsia" w:ascii="Times New Roman" w:hAnsi="Times New Roman" w:eastAsia="宋体" w:cs="Times New Roman"/>
          <w:color w:val="auto"/>
          <w:kern w:val="2"/>
          <w:sz w:val="24"/>
          <w:szCs w:val="22"/>
          <w:lang w:val="en-US" w:eastAsia="zh-CN" w:bidi="ar-SA"/>
        </w:rPr>
        <w:t>废机油、废油桶、</w:t>
      </w:r>
      <w:r>
        <w:rPr>
          <w:rFonts w:hint="eastAsia" w:cs="Times New Roman"/>
          <w:color w:val="auto"/>
          <w:kern w:val="2"/>
          <w:sz w:val="24"/>
          <w:szCs w:val="22"/>
          <w:lang w:val="en-US" w:eastAsia="zh-CN" w:bidi="ar-SA"/>
        </w:rPr>
        <w:t>浮选药剂废包装</w:t>
      </w:r>
      <w:r>
        <w:rPr>
          <w:rFonts w:hint="eastAsia" w:ascii="Times New Roman" w:hAnsi="Times New Roman" w:eastAsia="宋体" w:cs="Times New Roman"/>
          <w:color w:val="auto"/>
          <w:kern w:val="2"/>
          <w:sz w:val="24"/>
          <w:szCs w:val="22"/>
          <w:lang w:val="en-US" w:eastAsia="zh-CN" w:bidi="ar-SA"/>
        </w:rPr>
        <w:t>。</w:t>
      </w:r>
    </w:p>
    <w:p w14:paraId="2E86606C">
      <w:pPr>
        <w:keepNext w:val="0"/>
        <w:keepLines w:val="0"/>
        <w:widowControl/>
        <w:suppressLineNumbers w:val="0"/>
        <w:spacing w:line="360" w:lineRule="auto"/>
        <w:jc w:val="left"/>
        <w:rPr>
          <w:rFonts w:hint="default" w:ascii="Times New Roman" w:hAnsi="Times New Roman" w:eastAsia="宋体" w:cs="Times New Roman"/>
          <w:b/>
          <w:bCs/>
          <w:color w:val="auto"/>
          <w:kern w:val="2"/>
          <w:sz w:val="24"/>
          <w:szCs w:val="22"/>
          <w:lang w:val="en-US" w:eastAsia="zh-CN" w:bidi="ar-SA"/>
        </w:rPr>
      </w:pPr>
      <w:r>
        <w:rPr>
          <w:rFonts w:hint="eastAsia" w:ascii="Times New Roman" w:hAnsi="Times New Roman" w:eastAsia="宋体" w:cs="Times New Roman"/>
          <w:b/>
          <w:bCs/>
          <w:color w:val="auto"/>
          <w:kern w:val="2"/>
          <w:sz w:val="24"/>
          <w:szCs w:val="22"/>
          <w:lang w:val="en-US" w:eastAsia="zh-CN" w:bidi="ar-SA"/>
        </w:rPr>
        <w:t>（</w:t>
      </w:r>
      <w:r>
        <w:rPr>
          <w:rFonts w:hint="default" w:ascii="Times New Roman" w:hAnsi="Times New Roman" w:eastAsia="宋体" w:cs="Times New Roman"/>
          <w:b/>
          <w:bCs/>
          <w:color w:val="auto"/>
          <w:kern w:val="2"/>
          <w:sz w:val="24"/>
          <w:szCs w:val="22"/>
          <w:lang w:val="en-US" w:eastAsia="zh-CN" w:bidi="ar-SA"/>
        </w:rPr>
        <w:t>1</w:t>
      </w:r>
      <w:r>
        <w:rPr>
          <w:rFonts w:hint="eastAsia" w:ascii="Times New Roman" w:hAnsi="Times New Roman" w:eastAsia="宋体" w:cs="Times New Roman"/>
          <w:b/>
          <w:bCs/>
          <w:color w:val="auto"/>
          <w:kern w:val="2"/>
          <w:sz w:val="24"/>
          <w:szCs w:val="22"/>
          <w:lang w:val="en-US" w:eastAsia="zh-CN" w:bidi="ar-SA"/>
        </w:rPr>
        <w:t>）尾矿</w:t>
      </w:r>
    </w:p>
    <w:p w14:paraId="384C15B2">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本项目尾矿</w:t>
      </w:r>
      <w:r>
        <w:rPr>
          <w:rFonts w:hint="eastAsia" w:cs="Times New Roman"/>
          <w:color w:val="auto"/>
          <w:kern w:val="2"/>
          <w:sz w:val="24"/>
          <w:szCs w:val="22"/>
          <w:lang w:val="en-US" w:eastAsia="zh-CN" w:bidi="ar-SA"/>
        </w:rPr>
        <w:t>采用干排方式，</w:t>
      </w:r>
      <w:r>
        <w:rPr>
          <w:rFonts w:hint="eastAsia"/>
          <w:color w:val="auto"/>
          <w:sz w:val="24"/>
          <w:szCs w:val="24"/>
          <w:lang w:val="en-US" w:eastAsia="zh-CN"/>
        </w:rPr>
        <w:t>经查</w:t>
      </w:r>
      <w:r>
        <w:rPr>
          <w:rFonts w:hint="eastAsia"/>
          <w:color w:val="auto"/>
          <w:sz w:val="24"/>
          <w:szCs w:val="24"/>
        </w:rPr>
        <w:t>《固体废物分类与代码目录》（公告2024年第4号），</w:t>
      </w:r>
      <w:r>
        <w:rPr>
          <w:rFonts w:hint="eastAsia"/>
          <w:color w:val="auto"/>
          <w:sz w:val="24"/>
          <w:szCs w:val="24"/>
          <w:lang w:val="en-US" w:eastAsia="zh-CN"/>
        </w:rPr>
        <w:t>废物种类属于SW05尾矿，</w:t>
      </w:r>
      <w:r>
        <w:rPr>
          <w:rFonts w:hint="eastAsia"/>
          <w:color w:val="auto"/>
          <w:sz w:val="24"/>
          <w:szCs w:val="24"/>
        </w:rPr>
        <w:t>代码为092-001-S05</w:t>
      </w:r>
      <w:r>
        <w:rPr>
          <w:rFonts w:hint="eastAsia"/>
          <w:color w:val="auto"/>
          <w:sz w:val="24"/>
          <w:szCs w:val="24"/>
          <w:lang w:eastAsia="zh-CN"/>
        </w:rPr>
        <w:t>，</w:t>
      </w:r>
      <w:r>
        <w:rPr>
          <w:rFonts w:hint="eastAsia" w:ascii="Times New Roman" w:hAnsi="Times New Roman" w:eastAsia="宋体" w:cs="Times New Roman"/>
          <w:color w:val="auto"/>
          <w:kern w:val="2"/>
          <w:sz w:val="24"/>
          <w:szCs w:val="22"/>
          <w:lang w:val="en-US" w:eastAsia="zh-CN" w:bidi="ar-SA"/>
        </w:rPr>
        <w:t>产生量为18.594万t/a</w:t>
      </w:r>
      <w:r>
        <w:rPr>
          <w:rFonts w:hint="eastAsia"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压滤后</w:t>
      </w:r>
      <w:r>
        <w:rPr>
          <w:rFonts w:hint="eastAsia" w:cs="Times New Roman"/>
          <w:color w:val="auto"/>
          <w:kern w:val="2"/>
          <w:sz w:val="24"/>
          <w:szCs w:val="22"/>
          <w:lang w:val="en-US" w:eastAsia="zh-CN" w:bidi="ar-SA"/>
        </w:rPr>
        <w:t>的干尾矿暂存于干排车间尾矿暂存处</w:t>
      </w:r>
      <w:r>
        <w:rPr>
          <w:rFonts w:hint="eastAsia" w:ascii="Times New Roman" w:hAnsi="Times New Roman" w:eastAsia="宋体" w:cs="Times New Roman"/>
          <w:color w:val="auto"/>
          <w:kern w:val="2"/>
          <w:sz w:val="24"/>
          <w:szCs w:val="22"/>
          <w:lang w:val="en-US" w:eastAsia="zh-CN" w:bidi="ar-SA"/>
        </w:rPr>
        <w:t xml:space="preserve">，日产日清，尾矿外运作为建筑材料原料综合利用。 </w:t>
      </w:r>
    </w:p>
    <w:p w14:paraId="0290AD7F">
      <w:pPr>
        <w:pStyle w:val="94"/>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cs="Times New Roman"/>
          <w:b w:val="0"/>
          <w:bCs w:val="0"/>
          <w:color w:val="auto"/>
          <w:lang w:eastAsia="zh-CN"/>
        </w:rPr>
      </w:pPr>
      <w:r>
        <w:rPr>
          <w:rFonts w:hint="default" w:ascii="Times New Roman" w:hAnsi="Times New Roman" w:cs="Times New Roman"/>
          <w:b w:val="0"/>
          <w:bCs w:val="0"/>
          <w:color w:val="auto"/>
          <w:lang w:val="en-US" w:eastAsia="zh-CN"/>
        </w:rPr>
        <w:t>本项目产生尾矿为一般工业固体废物，尾矿浸出液检出项目浓度值均未超过《污水综合排放标准》（GB8978-1996）中一级标准值，且pH值在6-9之间，</w:t>
      </w:r>
      <w:r>
        <w:rPr>
          <w:rFonts w:hint="eastAsia" w:cs="Times New Roman"/>
          <w:b w:val="0"/>
          <w:bCs w:val="0"/>
          <w:color w:val="auto"/>
          <w:lang w:val="en-US" w:eastAsia="zh-CN"/>
        </w:rPr>
        <w:t>表明本项目产生的</w:t>
      </w:r>
      <w:r>
        <w:rPr>
          <w:rFonts w:hint="default" w:ascii="Times New Roman" w:hAnsi="Times New Roman" w:cs="Times New Roman"/>
          <w:b w:val="0"/>
          <w:bCs w:val="0"/>
          <w:color w:val="auto"/>
          <w:lang w:val="en-US" w:eastAsia="zh-CN"/>
        </w:rPr>
        <w:t>尾矿属于I类一般工业固体废物</w:t>
      </w:r>
      <w:r>
        <w:rPr>
          <w:rFonts w:hint="eastAsia" w:cs="Times New Roman"/>
          <w:b w:val="0"/>
          <w:bCs w:val="0"/>
          <w:color w:val="auto"/>
          <w:lang w:val="en-US" w:eastAsia="zh-CN"/>
        </w:rPr>
        <w:t>，</w:t>
      </w:r>
      <w:r>
        <w:rPr>
          <w:rFonts w:hint="default" w:ascii="Times New Roman" w:hAnsi="Times New Roman" w:cs="Times New Roman"/>
          <w:b w:val="0"/>
          <w:bCs w:val="0"/>
          <w:color w:val="auto"/>
          <w:lang w:val="en-US" w:eastAsia="zh-CN"/>
        </w:rPr>
        <w:t>可作为建筑材料原料。</w:t>
      </w:r>
    </w:p>
    <w:p w14:paraId="30827A76">
      <w:pPr>
        <w:pStyle w:val="94"/>
        <w:keepNext w:val="0"/>
        <w:keepLines w:val="0"/>
        <w:pageBreakBefore w:val="0"/>
        <w:widowControl w:val="0"/>
        <w:numPr>
          <w:ilvl w:val="0"/>
          <w:numId w:val="7"/>
        </w:numPr>
        <w:kinsoku/>
        <w:wordWrap/>
        <w:overflowPunct/>
        <w:topLinePunct w:val="0"/>
        <w:autoSpaceDE/>
        <w:autoSpaceDN/>
        <w:bidi w:val="0"/>
        <w:adjustRightInd/>
        <w:snapToGrid/>
        <w:spacing w:after="0"/>
        <w:ind w:left="0" w:leftChars="0" w:firstLine="0" w:firstLineChars="0"/>
        <w:textAlignment w:val="auto"/>
        <w:rPr>
          <w:rFonts w:hint="eastAsia" w:cs="Times New Roman"/>
          <w:b/>
          <w:bCs/>
          <w:color w:val="auto"/>
          <w:lang w:val="en-US" w:eastAsia="zh-CN"/>
        </w:rPr>
      </w:pPr>
      <w:r>
        <w:rPr>
          <w:rFonts w:hint="eastAsia" w:cs="Times New Roman"/>
          <w:b/>
          <w:bCs/>
          <w:color w:val="auto"/>
          <w:lang w:val="en-US" w:eastAsia="zh-CN"/>
        </w:rPr>
        <w:t>除尘灰</w:t>
      </w:r>
    </w:p>
    <w:p w14:paraId="0422D1FF">
      <w:pPr>
        <w:pStyle w:val="9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default" w:cs="Times New Roman"/>
          <w:b w:val="0"/>
          <w:bCs w:val="0"/>
          <w:color w:val="auto"/>
          <w:lang w:val="en-US" w:eastAsia="zh-CN"/>
        </w:rPr>
      </w:pPr>
      <w:r>
        <w:rPr>
          <w:rFonts w:hint="default" w:cs="Times New Roman"/>
          <w:b w:val="0"/>
          <w:bCs w:val="0"/>
          <w:color w:val="auto"/>
          <w:lang w:val="en-US" w:eastAsia="zh-CN"/>
        </w:rPr>
        <w:t>本项目</w:t>
      </w:r>
      <w:r>
        <w:rPr>
          <w:rFonts w:hint="eastAsia" w:cs="Times New Roman"/>
          <w:b w:val="0"/>
          <w:bCs w:val="0"/>
          <w:color w:val="auto"/>
          <w:lang w:val="en-US" w:eastAsia="zh-CN"/>
        </w:rPr>
        <w:t>除尘灰主要来自</w:t>
      </w:r>
      <w:r>
        <w:rPr>
          <w:rFonts w:hint="default" w:cs="Times New Roman"/>
          <w:b w:val="0"/>
          <w:bCs w:val="0"/>
          <w:color w:val="auto"/>
          <w:lang w:val="en-US" w:eastAsia="zh-CN"/>
        </w:rPr>
        <w:t>破碎、</w:t>
      </w:r>
      <w:r>
        <w:rPr>
          <w:rFonts w:hint="eastAsia" w:cs="Times New Roman"/>
          <w:b w:val="0"/>
          <w:bCs w:val="0"/>
          <w:color w:val="auto"/>
          <w:lang w:val="en-US" w:eastAsia="zh-CN"/>
        </w:rPr>
        <w:t>球磨工序配套的</w:t>
      </w:r>
      <w:r>
        <w:rPr>
          <w:rFonts w:hint="default" w:cs="Times New Roman"/>
          <w:b w:val="0"/>
          <w:bCs w:val="0"/>
          <w:color w:val="auto"/>
          <w:lang w:val="en-US" w:eastAsia="zh-CN"/>
        </w:rPr>
        <w:t>布袋除尘器，</w:t>
      </w:r>
      <w:r>
        <w:rPr>
          <w:rFonts w:hint="eastAsia"/>
          <w:color w:val="auto"/>
          <w:sz w:val="24"/>
          <w:szCs w:val="24"/>
        </w:rPr>
        <w:t>经查《固体废物分类与代码目录》（公告2024年第4号），</w:t>
      </w:r>
      <w:r>
        <w:rPr>
          <w:rFonts w:hint="eastAsia"/>
          <w:color w:val="auto"/>
          <w:sz w:val="24"/>
          <w:szCs w:val="24"/>
          <w:lang w:val="en-US" w:eastAsia="zh-CN"/>
        </w:rPr>
        <w:t>废物种类属于SW59其他工业固体废物</w:t>
      </w:r>
      <w:r>
        <w:rPr>
          <w:rFonts w:hint="eastAsia"/>
          <w:color w:val="auto"/>
          <w:sz w:val="24"/>
          <w:szCs w:val="24"/>
          <w:lang w:eastAsia="zh-CN"/>
        </w:rPr>
        <w:t>，</w:t>
      </w:r>
      <w:r>
        <w:rPr>
          <w:rFonts w:hint="eastAsia"/>
          <w:color w:val="auto"/>
          <w:sz w:val="24"/>
          <w:szCs w:val="24"/>
          <w:lang w:val="en-US" w:eastAsia="zh-CN"/>
        </w:rPr>
        <w:t>代码为900-099-S59，</w:t>
      </w:r>
      <w:r>
        <w:rPr>
          <w:rFonts w:hint="eastAsia" w:cs="Times New Roman"/>
          <w:b w:val="0"/>
          <w:bCs w:val="0"/>
          <w:color w:val="auto"/>
          <w:lang w:val="en-US" w:eastAsia="zh-CN"/>
        </w:rPr>
        <w:t>收集的粉尘量</w:t>
      </w:r>
      <w:r>
        <w:rPr>
          <w:rFonts w:hint="eastAsia" w:cs="Times New Roman"/>
          <w:b w:val="0"/>
          <w:bCs w:val="0"/>
          <w:color w:val="auto"/>
          <w:highlight w:val="none"/>
          <w:lang w:val="en-US" w:eastAsia="zh-CN"/>
        </w:rPr>
        <w:t>为62.37t/a</w:t>
      </w:r>
      <w:r>
        <w:rPr>
          <w:rFonts w:hint="default" w:cs="Times New Roman"/>
          <w:b w:val="0"/>
          <w:bCs w:val="0"/>
          <w:color w:val="auto"/>
          <w:highlight w:val="none"/>
          <w:lang w:val="en-US" w:eastAsia="zh-CN"/>
        </w:rPr>
        <w:t>，</w:t>
      </w:r>
      <w:r>
        <w:rPr>
          <w:rFonts w:hint="default" w:cs="Times New Roman"/>
          <w:b w:val="0"/>
          <w:bCs w:val="0"/>
          <w:color w:val="auto"/>
          <w:lang w:val="en-US" w:eastAsia="zh-CN"/>
        </w:rPr>
        <w:t>全部返回磨矿工艺，不外排。</w:t>
      </w:r>
    </w:p>
    <w:p w14:paraId="6C695EE6">
      <w:pPr>
        <w:pStyle w:val="94"/>
        <w:keepNext w:val="0"/>
        <w:keepLines w:val="0"/>
        <w:pageBreakBefore w:val="0"/>
        <w:widowControl w:val="0"/>
        <w:numPr>
          <w:ilvl w:val="0"/>
          <w:numId w:val="7"/>
        </w:numPr>
        <w:kinsoku/>
        <w:wordWrap/>
        <w:overflowPunct/>
        <w:topLinePunct w:val="0"/>
        <w:autoSpaceDE/>
        <w:autoSpaceDN/>
        <w:bidi w:val="0"/>
        <w:adjustRightInd/>
        <w:snapToGrid/>
        <w:spacing w:after="0"/>
        <w:ind w:left="0" w:leftChars="0" w:firstLine="0" w:firstLineChars="0"/>
        <w:textAlignment w:val="auto"/>
        <w:rPr>
          <w:rFonts w:hint="eastAsia" w:cs="Times New Roman"/>
          <w:b/>
          <w:bCs/>
          <w:color w:val="auto"/>
          <w:lang w:val="en-US" w:eastAsia="zh-CN"/>
        </w:rPr>
      </w:pPr>
      <w:r>
        <w:rPr>
          <w:rFonts w:hint="eastAsia" w:cs="Times New Roman"/>
          <w:b/>
          <w:bCs/>
          <w:color w:val="auto"/>
          <w:lang w:val="en-US" w:eastAsia="zh-CN"/>
        </w:rPr>
        <w:t>废机油、废油桶</w:t>
      </w:r>
    </w:p>
    <w:p w14:paraId="1D8F5BC0">
      <w:pPr>
        <w:keepNext w:val="0"/>
        <w:keepLines w:val="0"/>
        <w:widowControl/>
        <w:suppressLineNumbers w:val="0"/>
        <w:spacing w:line="360" w:lineRule="auto"/>
        <w:ind w:firstLine="480" w:firstLineChars="200"/>
        <w:jc w:val="left"/>
        <w:rPr>
          <w:rFonts w:hint="default" w:cs="Times New Roman"/>
          <w:b/>
          <w:bCs/>
          <w:color w:val="auto"/>
          <w:lang w:val="en-US" w:eastAsia="zh-CN"/>
        </w:rPr>
      </w:pPr>
      <w:r>
        <w:rPr>
          <w:rFonts w:hint="eastAsia" w:ascii="Times New Roman" w:hAnsi="Times New Roman" w:eastAsia="宋体" w:cs="Times New Roman"/>
          <w:b w:val="0"/>
          <w:bCs w:val="0"/>
          <w:color w:val="auto"/>
          <w:kern w:val="2"/>
          <w:sz w:val="24"/>
          <w:szCs w:val="22"/>
          <w:lang w:val="en-US" w:eastAsia="zh-CN" w:bidi="ar-SA"/>
        </w:rPr>
        <w:t>类比同类型企业，本项目年产废机油量为</w:t>
      </w:r>
      <w:r>
        <w:rPr>
          <w:rFonts w:hint="default" w:ascii="Times New Roman" w:hAnsi="Times New Roman" w:eastAsia="宋体" w:cs="Times New Roman"/>
          <w:b w:val="0"/>
          <w:bCs w:val="0"/>
          <w:color w:val="auto"/>
          <w:kern w:val="2"/>
          <w:sz w:val="24"/>
          <w:szCs w:val="22"/>
          <w:lang w:val="en-US" w:eastAsia="zh-CN" w:bidi="ar-SA"/>
        </w:rPr>
        <w:t>0.</w:t>
      </w:r>
      <w:r>
        <w:rPr>
          <w:rFonts w:hint="eastAsia" w:cs="Times New Roman"/>
          <w:b w:val="0"/>
          <w:bCs w:val="0"/>
          <w:color w:val="auto"/>
          <w:kern w:val="2"/>
          <w:sz w:val="24"/>
          <w:szCs w:val="22"/>
          <w:lang w:val="en-US" w:eastAsia="zh-CN" w:bidi="ar-SA"/>
        </w:rPr>
        <w:t>5</w:t>
      </w:r>
      <w:r>
        <w:rPr>
          <w:rFonts w:hint="default" w:ascii="Times New Roman" w:hAnsi="Times New Roman" w:eastAsia="宋体" w:cs="Times New Roman"/>
          <w:b w:val="0"/>
          <w:bCs w:val="0"/>
          <w:color w:val="auto"/>
          <w:kern w:val="2"/>
          <w:sz w:val="24"/>
          <w:szCs w:val="22"/>
          <w:lang w:val="en-US" w:eastAsia="zh-CN" w:bidi="ar-SA"/>
        </w:rPr>
        <w:t>t/a</w:t>
      </w:r>
      <w:r>
        <w:rPr>
          <w:rFonts w:hint="eastAsia" w:ascii="Times New Roman" w:hAnsi="Times New Roman" w:eastAsia="宋体" w:cs="Times New Roman"/>
          <w:b w:val="0"/>
          <w:bCs w:val="0"/>
          <w:color w:val="auto"/>
          <w:kern w:val="2"/>
          <w:sz w:val="24"/>
          <w:szCs w:val="22"/>
          <w:lang w:val="en-US" w:eastAsia="zh-CN" w:bidi="ar-SA"/>
        </w:rPr>
        <w:t>、废油桶</w:t>
      </w:r>
      <w:r>
        <w:rPr>
          <w:rFonts w:hint="default" w:ascii="Times New Roman" w:hAnsi="Times New Roman" w:eastAsia="宋体" w:cs="Times New Roman"/>
          <w:b w:val="0"/>
          <w:bCs w:val="0"/>
          <w:color w:val="auto"/>
          <w:kern w:val="2"/>
          <w:sz w:val="24"/>
          <w:szCs w:val="22"/>
          <w:lang w:val="en-US" w:eastAsia="zh-CN" w:bidi="ar-SA"/>
        </w:rPr>
        <w:t>0.</w:t>
      </w:r>
      <w:r>
        <w:rPr>
          <w:rFonts w:hint="eastAsia" w:cs="Times New Roman"/>
          <w:b w:val="0"/>
          <w:bCs w:val="0"/>
          <w:color w:val="auto"/>
          <w:kern w:val="2"/>
          <w:sz w:val="24"/>
          <w:szCs w:val="22"/>
          <w:lang w:val="en-US" w:eastAsia="zh-CN" w:bidi="ar-SA"/>
        </w:rPr>
        <w:t>1</w:t>
      </w:r>
      <w:r>
        <w:rPr>
          <w:rFonts w:hint="default" w:ascii="Times New Roman" w:hAnsi="Times New Roman" w:eastAsia="宋体" w:cs="Times New Roman"/>
          <w:b w:val="0"/>
          <w:bCs w:val="0"/>
          <w:color w:val="auto"/>
          <w:kern w:val="2"/>
          <w:sz w:val="24"/>
          <w:szCs w:val="22"/>
          <w:lang w:val="en-US" w:eastAsia="zh-CN" w:bidi="ar-SA"/>
        </w:rPr>
        <w:t>t/a</w:t>
      </w:r>
      <w:r>
        <w:rPr>
          <w:rFonts w:hint="eastAsia" w:cs="Times New Roman"/>
          <w:b w:val="0"/>
          <w:bCs w:val="0"/>
          <w:color w:val="auto"/>
          <w:kern w:val="2"/>
          <w:sz w:val="24"/>
          <w:szCs w:val="22"/>
          <w:lang w:val="en-US" w:eastAsia="zh-CN" w:bidi="ar-SA"/>
        </w:rPr>
        <w:t>，经查</w:t>
      </w:r>
      <w:r>
        <w:rPr>
          <w:rFonts w:hint="eastAsia" w:ascii="Times New Roman" w:hAnsi="Times New Roman" w:eastAsia="宋体" w:cs="Times New Roman"/>
          <w:b w:val="0"/>
          <w:bCs w:val="0"/>
          <w:color w:val="auto"/>
          <w:kern w:val="2"/>
          <w:sz w:val="24"/>
          <w:szCs w:val="22"/>
          <w:lang w:val="en-US" w:eastAsia="zh-CN" w:bidi="ar-SA"/>
        </w:rPr>
        <w:t>《国家危险废物名录》</w:t>
      </w:r>
      <w:r>
        <w:rPr>
          <w:rFonts w:hint="eastAsia" w:cs="Times New Roman"/>
          <w:b w:val="0"/>
          <w:bCs w:val="0"/>
          <w:color w:val="auto"/>
          <w:kern w:val="2"/>
          <w:sz w:val="24"/>
          <w:szCs w:val="22"/>
          <w:lang w:val="en-US" w:eastAsia="zh-CN" w:bidi="ar-SA"/>
        </w:rPr>
        <w:t>（2025年），</w:t>
      </w:r>
      <w:r>
        <w:rPr>
          <w:rFonts w:hint="eastAsia" w:ascii="Times New Roman" w:hAnsi="Times New Roman" w:eastAsia="宋体" w:cs="Times New Roman"/>
          <w:b w:val="0"/>
          <w:bCs w:val="0"/>
          <w:color w:val="auto"/>
          <w:kern w:val="2"/>
          <w:sz w:val="24"/>
          <w:szCs w:val="22"/>
          <w:lang w:val="en-US" w:eastAsia="zh-CN" w:bidi="ar-SA"/>
        </w:rPr>
        <w:t>废机油和废油桶属于</w:t>
      </w:r>
      <w:r>
        <w:rPr>
          <w:rFonts w:hint="eastAsia" w:cs="Times New Roman"/>
          <w:b w:val="0"/>
          <w:bCs w:val="0"/>
          <w:color w:val="auto"/>
          <w:kern w:val="2"/>
          <w:sz w:val="24"/>
          <w:szCs w:val="22"/>
          <w:lang w:val="en-US" w:eastAsia="zh-CN" w:bidi="ar-SA"/>
        </w:rPr>
        <w:t>名录中列“HW08 废矿物油与含矿物油废物”，废机油废物代码900-214-08，为车辆、机械维修过程中产生的废发动机油、制动器油、自动变速器油、齿轮油等废润滑油；废油桶废物代码为900-249-08，属于其他生产、销售、使用过程中产生的废矿物油及沾染矿物油的废弃包装物</w:t>
      </w:r>
      <w:r>
        <w:rPr>
          <w:rFonts w:hint="eastAsia" w:ascii="Times New Roman" w:hAnsi="Times New Roman" w:eastAsia="宋体" w:cs="Times New Roman"/>
          <w:b w:val="0"/>
          <w:bCs w:val="0"/>
          <w:color w:val="auto"/>
          <w:kern w:val="2"/>
          <w:sz w:val="24"/>
          <w:szCs w:val="22"/>
          <w:lang w:val="en-US" w:eastAsia="zh-CN" w:bidi="ar-SA"/>
        </w:rPr>
        <w:t>。</w:t>
      </w:r>
      <w:r>
        <w:rPr>
          <w:rFonts w:hint="eastAsia" w:cs="Times New Roman"/>
          <w:b w:val="0"/>
          <w:bCs w:val="0"/>
          <w:color w:val="auto"/>
          <w:kern w:val="2"/>
          <w:sz w:val="24"/>
          <w:szCs w:val="22"/>
          <w:lang w:val="en-US" w:eastAsia="zh-CN" w:bidi="ar-SA"/>
        </w:rPr>
        <w:t>企业将废机油、废油桶暂存于现有危废贮存点后，委托有资质的单位处理。</w:t>
      </w:r>
    </w:p>
    <w:p w14:paraId="760D2A63">
      <w:pPr>
        <w:pStyle w:val="94"/>
        <w:keepNext w:val="0"/>
        <w:keepLines w:val="0"/>
        <w:pageBreakBefore w:val="0"/>
        <w:widowControl w:val="0"/>
        <w:numPr>
          <w:ilvl w:val="0"/>
          <w:numId w:val="7"/>
        </w:numPr>
        <w:kinsoku/>
        <w:wordWrap/>
        <w:overflowPunct/>
        <w:topLinePunct w:val="0"/>
        <w:autoSpaceDE/>
        <w:autoSpaceDN/>
        <w:bidi w:val="0"/>
        <w:adjustRightInd/>
        <w:snapToGrid/>
        <w:spacing w:after="0"/>
        <w:ind w:left="0" w:leftChars="0" w:firstLine="0" w:firstLineChars="0"/>
        <w:textAlignment w:val="auto"/>
        <w:rPr>
          <w:rFonts w:hint="default" w:cs="Times New Roman"/>
          <w:b/>
          <w:bCs/>
          <w:color w:val="auto"/>
          <w:lang w:val="en-US" w:eastAsia="zh-CN"/>
        </w:rPr>
      </w:pPr>
      <w:r>
        <w:rPr>
          <w:rFonts w:hint="eastAsia" w:cs="Times New Roman"/>
          <w:b/>
          <w:bCs/>
          <w:color w:val="auto"/>
          <w:lang w:val="en-US" w:eastAsia="zh-CN"/>
        </w:rPr>
        <w:t>浮选药剂废包装</w:t>
      </w:r>
    </w:p>
    <w:p w14:paraId="7FE0A88B">
      <w:pPr>
        <w:keepNext w:val="0"/>
        <w:keepLines w:val="0"/>
        <w:widowControl/>
        <w:suppressLineNumbers w:val="0"/>
        <w:spacing w:line="360" w:lineRule="auto"/>
        <w:ind w:firstLine="480" w:firstLineChars="200"/>
        <w:jc w:val="left"/>
        <w:rPr>
          <w:rFonts w:hint="eastAsia" w:ascii="Times New Roman" w:hAnsi="Times New Roman" w:eastAsia="宋体" w:cs="Times New Roman"/>
          <w:b w:val="0"/>
          <w:bCs w:val="0"/>
          <w:color w:val="auto"/>
          <w:kern w:val="2"/>
          <w:sz w:val="24"/>
          <w:szCs w:val="22"/>
          <w:lang w:val="en-US" w:eastAsia="zh-CN" w:bidi="ar-SA"/>
        </w:rPr>
      </w:pPr>
      <w:r>
        <w:rPr>
          <w:rFonts w:hint="eastAsia" w:ascii="Times New Roman" w:hAnsi="Times New Roman" w:eastAsia="宋体" w:cs="Times New Roman"/>
          <w:b w:val="0"/>
          <w:bCs w:val="0"/>
          <w:color w:val="auto"/>
          <w:kern w:val="2"/>
          <w:sz w:val="24"/>
          <w:szCs w:val="22"/>
          <w:lang w:val="en-US" w:eastAsia="zh-CN" w:bidi="ar-SA"/>
        </w:rPr>
        <w:t>本项目浮选</w:t>
      </w:r>
      <w:r>
        <w:rPr>
          <w:rFonts w:hint="eastAsia" w:cs="Times New Roman"/>
          <w:b w:val="0"/>
          <w:bCs w:val="0"/>
          <w:color w:val="auto"/>
          <w:kern w:val="2"/>
          <w:sz w:val="24"/>
          <w:szCs w:val="22"/>
          <w:lang w:val="en-US" w:eastAsia="zh-CN" w:bidi="ar-SA"/>
        </w:rPr>
        <w:t>过程中使用的</w:t>
      </w:r>
      <w:r>
        <w:rPr>
          <w:rFonts w:hint="eastAsia" w:ascii="Times New Roman" w:hAnsi="Times New Roman" w:eastAsia="宋体" w:cs="Times New Roman"/>
          <w:b w:val="0"/>
          <w:bCs w:val="0"/>
          <w:color w:val="auto"/>
          <w:kern w:val="2"/>
          <w:sz w:val="24"/>
          <w:szCs w:val="22"/>
          <w:lang w:val="en-US" w:eastAsia="zh-CN" w:bidi="ar-SA"/>
        </w:rPr>
        <w:t>药剂主要包括丁基黄药、丁铵黑药、</w:t>
      </w:r>
      <w:r>
        <w:rPr>
          <w:rFonts w:hint="eastAsia" w:cs="Times New Roman"/>
          <w:b w:val="0"/>
          <w:bCs w:val="0"/>
          <w:color w:val="auto"/>
          <w:kern w:val="2"/>
          <w:sz w:val="24"/>
          <w:szCs w:val="22"/>
          <w:lang w:val="en-US" w:eastAsia="zh-CN" w:bidi="ar-SA"/>
        </w:rPr>
        <w:t>2号</w:t>
      </w:r>
      <w:r>
        <w:rPr>
          <w:rFonts w:hint="eastAsia" w:ascii="Times New Roman" w:hAnsi="Times New Roman" w:eastAsia="宋体" w:cs="Times New Roman"/>
          <w:b w:val="0"/>
          <w:bCs w:val="0"/>
          <w:color w:val="auto"/>
          <w:kern w:val="2"/>
          <w:sz w:val="24"/>
          <w:szCs w:val="22"/>
          <w:lang w:val="en-US" w:eastAsia="zh-CN" w:bidi="ar-SA"/>
        </w:rPr>
        <w:t>油，其中，丁基黄药、丁铵黑药</w:t>
      </w:r>
      <w:r>
        <w:rPr>
          <w:rFonts w:hint="eastAsia" w:cs="Times New Roman"/>
          <w:b w:val="0"/>
          <w:bCs w:val="0"/>
          <w:color w:val="auto"/>
          <w:kern w:val="2"/>
          <w:sz w:val="24"/>
          <w:szCs w:val="22"/>
          <w:lang w:val="en-US" w:eastAsia="zh-CN" w:bidi="ar-SA"/>
        </w:rPr>
        <w:t>为粉装，</w:t>
      </w:r>
      <w:r>
        <w:rPr>
          <w:rFonts w:hint="eastAsia" w:ascii="Times New Roman" w:hAnsi="Times New Roman" w:eastAsia="宋体" w:cs="Times New Roman"/>
          <w:b w:val="0"/>
          <w:bCs w:val="0"/>
          <w:color w:val="auto"/>
          <w:kern w:val="2"/>
          <w:sz w:val="24"/>
          <w:szCs w:val="22"/>
          <w:lang w:val="en-US" w:eastAsia="zh-CN" w:bidi="ar-SA"/>
        </w:rPr>
        <w:t>包装规格均为</w:t>
      </w:r>
      <w:r>
        <w:rPr>
          <w:rFonts w:hint="eastAsia" w:cs="Times New Roman"/>
          <w:b w:val="0"/>
          <w:bCs w:val="0"/>
          <w:color w:val="auto"/>
          <w:kern w:val="2"/>
          <w:sz w:val="24"/>
          <w:szCs w:val="22"/>
          <w:lang w:val="en-US" w:eastAsia="zh-CN" w:bidi="ar-SA"/>
        </w:rPr>
        <w:t>50</w:t>
      </w:r>
      <w:r>
        <w:rPr>
          <w:rFonts w:hint="default" w:ascii="Times New Roman" w:hAnsi="Times New Roman" w:eastAsia="宋体" w:cs="Times New Roman"/>
          <w:b w:val="0"/>
          <w:bCs w:val="0"/>
          <w:color w:val="auto"/>
          <w:kern w:val="2"/>
          <w:sz w:val="24"/>
          <w:szCs w:val="22"/>
          <w:lang w:val="en-US" w:eastAsia="zh-CN" w:bidi="ar-SA"/>
        </w:rPr>
        <w:t>kg/</w:t>
      </w:r>
      <w:r>
        <w:rPr>
          <w:rFonts w:hint="eastAsia" w:ascii="Times New Roman" w:hAnsi="Times New Roman" w:eastAsia="宋体" w:cs="Times New Roman"/>
          <w:b w:val="0"/>
          <w:bCs w:val="0"/>
          <w:color w:val="auto"/>
          <w:kern w:val="2"/>
          <w:sz w:val="24"/>
          <w:szCs w:val="22"/>
          <w:lang w:val="en-US" w:eastAsia="zh-CN" w:bidi="ar-SA"/>
        </w:rPr>
        <w:t>袋，</w:t>
      </w:r>
      <w:r>
        <w:rPr>
          <w:rFonts w:hint="eastAsia" w:cs="Times New Roman"/>
          <w:b w:val="0"/>
          <w:bCs w:val="0"/>
          <w:color w:val="auto"/>
          <w:kern w:val="2"/>
          <w:sz w:val="24"/>
          <w:szCs w:val="22"/>
          <w:lang w:val="en-US" w:eastAsia="zh-CN" w:bidi="ar-SA"/>
        </w:rPr>
        <w:t>2号油为液态</w:t>
      </w:r>
      <w:r>
        <w:rPr>
          <w:rFonts w:hint="eastAsia" w:ascii="Times New Roman" w:hAnsi="Times New Roman" w:eastAsia="宋体" w:cs="Times New Roman"/>
          <w:b w:val="0"/>
          <w:bCs w:val="0"/>
          <w:color w:val="auto"/>
          <w:kern w:val="2"/>
          <w:sz w:val="24"/>
          <w:szCs w:val="22"/>
          <w:lang w:val="en-US" w:eastAsia="zh-CN" w:bidi="ar-SA"/>
        </w:rPr>
        <w:t>，</w:t>
      </w:r>
      <w:r>
        <w:rPr>
          <w:rFonts w:hint="eastAsia" w:cs="Times New Roman"/>
          <w:b w:val="0"/>
          <w:bCs w:val="0"/>
          <w:color w:val="auto"/>
          <w:kern w:val="2"/>
          <w:sz w:val="24"/>
          <w:szCs w:val="22"/>
          <w:lang w:val="en-US" w:eastAsia="zh-CN" w:bidi="ar-SA"/>
        </w:rPr>
        <w:t>包装规格为25kg/桶，根据本项目药剂用量，可得出废包装袋为204个，废包装桶240个，总产生量约为3t/a，经查《国家危险废物名录》(2025年)，本项目产生的浮选药剂废包装属于名录中所列“HW49 其他废物”为危险废物，代码为 900-041-49，含有或者沾染毒性、感染性危险废物的废弃包装物、容器、过滤吸附介质。企业将浮选药剂废包装暂存于现有危废贮存点后，委托有资质的单位处理。</w:t>
      </w:r>
    </w:p>
    <w:p w14:paraId="5C828FF7">
      <w:pPr>
        <w:pStyle w:val="94"/>
        <w:keepNext w:val="0"/>
        <w:keepLines w:val="0"/>
        <w:pageBreakBefore w:val="0"/>
        <w:widowControl w:val="0"/>
        <w:numPr>
          <w:ilvl w:val="0"/>
          <w:numId w:val="7"/>
        </w:numPr>
        <w:kinsoku/>
        <w:wordWrap/>
        <w:overflowPunct/>
        <w:topLinePunct w:val="0"/>
        <w:autoSpaceDE/>
        <w:autoSpaceDN/>
        <w:bidi w:val="0"/>
        <w:adjustRightInd/>
        <w:snapToGrid/>
        <w:spacing w:after="0"/>
        <w:ind w:left="0" w:leftChars="0" w:firstLine="0" w:firstLineChars="0"/>
        <w:textAlignment w:val="auto"/>
        <w:rPr>
          <w:rFonts w:hint="eastAsia" w:cs="Times New Roman"/>
          <w:b/>
          <w:bCs/>
          <w:color w:val="auto"/>
          <w:lang w:val="en-US" w:eastAsia="zh-CN"/>
        </w:rPr>
      </w:pPr>
      <w:r>
        <w:rPr>
          <w:rFonts w:hint="eastAsia" w:cs="Times New Roman"/>
          <w:b/>
          <w:bCs/>
          <w:color w:val="auto"/>
          <w:lang w:val="en-US" w:eastAsia="zh-CN"/>
        </w:rPr>
        <w:t>生活垃圾</w:t>
      </w:r>
    </w:p>
    <w:p w14:paraId="6B58359F">
      <w:pPr>
        <w:pStyle w:val="94"/>
        <w:keepNext w:val="0"/>
        <w:keepLines w:val="0"/>
        <w:pageBreakBefore w:val="0"/>
        <w:widowControl w:val="0"/>
        <w:numPr>
          <w:ilvl w:val="0"/>
          <w:numId w:val="0"/>
        </w:numPr>
        <w:kinsoku/>
        <w:wordWrap/>
        <w:overflowPunct/>
        <w:topLinePunct w:val="0"/>
        <w:autoSpaceDE/>
        <w:autoSpaceDN/>
        <w:bidi w:val="0"/>
        <w:adjustRightInd/>
        <w:snapToGrid/>
        <w:spacing w:after="0"/>
        <w:ind w:leftChars="0" w:firstLine="480" w:firstLineChars="200"/>
        <w:textAlignment w:val="auto"/>
        <w:rPr>
          <w:rFonts w:hint="default" w:ascii="Times New Roman" w:hAnsi="Times New Roman" w:eastAsia="宋体" w:cs="Times New Roman"/>
          <w:color w:val="auto"/>
        </w:rPr>
      </w:pPr>
      <w:r>
        <w:rPr>
          <w:rFonts w:hint="eastAsia"/>
          <w:color w:val="auto"/>
          <w:sz w:val="24"/>
          <w:szCs w:val="24"/>
          <w:lang w:val="en-US" w:eastAsia="zh-CN"/>
        </w:rPr>
        <w:t>本次改扩建新增员工20人</w:t>
      </w:r>
      <w:r>
        <w:rPr>
          <w:rFonts w:hint="eastAsia"/>
          <w:color w:val="auto"/>
          <w:sz w:val="24"/>
          <w:szCs w:val="24"/>
        </w:rPr>
        <w:t>，生活垃圾按照</w:t>
      </w:r>
      <w:r>
        <w:rPr>
          <w:color w:val="auto"/>
          <w:sz w:val="24"/>
          <w:szCs w:val="24"/>
        </w:rPr>
        <w:t>0.5kg/</w:t>
      </w:r>
      <w:r>
        <w:rPr>
          <w:rFonts w:hint="eastAsia"/>
          <w:color w:val="auto"/>
          <w:sz w:val="24"/>
          <w:szCs w:val="24"/>
        </w:rPr>
        <w:t>人</w:t>
      </w:r>
      <w:r>
        <w:rPr>
          <w:color w:val="auto"/>
          <w:sz w:val="24"/>
          <w:szCs w:val="24"/>
        </w:rPr>
        <w:t xml:space="preserve">▪d </w:t>
      </w:r>
      <w:r>
        <w:rPr>
          <w:rFonts w:hint="eastAsia"/>
          <w:color w:val="auto"/>
          <w:sz w:val="24"/>
          <w:szCs w:val="24"/>
        </w:rPr>
        <w:t>计算，产生量为</w:t>
      </w:r>
      <w:r>
        <w:rPr>
          <w:rFonts w:hint="eastAsia"/>
          <w:color w:val="auto"/>
          <w:sz w:val="24"/>
          <w:szCs w:val="24"/>
          <w:lang w:val="en-US" w:eastAsia="zh-CN"/>
        </w:rPr>
        <w:t>10</w:t>
      </w:r>
      <w:r>
        <w:rPr>
          <w:color w:val="auto"/>
          <w:sz w:val="24"/>
          <w:szCs w:val="24"/>
        </w:rPr>
        <w:t>kg/d</w:t>
      </w:r>
      <w:r>
        <w:rPr>
          <w:rFonts w:hint="eastAsia"/>
          <w:color w:val="auto"/>
          <w:sz w:val="24"/>
          <w:szCs w:val="24"/>
        </w:rPr>
        <w:t>，</w:t>
      </w:r>
      <w:r>
        <w:rPr>
          <w:rFonts w:hint="eastAsia"/>
          <w:color w:val="auto"/>
          <w:sz w:val="24"/>
          <w:szCs w:val="24"/>
          <w:lang w:val="en-US" w:eastAsia="zh-CN"/>
        </w:rPr>
        <w:t>3</w:t>
      </w:r>
      <w:r>
        <w:rPr>
          <w:color w:val="auto"/>
          <w:sz w:val="24"/>
          <w:szCs w:val="24"/>
        </w:rPr>
        <w:t>t/a</w:t>
      </w:r>
      <w:r>
        <w:rPr>
          <w:rFonts w:hint="eastAsia"/>
          <w:color w:val="auto"/>
          <w:sz w:val="24"/>
          <w:szCs w:val="24"/>
        </w:rPr>
        <w:t>，</w:t>
      </w:r>
      <w:r>
        <w:rPr>
          <w:rFonts w:hint="eastAsia"/>
          <w:color w:val="auto"/>
          <w:sz w:val="24"/>
          <w:szCs w:val="24"/>
          <w:lang w:val="en-US" w:eastAsia="zh-CN"/>
        </w:rPr>
        <w:t>经查</w:t>
      </w:r>
      <w:r>
        <w:rPr>
          <w:rFonts w:hint="eastAsia"/>
          <w:color w:val="auto"/>
          <w:sz w:val="24"/>
          <w:szCs w:val="24"/>
        </w:rPr>
        <w:t>《固体废物分类与代码目录》（公告2024年第4号），</w:t>
      </w:r>
      <w:r>
        <w:rPr>
          <w:rFonts w:hint="eastAsia"/>
          <w:color w:val="auto"/>
          <w:sz w:val="24"/>
          <w:szCs w:val="24"/>
          <w:lang w:val="en-US" w:eastAsia="zh-CN"/>
        </w:rPr>
        <w:t>废物种类属于SW64其他垃圾，</w:t>
      </w:r>
      <w:r>
        <w:rPr>
          <w:rFonts w:hint="eastAsia"/>
          <w:color w:val="auto"/>
          <w:sz w:val="24"/>
          <w:szCs w:val="24"/>
        </w:rPr>
        <w:t>代码为900-00</w:t>
      </w:r>
      <w:r>
        <w:rPr>
          <w:rFonts w:hint="eastAsia"/>
          <w:color w:val="auto"/>
          <w:sz w:val="24"/>
          <w:szCs w:val="24"/>
          <w:lang w:val="en-US" w:eastAsia="zh-CN"/>
        </w:rPr>
        <w:t>9</w:t>
      </w:r>
      <w:r>
        <w:rPr>
          <w:rFonts w:hint="eastAsia"/>
          <w:color w:val="auto"/>
          <w:sz w:val="24"/>
          <w:szCs w:val="24"/>
        </w:rPr>
        <w:t>-S6</w:t>
      </w:r>
      <w:r>
        <w:rPr>
          <w:rFonts w:hint="eastAsia"/>
          <w:color w:val="auto"/>
          <w:sz w:val="24"/>
          <w:szCs w:val="24"/>
          <w:lang w:val="en-US" w:eastAsia="zh-CN"/>
        </w:rPr>
        <w:t>4</w:t>
      </w:r>
      <w:r>
        <w:rPr>
          <w:rFonts w:hint="eastAsia"/>
          <w:color w:val="auto"/>
          <w:sz w:val="24"/>
          <w:szCs w:val="24"/>
          <w:lang w:eastAsia="zh-CN"/>
        </w:rPr>
        <w:t>，</w:t>
      </w:r>
      <w:r>
        <w:rPr>
          <w:rFonts w:hint="eastAsia"/>
          <w:color w:val="auto"/>
          <w:sz w:val="24"/>
          <w:szCs w:val="24"/>
        </w:rPr>
        <w:t>生活垃圾暂存于</w:t>
      </w:r>
      <w:r>
        <w:rPr>
          <w:rFonts w:hint="eastAsia"/>
          <w:color w:val="auto"/>
          <w:sz w:val="24"/>
          <w:szCs w:val="24"/>
          <w:lang w:val="en-US" w:eastAsia="zh-CN"/>
        </w:rPr>
        <w:t>现有</w:t>
      </w:r>
      <w:r>
        <w:rPr>
          <w:rFonts w:hint="eastAsia"/>
          <w:color w:val="auto"/>
          <w:sz w:val="24"/>
          <w:szCs w:val="24"/>
        </w:rPr>
        <w:t>生活垃圾箱内，委托环卫部门处理。</w:t>
      </w:r>
    </w:p>
    <w:p w14:paraId="055BCBCA">
      <w:pPr>
        <w:pStyle w:val="94"/>
        <w:keepNext w:val="0"/>
        <w:keepLines w:val="0"/>
        <w:pageBreakBefore w:val="0"/>
        <w:widowControl w:val="0"/>
        <w:kinsoku/>
        <w:wordWrap/>
        <w:overflowPunct/>
        <w:topLinePunct w:val="0"/>
        <w:autoSpaceDE/>
        <w:autoSpaceDN/>
        <w:bidi w:val="0"/>
        <w:adjustRightInd/>
        <w:snapToGrid/>
        <w:spacing w:after="0"/>
        <w:ind w:left="0" w:leftChars="0" w:firstLine="480" w:firstLineChars="200"/>
        <w:textAlignment w:val="auto"/>
        <w:rPr>
          <w:rFonts w:hint="default" w:ascii="Times New Roman" w:hAnsi="Times New Roman" w:eastAsia="宋体" w:cs="Times New Roman"/>
          <w:bCs/>
          <w:color w:val="auto"/>
          <w:sz w:val="24"/>
          <w:szCs w:val="24"/>
          <w:lang w:val="en-US" w:eastAsia="zh-CN"/>
        </w:rPr>
      </w:pPr>
      <w:r>
        <w:rPr>
          <w:rFonts w:hint="eastAsia" w:cs="Times New Roman"/>
          <w:bCs/>
          <w:color w:val="auto"/>
          <w:sz w:val="24"/>
          <w:szCs w:val="24"/>
          <w:lang w:eastAsia="zh-CN"/>
        </w:rPr>
        <w:t>本</w:t>
      </w:r>
      <w:r>
        <w:rPr>
          <w:rFonts w:hint="default" w:ascii="Times New Roman" w:hAnsi="Times New Roman" w:eastAsia="宋体" w:cs="Times New Roman"/>
          <w:bCs/>
          <w:color w:val="auto"/>
          <w:sz w:val="24"/>
          <w:szCs w:val="24"/>
          <w:lang w:eastAsia="zh-CN"/>
        </w:rPr>
        <w:t>项目固体废物分类及统计见下表。</w:t>
      </w:r>
    </w:p>
    <w:p w14:paraId="48514561">
      <w:pPr>
        <w:autoSpaceDE w:val="0"/>
        <w:autoSpaceDN w:val="0"/>
        <w:adjustRightInd w:val="0"/>
        <w:spacing w:line="360" w:lineRule="auto"/>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表</w:t>
      </w:r>
      <w:r>
        <w:rPr>
          <w:rFonts w:hint="eastAsia" w:cs="Times New Roman"/>
          <w:b/>
          <w:color w:val="auto"/>
          <w:sz w:val="24"/>
          <w:szCs w:val="24"/>
          <w:highlight w:val="none"/>
          <w:lang w:val="en-US" w:eastAsia="zh-CN"/>
        </w:rPr>
        <w:t>3.3-7</w:t>
      </w:r>
      <w:r>
        <w:rPr>
          <w:rFonts w:hint="default" w:ascii="Times New Roman" w:hAnsi="Times New Roman" w:eastAsia="宋体" w:cs="Times New Roman"/>
          <w:b/>
          <w:color w:val="auto"/>
          <w:sz w:val="24"/>
          <w:szCs w:val="24"/>
          <w:highlight w:val="none"/>
          <w:lang w:val="en-US" w:eastAsia="zh-CN"/>
        </w:rPr>
        <w:t xml:space="preserve"> </w:t>
      </w:r>
      <w:r>
        <w:rPr>
          <w:rFonts w:hint="default" w:ascii="Times New Roman" w:hAnsi="Times New Roman" w:eastAsia="宋体" w:cs="Times New Roman"/>
          <w:b/>
          <w:color w:val="auto"/>
          <w:sz w:val="24"/>
          <w:szCs w:val="24"/>
          <w:highlight w:val="none"/>
        </w:rPr>
        <w:t xml:space="preserve">   </w:t>
      </w:r>
      <w:r>
        <w:rPr>
          <w:rFonts w:hint="default" w:ascii="Times New Roman" w:hAnsi="Times New Roman" w:eastAsia="宋体" w:cs="Times New Roman"/>
          <w:b/>
          <w:color w:val="auto"/>
          <w:sz w:val="24"/>
          <w:szCs w:val="24"/>
          <w:highlight w:val="none"/>
          <w:lang w:eastAsia="zh-CN"/>
        </w:rPr>
        <w:t>一般</w:t>
      </w:r>
      <w:r>
        <w:rPr>
          <w:rFonts w:hint="default" w:ascii="Times New Roman" w:hAnsi="Times New Roman" w:cs="Times New Roman"/>
          <w:b/>
          <w:color w:val="auto"/>
          <w:sz w:val="24"/>
          <w:szCs w:val="24"/>
          <w:highlight w:val="none"/>
          <w:lang w:eastAsia="zh-CN"/>
        </w:rPr>
        <w:t>工业</w:t>
      </w:r>
      <w:r>
        <w:rPr>
          <w:rFonts w:hint="default" w:ascii="Times New Roman" w:hAnsi="Times New Roman" w:eastAsia="宋体" w:cs="Times New Roman"/>
          <w:b/>
          <w:color w:val="auto"/>
          <w:sz w:val="24"/>
          <w:szCs w:val="24"/>
          <w:highlight w:val="none"/>
        </w:rPr>
        <w:t>固废</w:t>
      </w:r>
      <w:r>
        <w:rPr>
          <w:rFonts w:hint="eastAsia" w:cs="Times New Roman"/>
          <w:b/>
          <w:color w:val="auto"/>
          <w:sz w:val="24"/>
          <w:szCs w:val="24"/>
          <w:highlight w:val="none"/>
          <w:lang w:val="en-US" w:eastAsia="zh-CN"/>
        </w:rPr>
        <w:t>及生活垃圾</w:t>
      </w:r>
      <w:r>
        <w:rPr>
          <w:rFonts w:hint="default" w:ascii="Times New Roman" w:hAnsi="Times New Roman" w:eastAsia="宋体" w:cs="Times New Roman"/>
          <w:b/>
          <w:color w:val="auto"/>
          <w:sz w:val="24"/>
          <w:szCs w:val="24"/>
          <w:highlight w:val="none"/>
          <w:lang w:eastAsia="zh-CN"/>
        </w:rPr>
        <w:t>产</w:t>
      </w:r>
      <w:r>
        <w:rPr>
          <w:rFonts w:hint="eastAsia" w:cs="Times New Roman"/>
          <w:b/>
          <w:color w:val="auto"/>
          <w:sz w:val="24"/>
          <w:szCs w:val="24"/>
          <w:highlight w:val="none"/>
          <w:lang w:val="en-US" w:eastAsia="zh-CN"/>
        </w:rPr>
        <w:t>排情况</w:t>
      </w:r>
      <w:r>
        <w:rPr>
          <w:rFonts w:hint="default" w:ascii="Times New Roman" w:hAnsi="Times New Roman" w:eastAsia="宋体" w:cs="Times New Roman"/>
          <w:b/>
          <w:color w:val="auto"/>
          <w:sz w:val="24"/>
          <w:szCs w:val="24"/>
          <w:highlight w:val="none"/>
        </w:rPr>
        <w:t>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609"/>
        <w:gridCol w:w="1331"/>
        <w:gridCol w:w="1300"/>
        <w:gridCol w:w="1226"/>
        <w:gridCol w:w="2584"/>
      </w:tblGrid>
      <w:tr w14:paraId="12BDC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7E11F39A">
            <w:pPr>
              <w:tabs>
                <w:tab w:val="left" w:pos="5295"/>
              </w:tabs>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序号</w:t>
            </w:r>
          </w:p>
        </w:tc>
        <w:tc>
          <w:tcPr>
            <w:tcW w:w="922" w:type="pct"/>
            <w:tcBorders>
              <w:tl2br w:val="nil"/>
              <w:tr2bl w:val="nil"/>
            </w:tcBorders>
            <w:noWrap w:val="0"/>
            <w:vAlign w:val="center"/>
          </w:tcPr>
          <w:p w14:paraId="1BD9EF64">
            <w:pPr>
              <w:tabs>
                <w:tab w:val="left" w:pos="5295"/>
              </w:tabs>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固体废物</w:t>
            </w:r>
            <w:r>
              <w:rPr>
                <w:rFonts w:hint="default" w:ascii="Times New Roman" w:hAnsi="Times New Roman" w:eastAsia="宋体" w:cs="Times New Roman"/>
                <w:b/>
                <w:bCs/>
                <w:color w:val="auto"/>
                <w:szCs w:val="21"/>
                <w:highlight w:val="none"/>
                <w:lang w:eastAsia="zh-CN"/>
              </w:rPr>
              <w:t>名称</w:t>
            </w:r>
          </w:p>
        </w:tc>
        <w:tc>
          <w:tcPr>
            <w:tcW w:w="763" w:type="pct"/>
            <w:tcBorders>
              <w:tl2br w:val="nil"/>
              <w:tr2bl w:val="nil"/>
            </w:tcBorders>
            <w:noWrap w:val="0"/>
            <w:vAlign w:val="center"/>
          </w:tcPr>
          <w:p w14:paraId="637CB340">
            <w:pPr>
              <w:tabs>
                <w:tab w:val="left" w:pos="5295"/>
              </w:tabs>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eastAsia="zh-CN"/>
              </w:rPr>
              <w:t>代码</w:t>
            </w:r>
          </w:p>
        </w:tc>
        <w:tc>
          <w:tcPr>
            <w:tcW w:w="745" w:type="pct"/>
            <w:tcBorders>
              <w:tl2br w:val="nil"/>
              <w:tr2bl w:val="nil"/>
            </w:tcBorders>
            <w:noWrap w:val="0"/>
            <w:vAlign w:val="center"/>
          </w:tcPr>
          <w:p w14:paraId="6B8E9CEE">
            <w:pPr>
              <w:tabs>
                <w:tab w:val="left" w:pos="5295"/>
              </w:tabs>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产生量</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t/a</w:t>
            </w:r>
            <w:r>
              <w:rPr>
                <w:rFonts w:hint="default" w:ascii="Times New Roman" w:hAnsi="Times New Roman" w:eastAsia="宋体" w:cs="Times New Roman"/>
                <w:b/>
                <w:bCs/>
                <w:color w:val="auto"/>
                <w:szCs w:val="21"/>
                <w:highlight w:val="none"/>
                <w:lang w:eastAsia="zh-CN"/>
              </w:rPr>
              <w:t>)</w:t>
            </w:r>
          </w:p>
        </w:tc>
        <w:tc>
          <w:tcPr>
            <w:tcW w:w="703" w:type="pct"/>
            <w:tcBorders>
              <w:tl2br w:val="nil"/>
              <w:tr2bl w:val="nil"/>
            </w:tcBorders>
            <w:noWrap w:val="0"/>
            <w:vAlign w:val="center"/>
          </w:tcPr>
          <w:p w14:paraId="52719FC4">
            <w:pPr>
              <w:tabs>
                <w:tab w:val="left" w:pos="5295"/>
              </w:tabs>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排放量</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t/a</w:t>
            </w:r>
            <w:r>
              <w:rPr>
                <w:rFonts w:hint="default" w:ascii="Times New Roman" w:hAnsi="Times New Roman" w:eastAsia="宋体" w:cs="Times New Roman"/>
                <w:b/>
                <w:bCs/>
                <w:color w:val="auto"/>
                <w:szCs w:val="21"/>
                <w:highlight w:val="none"/>
                <w:lang w:eastAsia="zh-CN"/>
              </w:rPr>
              <w:t>)</w:t>
            </w:r>
          </w:p>
        </w:tc>
        <w:tc>
          <w:tcPr>
            <w:tcW w:w="1482" w:type="pct"/>
            <w:tcBorders>
              <w:tl2br w:val="nil"/>
              <w:tr2bl w:val="nil"/>
            </w:tcBorders>
            <w:noWrap w:val="0"/>
            <w:vAlign w:val="center"/>
          </w:tcPr>
          <w:p w14:paraId="3AAF7AB6">
            <w:pPr>
              <w:tabs>
                <w:tab w:val="left" w:pos="5295"/>
              </w:tabs>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防治措施</w:t>
            </w:r>
          </w:p>
        </w:tc>
      </w:tr>
      <w:tr w14:paraId="7E3BE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3A292C18">
            <w:pPr>
              <w:tabs>
                <w:tab w:val="left" w:pos="5295"/>
              </w:tabs>
              <w:jc w:val="center"/>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w:t>
            </w:r>
          </w:p>
        </w:tc>
        <w:tc>
          <w:tcPr>
            <w:tcW w:w="922" w:type="pct"/>
            <w:tcBorders>
              <w:tl2br w:val="nil"/>
              <w:tr2bl w:val="nil"/>
            </w:tcBorders>
            <w:noWrap w:val="0"/>
            <w:vAlign w:val="center"/>
          </w:tcPr>
          <w:p w14:paraId="13093998">
            <w:pPr>
              <w:tabs>
                <w:tab w:val="left" w:pos="5295"/>
              </w:tabs>
              <w:jc w:val="center"/>
              <w:rPr>
                <w:rFonts w:hint="eastAsia" w:ascii="Times New Roman" w:hAnsi="Times New Roman" w:eastAsia="宋体" w:cs="Times New Roman"/>
                <w:b w:val="0"/>
                <w:bCs w:val="0"/>
                <w:color w:val="auto"/>
                <w:szCs w:val="21"/>
                <w:highlight w:val="none"/>
                <w:lang w:eastAsia="zh-CN"/>
              </w:rPr>
            </w:pPr>
            <w:r>
              <w:rPr>
                <w:rFonts w:hint="eastAsia" w:cs="Times New Roman"/>
                <w:b w:val="0"/>
                <w:bCs w:val="0"/>
                <w:color w:val="auto"/>
                <w:szCs w:val="21"/>
                <w:highlight w:val="none"/>
                <w:lang w:eastAsia="zh-CN"/>
              </w:rPr>
              <w:t>尾矿</w:t>
            </w:r>
          </w:p>
        </w:tc>
        <w:tc>
          <w:tcPr>
            <w:tcW w:w="763" w:type="pct"/>
            <w:tcBorders>
              <w:tl2br w:val="nil"/>
              <w:tr2bl w:val="nil"/>
            </w:tcBorders>
            <w:noWrap w:val="0"/>
            <w:vAlign w:val="center"/>
          </w:tcPr>
          <w:p w14:paraId="408140EB">
            <w:pPr>
              <w:tabs>
                <w:tab w:val="left" w:pos="5295"/>
              </w:tabs>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092-001-S05</w:t>
            </w:r>
          </w:p>
        </w:tc>
        <w:tc>
          <w:tcPr>
            <w:tcW w:w="745" w:type="pct"/>
            <w:tcBorders>
              <w:tl2br w:val="nil"/>
              <w:tr2bl w:val="nil"/>
            </w:tcBorders>
            <w:noWrap w:val="0"/>
            <w:vAlign w:val="center"/>
          </w:tcPr>
          <w:p w14:paraId="42AE321C">
            <w:pPr>
              <w:tabs>
                <w:tab w:val="left" w:pos="5295"/>
              </w:tabs>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18.594万</w:t>
            </w:r>
          </w:p>
        </w:tc>
        <w:tc>
          <w:tcPr>
            <w:tcW w:w="703" w:type="pct"/>
            <w:tcBorders>
              <w:tl2br w:val="nil"/>
              <w:tr2bl w:val="nil"/>
            </w:tcBorders>
            <w:noWrap w:val="0"/>
            <w:vAlign w:val="center"/>
          </w:tcPr>
          <w:p w14:paraId="1F965EC1">
            <w:pPr>
              <w:tabs>
                <w:tab w:val="left" w:pos="5295"/>
              </w:tabs>
              <w:jc w:val="center"/>
              <w:rPr>
                <w:rFonts w:hint="default" w:ascii="Times New Roman" w:hAnsi="Times New Roman" w:eastAsia="宋体" w:cs="Times New Roman"/>
                <w:b w:val="0"/>
                <w:bCs w:val="0"/>
                <w:color w:val="auto"/>
                <w:szCs w:val="21"/>
                <w:highlight w:val="none"/>
                <w:lang w:val="en-US" w:eastAsia="zh-CN"/>
              </w:rPr>
            </w:pPr>
            <w:r>
              <w:rPr>
                <w:rFonts w:hint="eastAsia" w:eastAsia="宋体" w:cs="Times New Roman"/>
                <w:b w:val="0"/>
                <w:bCs w:val="0"/>
                <w:color w:val="auto"/>
                <w:szCs w:val="21"/>
                <w:highlight w:val="none"/>
                <w:lang w:val="en-US" w:eastAsia="zh-CN"/>
              </w:rPr>
              <w:t>0</w:t>
            </w:r>
            <w:r>
              <w:rPr>
                <w:rFonts w:hint="eastAsia" w:cs="Times New Roman"/>
                <w:b w:val="0"/>
                <w:bCs w:val="0"/>
                <w:color w:val="auto"/>
                <w:szCs w:val="21"/>
                <w:highlight w:val="none"/>
                <w:lang w:val="en-US" w:eastAsia="zh-CN"/>
              </w:rPr>
              <w:t>，不外排</w:t>
            </w:r>
          </w:p>
        </w:tc>
        <w:tc>
          <w:tcPr>
            <w:tcW w:w="1482" w:type="pct"/>
            <w:tcBorders>
              <w:tl2br w:val="nil"/>
              <w:tr2bl w:val="nil"/>
            </w:tcBorders>
            <w:noWrap w:val="0"/>
            <w:vAlign w:val="center"/>
          </w:tcPr>
          <w:p w14:paraId="14835C3A">
            <w:pPr>
              <w:tabs>
                <w:tab w:val="left" w:pos="3240"/>
              </w:tabs>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外运作为建筑材料原料综合利用</w:t>
            </w:r>
          </w:p>
        </w:tc>
      </w:tr>
      <w:tr w14:paraId="08F5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339F47AF">
            <w:pPr>
              <w:tabs>
                <w:tab w:val="left" w:pos="5295"/>
              </w:tabs>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2</w:t>
            </w:r>
          </w:p>
        </w:tc>
        <w:tc>
          <w:tcPr>
            <w:tcW w:w="922" w:type="pct"/>
            <w:tcBorders>
              <w:tl2br w:val="nil"/>
              <w:tr2bl w:val="nil"/>
            </w:tcBorders>
            <w:noWrap w:val="0"/>
            <w:vAlign w:val="center"/>
          </w:tcPr>
          <w:p w14:paraId="6C5B43FB">
            <w:pPr>
              <w:tabs>
                <w:tab w:val="left" w:pos="5295"/>
              </w:tabs>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除尘灰</w:t>
            </w:r>
          </w:p>
        </w:tc>
        <w:tc>
          <w:tcPr>
            <w:tcW w:w="763" w:type="pct"/>
            <w:tcBorders>
              <w:tl2br w:val="nil"/>
              <w:tr2bl w:val="nil"/>
            </w:tcBorders>
            <w:noWrap w:val="0"/>
            <w:vAlign w:val="center"/>
          </w:tcPr>
          <w:p w14:paraId="03DEC6AB">
            <w:pPr>
              <w:tabs>
                <w:tab w:val="left" w:pos="5295"/>
              </w:tabs>
              <w:jc w:val="center"/>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900-099-S59</w:t>
            </w:r>
          </w:p>
        </w:tc>
        <w:tc>
          <w:tcPr>
            <w:tcW w:w="745" w:type="pct"/>
            <w:tcBorders>
              <w:tl2br w:val="nil"/>
              <w:tr2bl w:val="nil"/>
            </w:tcBorders>
            <w:noWrap w:val="0"/>
            <w:vAlign w:val="center"/>
          </w:tcPr>
          <w:p w14:paraId="4B9FD608">
            <w:pPr>
              <w:tabs>
                <w:tab w:val="left" w:pos="5295"/>
              </w:tabs>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62.37</w:t>
            </w:r>
          </w:p>
        </w:tc>
        <w:tc>
          <w:tcPr>
            <w:tcW w:w="703" w:type="pct"/>
            <w:tcBorders>
              <w:tl2br w:val="nil"/>
              <w:tr2bl w:val="nil"/>
            </w:tcBorders>
            <w:noWrap w:val="0"/>
            <w:vAlign w:val="center"/>
          </w:tcPr>
          <w:p w14:paraId="5B2153E3">
            <w:pPr>
              <w:jc w:val="center"/>
              <w:rPr>
                <w:rFonts w:hint="default" w:eastAsia="宋体" w:cs="Times New Roman"/>
                <w:b w:val="0"/>
                <w:bCs w:val="0"/>
                <w:color w:val="auto"/>
                <w:szCs w:val="21"/>
                <w:highlight w:val="none"/>
                <w:lang w:val="en-US" w:eastAsia="zh-CN"/>
              </w:rPr>
            </w:pPr>
            <w:r>
              <w:rPr>
                <w:rFonts w:hint="eastAsia" w:eastAsia="宋体" w:cs="Times New Roman"/>
                <w:b w:val="0"/>
                <w:bCs w:val="0"/>
                <w:color w:val="auto"/>
                <w:szCs w:val="21"/>
                <w:highlight w:val="none"/>
                <w:lang w:val="en-US" w:eastAsia="zh-CN"/>
              </w:rPr>
              <w:t>0</w:t>
            </w:r>
            <w:r>
              <w:rPr>
                <w:rFonts w:hint="eastAsia" w:cs="Times New Roman"/>
                <w:b w:val="0"/>
                <w:bCs w:val="0"/>
                <w:color w:val="auto"/>
                <w:szCs w:val="21"/>
                <w:highlight w:val="none"/>
                <w:lang w:val="en-US" w:eastAsia="zh-CN"/>
              </w:rPr>
              <w:t>，不外排</w:t>
            </w:r>
          </w:p>
        </w:tc>
        <w:tc>
          <w:tcPr>
            <w:tcW w:w="1482" w:type="pct"/>
            <w:tcBorders>
              <w:tl2br w:val="nil"/>
              <w:tr2bl w:val="nil"/>
            </w:tcBorders>
            <w:noWrap w:val="0"/>
            <w:vAlign w:val="center"/>
          </w:tcPr>
          <w:p w14:paraId="75A2C76D">
            <w:pPr>
              <w:tabs>
                <w:tab w:val="left" w:pos="3240"/>
              </w:tabs>
              <w:jc w:val="center"/>
              <w:rPr>
                <w:rFonts w:hint="eastAsia" w:eastAsia="宋体" w:cs="Times New Roman"/>
                <w:b w:val="0"/>
                <w:bCs/>
                <w:color w:val="auto"/>
                <w:lang w:val="en-US" w:eastAsia="zh-CN"/>
              </w:rPr>
            </w:pPr>
            <w:r>
              <w:rPr>
                <w:rFonts w:hint="eastAsia" w:eastAsia="宋体" w:cs="Times New Roman"/>
                <w:b w:val="0"/>
                <w:bCs/>
                <w:color w:val="auto"/>
                <w:lang w:val="en-US" w:eastAsia="zh-CN"/>
              </w:rPr>
              <w:t>全部返回磨矿工艺</w:t>
            </w:r>
          </w:p>
        </w:tc>
      </w:tr>
      <w:tr w14:paraId="17730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3289045C">
            <w:pPr>
              <w:tabs>
                <w:tab w:val="left" w:pos="5295"/>
              </w:tabs>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w:t>
            </w:r>
          </w:p>
        </w:tc>
        <w:tc>
          <w:tcPr>
            <w:tcW w:w="922" w:type="pct"/>
            <w:tcBorders>
              <w:tl2br w:val="nil"/>
              <w:tr2bl w:val="nil"/>
            </w:tcBorders>
            <w:noWrap w:val="0"/>
            <w:vAlign w:val="center"/>
          </w:tcPr>
          <w:p w14:paraId="4E837296">
            <w:pPr>
              <w:tabs>
                <w:tab w:val="left" w:pos="5295"/>
              </w:tabs>
              <w:jc w:val="center"/>
              <w:rPr>
                <w:rFonts w:hint="default"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生活垃圾</w:t>
            </w:r>
          </w:p>
        </w:tc>
        <w:tc>
          <w:tcPr>
            <w:tcW w:w="763" w:type="pct"/>
            <w:tcBorders>
              <w:tl2br w:val="nil"/>
              <w:tr2bl w:val="nil"/>
            </w:tcBorders>
            <w:noWrap w:val="0"/>
            <w:vAlign w:val="center"/>
          </w:tcPr>
          <w:p w14:paraId="3182E0C2">
            <w:pPr>
              <w:tabs>
                <w:tab w:val="left" w:pos="5295"/>
              </w:tabs>
              <w:jc w:val="center"/>
              <w:rPr>
                <w:rFonts w:hint="default" w:cs="Times New Roman"/>
                <w:b w:val="0"/>
                <w:bCs w:val="0"/>
                <w:color w:val="auto"/>
                <w:szCs w:val="21"/>
                <w:highlight w:val="none"/>
                <w:lang w:val="en-US" w:eastAsia="zh-CN"/>
              </w:rPr>
            </w:pPr>
            <w:r>
              <w:rPr>
                <w:rFonts w:hint="default" w:cs="Times New Roman"/>
                <w:b w:val="0"/>
                <w:bCs w:val="0"/>
                <w:color w:val="auto"/>
                <w:szCs w:val="21"/>
                <w:highlight w:val="none"/>
                <w:lang w:val="en-US" w:eastAsia="zh-CN"/>
              </w:rPr>
              <w:t>900-0</w:t>
            </w:r>
            <w:r>
              <w:rPr>
                <w:rFonts w:hint="eastAsia" w:cs="Times New Roman"/>
                <w:b w:val="0"/>
                <w:bCs w:val="0"/>
                <w:color w:val="auto"/>
                <w:szCs w:val="21"/>
                <w:highlight w:val="none"/>
                <w:lang w:val="en-US" w:eastAsia="zh-CN"/>
              </w:rPr>
              <w:t>99</w:t>
            </w:r>
            <w:r>
              <w:rPr>
                <w:rFonts w:hint="default" w:cs="Times New Roman"/>
                <w:b w:val="0"/>
                <w:bCs w:val="0"/>
                <w:color w:val="auto"/>
                <w:szCs w:val="21"/>
                <w:highlight w:val="none"/>
                <w:lang w:val="en-US" w:eastAsia="zh-CN"/>
              </w:rPr>
              <w:t>-S6</w:t>
            </w:r>
            <w:r>
              <w:rPr>
                <w:rFonts w:hint="eastAsia" w:cs="Times New Roman"/>
                <w:b w:val="0"/>
                <w:bCs w:val="0"/>
                <w:color w:val="auto"/>
                <w:szCs w:val="21"/>
                <w:highlight w:val="none"/>
                <w:lang w:val="en-US" w:eastAsia="zh-CN"/>
              </w:rPr>
              <w:t>4</w:t>
            </w:r>
          </w:p>
        </w:tc>
        <w:tc>
          <w:tcPr>
            <w:tcW w:w="745" w:type="pct"/>
            <w:tcBorders>
              <w:tl2br w:val="nil"/>
              <w:tr2bl w:val="nil"/>
            </w:tcBorders>
            <w:noWrap w:val="0"/>
            <w:vAlign w:val="center"/>
          </w:tcPr>
          <w:p w14:paraId="4E8952DA">
            <w:pPr>
              <w:tabs>
                <w:tab w:val="left" w:pos="5295"/>
              </w:tabs>
              <w:jc w:val="center"/>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w:t>
            </w:r>
          </w:p>
        </w:tc>
        <w:tc>
          <w:tcPr>
            <w:tcW w:w="703" w:type="pct"/>
            <w:tcBorders>
              <w:tl2br w:val="nil"/>
              <w:tr2bl w:val="nil"/>
            </w:tcBorders>
            <w:noWrap w:val="0"/>
            <w:vAlign w:val="center"/>
          </w:tcPr>
          <w:p w14:paraId="64B849DA">
            <w:pPr>
              <w:jc w:val="center"/>
              <w:rPr>
                <w:rFonts w:hint="default" w:eastAsia="宋体" w:cs="Times New Roman"/>
                <w:b w:val="0"/>
                <w:bCs w:val="0"/>
                <w:color w:val="auto"/>
                <w:szCs w:val="21"/>
                <w:highlight w:val="none"/>
                <w:lang w:val="en-US" w:eastAsia="zh-CN"/>
              </w:rPr>
            </w:pPr>
            <w:r>
              <w:rPr>
                <w:rFonts w:hint="eastAsia" w:eastAsia="宋体" w:cs="Times New Roman"/>
                <w:b w:val="0"/>
                <w:bCs w:val="0"/>
                <w:color w:val="auto"/>
                <w:szCs w:val="21"/>
                <w:highlight w:val="none"/>
                <w:lang w:val="en-US" w:eastAsia="zh-CN"/>
              </w:rPr>
              <w:t>0</w:t>
            </w:r>
            <w:r>
              <w:rPr>
                <w:rFonts w:hint="eastAsia" w:cs="Times New Roman"/>
                <w:b w:val="0"/>
                <w:bCs w:val="0"/>
                <w:color w:val="auto"/>
                <w:szCs w:val="21"/>
                <w:highlight w:val="none"/>
                <w:lang w:val="en-US" w:eastAsia="zh-CN"/>
              </w:rPr>
              <w:t>，不外排</w:t>
            </w:r>
          </w:p>
        </w:tc>
        <w:tc>
          <w:tcPr>
            <w:tcW w:w="1482" w:type="pct"/>
            <w:tcBorders>
              <w:tl2br w:val="nil"/>
              <w:tr2bl w:val="nil"/>
            </w:tcBorders>
            <w:noWrap w:val="0"/>
            <w:vAlign w:val="center"/>
          </w:tcPr>
          <w:p w14:paraId="0EAFCD5E">
            <w:pPr>
              <w:tabs>
                <w:tab w:val="left" w:pos="3240"/>
              </w:tabs>
              <w:jc w:val="center"/>
              <w:rPr>
                <w:rFonts w:hint="default" w:eastAsia="宋体" w:cs="Times New Roman"/>
                <w:b w:val="0"/>
                <w:bCs/>
                <w:color w:val="auto"/>
                <w:lang w:val="en-US" w:eastAsia="zh-CN"/>
              </w:rPr>
            </w:pPr>
            <w:r>
              <w:rPr>
                <w:rFonts w:hint="eastAsia" w:cs="Times New Roman"/>
                <w:b w:val="0"/>
                <w:bCs/>
                <w:color w:val="auto"/>
                <w:lang w:val="en-US" w:eastAsia="zh-CN"/>
              </w:rPr>
              <w:t>暂存现有生活垃圾箱，由</w:t>
            </w:r>
            <w:r>
              <w:rPr>
                <w:rFonts w:hint="default" w:ascii="Times New Roman" w:hAnsi="Times New Roman" w:eastAsia="宋体" w:cs="Times New Roman"/>
                <w:color w:val="auto"/>
              </w:rPr>
              <w:t>环卫部门定期清运处理</w:t>
            </w:r>
          </w:p>
        </w:tc>
      </w:tr>
    </w:tbl>
    <w:p w14:paraId="7B3CD1D2">
      <w:pPr>
        <w:spacing w:line="360" w:lineRule="auto"/>
        <w:jc w:val="center"/>
        <w:rPr>
          <w:rFonts w:hint="default" w:ascii="Times New Roman" w:hAnsi="Times New Roman" w:eastAsia="宋体" w:cs="Times New Roman"/>
          <w:b/>
          <w:bCs/>
          <w:color w:val="auto"/>
          <w:sz w:val="24"/>
          <w:szCs w:val="32"/>
          <w:highlight w:val="none"/>
        </w:rPr>
      </w:pPr>
      <w:r>
        <w:rPr>
          <w:rFonts w:hint="default" w:ascii="Times New Roman" w:hAnsi="Times New Roman" w:eastAsia="宋体" w:cs="Times New Roman"/>
          <w:b/>
          <w:bCs/>
          <w:color w:val="auto"/>
          <w:sz w:val="24"/>
          <w:szCs w:val="32"/>
          <w:highlight w:val="none"/>
        </w:rPr>
        <w:t>表</w:t>
      </w:r>
      <w:r>
        <w:rPr>
          <w:rFonts w:hint="eastAsia" w:cs="Times New Roman"/>
          <w:b/>
          <w:bCs/>
          <w:color w:val="auto"/>
          <w:sz w:val="24"/>
          <w:szCs w:val="32"/>
          <w:highlight w:val="none"/>
          <w:lang w:val="en-US" w:eastAsia="zh-CN"/>
        </w:rPr>
        <w:t xml:space="preserve">3.3-8  </w:t>
      </w:r>
      <w:r>
        <w:rPr>
          <w:rFonts w:hint="default" w:ascii="Times New Roman" w:hAnsi="Times New Roman" w:eastAsia="宋体" w:cs="Times New Roman"/>
          <w:b/>
          <w:bCs/>
          <w:color w:val="auto"/>
          <w:sz w:val="24"/>
          <w:szCs w:val="32"/>
          <w:highlight w:val="none"/>
        </w:rPr>
        <w:t xml:space="preserve"> </w:t>
      </w:r>
      <w:r>
        <w:rPr>
          <w:rFonts w:hint="default" w:ascii="Times New Roman" w:hAnsi="Times New Roman" w:eastAsia="宋体" w:cs="Times New Roman"/>
          <w:b/>
          <w:bCs/>
          <w:color w:val="auto"/>
          <w:sz w:val="24"/>
          <w:szCs w:val="32"/>
          <w:highlight w:val="none"/>
          <w:lang w:val="en-US" w:eastAsia="zh-CN"/>
        </w:rPr>
        <w:t xml:space="preserve">  </w:t>
      </w:r>
      <w:r>
        <w:rPr>
          <w:rFonts w:hint="default" w:ascii="Times New Roman" w:hAnsi="Times New Roman" w:eastAsia="宋体" w:cs="Times New Roman"/>
          <w:b/>
          <w:bCs/>
          <w:color w:val="auto"/>
          <w:sz w:val="24"/>
          <w:szCs w:val="32"/>
          <w:highlight w:val="none"/>
        </w:rPr>
        <w:t>危险废物</w:t>
      </w:r>
      <w:r>
        <w:rPr>
          <w:rFonts w:hint="eastAsia" w:cs="Times New Roman"/>
          <w:b/>
          <w:bCs/>
          <w:color w:val="auto"/>
          <w:sz w:val="24"/>
          <w:szCs w:val="32"/>
          <w:highlight w:val="none"/>
          <w:lang w:val="en-US" w:eastAsia="zh-CN"/>
        </w:rPr>
        <w:t>产排</w:t>
      </w:r>
      <w:r>
        <w:rPr>
          <w:rFonts w:hint="default" w:ascii="Times New Roman" w:hAnsi="Times New Roman" w:eastAsia="宋体" w:cs="Times New Roman"/>
          <w:b/>
          <w:bCs/>
          <w:color w:val="auto"/>
          <w:sz w:val="24"/>
          <w:szCs w:val="32"/>
          <w:highlight w:val="none"/>
        </w:rPr>
        <w:t>情况</w:t>
      </w:r>
      <w:r>
        <w:rPr>
          <w:rFonts w:hint="default" w:ascii="Times New Roman" w:hAnsi="Times New Roman" w:eastAsia="宋体" w:cs="Times New Roman"/>
          <w:b/>
          <w:bCs/>
          <w:color w:val="auto"/>
          <w:sz w:val="24"/>
          <w:szCs w:val="32"/>
          <w:highlight w:val="none"/>
          <w:lang w:eastAsia="zh-CN"/>
        </w:rPr>
        <w:t>一览</w:t>
      </w:r>
      <w:r>
        <w:rPr>
          <w:rFonts w:hint="default" w:ascii="Times New Roman" w:hAnsi="Times New Roman" w:eastAsia="宋体" w:cs="Times New Roman"/>
          <w:b/>
          <w:bCs/>
          <w:color w:val="auto"/>
          <w:sz w:val="24"/>
          <w:szCs w:val="32"/>
          <w:highlight w:val="none"/>
        </w:rPr>
        <w:t>表</w:t>
      </w:r>
    </w:p>
    <w:tbl>
      <w:tblPr>
        <w:tblStyle w:val="76"/>
        <w:tblW w:w="48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58"/>
        <w:gridCol w:w="907"/>
        <w:gridCol w:w="1310"/>
        <w:gridCol w:w="650"/>
        <w:gridCol w:w="666"/>
        <w:gridCol w:w="649"/>
        <w:gridCol w:w="607"/>
        <w:gridCol w:w="637"/>
        <w:gridCol w:w="1550"/>
      </w:tblGrid>
      <w:tr w14:paraId="4E84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8" w:type="pct"/>
            <w:tcBorders>
              <w:tl2br w:val="nil"/>
              <w:tr2bl w:val="nil"/>
            </w:tcBorders>
            <w:noWrap w:val="0"/>
            <w:vAlign w:val="center"/>
          </w:tcPr>
          <w:p w14:paraId="7F1F8BB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pacing w:val="-20"/>
                <w:kern w:val="2"/>
                <w:sz w:val="21"/>
                <w:szCs w:val="21"/>
                <w:highlight w:val="none"/>
                <w:vertAlign w:val="baseline"/>
                <w:lang w:val="en-US" w:eastAsia="zh-CN" w:bidi="ar-SA"/>
              </w:rPr>
              <w:t>序号</w:t>
            </w:r>
          </w:p>
        </w:tc>
        <w:tc>
          <w:tcPr>
            <w:tcW w:w="510" w:type="pct"/>
            <w:tcBorders>
              <w:tl2br w:val="nil"/>
              <w:tr2bl w:val="nil"/>
            </w:tcBorders>
            <w:noWrap w:val="0"/>
            <w:vAlign w:val="center"/>
          </w:tcPr>
          <w:p w14:paraId="3067D4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危险废物名称</w:t>
            </w:r>
          </w:p>
        </w:tc>
        <w:tc>
          <w:tcPr>
            <w:tcW w:w="539" w:type="pct"/>
            <w:tcBorders>
              <w:tl2br w:val="nil"/>
              <w:tr2bl w:val="nil"/>
            </w:tcBorders>
            <w:noWrap w:val="0"/>
            <w:vAlign w:val="center"/>
          </w:tcPr>
          <w:p w14:paraId="2D0A83F4">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危险废物类别</w:t>
            </w:r>
          </w:p>
        </w:tc>
        <w:tc>
          <w:tcPr>
            <w:tcW w:w="779" w:type="pct"/>
            <w:tcBorders>
              <w:tl2br w:val="nil"/>
              <w:tr2bl w:val="nil"/>
            </w:tcBorders>
            <w:noWrap w:val="0"/>
            <w:vAlign w:val="center"/>
          </w:tcPr>
          <w:p w14:paraId="0C6CF7F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危险废物代码</w:t>
            </w:r>
          </w:p>
        </w:tc>
        <w:tc>
          <w:tcPr>
            <w:tcW w:w="386" w:type="pct"/>
            <w:tcBorders>
              <w:tl2br w:val="nil"/>
              <w:tr2bl w:val="nil"/>
            </w:tcBorders>
            <w:noWrap w:val="0"/>
            <w:vAlign w:val="center"/>
          </w:tcPr>
          <w:p w14:paraId="4BF18C8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产生量(t/a)</w:t>
            </w:r>
          </w:p>
        </w:tc>
        <w:tc>
          <w:tcPr>
            <w:tcW w:w="396" w:type="pct"/>
            <w:tcBorders>
              <w:tl2br w:val="nil"/>
              <w:tr2bl w:val="nil"/>
            </w:tcBorders>
            <w:noWrap w:val="0"/>
            <w:vAlign w:val="center"/>
          </w:tcPr>
          <w:p w14:paraId="4AA341C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eastAsia="宋体" w:cs="Times New Roman"/>
                <w:color w:val="auto"/>
                <w:kern w:val="0"/>
                <w:sz w:val="21"/>
                <w:szCs w:val="21"/>
                <w:highlight w:val="none"/>
                <w:lang w:val="en-US" w:eastAsia="zh-CN" w:bidi="ar"/>
              </w:rPr>
              <w:t>形态</w:t>
            </w:r>
          </w:p>
        </w:tc>
        <w:tc>
          <w:tcPr>
            <w:tcW w:w="386" w:type="pct"/>
            <w:tcBorders>
              <w:tl2br w:val="nil"/>
              <w:tr2bl w:val="nil"/>
            </w:tcBorders>
            <w:noWrap w:val="0"/>
            <w:vAlign w:val="center"/>
          </w:tcPr>
          <w:p w14:paraId="7C80770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kern w:val="0"/>
                <w:sz w:val="21"/>
                <w:szCs w:val="21"/>
                <w:highlight w:val="none"/>
                <w:lang w:val="en-US" w:eastAsia="zh-CN" w:bidi="ar"/>
              </w:rPr>
              <w:t>危险</w:t>
            </w:r>
            <w:r>
              <w:rPr>
                <w:rFonts w:hint="default" w:ascii="Times New Roman" w:hAnsi="Times New Roman" w:eastAsia="宋体" w:cs="Times New Roman"/>
                <w:color w:val="auto"/>
                <w:kern w:val="0"/>
                <w:sz w:val="21"/>
                <w:szCs w:val="21"/>
                <w:highlight w:val="none"/>
                <w:lang w:val="en-US" w:eastAsia="zh-CN" w:bidi="ar"/>
              </w:rPr>
              <w:t>成分</w:t>
            </w:r>
          </w:p>
        </w:tc>
        <w:tc>
          <w:tcPr>
            <w:tcW w:w="361" w:type="pct"/>
            <w:tcBorders>
              <w:tl2br w:val="nil"/>
              <w:tr2bl w:val="nil"/>
            </w:tcBorders>
            <w:noWrap w:val="0"/>
            <w:vAlign w:val="center"/>
          </w:tcPr>
          <w:p w14:paraId="6BC145D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1"/>
                <w:sz w:val="21"/>
                <w:szCs w:val="21"/>
                <w:highlight w:val="none"/>
                <w:vertAlign w:val="baseline"/>
              </w:rPr>
            </w:pPr>
            <w:r>
              <w:rPr>
                <w:rFonts w:hint="default" w:ascii="Times New Roman" w:hAnsi="Times New Roman" w:eastAsia="宋体" w:cs="Times New Roman"/>
                <w:color w:val="auto"/>
                <w:spacing w:val="-11"/>
                <w:kern w:val="0"/>
                <w:sz w:val="21"/>
                <w:szCs w:val="21"/>
                <w:highlight w:val="none"/>
                <w:lang w:val="en-US" w:eastAsia="zh-CN" w:bidi="ar"/>
              </w:rPr>
              <w:t>产废周期</w:t>
            </w:r>
          </w:p>
        </w:tc>
        <w:tc>
          <w:tcPr>
            <w:tcW w:w="379" w:type="pct"/>
            <w:tcBorders>
              <w:tl2br w:val="nil"/>
              <w:tr2bl w:val="nil"/>
            </w:tcBorders>
            <w:noWrap w:val="0"/>
            <w:vAlign w:val="center"/>
          </w:tcPr>
          <w:p w14:paraId="1289551B">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1"/>
                <w:sz w:val="21"/>
                <w:szCs w:val="21"/>
                <w:highlight w:val="none"/>
                <w:vertAlign w:val="baseline"/>
              </w:rPr>
            </w:pPr>
            <w:r>
              <w:rPr>
                <w:rFonts w:hint="default" w:ascii="Times New Roman" w:hAnsi="Times New Roman" w:eastAsia="宋体" w:cs="Times New Roman"/>
                <w:color w:val="auto"/>
                <w:spacing w:val="-11"/>
                <w:kern w:val="0"/>
                <w:sz w:val="21"/>
                <w:szCs w:val="21"/>
                <w:highlight w:val="none"/>
                <w:lang w:val="en-US" w:eastAsia="zh-CN" w:bidi="ar"/>
              </w:rPr>
              <w:t>危险特性</w:t>
            </w:r>
          </w:p>
        </w:tc>
        <w:tc>
          <w:tcPr>
            <w:tcW w:w="922" w:type="pct"/>
            <w:tcBorders>
              <w:tl2br w:val="nil"/>
              <w:tr2bl w:val="nil"/>
            </w:tcBorders>
            <w:noWrap w:val="0"/>
            <w:vAlign w:val="center"/>
          </w:tcPr>
          <w:p w14:paraId="6DED930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1"/>
                <w:sz w:val="21"/>
                <w:szCs w:val="21"/>
                <w:highlight w:val="none"/>
                <w:vertAlign w:val="baseline"/>
              </w:rPr>
            </w:pPr>
            <w:r>
              <w:rPr>
                <w:rFonts w:hint="default" w:ascii="Times New Roman" w:hAnsi="Times New Roman" w:eastAsia="宋体" w:cs="Times New Roman"/>
                <w:color w:val="auto"/>
                <w:spacing w:val="-11"/>
                <w:kern w:val="0"/>
                <w:sz w:val="21"/>
                <w:szCs w:val="21"/>
                <w:highlight w:val="none"/>
                <w:lang w:val="en-US" w:eastAsia="zh-CN" w:bidi="ar"/>
              </w:rPr>
              <w:t>处理处置措施</w:t>
            </w:r>
          </w:p>
        </w:tc>
      </w:tr>
      <w:tr w14:paraId="5744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8" w:type="pct"/>
            <w:tcBorders>
              <w:tl2br w:val="nil"/>
              <w:tr2bl w:val="nil"/>
            </w:tcBorders>
            <w:noWrap w:val="0"/>
            <w:vAlign w:val="center"/>
          </w:tcPr>
          <w:p w14:paraId="67421C8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w:t>
            </w:r>
          </w:p>
        </w:tc>
        <w:tc>
          <w:tcPr>
            <w:tcW w:w="510" w:type="pct"/>
            <w:tcBorders>
              <w:tl2br w:val="nil"/>
              <w:tr2bl w:val="nil"/>
            </w:tcBorders>
            <w:noWrap w:val="0"/>
            <w:vAlign w:val="center"/>
          </w:tcPr>
          <w:p w14:paraId="10D6C13E">
            <w:pPr>
              <w:tabs>
                <w:tab w:val="left" w:pos="529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废机油</w:t>
            </w:r>
          </w:p>
        </w:tc>
        <w:tc>
          <w:tcPr>
            <w:tcW w:w="539" w:type="pct"/>
            <w:tcBorders>
              <w:tl2br w:val="nil"/>
              <w:tr2bl w:val="nil"/>
            </w:tcBorders>
            <w:noWrap w:val="0"/>
            <w:vAlign w:val="center"/>
          </w:tcPr>
          <w:p w14:paraId="206FDE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HW</w:t>
            </w:r>
            <w:r>
              <w:rPr>
                <w:rFonts w:hint="default" w:ascii="Times New Roman" w:hAnsi="Times New Roman" w:cs="Times New Roman"/>
                <w:color w:val="auto"/>
                <w:kern w:val="0"/>
                <w:sz w:val="21"/>
                <w:szCs w:val="21"/>
                <w:highlight w:val="none"/>
                <w:lang w:val="en-US" w:eastAsia="zh-CN" w:bidi="ar"/>
              </w:rPr>
              <w:t>08</w:t>
            </w:r>
          </w:p>
        </w:tc>
        <w:tc>
          <w:tcPr>
            <w:tcW w:w="779" w:type="pct"/>
            <w:tcBorders>
              <w:tl2br w:val="nil"/>
              <w:tr2bl w:val="nil"/>
            </w:tcBorders>
            <w:noWrap w:val="0"/>
            <w:vAlign w:val="center"/>
          </w:tcPr>
          <w:p w14:paraId="3C53EDE1">
            <w:pPr>
              <w:tabs>
                <w:tab w:val="left" w:pos="5295"/>
              </w:tabs>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sz w:val="21"/>
                <w:szCs w:val="21"/>
                <w:highlight w:val="none"/>
                <w:lang w:val="en-US" w:eastAsia="zh-CN"/>
              </w:rPr>
              <w:t>900-214-08</w:t>
            </w:r>
          </w:p>
        </w:tc>
        <w:tc>
          <w:tcPr>
            <w:tcW w:w="386" w:type="pct"/>
            <w:tcBorders>
              <w:tl2br w:val="nil"/>
              <w:tr2bl w:val="nil"/>
            </w:tcBorders>
            <w:noWrap w:val="0"/>
            <w:vAlign w:val="center"/>
          </w:tcPr>
          <w:p w14:paraId="22A8B4F3">
            <w:pPr>
              <w:tabs>
                <w:tab w:val="left" w:pos="5295"/>
              </w:tabs>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0.5</w:t>
            </w:r>
          </w:p>
        </w:tc>
        <w:tc>
          <w:tcPr>
            <w:tcW w:w="396" w:type="pct"/>
            <w:tcBorders>
              <w:tl2br w:val="nil"/>
              <w:tr2bl w:val="nil"/>
            </w:tcBorders>
            <w:noWrap w:val="0"/>
            <w:vAlign w:val="center"/>
          </w:tcPr>
          <w:p w14:paraId="13C17BC1">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液态</w:t>
            </w:r>
          </w:p>
        </w:tc>
        <w:tc>
          <w:tcPr>
            <w:tcW w:w="386" w:type="pct"/>
            <w:tcBorders>
              <w:tl2br w:val="nil"/>
              <w:tr2bl w:val="nil"/>
            </w:tcBorders>
            <w:noWrap w:val="0"/>
            <w:vAlign w:val="center"/>
          </w:tcPr>
          <w:p w14:paraId="7BCE230F">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7"/>
                <w:kern w:val="2"/>
                <w:sz w:val="21"/>
                <w:szCs w:val="21"/>
                <w:highlight w:val="none"/>
                <w:vertAlign w:val="baseline"/>
                <w:lang w:val="en-US" w:eastAsia="zh-CN" w:bidi="ar-SA"/>
              </w:rPr>
            </w:pPr>
            <w:r>
              <w:rPr>
                <w:rFonts w:hint="default" w:ascii="Times New Roman" w:hAnsi="Times New Roman" w:eastAsia="宋体" w:cs="Times New Roman"/>
                <w:color w:val="auto"/>
                <w:kern w:val="0"/>
                <w:sz w:val="21"/>
                <w:szCs w:val="21"/>
                <w:highlight w:val="none"/>
                <w:lang w:val="en-US" w:eastAsia="zh-CN" w:bidi="ar"/>
              </w:rPr>
              <w:t>石油类</w:t>
            </w:r>
          </w:p>
        </w:tc>
        <w:tc>
          <w:tcPr>
            <w:tcW w:w="361" w:type="pct"/>
            <w:tcBorders>
              <w:tl2br w:val="nil"/>
              <w:tr2bl w:val="nil"/>
            </w:tcBorders>
            <w:noWrap w:val="0"/>
            <w:vAlign w:val="center"/>
          </w:tcPr>
          <w:p w14:paraId="5274D0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季度</w:t>
            </w:r>
          </w:p>
        </w:tc>
        <w:tc>
          <w:tcPr>
            <w:tcW w:w="379" w:type="pct"/>
            <w:tcBorders>
              <w:tl2br w:val="nil"/>
              <w:tr2bl w:val="nil"/>
            </w:tcBorders>
            <w:noWrap w:val="0"/>
            <w:vAlign w:val="center"/>
          </w:tcPr>
          <w:p w14:paraId="09C8AE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z w:val="21"/>
                <w:szCs w:val="21"/>
              </w:rPr>
              <w:t>T，I</w:t>
            </w:r>
          </w:p>
        </w:tc>
        <w:tc>
          <w:tcPr>
            <w:tcW w:w="922" w:type="pct"/>
            <w:vMerge w:val="restart"/>
            <w:tcBorders>
              <w:tl2br w:val="nil"/>
              <w:tr2bl w:val="nil"/>
            </w:tcBorders>
            <w:noWrap w:val="0"/>
            <w:vAlign w:val="center"/>
          </w:tcPr>
          <w:p w14:paraId="4FB9A93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bCs/>
                <w:color w:val="auto"/>
                <w:sz w:val="21"/>
                <w:szCs w:val="21"/>
              </w:rPr>
              <w:t>暂存于</w:t>
            </w:r>
            <w:r>
              <w:rPr>
                <w:rFonts w:hint="eastAsia" w:cs="Times New Roman"/>
                <w:bCs/>
                <w:color w:val="auto"/>
                <w:sz w:val="21"/>
                <w:szCs w:val="21"/>
                <w:lang w:val="en-US" w:eastAsia="zh-CN"/>
              </w:rPr>
              <w:t>现有</w:t>
            </w:r>
            <w:r>
              <w:rPr>
                <w:rFonts w:hint="default" w:ascii="Times New Roman" w:hAnsi="Times New Roman" w:eastAsia="宋体" w:cs="Times New Roman"/>
                <w:bCs/>
                <w:color w:val="auto"/>
                <w:sz w:val="21"/>
                <w:szCs w:val="21"/>
              </w:rPr>
              <w:t>危废</w:t>
            </w:r>
            <w:r>
              <w:rPr>
                <w:rFonts w:hint="default" w:ascii="Times New Roman" w:hAnsi="Times New Roman" w:eastAsia="宋体" w:cs="Times New Roman"/>
                <w:bCs/>
                <w:color w:val="auto"/>
                <w:sz w:val="21"/>
                <w:szCs w:val="21"/>
                <w:lang w:eastAsia="zh-CN"/>
              </w:rPr>
              <w:t>贮存点</w:t>
            </w:r>
            <w:r>
              <w:rPr>
                <w:rFonts w:hint="default" w:ascii="Times New Roman" w:hAnsi="Times New Roman" w:eastAsia="宋体" w:cs="Times New Roman"/>
                <w:bCs/>
                <w:color w:val="auto"/>
                <w:sz w:val="21"/>
                <w:szCs w:val="21"/>
              </w:rPr>
              <w:t>，定期</w:t>
            </w:r>
            <w:r>
              <w:rPr>
                <w:rFonts w:hint="default" w:ascii="Times New Roman" w:hAnsi="Times New Roman" w:eastAsia="宋体" w:cs="Times New Roman"/>
                <w:bCs/>
                <w:color w:val="auto"/>
                <w:sz w:val="21"/>
                <w:szCs w:val="21"/>
                <w:lang w:eastAsia="zh-CN"/>
              </w:rPr>
              <w:t>交</w:t>
            </w:r>
            <w:r>
              <w:rPr>
                <w:rFonts w:hint="default" w:ascii="Times New Roman" w:hAnsi="Times New Roman" w:eastAsia="宋体" w:cs="Times New Roman"/>
                <w:bCs/>
                <w:color w:val="auto"/>
                <w:sz w:val="21"/>
                <w:szCs w:val="21"/>
              </w:rPr>
              <w:t>有资质</w:t>
            </w:r>
            <w:r>
              <w:rPr>
                <w:rFonts w:hint="default" w:ascii="Times New Roman" w:hAnsi="Times New Roman" w:eastAsia="宋体" w:cs="Times New Roman"/>
                <w:bCs/>
                <w:color w:val="auto"/>
                <w:sz w:val="21"/>
                <w:szCs w:val="21"/>
                <w:lang w:eastAsia="zh-CN"/>
              </w:rPr>
              <w:t>单位</w:t>
            </w:r>
            <w:r>
              <w:rPr>
                <w:rFonts w:hint="default" w:ascii="Times New Roman" w:hAnsi="Times New Roman" w:eastAsia="宋体" w:cs="Times New Roman"/>
                <w:bCs/>
                <w:color w:val="auto"/>
                <w:sz w:val="21"/>
                <w:szCs w:val="21"/>
              </w:rPr>
              <w:t>处置</w:t>
            </w:r>
          </w:p>
        </w:tc>
      </w:tr>
      <w:tr w14:paraId="39E8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38" w:type="pct"/>
            <w:tcBorders>
              <w:tl2br w:val="nil"/>
              <w:tr2bl w:val="nil"/>
            </w:tcBorders>
            <w:noWrap w:val="0"/>
            <w:vAlign w:val="center"/>
          </w:tcPr>
          <w:p w14:paraId="5EDE8AB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w:t>
            </w:r>
          </w:p>
        </w:tc>
        <w:tc>
          <w:tcPr>
            <w:tcW w:w="510" w:type="pct"/>
            <w:tcBorders>
              <w:tl2br w:val="nil"/>
              <w:tr2bl w:val="nil"/>
            </w:tcBorders>
            <w:noWrap w:val="0"/>
            <w:vAlign w:val="center"/>
          </w:tcPr>
          <w:p w14:paraId="2DDA036D">
            <w:pPr>
              <w:tabs>
                <w:tab w:val="left" w:pos="5295"/>
              </w:tabs>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eastAsia="zh-CN"/>
              </w:rPr>
              <w:t>废油桶</w:t>
            </w:r>
          </w:p>
        </w:tc>
        <w:tc>
          <w:tcPr>
            <w:tcW w:w="539" w:type="pct"/>
            <w:tcBorders>
              <w:tl2br w:val="nil"/>
              <w:tr2bl w:val="nil"/>
            </w:tcBorders>
            <w:noWrap w:val="0"/>
            <w:vAlign w:val="center"/>
          </w:tcPr>
          <w:p w14:paraId="0CCC583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HW</w:t>
            </w:r>
            <w:r>
              <w:rPr>
                <w:rFonts w:hint="eastAsia" w:cs="Times New Roman"/>
                <w:color w:val="auto"/>
                <w:kern w:val="0"/>
                <w:sz w:val="21"/>
                <w:szCs w:val="21"/>
                <w:highlight w:val="none"/>
                <w:lang w:val="en-US" w:eastAsia="zh-CN" w:bidi="ar"/>
              </w:rPr>
              <w:t>08</w:t>
            </w:r>
          </w:p>
        </w:tc>
        <w:tc>
          <w:tcPr>
            <w:tcW w:w="779" w:type="pct"/>
            <w:tcBorders>
              <w:tl2br w:val="nil"/>
              <w:tr2bl w:val="nil"/>
            </w:tcBorders>
            <w:noWrap w:val="0"/>
            <w:vAlign w:val="center"/>
          </w:tcPr>
          <w:p w14:paraId="7F908172">
            <w:pPr>
              <w:keepNext w:val="0"/>
              <w:keepLines w:val="0"/>
              <w:widowControl/>
              <w:suppressLineNumbers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lang w:val="en-US" w:eastAsia="zh-CN" w:bidi="ar"/>
              </w:rPr>
              <w:t>900-</w:t>
            </w:r>
            <w:r>
              <w:rPr>
                <w:rFonts w:hint="eastAsia" w:cs="Times New Roman"/>
                <w:color w:val="auto"/>
                <w:kern w:val="0"/>
                <w:sz w:val="21"/>
                <w:szCs w:val="21"/>
                <w:lang w:val="en-US" w:eastAsia="zh-CN" w:bidi="ar"/>
              </w:rPr>
              <w:t>249-08</w:t>
            </w:r>
          </w:p>
        </w:tc>
        <w:tc>
          <w:tcPr>
            <w:tcW w:w="386" w:type="pct"/>
            <w:tcBorders>
              <w:tl2br w:val="nil"/>
              <w:tr2bl w:val="nil"/>
            </w:tcBorders>
            <w:noWrap w:val="0"/>
            <w:vAlign w:val="center"/>
          </w:tcPr>
          <w:p w14:paraId="3DCB012F">
            <w:pPr>
              <w:tabs>
                <w:tab w:val="left" w:pos="5295"/>
              </w:tabs>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0.1</w:t>
            </w:r>
          </w:p>
        </w:tc>
        <w:tc>
          <w:tcPr>
            <w:tcW w:w="396" w:type="pct"/>
            <w:tcBorders>
              <w:tl2br w:val="nil"/>
              <w:tr2bl w:val="nil"/>
            </w:tcBorders>
            <w:noWrap w:val="0"/>
            <w:vAlign w:val="center"/>
          </w:tcPr>
          <w:p w14:paraId="751CBDC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固态</w:t>
            </w:r>
          </w:p>
        </w:tc>
        <w:tc>
          <w:tcPr>
            <w:tcW w:w="386" w:type="pct"/>
            <w:tcBorders>
              <w:tl2br w:val="nil"/>
              <w:tr2bl w:val="nil"/>
            </w:tcBorders>
            <w:noWrap w:val="0"/>
            <w:vAlign w:val="center"/>
          </w:tcPr>
          <w:p w14:paraId="584EDAE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石油类</w:t>
            </w:r>
          </w:p>
        </w:tc>
        <w:tc>
          <w:tcPr>
            <w:tcW w:w="361" w:type="pct"/>
            <w:tcBorders>
              <w:tl2br w:val="nil"/>
              <w:tr2bl w:val="nil"/>
            </w:tcBorders>
            <w:noWrap w:val="0"/>
            <w:vAlign w:val="center"/>
          </w:tcPr>
          <w:p w14:paraId="01AA4AA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季度</w:t>
            </w:r>
          </w:p>
        </w:tc>
        <w:tc>
          <w:tcPr>
            <w:tcW w:w="379" w:type="pct"/>
            <w:tcBorders>
              <w:tl2br w:val="nil"/>
              <w:tr2bl w:val="nil"/>
            </w:tcBorders>
            <w:noWrap w:val="0"/>
            <w:vAlign w:val="center"/>
          </w:tcPr>
          <w:p w14:paraId="7E2ED3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11"/>
                <w:kern w:val="2"/>
                <w:sz w:val="21"/>
                <w:szCs w:val="21"/>
                <w:highlight w:val="none"/>
                <w:vertAlign w:val="baseline"/>
                <w:lang w:val="en-US" w:eastAsia="zh-CN" w:bidi="ar-SA"/>
              </w:rPr>
            </w:pPr>
            <w:r>
              <w:rPr>
                <w:rFonts w:hint="default" w:ascii="Times New Roman" w:hAnsi="Times New Roman" w:eastAsia="宋体" w:cs="Times New Roman"/>
                <w:color w:val="auto"/>
                <w:sz w:val="21"/>
                <w:szCs w:val="21"/>
              </w:rPr>
              <w:t>T，I</w:t>
            </w:r>
          </w:p>
        </w:tc>
        <w:tc>
          <w:tcPr>
            <w:tcW w:w="922" w:type="pct"/>
            <w:vMerge w:val="continue"/>
            <w:tcBorders>
              <w:tl2br w:val="nil"/>
              <w:tr2bl w:val="nil"/>
            </w:tcBorders>
            <w:noWrap w:val="0"/>
            <w:vAlign w:val="center"/>
          </w:tcPr>
          <w:p w14:paraId="7C6464E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11"/>
                <w:sz w:val="21"/>
                <w:szCs w:val="21"/>
                <w:highlight w:val="none"/>
              </w:rPr>
            </w:pPr>
          </w:p>
        </w:tc>
      </w:tr>
      <w:tr w14:paraId="22A50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338" w:type="pct"/>
            <w:tcBorders>
              <w:tl2br w:val="nil"/>
              <w:tr2bl w:val="nil"/>
            </w:tcBorders>
            <w:noWrap w:val="0"/>
            <w:vAlign w:val="center"/>
          </w:tcPr>
          <w:p w14:paraId="2444BE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3</w:t>
            </w:r>
          </w:p>
        </w:tc>
        <w:tc>
          <w:tcPr>
            <w:tcW w:w="510" w:type="pct"/>
            <w:tcBorders>
              <w:tl2br w:val="nil"/>
              <w:tr2bl w:val="nil"/>
            </w:tcBorders>
            <w:noWrap w:val="0"/>
            <w:vAlign w:val="center"/>
          </w:tcPr>
          <w:p w14:paraId="3E9761A0">
            <w:pPr>
              <w:tabs>
                <w:tab w:val="left" w:pos="5295"/>
              </w:tabs>
              <w:jc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浮选药剂废包装</w:t>
            </w:r>
          </w:p>
        </w:tc>
        <w:tc>
          <w:tcPr>
            <w:tcW w:w="539" w:type="pct"/>
            <w:tcBorders>
              <w:tl2br w:val="nil"/>
              <w:tr2bl w:val="nil"/>
            </w:tcBorders>
            <w:noWrap w:val="0"/>
            <w:vAlign w:val="center"/>
          </w:tcPr>
          <w:p w14:paraId="2F7C9A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HW49</w:t>
            </w:r>
          </w:p>
        </w:tc>
        <w:tc>
          <w:tcPr>
            <w:tcW w:w="779" w:type="pct"/>
            <w:tcBorders>
              <w:tl2br w:val="nil"/>
              <w:tr2bl w:val="nil"/>
            </w:tcBorders>
            <w:noWrap w:val="0"/>
            <w:vAlign w:val="center"/>
          </w:tcPr>
          <w:p w14:paraId="7BBE70F7">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0"/>
                <w:sz w:val="21"/>
                <w:szCs w:val="21"/>
                <w:lang w:val="en-US" w:eastAsia="zh-CN" w:bidi="ar"/>
              </w:rPr>
              <w:t>900-041-49</w:t>
            </w:r>
          </w:p>
        </w:tc>
        <w:tc>
          <w:tcPr>
            <w:tcW w:w="386" w:type="pct"/>
            <w:tcBorders>
              <w:tl2br w:val="nil"/>
              <w:tr2bl w:val="nil"/>
            </w:tcBorders>
            <w:noWrap w:val="0"/>
            <w:vAlign w:val="center"/>
          </w:tcPr>
          <w:p w14:paraId="5AF4BE51">
            <w:pPr>
              <w:tabs>
                <w:tab w:val="left" w:pos="5295"/>
              </w:tabs>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396" w:type="pct"/>
            <w:tcBorders>
              <w:tl2br w:val="nil"/>
              <w:tr2bl w:val="nil"/>
            </w:tcBorders>
            <w:noWrap w:val="0"/>
            <w:vAlign w:val="center"/>
          </w:tcPr>
          <w:p w14:paraId="2CB80E9D">
            <w:pPr>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固态</w:t>
            </w:r>
          </w:p>
        </w:tc>
        <w:tc>
          <w:tcPr>
            <w:tcW w:w="386" w:type="pct"/>
            <w:tcBorders>
              <w:tl2br w:val="nil"/>
              <w:tr2bl w:val="nil"/>
            </w:tcBorders>
            <w:noWrap w:val="0"/>
            <w:vAlign w:val="center"/>
          </w:tcPr>
          <w:p w14:paraId="2E34F0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无机物</w:t>
            </w:r>
          </w:p>
        </w:tc>
        <w:tc>
          <w:tcPr>
            <w:tcW w:w="361" w:type="pct"/>
            <w:tcBorders>
              <w:tl2br w:val="nil"/>
              <w:tr2bl w:val="nil"/>
            </w:tcBorders>
            <w:noWrap w:val="0"/>
            <w:vAlign w:val="center"/>
          </w:tcPr>
          <w:p w14:paraId="7DFB07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vertAlign w:val="baseline"/>
                <w:lang w:val="en-US" w:eastAsia="zh-CN" w:bidi="ar-SA"/>
              </w:rPr>
            </w:pPr>
            <w:r>
              <w:rPr>
                <w:rFonts w:hint="eastAsia" w:cs="Times New Roman"/>
                <w:color w:val="auto"/>
                <w:kern w:val="2"/>
                <w:sz w:val="21"/>
                <w:szCs w:val="21"/>
                <w:highlight w:val="none"/>
                <w:vertAlign w:val="baseline"/>
                <w:lang w:val="en-US" w:eastAsia="zh-CN" w:bidi="ar-SA"/>
              </w:rPr>
              <w:t>季度</w:t>
            </w:r>
          </w:p>
        </w:tc>
        <w:tc>
          <w:tcPr>
            <w:tcW w:w="379" w:type="pct"/>
            <w:tcBorders>
              <w:tl2br w:val="nil"/>
              <w:tr2bl w:val="nil"/>
            </w:tcBorders>
            <w:noWrap w:val="0"/>
            <w:vAlign w:val="center"/>
          </w:tcPr>
          <w:p w14:paraId="7F0FBA6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922" w:type="pct"/>
            <w:vMerge w:val="continue"/>
            <w:tcBorders>
              <w:tl2br w:val="nil"/>
              <w:tr2bl w:val="nil"/>
            </w:tcBorders>
            <w:noWrap w:val="0"/>
            <w:vAlign w:val="center"/>
          </w:tcPr>
          <w:p w14:paraId="11C4F230">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11"/>
                <w:sz w:val="21"/>
                <w:szCs w:val="21"/>
                <w:highlight w:val="none"/>
              </w:rPr>
            </w:pPr>
          </w:p>
        </w:tc>
      </w:tr>
      <w:tr w14:paraId="4112A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000" w:type="pct"/>
            <w:gridSpan w:val="10"/>
            <w:tcBorders>
              <w:tl2br w:val="nil"/>
              <w:tr2bl w:val="nil"/>
            </w:tcBorders>
            <w:noWrap w:val="0"/>
            <w:vAlign w:val="center"/>
          </w:tcPr>
          <w:p w14:paraId="65D1207A">
            <w:pPr>
              <w:keepNext w:val="0"/>
              <w:keepLines w:val="0"/>
              <w:pageBreakBefore w:val="0"/>
              <w:widowControl/>
              <w:suppressLineNumbers w:val="0"/>
              <w:kinsoku/>
              <w:wordWrap/>
              <w:overflowPunct/>
              <w:topLinePunct w:val="0"/>
              <w:autoSpaceDE/>
              <w:autoSpaceDN/>
              <w:bidi w:val="0"/>
              <w:adjustRightInd/>
              <w:snapToGrid/>
              <w:jc w:val="both"/>
              <w:textAlignment w:val="auto"/>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cs="Times New Roman"/>
                <w:color w:val="auto"/>
                <w:spacing w:val="-11"/>
                <w:sz w:val="21"/>
                <w:szCs w:val="21"/>
                <w:highlight w:val="none"/>
                <w:lang w:val="en-US" w:eastAsia="zh-CN"/>
              </w:rPr>
              <w:t>T：</w:t>
            </w:r>
            <w:r>
              <w:rPr>
                <w:rFonts w:hint="default" w:ascii="Times New Roman" w:hAnsi="Times New Roman" w:eastAsia="宋体" w:cs="Times New Roman"/>
                <w:color w:val="auto"/>
                <w:spacing w:val="-11"/>
                <w:sz w:val="21"/>
                <w:szCs w:val="21"/>
                <w:highlight w:val="none"/>
              </w:rPr>
              <w:t>(指生态环境和人体健康具有有害影响的毒性)</w:t>
            </w:r>
            <w:r>
              <w:rPr>
                <w:rFonts w:hint="default" w:ascii="Times New Roman" w:hAnsi="Times New Roman" w:cs="Times New Roman"/>
                <w:color w:val="auto"/>
                <w:spacing w:val="-11"/>
                <w:sz w:val="21"/>
                <w:szCs w:val="21"/>
                <w:highlight w:val="none"/>
                <w:lang w:eastAsia="zh-CN"/>
              </w:rPr>
              <w:t>；</w:t>
            </w:r>
            <w:r>
              <w:rPr>
                <w:rFonts w:hint="default" w:ascii="Times New Roman" w:hAnsi="Times New Roman" w:cs="Times New Roman"/>
                <w:color w:val="auto"/>
                <w:spacing w:val="-11"/>
                <w:sz w:val="21"/>
                <w:szCs w:val="21"/>
                <w:highlight w:val="none"/>
                <w:lang w:val="en-US" w:eastAsia="zh-CN"/>
              </w:rPr>
              <w:t>I：（易燃性）；In：感染性</w:t>
            </w:r>
          </w:p>
        </w:tc>
      </w:tr>
    </w:tbl>
    <w:p w14:paraId="26006E58">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p>
    <w:p w14:paraId="5DB00227">
      <w:pPr>
        <w:spacing w:line="360" w:lineRule="auto"/>
        <w:rPr>
          <w:color w:val="auto"/>
          <w:sz w:val="24"/>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042F7CDE">
      <w:pPr>
        <w:pStyle w:val="5"/>
        <w:bidi w:val="0"/>
        <w:spacing w:line="240" w:lineRule="auto"/>
        <w:rPr>
          <w:rFonts w:hint="eastAsia" w:cs="Times New Roman"/>
          <w:sz w:val="24"/>
          <w:szCs w:val="24"/>
          <w:highlight w:val="none"/>
          <w:lang w:val="en-US" w:eastAsia="zh-CN"/>
        </w:rPr>
      </w:pPr>
      <w:r>
        <w:rPr>
          <w:rFonts w:hint="eastAsia" w:cs="Times New Roman"/>
          <w:sz w:val="24"/>
          <w:szCs w:val="24"/>
          <w:highlight w:val="none"/>
          <w:lang w:val="en-US" w:eastAsia="zh-CN"/>
        </w:rPr>
        <w:t>3.3.6本次改扩建项目污染物排放汇总分析</w:t>
      </w:r>
    </w:p>
    <w:p w14:paraId="39B6EF49">
      <w:pPr>
        <w:spacing w:line="360" w:lineRule="auto"/>
        <w:ind w:firstLine="482"/>
        <w:jc w:val="center"/>
        <w:rPr>
          <w:rFonts w:hint="default" w:ascii="Times New Roman" w:hAnsi="Times New Roman" w:eastAsia="宋体" w:cs="Times New Roman"/>
          <w:b/>
          <w:color w:val="auto"/>
          <w:kern w:val="2"/>
          <w:sz w:val="24"/>
          <w:szCs w:val="24"/>
          <w:lang w:val="en-US" w:eastAsia="zh-CN" w:bidi="ar-SA"/>
        </w:rPr>
      </w:pPr>
      <w:r>
        <w:rPr>
          <w:rFonts w:hint="default"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3.3-9</w:t>
      </w:r>
      <w:r>
        <w:rPr>
          <w:rFonts w:hint="default" w:ascii="Times New Roman" w:hAnsi="Times New Roman" w:eastAsia="宋体" w:cs="Times New Roman"/>
          <w:b/>
          <w:color w:val="auto"/>
          <w:kern w:val="2"/>
          <w:sz w:val="24"/>
          <w:szCs w:val="24"/>
          <w:lang w:val="en-US" w:eastAsia="zh-CN" w:bidi="ar-SA"/>
        </w:rPr>
        <w:t xml:space="preserve">     </w:t>
      </w:r>
      <w:r>
        <w:rPr>
          <w:rFonts w:hint="eastAsia" w:cs="Times New Roman"/>
          <w:b/>
          <w:color w:val="auto"/>
          <w:kern w:val="2"/>
          <w:sz w:val="24"/>
          <w:szCs w:val="24"/>
          <w:lang w:val="en-US" w:eastAsia="zh-CN" w:bidi="ar-SA"/>
        </w:rPr>
        <w:t>本次改扩建</w:t>
      </w:r>
      <w:r>
        <w:rPr>
          <w:rFonts w:hint="default" w:ascii="Times New Roman" w:hAnsi="Times New Roman" w:eastAsia="宋体" w:cs="Times New Roman"/>
          <w:b/>
          <w:color w:val="auto"/>
          <w:kern w:val="2"/>
          <w:sz w:val="24"/>
          <w:szCs w:val="24"/>
          <w:lang w:val="en-US" w:eastAsia="zh-CN" w:bidi="ar-SA"/>
        </w:rPr>
        <w:t>项目</w:t>
      </w:r>
      <w:r>
        <w:rPr>
          <w:rFonts w:hint="eastAsia" w:ascii="Times New Roman" w:hAnsi="Times New Roman" w:eastAsia="宋体" w:cs="Times New Roman"/>
          <w:b/>
          <w:color w:val="auto"/>
          <w:kern w:val="2"/>
          <w:sz w:val="24"/>
          <w:szCs w:val="24"/>
          <w:lang w:val="en-US" w:eastAsia="zh-CN" w:bidi="ar-SA"/>
        </w:rPr>
        <w:t>污染物</w:t>
      </w:r>
      <w:r>
        <w:rPr>
          <w:rFonts w:hint="default" w:ascii="Times New Roman" w:hAnsi="Times New Roman" w:eastAsia="宋体" w:cs="Times New Roman"/>
          <w:b/>
          <w:color w:val="auto"/>
          <w:kern w:val="2"/>
          <w:sz w:val="24"/>
          <w:szCs w:val="24"/>
          <w:lang w:val="en-US" w:eastAsia="zh-CN" w:bidi="ar-SA"/>
        </w:rPr>
        <w:t>排放总汇表</w:t>
      </w:r>
    </w:p>
    <w:tbl>
      <w:tblPr>
        <w:tblStyle w:val="75"/>
        <w:tblW w:w="4997"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7"/>
        <w:gridCol w:w="347"/>
        <w:gridCol w:w="1089"/>
        <w:gridCol w:w="1010"/>
        <w:gridCol w:w="1406"/>
        <w:gridCol w:w="953"/>
        <w:gridCol w:w="1119"/>
        <w:gridCol w:w="1466"/>
        <w:gridCol w:w="931"/>
        <w:gridCol w:w="1002"/>
        <w:gridCol w:w="1111"/>
        <w:gridCol w:w="910"/>
        <w:gridCol w:w="1323"/>
      </w:tblGrid>
      <w:tr w14:paraId="72E5DEE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tcBorders>
              <w:tl2br w:val="nil"/>
              <w:tr2bl w:val="nil"/>
            </w:tcBorders>
            <w:vAlign w:val="center"/>
          </w:tcPr>
          <w:p w14:paraId="7C7E1DBE">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类别</w:t>
            </w:r>
          </w:p>
        </w:tc>
        <w:tc>
          <w:tcPr>
            <w:tcW w:w="526" w:type="pct"/>
            <w:gridSpan w:val="2"/>
            <w:tcBorders>
              <w:tl2br w:val="nil"/>
              <w:tr2bl w:val="nil"/>
            </w:tcBorders>
            <w:vAlign w:val="center"/>
          </w:tcPr>
          <w:p w14:paraId="4E12B2DA">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污染源</w:t>
            </w:r>
          </w:p>
        </w:tc>
        <w:tc>
          <w:tcPr>
            <w:tcW w:w="370" w:type="pct"/>
            <w:tcBorders>
              <w:tl2br w:val="nil"/>
              <w:tr2bl w:val="nil"/>
            </w:tcBorders>
            <w:vAlign w:val="center"/>
          </w:tcPr>
          <w:p w14:paraId="2998D6F9">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污染物名称</w:t>
            </w:r>
          </w:p>
        </w:tc>
        <w:tc>
          <w:tcPr>
            <w:tcW w:w="515" w:type="pct"/>
            <w:tcBorders>
              <w:tl2br w:val="nil"/>
              <w:tr2bl w:val="nil"/>
            </w:tcBorders>
            <w:vAlign w:val="center"/>
          </w:tcPr>
          <w:p w14:paraId="5FB19011">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产生浓度</w:t>
            </w:r>
            <w:r>
              <w:rPr>
                <w:rFonts w:hint="eastAsia" w:ascii="Times New Roman" w:hAnsi="Times New Roman" w:cs="Times New Roman"/>
                <w:b/>
                <w:bCs/>
                <w:color w:val="000000" w:themeColor="text1"/>
                <w:szCs w:val="21"/>
                <w:highlight w:val="none"/>
                <w14:textFill>
                  <w14:solidFill>
                    <w14:schemeClr w14:val="tx1"/>
                  </w14:solidFill>
                </w14:textFill>
              </w:rPr>
              <w:t>mg</w:t>
            </w:r>
            <w:r>
              <w:rPr>
                <w:rFonts w:ascii="Times New Roman" w:hAnsi="Times New Roman" w:cs="Times New Roman"/>
                <w:b/>
                <w:bCs/>
                <w:color w:val="000000" w:themeColor="text1"/>
                <w:szCs w:val="21"/>
                <w:highlight w:val="none"/>
                <w14:textFill>
                  <w14:solidFill>
                    <w14:schemeClr w14:val="tx1"/>
                  </w14:solidFill>
                </w14:textFill>
              </w:rPr>
              <w:t>/</w:t>
            </w:r>
            <w:r>
              <w:rPr>
                <w:rFonts w:hint="eastAsia" w:ascii="Times New Roman" w:hAnsi="Times New Roman" w:cs="Times New Roman"/>
                <w:b/>
                <w:bCs/>
                <w:color w:val="000000" w:themeColor="text1"/>
                <w:szCs w:val="21"/>
                <w:highlight w:val="none"/>
                <w14:textFill>
                  <w14:solidFill>
                    <w14:schemeClr w14:val="tx1"/>
                  </w14:solidFill>
                </w14:textFill>
              </w:rPr>
              <w:t>N</w:t>
            </w:r>
            <w:r>
              <w:rPr>
                <w:rFonts w:ascii="Times New Roman" w:hAnsi="Times New Roman" w:cs="Times New Roman"/>
                <w:b/>
                <w:bCs/>
                <w:color w:val="000000" w:themeColor="text1"/>
                <w:szCs w:val="21"/>
                <w:highlight w:val="none"/>
                <w14:textFill>
                  <w14:solidFill>
                    <w14:schemeClr w14:val="tx1"/>
                  </w14:solidFill>
                </w14:textFill>
              </w:rPr>
              <w:t>m</w:t>
            </w:r>
            <w:r>
              <w:rPr>
                <w:rFonts w:ascii="Times New Roman" w:hAnsi="Times New Roman" w:cs="Times New Roman"/>
                <w:b/>
                <w:bCs/>
                <w:color w:val="000000" w:themeColor="text1"/>
                <w:szCs w:val="21"/>
                <w:highlight w:val="none"/>
                <w:vertAlign w:val="superscript"/>
                <w14:textFill>
                  <w14:solidFill>
                    <w14:schemeClr w14:val="tx1"/>
                  </w14:solidFill>
                </w14:textFill>
              </w:rPr>
              <w:t>3</w:t>
            </w:r>
          </w:p>
        </w:tc>
        <w:tc>
          <w:tcPr>
            <w:tcW w:w="349" w:type="pct"/>
            <w:tcBorders>
              <w:tl2br w:val="nil"/>
              <w:tr2bl w:val="nil"/>
            </w:tcBorders>
            <w:vAlign w:val="center"/>
          </w:tcPr>
          <w:p w14:paraId="1AB73947">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产生速率</w:t>
            </w:r>
            <w:r>
              <w:rPr>
                <w:rFonts w:ascii="Times New Roman" w:hAnsi="Times New Roman" w:cs="Times New Roman"/>
                <w:b/>
                <w:bCs/>
                <w:color w:val="000000" w:themeColor="text1"/>
                <w:szCs w:val="21"/>
                <w:highlight w:val="none"/>
                <w14:textFill>
                  <w14:solidFill>
                    <w14:schemeClr w14:val="tx1"/>
                  </w14:solidFill>
                </w14:textFill>
              </w:rPr>
              <w:t>kg</w:t>
            </w:r>
            <w:r>
              <w:rPr>
                <w:rFonts w:hint="eastAsia" w:ascii="Times New Roman" w:hAnsi="Times New Roman" w:cs="Times New Roman"/>
                <w:b/>
                <w:bCs/>
                <w:color w:val="000000" w:themeColor="text1"/>
                <w:szCs w:val="21"/>
                <w:highlight w:val="none"/>
                <w14:textFill>
                  <w14:solidFill>
                    <w14:schemeClr w14:val="tx1"/>
                  </w14:solidFill>
                </w14:textFill>
              </w:rPr>
              <w:t>/</w:t>
            </w:r>
            <w:r>
              <w:rPr>
                <w:rFonts w:ascii="Times New Roman" w:hAnsi="Times New Roman" w:cs="Times New Roman"/>
                <w:b/>
                <w:bCs/>
                <w:color w:val="000000" w:themeColor="text1"/>
                <w:szCs w:val="21"/>
                <w:highlight w:val="none"/>
                <w14:textFill>
                  <w14:solidFill>
                    <w14:schemeClr w14:val="tx1"/>
                  </w14:solidFill>
                </w14:textFill>
              </w:rPr>
              <w:t>h</w:t>
            </w:r>
          </w:p>
        </w:tc>
        <w:tc>
          <w:tcPr>
            <w:tcW w:w="410" w:type="pct"/>
            <w:tcBorders>
              <w:tl2br w:val="nil"/>
              <w:tr2bl w:val="nil"/>
            </w:tcBorders>
            <w:vAlign w:val="center"/>
          </w:tcPr>
          <w:p w14:paraId="37890C0C">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产生量</w:t>
            </w:r>
            <w:r>
              <w:rPr>
                <w:rFonts w:hint="eastAsia" w:cs="Times New Roman"/>
                <w:b/>
                <w:bCs/>
                <w:color w:val="000000" w:themeColor="text1"/>
                <w:szCs w:val="21"/>
                <w:highlight w:val="none"/>
                <w:lang w:val="en-US" w:eastAsia="zh-CN"/>
                <w14:textFill>
                  <w14:solidFill>
                    <w14:schemeClr w14:val="tx1"/>
                  </w14:solidFill>
                </w14:textFill>
              </w:rPr>
              <w:t>t/a</w:t>
            </w:r>
          </w:p>
        </w:tc>
        <w:tc>
          <w:tcPr>
            <w:tcW w:w="537" w:type="pct"/>
            <w:tcBorders>
              <w:tl2br w:val="nil"/>
              <w:tr2bl w:val="nil"/>
            </w:tcBorders>
            <w:vAlign w:val="center"/>
          </w:tcPr>
          <w:p w14:paraId="45BEC235">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治理设施</w:t>
            </w:r>
          </w:p>
        </w:tc>
        <w:tc>
          <w:tcPr>
            <w:tcW w:w="341" w:type="pct"/>
            <w:tcBorders>
              <w:tl2br w:val="nil"/>
              <w:tr2bl w:val="nil"/>
            </w:tcBorders>
            <w:vAlign w:val="center"/>
          </w:tcPr>
          <w:p w14:paraId="2438D14C">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治理效</w:t>
            </w:r>
            <w:r>
              <w:rPr>
                <w:rFonts w:ascii="Times New Roman" w:hAnsi="Times New Roman" w:cs="Times New Roman"/>
                <w:b/>
                <w:bCs/>
                <w:color w:val="000000" w:themeColor="text1"/>
                <w:szCs w:val="21"/>
                <w:highlight w:val="none"/>
                <w14:textFill>
                  <w14:solidFill>
                    <w14:schemeClr w14:val="tx1"/>
                  </w14:solidFill>
                </w14:textFill>
              </w:rPr>
              <w:t>率</w:t>
            </w:r>
            <w:r>
              <w:rPr>
                <w:rFonts w:hint="eastAsia" w:cs="Times New Roman"/>
                <w:b/>
                <w:bCs/>
                <w:color w:val="000000" w:themeColor="text1"/>
                <w:szCs w:val="21"/>
                <w:highlight w:val="none"/>
                <w:lang w:val="en-US" w:eastAsia="zh-CN"/>
                <w14:textFill>
                  <w14:solidFill>
                    <w14:schemeClr w14:val="tx1"/>
                  </w14:solidFill>
                </w14:textFill>
              </w:rPr>
              <w:t>%</w:t>
            </w:r>
          </w:p>
        </w:tc>
        <w:tc>
          <w:tcPr>
            <w:tcW w:w="367" w:type="pct"/>
            <w:tcBorders>
              <w:tl2br w:val="nil"/>
              <w:tr2bl w:val="nil"/>
            </w:tcBorders>
            <w:vAlign w:val="center"/>
          </w:tcPr>
          <w:p w14:paraId="17FCBBD3">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排放</w:t>
            </w:r>
            <w:r>
              <w:rPr>
                <w:rFonts w:hint="eastAsia" w:ascii="Times New Roman" w:hAnsi="Times New Roman" w:cs="Times New Roman"/>
                <w:b/>
                <w:bCs/>
                <w:color w:val="000000" w:themeColor="text1"/>
                <w:szCs w:val="21"/>
                <w:highlight w:val="none"/>
                <w14:textFill>
                  <w14:solidFill>
                    <w14:schemeClr w14:val="tx1"/>
                  </w14:solidFill>
                </w14:textFill>
              </w:rPr>
              <w:t>浓度m</w:t>
            </w:r>
            <w:r>
              <w:rPr>
                <w:rFonts w:ascii="Times New Roman" w:hAnsi="Times New Roman" w:cs="Times New Roman"/>
                <w:b/>
                <w:bCs/>
                <w:color w:val="000000" w:themeColor="text1"/>
                <w:szCs w:val="21"/>
                <w:highlight w:val="none"/>
                <w14:textFill>
                  <w14:solidFill>
                    <w14:schemeClr w14:val="tx1"/>
                  </w14:solidFill>
                </w14:textFill>
              </w:rPr>
              <w:t>g/m</w:t>
            </w:r>
            <w:r>
              <w:rPr>
                <w:rFonts w:ascii="Times New Roman" w:hAnsi="Times New Roman" w:cs="Times New Roman"/>
                <w:b/>
                <w:bCs/>
                <w:color w:val="000000" w:themeColor="text1"/>
                <w:szCs w:val="21"/>
                <w:highlight w:val="none"/>
                <w:vertAlign w:val="superscript"/>
                <w14:textFill>
                  <w14:solidFill>
                    <w14:schemeClr w14:val="tx1"/>
                  </w14:solidFill>
                </w14:textFill>
              </w:rPr>
              <w:t>3</w:t>
            </w:r>
          </w:p>
        </w:tc>
        <w:tc>
          <w:tcPr>
            <w:tcW w:w="407" w:type="pct"/>
            <w:tcBorders>
              <w:tl2br w:val="nil"/>
              <w:tr2bl w:val="nil"/>
            </w:tcBorders>
            <w:vAlign w:val="center"/>
          </w:tcPr>
          <w:p w14:paraId="5CF1D54F">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排放速率</w:t>
            </w:r>
          </w:p>
          <w:p w14:paraId="50F16578">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kg</w:t>
            </w:r>
            <w:r>
              <w:rPr>
                <w:rFonts w:hint="eastAsia" w:ascii="Times New Roman" w:hAnsi="Times New Roman" w:cs="Times New Roman"/>
                <w:b/>
                <w:bCs/>
                <w:color w:val="000000" w:themeColor="text1"/>
                <w:szCs w:val="21"/>
                <w:highlight w:val="none"/>
                <w14:textFill>
                  <w14:solidFill>
                    <w14:schemeClr w14:val="tx1"/>
                  </w14:solidFill>
                </w14:textFill>
              </w:rPr>
              <w:t>/</w:t>
            </w:r>
            <w:r>
              <w:rPr>
                <w:rFonts w:ascii="Times New Roman" w:hAnsi="Times New Roman" w:cs="Times New Roman"/>
                <w:b/>
                <w:bCs/>
                <w:color w:val="000000" w:themeColor="text1"/>
                <w:szCs w:val="21"/>
                <w:highlight w:val="none"/>
                <w14:textFill>
                  <w14:solidFill>
                    <w14:schemeClr w14:val="tx1"/>
                  </w14:solidFill>
                </w14:textFill>
              </w:rPr>
              <w:t>h</w:t>
            </w:r>
          </w:p>
        </w:tc>
        <w:tc>
          <w:tcPr>
            <w:tcW w:w="333" w:type="pct"/>
            <w:tcBorders>
              <w:tl2br w:val="nil"/>
              <w:tr2bl w:val="nil"/>
            </w:tcBorders>
            <w:vAlign w:val="center"/>
          </w:tcPr>
          <w:p w14:paraId="7E993824">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hint="eastAsia" w:cs="Times New Roman"/>
                <w:b/>
                <w:bCs/>
                <w:color w:val="000000" w:themeColor="text1"/>
                <w:szCs w:val="21"/>
                <w:highlight w:val="none"/>
                <w:lang w:eastAsia="zh-CN"/>
                <w14:textFill>
                  <w14:solidFill>
                    <w14:schemeClr w14:val="tx1"/>
                  </w14:solidFill>
                </w14:textFill>
              </w:rPr>
              <w:t>排放量</w:t>
            </w:r>
            <w:r>
              <w:rPr>
                <w:rFonts w:hint="eastAsia" w:cs="Times New Roman"/>
                <w:b/>
                <w:bCs/>
                <w:color w:val="000000" w:themeColor="text1"/>
                <w:szCs w:val="21"/>
                <w:highlight w:val="none"/>
                <w:lang w:val="en-US" w:eastAsia="zh-CN"/>
                <w14:textFill>
                  <w14:solidFill>
                    <w14:schemeClr w14:val="tx1"/>
                  </w14:solidFill>
                </w14:textFill>
              </w:rPr>
              <w:t>t/a</w:t>
            </w:r>
          </w:p>
        </w:tc>
        <w:tc>
          <w:tcPr>
            <w:tcW w:w="484" w:type="pct"/>
            <w:tcBorders>
              <w:tl2br w:val="nil"/>
              <w:tr2bl w:val="nil"/>
            </w:tcBorders>
            <w:vAlign w:val="center"/>
          </w:tcPr>
          <w:p w14:paraId="76698520">
            <w:pPr>
              <w:keepNext w:val="0"/>
              <w:keepLines w:val="0"/>
              <w:pageBreakBefore w:val="0"/>
              <w:kinsoku/>
              <w:wordWrap/>
              <w:overflowPunct/>
              <w:topLinePunct w:val="0"/>
              <w:autoSpaceDE/>
              <w:autoSpaceDN/>
              <w:bidi w:val="0"/>
              <w:spacing w:line="240" w:lineRule="auto"/>
              <w:jc w:val="center"/>
              <w:rPr>
                <w:rFonts w:ascii="Times New Roman" w:hAnsi="Times New Roman" w:cs="Times New Roman"/>
                <w:b/>
                <w:bCs/>
                <w:color w:val="000000" w:themeColor="text1"/>
                <w:szCs w:val="21"/>
                <w:highlight w:val="none"/>
                <w14:textFill>
                  <w14:solidFill>
                    <w14:schemeClr w14:val="tx1"/>
                  </w14:solidFill>
                </w14:textFill>
              </w:rPr>
            </w:pPr>
            <w:r>
              <w:rPr>
                <w:rFonts w:ascii="Times New Roman" w:hAnsi="Times New Roman" w:cs="Times New Roman"/>
                <w:b/>
                <w:bCs/>
                <w:color w:val="000000" w:themeColor="text1"/>
                <w:szCs w:val="21"/>
                <w:highlight w:val="none"/>
                <w14:textFill>
                  <w14:solidFill>
                    <w14:schemeClr w14:val="tx1"/>
                  </w14:solidFill>
                </w14:textFill>
              </w:rPr>
              <w:t>排放标准</w:t>
            </w:r>
          </w:p>
        </w:tc>
      </w:tr>
      <w:tr w14:paraId="3CB04B2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tcBorders>
              <w:tl2br w:val="nil"/>
              <w:tr2bl w:val="nil"/>
            </w:tcBorders>
            <w:vAlign w:val="center"/>
          </w:tcPr>
          <w:p w14:paraId="50323EA3">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大气污染物</w:t>
            </w:r>
          </w:p>
        </w:tc>
        <w:tc>
          <w:tcPr>
            <w:tcW w:w="127" w:type="pct"/>
            <w:vMerge w:val="restart"/>
            <w:tcBorders>
              <w:tl2br w:val="nil"/>
              <w:tr2bl w:val="nil"/>
            </w:tcBorders>
            <w:vAlign w:val="center"/>
          </w:tcPr>
          <w:p w14:paraId="754AE0C0">
            <w:pPr>
              <w:spacing w:line="36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有组织</w:t>
            </w:r>
          </w:p>
        </w:tc>
        <w:tc>
          <w:tcPr>
            <w:tcW w:w="399" w:type="pct"/>
            <w:tcBorders>
              <w:tl2br w:val="nil"/>
              <w:tr2bl w:val="nil"/>
            </w:tcBorders>
            <w:vAlign w:val="center"/>
          </w:tcPr>
          <w:p w14:paraId="1DE831BD">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default" w:cs="Times New Roman"/>
                <w:b w:val="0"/>
                <w:bCs w:val="0"/>
                <w:color w:val="000000" w:themeColor="text1"/>
                <w:sz w:val="21"/>
                <w:szCs w:val="21"/>
                <w:vertAlign w:val="baseline"/>
                <w:lang w:val="en-US" w:eastAsia="zh-CN"/>
                <w14:textFill>
                  <w14:solidFill>
                    <w14:schemeClr w14:val="tx1"/>
                  </w14:solidFill>
                </w14:textFill>
              </w:rPr>
              <w:t>鄂式破碎</w:t>
            </w:r>
          </w:p>
        </w:tc>
        <w:tc>
          <w:tcPr>
            <w:tcW w:w="370" w:type="pct"/>
            <w:tcBorders>
              <w:tl2br w:val="nil"/>
              <w:tr2bl w:val="nil"/>
            </w:tcBorders>
            <w:vAlign w:val="center"/>
          </w:tcPr>
          <w:p w14:paraId="43C1A33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4B5E2CA6">
            <w:pPr>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250.6</w:t>
            </w:r>
          </w:p>
        </w:tc>
        <w:tc>
          <w:tcPr>
            <w:tcW w:w="349" w:type="pct"/>
            <w:tcBorders>
              <w:tl2br w:val="nil"/>
              <w:tr2bl w:val="nil"/>
            </w:tcBorders>
            <w:vAlign w:val="center"/>
          </w:tcPr>
          <w:p w14:paraId="01BB4875">
            <w:pPr>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3.8</w:t>
            </w:r>
          </w:p>
        </w:tc>
        <w:tc>
          <w:tcPr>
            <w:tcW w:w="410" w:type="pct"/>
            <w:tcBorders>
              <w:tl2br w:val="nil"/>
              <w:tr2bl w:val="nil"/>
            </w:tcBorders>
            <w:vAlign w:val="center"/>
          </w:tcPr>
          <w:p w14:paraId="0FBD36B7">
            <w:pPr>
              <w:spacing w:line="36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9</w:t>
            </w:r>
          </w:p>
        </w:tc>
        <w:tc>
          <w:tcPr>
            <w:tcW w:w="537" w:type="pct"/>
            <w:vMerge w:val="restart"/>
            <w:tcBorders>
              <w:tl2br w:val="nil"/>
              <w:tr2bl w:val="nil"/>
            </w:tcBorders>
            <w:vAlign w:val="center"/>
          </w:tcPr>
          <w:p w14:paraId="0C93FDD8">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集气罩+布袋除尘（TA001）+15m高排气筒（DA001）</w:t>
            </w:r>
          </w:p>
        </w:tc>
        <w:tc>
          <w:tcPr>
            <w:tcW w:w="341" w:type="pct"/>
            <w:vMerge w:val="restart"/>
            <w:tcBorders>
              <w:tl2br w:val="nil"/>
              <w:tr2bl w:val="nil"/>
            </w:tcBorders>
            <w:vAlign w:val="center"/>
          </w:tcPr>
          <w:p w14:paraId="4646045B">
            <w:pPr>
              <w:keepNext w:val="0"/>
              <w:keepLines w:val="0"/>
              <w:pageBreakBefore w:val="0"/>
              <w:widowControl/>
              <w:kinsoku/>
              <w:wordWrap/>
              <w:overflowPunct/>
              <w:topLinePunct w:val="0"/>
              <w:autoSpaceDE/>
              <w:autoSpaceDN/>
              <w:bidi w:val="0"/>
              <w:spacing w:line="240" w:lineRule="auto"/>
              <w:jc w:val="center"/>
              <w:textAlignment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99</w:t>
            </w:r>
          </w:p>
        </w:tc>
        <w:tc>
          <w:tcPr>
            <w:tcW w:w="367" w:type="pct"/>
            <w:tcBorders>
              <w:tl2br w:val="nil"/>
              <w:tr2bl w:val="nil"/>
            </w:tcBorders>
            <w:vAlign w:val="center"/>
          </w:tcPr>
          <w:p w14:paraId="48B7BB5F">
            <w:pPr>
              <w:spacing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2.506</w:t>
            </w:r>
          </w:p>
        </w:tc>
        <w:tc>
          <w:tcPr>
            <w:tcW w:w="407" w:type="pct"/>
            <w:tcBorders>
              <w:tl2br w:val="nil"/>
              <w:tr2bl w:val="nil"/>
            </w:tcBorders>
            <w:vAlign w:val="center"/>
          </w:tcPr>
          <w:p w14:paraId="689898C9">
            <w:pPr>
              <w:spacing w:line="36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0.038</w:t>
            </w:r>
          </w:p>
        </w:tc>
        <w:tc>
          <w:tcPr>
            <w:tcW w:w="333" w:type="pct"/>
            <w:tcBorders>
              <w:tl2br w:val="nil"/>
              <w:tr2bl w:val="nil"/>
            </w:tcBorders>
            <w:vAlign w:val="center"/>
          </w:tcPr>
          <w:p w14:paraId="3B0196ED">
            <w:pPr>
              <w:spacing w:line="36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0.09t/a</w:t>
            </w:r>
          </w:p>
        </w:tc>
        <w:tc>
          <w:tcPr>
            <w:tcW w:w="484" w:type="pct"/>
            <w:tcBorders>
              <w:tl2br w:val="nil"/>
              <w:tr2bl w:val="nil"/>
            </w:tcBorders>
            <w:vAlign w:val="center"/>
          </w:tcPr>
          <w:p w14:paraId="3B87300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r w14:paraId="14B427D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3594C406">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continue"/>
            <w:tcBorders>
              <w:tl2br w:val="nil"/>
              <w:tr2bl w:val="nil"/>
            </w:tcBorders>
            <w:vAlign w:val="center"/>
          </w:tcPr>
          <w:p w14:paraId="0247996F">
            <w:pPr>
              <w:spacing w:line="360" w:lineRule="auto"/>
              <w:jc w:val="center"/>
              <w:rPr>
                <w:rFonts w:hint="eastAsia" w:cs="Times New Roman"/>
                <w:color w:val="000000" w:themeColor="text1"/>
                <w:szCs w:val="21"/>
                <w:highlight w:val="none"/>
                <w:lang w:val="en-US" w:eastAsia="zh-CN"/>
                <w14:textFill>
                  <w14:solidFill>
                    <w14:schemeClr w14:val="tx1"/>
                  </w14:solidFill>
                </w14:textFill>
              </w:rPr>
            </w:pPr>
          </w:p>
        </w:tc>
        <w:tc>
          <w:tcPr>
            <w:tcW w:w="399" w:type="pct"/>
            <w:tcBorders>
              <w:tl2br w:val="nil"/>
              <w:tr2bl w:val="nil"/>
            </w:tcBorders>
            <w:vAlign w:val="center"/>
          </w:tcPr>
          <w:p w14:paraId="5265D25B">
            <w:pPr>
              <w:spacing w:line="360" w:lineRule="auto"/>
              <w:jc w:val="center"/>
              <w:rPr>
                <w:rFonts w:hint="eastAsia"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锤式破碎</w:t>
            </w:r>
          </w:p>
        </w:tc>
        <w:tc>
          <w:tcPr>
            <w:tcW w:w="370" w:type="pct"/>
            <w:tcBorders>
              <w:tl2br w:val="nil"/>
              <w:tr2bl w:val="nil"/>
            </w:tcBorders>
            <w:vAlign w:val="center"/>
          </w:tcPr>
          <w:p w14:paraId="28669BF6">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21D716E0">
            <w:pPr>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250.6</w:t>
            </w:r>
          </w:p>
        </w:tc>
        <w:tc>
          <w:tcPr>
            <w:tcW w:w="349" w:type="pct"/>
            <w:tcBorders>
              <w:tl2br w:val="nil"/>
              <w:tr2bl w:val="nil"/>
            </w:tcBorders>
            <w:vAlign w:val="center"/>
          </w:tcPr>
          <w:p w14:paraId="00914346">
            <w:pPr>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3.8</w:t>
            </w:r>
          </w:p>
        </w:tc>
        <w:tc>
          <w:tcPr>
            <w:tcW w:w="410" w:type="pct"/>
            <w:tcBorders>
              <w:tl2br w:val="nil"/>
              <w:tr2bl w:val="nil"/>
            </w:tcBorders>
            <w:vAlign w:val="center"/>
          </w:tcPr>
          <w:p w14:paraId="7B333960">
            <w:pPr>
              <w:spacing w:line="36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9</w:t>
            </w:r>
          </w:p>
        </w:tc>
        <w:tc>
          <w:tcPr>
            <w:tcW w:w="537" w:type="pct"/>
            <w:vMerge w:val="continue"/>
            <w:tcBorders>
              <w:tl2br w:val="nil"/>
              <w:tr2bl w:val="nil"/>
            </w:tcBorders>
            <w:vAlign w:val="center"/>
          </w:tcPr>
          <w:p w14:paraId="46FB994B">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p>
        </w:tc>
        <w:tc>
          <w:tcPr>
            <w:tcW w:w="341" w:type="pct"/>
            <w:vMerge w:val="continue"/>
            <w:tcBorders>
              <w:tl2br w:val="nil"/>
              <w:tr2bl w:val="nil"/>
            </w:tcBorders>
            <w:vAlign w:val="center"/>
          </w:tcPr>
          <w:p w14:paraId="57CFD5F5">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p>
        </w:tc>
        <w:tc>
          <w:tcPr>
            <w:tcW w:w="367" w:type="pct"/>
            <w:tcBorders>
              <w:tl2br w:val="nil"/>
              <w:tr2bl w:val="nil"/>
            </w:tcBorders>
            <w:vAlign w:val="center"/>
          </w:tcPr>
          <w:p w14:paraId="7C04536E">
            <w:pPr>
              <w:spacing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2.506</w:t>
            </w:r>
          </w:p>
        </w:tc>
        <w:tc>
          <w:tcPr>
            <w:tcW w:w="407" w:type="pct"/>
            <w:tcBorders>
              <w:tl2br w:val="nil"/>
              <w:tr2bl w:val="nil"/>
            </w:tcBorders>
            <w:vAlign w:val="center"/>
          </w:tcPr>
          <w:p w14:paraId="35C3555D">
            <w:pPr>
              <w:spacing w:line="36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0.038</w:t>
            </w:r>
          </w:p>
        </w:tc>
        <w:tc>
          <w:tcPr>
            <w:tcW w:w="333" w:type="pct"/>
            <w:tcBorders>
              <w:tl2br w:val="nil"/>
              <w:tr2bl w:val="nil"/>
            </w:tcBorders>
            <w:vAlign w:val="center"/>
          </w:tcPr>
          <w:p w14:paraId="2E855D20">
            <w:pPr>
              <w:spacing w:line="36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0.09t/a</w:t>
            </w:r>
          </w:p>
        </w:tc>
        <w:tc>
          <w:tcPr>
            <w:tcW w:w="484" w:type="pct"/>
            <w:tcBorders>
              <w:tl2br w:val="nil"/>
              <w:tr2bl w:val="nil"/>
            </w:tcBorders>
            <w:vAlign w:val="center"/>
          </w:tcPr>
          <w:p w14:paraId="7C73C323">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r w14:paraId="6D866096">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2BF17D33">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continue"/>
            <w:tcBorders>
              <w:tl2br w:val="nil"/>
              <w:tr2bl w:val="nil"/>
            </w:tcBorders>
            <w:vAlign w:val="center"/>
          </w:tcPr>
          <w:p w14:paraId="2C6CF44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399" w:type="pct"/>
            <w:tcBorders>
              <w:tl2br w:val="nil"/>
              <w:tr2bl w:val="nil"/>
            </w:tcBorders>
            <w:vAlign w:val="center"/>
          </w:tcPr>
          <w:p w14:paraId="1C471E2F">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球磨</w:t>
            </w:r>
          </w:p>
        </w:tc>
        <w:tc>
          <w:tcPr>
            <w:tcW w:w="370" w:type="pct"/>
            <w:tcBorders>
              <w:tl2br w:val="nil"/>
              <w:tr2bl w:val="nil"/>
            </w:tcBorders>
            <w:vAlign w:val="center"/>
          </w:tcPr>
          <w:p w14:paraId="0EE580D7">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7290C604">
            <w:pPr>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416.7</w:t>
            </w:r>
          </w:p>
        </w:tc>
        <w:tc>
          <w:tcPr>
            <w:tcW w:w="349" w:type="pct"/>
            <w:tcBorders>
              <w:tl2br w:val="nil"/>
              <w:tr2bl w:val="nil"/>
            </w:tcBorders>
            <w:vAlign w:val="center"/>
          </w:tcPr>
          <w:p w14:paraId="53DCB845">
            <w:pPr>
              <w:spacing w:line="360" w:lineRule="auto"/>
              <w:jc w:val="center"/>
              <w:rPr>
                <w:rFonts w:hint="default"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6.25</w:t>
            </w:r>
          </w:p>
        </w:tc>
        <w:tc>
          <w:tcPr>
            <w:tcW w:w="410" w:type="pct"/>
            <w:tcBorders>
              <w:tl2br w:val="nil"/>
              <w:tr2bl w:val="nil"/>
            </w:tcBorders>
            <w:vAlign w:val="center"/>
          </w:tcPr>
          <w:p w14:paraId="6504F1D2">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45</w:t>
            </w:r>
          </w:p>
        </w:tc>
        <w:tc>
          <w:tcPr>
            <w:tcW w:w="537" w:type="pct"/>
            <w:vMerge w:val="continue"/>
            <w:tcBorders>
              <w:tl2br w:val="nil"/>
              <w:tr2bl w:val="nil"/>
            </w:tcBorders>
            <w:vAlign w:val="center"/>
          </w:tcPr>
          <w:p w14:paraId="3D477D2C">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eastAsia="zh-CN"/>
                <w14:textFill>
                  <w14:solidFill>
                    <w14:schemeClr w14:val="tx1"/>
                  </w14:solidFill>
                </w14:textFill>
              </w:rPr>
            </w:pPr>
          </w:p>
        </w:tc>
        <w:tc>
          <w:tcPr>
            <w:tcW w:w="341" w:type="pct"/>
            <w:vMerge w:val="continue"/>
            <w:tcBorders>
              <w:tl2br w:val="nil"/>
              <w:tr2bl w:val="nil"/>
            </w:tcBorders>
            <w:vAlign w:val="center"/>
          </w:tcPr>
          <w:p w14:paraId="4C85DD5C">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p>
        </w:tc>
        <w:tc>
          <w:tcPr>
            <w:tcW w:w="367" w:type="pct"/>
            <w:tcBorders>
              <w:tl2br w:val="nil"/>
              <w:tr2bl w:val="nil"/>
            </w:tcBorders>
            <w:vAlign w:val="center"/>
          </w:tcPr>
          <w:p w14:paraId="2913BE3C">
            <w:pPr>
              <w:spacing w:line="36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4.167</w:t>
            </w:r>
          </w:p>
        </w:tc>
        <w:tc>
          <w:tcPr>
            <w:tcW w:w="407" w:type="pct"/>
            <w:tcBorders>
              <w:tl2br w:val="nil"/>
              <w:tr2bl w:val="nil"/>
            </w:tcBorders>
            <w:vAlign w:val="center"/>
          </w:tcPr>
          <w:p w14:paraId="481A255A">
            <w:pPr>
              <w:spacing w:line="36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0.0625</w:t>
            </w:r>
          </w:p>
        </w:tc>
        <w:tc>
          <w:tcPr>
            <w:tcW w:w="333" w:type="pct"/>
            <w:tcBorders>
              <w:tl2br w:val="nil"/>
              <w:tr2bl w:val="nil"/>
            </w:tcBorders>
            <w:vAlign w:val="center"/>
          </w:tcPr>
          <w:p w14:paraId="68400F35">
            <w:pPr>
              <w:spacing w:line="36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0.45t/a</w:t>
            </w:r>
          </w:p>
        </w:tc>
        <w:tc>
          <w:tcPr>
            <w:tcW w:w="484" w:type="pct"/>
            <w:tcBorders>
              <w:tl2br w:val="nil"/>
              <w:tr2bl w:val="nil"/>
            </w:tcBorders>
            <w:vAlign w:val="center"/>
          </w:tcPr>
          <w:p w14:paraId="038E9C5D">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w:t>
            </w:r>
          </w:p>
        </w:tc>
      </w:tr>
      <w:tr w14:paraId="01263C5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43C1586A">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526" w:type="pct"/>
            <w:gridSpan w:val="2"/>
            <w:tcBorders>
              <w:tl2br w:val="nil"/>
              <w:tr2bl w:val="nil"/>
            </w:tcBorders>
            <w:vAlign w:val="center"/>
          </w:tcPr>
          <w:p w14:paraId="0263BC7A">
            <w:pPr>
              <w:keepNext w:val="0"/>
              <w:keepLines w:val="0"/>
              <w:pageBreakBefore w:val="0"/>
              <w:kinsoku/>
              <w:wordWrap/>
              <w:overflowPunct/>
              <w:topLinePunct w:val="0"/>
              <w:autoSpaceDE/>
              <w:autoSpaceDN/>
              <w:bidi w:val="0"/>
              <w:spacing w:line="240" w:lineRule="auto"/>
              <w:jc w:val="center"/>
              <w:rPr>
                <w:rFonts w:hint="default"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DA001</w:t>
            </w:r>
          </w:p>
        </w:tc>
        <w:tc>
          <w:tcPr>
            <w:tcW w:w="370" w:type="pct"/>
            <w:tcBorders>
              <w:tl2br w:val="nil"/>
              <w:tr2bl w:val="nil"/>
            </w:tcBorders>
            <w:vAlign w:val="center"/>
          </w:tcPr>
          <w:p w14:paraId="1C06C81A">
            <w:pPr>
              <w:keepNext w:val="0"/>
              <w:keepLines w:val="0"/>
              <w:pageBreakBefore w:val="0"/>
              <w:kinsoku/>
              <w:wordWrap/>
              <w:overflowPunct/>
              <w:topLinePunct w:val="0"/>
              <w:autoSpaceDE/>
              <w:autoSpaceDN/>
              <w:bidi w:val="0"/>
              <w:spacing w:line="240" w:lineRule="auto"/>
              <w:jc w:val="center"/>
              <w:rPr>
                <w:rFonts w:hint="eastAsia"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0C9E6F68">
            <w:pPr>
              <w:spacing w:line="36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923</w:t>
            </w:r>
          </w:p>
        </w:tc>
        <w:tc>
          <w:tcPr>
            <w:tcW w:w="349" w:type="pct"/>
            <w:tcBorders>
              <w:tl2br w:val="nil"/>
              <w:tr2bl w:val="nil"/>
            </w:tcBorders>
            <w:vAlign w:val="center"/>
          </w:tcPr>
          <w:p w14:paraId="7B9BA9E4">
            <w:pPr>
              <w:spacing w:line="360" w:lineRule="auto"/>
              <w:jc w:val="cente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bCs/>
                <w:color w:val="000000" w:themeColor="text1"/>
                <w:sz w:val="21"/>
                <w:szCs w:val="21"/>
                <w:vertAlign w:val="baseline"/>
                <w:lang w:val="en-US" w:eastAsia="zh-CN"/>
                <w14:textFill>
                  <w14:solidFill>
                    <w14:schemeClr w14:val="tx1"/>
                  </w14:solidFill>
                </w14:textFill>
              </w:rPr>
              <w:t>13.85</w:t>
            </w:r>
          </w:p>
        </w:tc>
        <w:tc>
          <w:tcPr>
            <w:tcW w:w="410" w:type="pct"/>
            <w:tcBorders>
              <w:tl2br w:val="nil"/>
              <w:tr2bl w:val="nil"/>
            </w:tcBorders>
            <w:vAlign w:val="center"/>
          </w:tcPr>
          <w:p w14:paraId="0AE7B850">
            <w:pPr>
              <w:keepNext w:val="0"/>
              <w:keepLines w:val="0"/>
              <w:pageBreakBefore w:val="0"/>
              <w:kinsoku/>
              <w:wordWrap/>
              <w:overflowPunct/>
              <w:topLinePunct w:val="0"/>
              <w:autoSpaceDE/>
              <w:autoSpaceDN/>
              <w:bidi w:val="0"/>
              <w:spacing w:line="240" w:lineRule="auto"/>
              <w:jc w:val="center"/>
              <w:rPr>
                <w:rFonts w:hint="default"/>
                <w:b/>
                <w:bCs/>
                <w:sz w:val="21"/>
                <w:szCs w:val="21"/>
                <w:vertAlign w:val="baseline"/>
                <w:lang w:val="en-US" w:eastAsia="zh-CN"/>
              </w:rPr>
            </w:pPr>
            <w:r>
              <w:rPr>
                <w:rFonts w:hint="eastAsia"/>
                <w:b/>
                <w:bCs/>
                <w:sz w:val="21"/>
                <w:szCs w:val="21"/>
                <w:vertAlign w:val="baseline"/>
                <w:lang w:val="en-US" w:eastAsia="zh-CN"/>
              </w:rPr>
              <w:t>63</w:t>
            </w:r>
          </w:p>
        </w:tc>
        <w:tc>
          <w:tcPr>
            <w:tcW w:w="537" w:type="pct"/>
            <w:vMerge w:val="continue"/>
            <w:tcBorders>
              <w:tl2br w:val="nil"/>
              <w:tr2bl w:val="nil"/>
            </w:tcBorders>
            <w:vAlign w:val="center"/>
          </w:tcPr>
          <w:p w14:paraId="5DF91C65">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p>
        </w:tc>
        <w:tc>
          <w:tcPr>
            <w:tcW w:w="341" w:type="pct"/>
            <w:vMerge w:val="continue"/>
            <w:tcBorders>
              <w:tl2br w:val="nil"/>
              <w:tr2bl w:val="nil"/>
            </w:tcBorders>
            <w:vAlign w:val="center"/>
          </w:tcPr>
          <w:p w14:paraId="55F840F7">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p>
        </w:tc>
        <w:tc>
          <w:tcPr>
            <w:tcW w:w="367" w:type="pct"/>
            <w:tcBorders>
              <w:tl2br w:val="nil"/>
              <w:tr2bl w:val="nil"/>
            </w:tcBorders>
            <w:vAlign w:val="center"/>
          </w:tcPr>
          <w:p w14:paraId="33E9FACD">
            <w:pPr>
              <w:keepNext w:val="0"/>
              <w:keepLines w:val="0"/>
              <w:pageBreakBefore w:val="0"/>
              <w:kinsoku/>
              <w:wordWrap/>
              <w:overflowPunct/>
              <w:topLinePunct w:val="0"/>
              <w:autoSpaceDE/>
              <w:autoSpaceDN/>
              <w:bidi w:val="0"/>
              <w:spacing w:line="240" w:lineRule="auto"/>
              <w:jc w:val="center"/>
              <w:rPr>
                <w:rFonts w:hint="eastAsia"/>
                <w:b/>
                <w:bCs/>
                <w:sz w:val="21"/>
                <w:szCs w:val="21"/>
                <w:highlight w:val="none"/>
                <w:vertAlign w:val="baseline"/>
                <w:lang w:val="en-US" w:eastAsia="zh-CN"/>
              </w:rPr>
            </w:pPr>
            <w:r>
              <w:rPr>
                <w:rFonts w:hint="eastAsia" w:cs="Times New Roman"/>
                <w:b/>
                <w:bCs/>
                <w:color w:val="000000" w:themeColor="text1"/>
                <w:sz w:val="21"/>
                <w:szCs w:val="21"/>
                <w:vertAlign w:val="baseline"/>
                <w:lang w:val="en-US" w:eastAsia="zh-CN"/>
                <w14:textFill>
                  <w14:solidFill>
                    <w14:schemeClr w14:val="tx1"/>
                  </w14:solidFill>
                </w14:textFill>
              </w:rPr>
              <w:t>9.23</w:t>
            </w:r>
          </w:p>
        </w:tc>
        <w:tc>
          <w:tcPr>
            <w:tcW w:w="407" w:type="pct"/>
            <w:tcBorders>
              <w:tl2br w:val="nil"/>
              <w:tr2bl w:val="nil"/>
            </w:tcBorders>
            <w:vAlign w:val="center"/>
          </w:tcPr>
          <w:p w14:paraId="777E0F08">
            <w:pPr>
              <w:keepNext w:val="0"/>
              <w:keepLines w:val="0"/>
              <w:pageBreakBefore w:val="0"/>
              <w:kinsoku/>
              <w:wordWrap/>
              <w:overflowPunct/>
              <w:topLinePunct w:val="0"/>
              <w:autoSpaceDE/>
              <w:autoSpaceDN/>
              <w:bidi w:val="0"/>
              <w:spacing w:line="240" w:lineRule="auto"/>
              <w:jc w:val="center"/>
              <w:rPr>
                <w:rFonts w:hint="eastAsia"/>
                <w:b/>
                <w:bCs/>
                <w:sz w:val="21"/>
                <w:szCs w:val="21"/>
                <w:vertAlign w:val="baseline"/>
                <w:lang w:val="en-US" w:eastAsia="zh-CN"/>
              </w:rPr>
            </w:pPr>
            <w:r>
              <w:rPr>
                <w:rFonts w:hint="eastAsia" w:cs="Times New Roman"/>
                <w:b/>
                <w:bCs/>
                <w:color w:val="000000" w:themeColor="text1"/>
                <w:sz w:val="21"/>
                <w:szCs w:val="21"/>
                <w:vertAlign w:val="baseline"/>
                <w:lang w:val="en-US" w:eastAsia="zh-CN"/>
                <w14:textFill>
                  <w14:solidFill>
                    <w14:schemeClr w14:val="tx1"/>
                  </w14:solidFill>
                </w14:textFill>
              </w:rPr>
              <w:t>0.1385</w:t>
            </w:r>
          </w:p>
        </w:tc>
        <w:tc>
          <w:tcPr>
            <w:tcW w:w="333" w:type="pct"/>
            <w:tcBorders>
              <w:tl2br w:val="nil"/>
              <w:tr2bl w:val="nil"/>
            </w:tcBorders>
            <w:vAlign w:val="center"/>
          </w:tcPr>
          <w:p w14:paraId="154FD492">
            <w:pPr>
              <w:keepNext w:val="0"/>
              <w:keepLines w:val="0"/>
              <w:pageBreakBefore w:val="0"/>
              <w:kinsoku/>
              <w:wordWrap/>
              <w:overflowPunct/>
              <w:topLinePunct w:val="0"/>
              <w:autoSpaceDE/>
              <w:autoSpaceDN/>
              <w:bidi w:val="0"/>
              <w:spacing w:line="240" w:lineRule="auto"/>
              <w:jc w:val="center"/>
              <w:rPr>
                <w:rFonts w:hint="eastAsia"/>
                <w:b/>
                <w:bCs/>
                <w:sz w:val="21"/>
                <w:szCs w:val="21"/>
                <w:vertAlign w:val="baseline"/>
                <w:lang w:val="en-US" w:eastAsia="zh-CN"/>
              </w:rPr>
            </w:pPr>
            <w:r>
              <w:rPr>
                <w:rFonts w:hint="eastAsia" w:cs="Times New Roman"/>
                <w:b/>
                <w:bCs/>
                <w:color w:val="000000" w:themeColor="text1"/>
                <w:sz w:val="21"/>
                <w:szCs w:val="21"/>
                <w:vertAlign w:val="baseline"/>
                <w:lang w:val="en-US" w:eastAsia="zh-CN"/>
                <w14:textFill>
                  <w14:solidFill>
                    <w14:schemeClr w14:val="tx1"/>
                  </w14:solidFill>
                </w14:textFill>
              </w:rPr>
              <w:t>0.63t/a</w:t>
            </w:r>
          </w:p>
        </w:tc>
        <w:tc>
          <w:tcPr>
            <w:tcW w:w="484" w:type="pct"/>
            <w:tcBorders>
              <w:tl2br w:val="nil"/>
              <w:tr2bl w:val="nil"/>
            </w:tcBorders>
            <w:vAlign w:val="center"/>
          </w:tcPr>
          <w:p w14:paraId="6112B18A">
            <w:pPr>
              <w:keepNext w:val="0"/>
              <w:keepLines w:val="0"/>
              <w:pageBreakBefore w:val="0"/>
              <w:kinsoku/>
              <w:wordWrap/>
              <w:overflowPunct/>
              <w:topLinePunct w:val="0"/>
              <w:autoSpaceDE/>
              <w:autoSpaceDN/>
              <w:bidi w:val="0"/>
              <w:spacing w:line="240" w:lineRule="auto"/>
              <w:jc w:val="center"/>
              <w:rPr>
                <w:rFonts w:hint="eastAsia"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3.5kg/h，120</w:t>
            </w:r>
            <w:r>
              <w:rPr>
                <w:rFonts w:ascii="Times New Roman" w:hAnsi="Times New Roman" w:cs="Times New Roman"/>
                <w:b/>
                <w:bCs/>
                <w:color w:val="000000" w:themeColor="text1"/>
                <w:szCs w:val="21"/>
                <w:highlight w:val="none"/>
                <w14:textFill>
                  <w14:solidFill>
                    <w14:schemeClr w14:val="tx1"/>
                  </w14:solidFill>
                </w14:textFill>
              </w:rPr>
              <w:t>mg/m</w:t>
            </w:r>
            <w:r>
              <w:rPr>
                <w:rFonts w:ascii="Times New Roman" w:hAnsi="Times New Roman" w:cs="Times New Roman"/>
                <w:b/>
                <w:bCs/>
                <w:color w:val="000000" w:themeColor="text1"/>
                <w:szCs w:val="21"/>
                <w:highlight w:val="none"/>
                <w:vertAlign w:val="superscript"/>
                <w14:textFill>
                  <w14:solidFill>
                    <w14:schemeClr w14:val="tx1"/>
                  </w14:solidFill>
                </w14:textFill>
              </w:rPr>
              <w:t>3</w:t>
            </w:r>
          </w:p>
        </w:tc>
      </w:tr>
      <w:tr w14:paraId="76D4D1A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24983B88">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restart"/>
            <w:tcBorders>
              <w:tl2br w:val="nil"/>
              <w:tr2bl w:val="nil"/>
            </w:tcBorders>
            <w:vAlign w:val="center"/>
          </w:tcPr>
          <w:p w14:paraId="555FC54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无组织</w:t>
            </w:r>
          </w:p>
        </w:tc>
        <w:tc>
          <w:tcPr>
            <w:tcW w:w="399" w:type="pct"/>
            <w:tcBorders>
              <w:tl2br w:val="nil"/>
              <w:tr2bl w:val="nil"/>
            </w:tcBorders>
            <w:vAlign w:val="center"/>
          </w:tcPr>
          <w:p w14:paraId="4CD1DD17">
            <w:pPr>
              <w:keepNext w:val="0"/>
              <w:keepLines w:val="0"/>
              <w:pageBreakBefore w:val="0"/>
              <w:kinsoku/>
              <w:wordWrap/>
              <w:overflowPunct/>
              <w:topLinePunct w:val="0"/>
              <w:autoSpaceDE/>
              <w:autoSpaceDN/>
              <w:bidi w:val="0"/>
              <w:spacing w:line="240" w:lineRule="auto"/>
              <w:jc w:val="center"/>
              <w:rPr>
                <w:rFonts w:hint="default"/>
                <w:sz w:val="21"/>
                <w:szCs w:val="21"/>
                <w:vertAlign w:val="baseline"/>
                <w:lang w:val="en-US" w:eastAsia="zh-CN"/>
              </w:rPr>
            </w:pPr>
            <w:r>
              <w:rPr>
                <w:rFonts w:hint="eastAsia"/>
                <w:sz w:val="21"/>
                <w:szCs w:val="21"/>
                <w:vertAlign w:val="baseline"/>
                <w:lang w:val="en-US" w:eastAsia="zh-CN"/>
              </w:rPr>
              <w:t>选矿车间</w:t>
            </w:r>
          </w:p>
        </w:tc>
        <w:tc>
          <w:tcPr>
            <w:tcW w:w="370" w:type="pct"/>
            <w:tcBorders>
              <w:tl2br w:val="nil"/>
              <w:tr2bl w:val="nil"/>
            </w:tcBorders>
            <w:vAlign w:val="center"/>
          </w:tcPr>
          <w:p w14:paraId="7BBF048C">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3B7ABA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w:t>
            </w:r>
          </w:p>
        </w:tc>
        <w:tc>
          <w:tcPr>
            <w:tcW w:w="349" w:type="pct"/>
            <w:tcBorders>
              <w:tl2br w:val="nil"/>
              <w:tr2bl w:val="nil"/>
            </w:tcBorders>
            <w:vAlign w:val="center"/>
          </w:tcPr>
          <w:p w14:paraId="2D1C7E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sz w:val="21"/>
                <w:szCs w:val="21"/>
                <w:vertAlign w:val="baseline"/>
                <w:lang w:val="en-US" w:eastAsia="zh-CN"/>
              </w:rPr>
            </w:pPr>
            <w:r>
              <w:rPr>
                <w:rFonts w:hint="eastAsia"/>
                <w:sz w:val="21"/>
                <w:szCs w:val="21"/>
                <w:vertAlign w:val="baseline"/>
                <w:lang w:val="en-US" w:eastAsia="zh-CN"/>
              </w:rPr>
              <w:t>-</w:t>
            </w:r>
          </w:p>
        </w:tc>
        <w:tc>
          <w:tcPr>
            <w:tcW w:w="410" w:type="pct"/>
            <w:tcBorders>
              <w:tl2br w:val="nil"/>
              <w:tr2bl w:val="nil"/>
            </w:tcBorders>
            <w:vAlign w:val="center"/>
          </w:tcPr>
          <w:p w14:paraId="559E50F5">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7t/a</w:t>
            </w:r>
          </w:p>
        </w:tc>
        <w:tc>
          <w:tcPr>
            <w:tcW w:w="537" w:type="pct"/>
            <w:tcBorders>
              <w:tl2br w:val="nil"/>
              <w:tr2bl w:val="nil"/>
            </w:tcBorders>
            <w:vAlign w:val="center"/>
          </w:tcPr>
          <w:p w14:paraId="092F8979">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洒水抑尘、降低卸料高度等</w:t>
            </w:r>
          </w:p>
        </w:tc>
        <w:tc>
          <w:tcPr>
            <w:tcW w:w="341" w:type="pct"/>
            <w:tcBorders>
              <w:tl2br w:val="nil"/>
              <w:tr2bl w:val="nil"/>
            </w:tcBorders>
            <w:vAlign w:val="center"/>
          </w:tcPr>
          <w:p w14:paraId="5F71C3B8">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85</w:t>
            </w:r>
          </w:p>
        </w:tc>
        <w:tc>
          <w:tcPr>
            <w:tcW w:w="367" w:type="pct"/>
            <w:tcBorders>
              <w:tl2br w:val="nil"/>
              <w:tr2bl w:val="nil"/>
            </w:tcBorders>
            <w:vAlign w:val="center"/>
          </w:tcPr>
          <w:p w14:paraId="47A9520A">
            <w:pPr>
              <w:keepNext w:val="0"/>
              <w:keepLines w:val="0"/>
              <w:pageBreakBefore w:val="0"/>
              <w:kinsoku/>
              <w:wordWrap/>
              <w:overflowPunct/>
              <w:topLinePunct w:val="0"/>
              <w:autoSpaceDE/>
              <w:autoSpaceDN/>
              <w:bidi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w:t>
            </w:r>
          </w:p>
        </w:tc>
        <w:tc>
          <w:tcPr>
            <w:tcW w:w="407" w:type="pct"/>
            <w:tcBorders>
              <w:tl2br w:val="nil"/>
              <w:tr2bl w:val="nil"/>
            </w:tcBorders>
            <w:vAlign w:val="center"/>
          </w:tcPr>
          <w:p w14:paraId="5A96A3AB">
            <w:pPr>
              <w:keepNext w:val="0"/>
              <w:keepLines w:val="0"/>
              <w:pageBreakBefore w:val="0"/>
              <w:kinsoku/>
              <w:wordWrap/>
              <w:overflowPunct/>
              <w:topLinePunct w:val="0"/>
              <w:autoSpaceDE/>
              <w:autoSpaceDN/>
              <w:bidi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w:t>
            </w:r>
          </w:p>
        </w:tc>
        <w:tc>
          <w:tcPr>
            <w:tcW w:w="333" w:type="pct"/>
            <w:tcBorders>
              <w:tl2br w:val="nil"/>
              <w:tr2bl w:val="nil"/>
            </w:tcBorders>
            <w:vAlign w:val="center"/>
          </w:tcPr>
          <w:p w14:paraId="2DA88DFE">
            <w:pPr>
              <w:keepNext w:val="0"/>
              <w:keepLines w:val="0"/>
              <w:pageBreakBefore w:val="0"/>
              <w:kinsoku/>
              <w:wordWrap/>
              <w:overflowPunct/>
              <w:topLinePunct w:val="0"/>
              <w:autoSpaceDE/>
              <w:autoSpaceDN/>
              <w:bidi w:val="0"/>
              <w:spacing w:line="240" w:lineRule="auto"/>
              <w:jc w:val="center"/>
              <w:rPr>
                <w:rFonts w:hint="default"/>
                <w:sz w:val="21"/>
                <w:szCs w:val="21"/>
                <w:vertAlign w:val="baseline"/>
                <w:lang w:val="en-US" w:eastAsia="zh-CN"/>
              </w:rPr>
            </w:pPr>
            <w:r>
              <w:rPr>
                <w:rFonts w:hint="eastAsia"/>
                <w:sz w:val="21"/>
                <w:szCs w:val="21"/>
                <w:vertAlign w:val="baseline"/>
                <w:lang w:val="en-US" w:eastAsia="zh-CN"/>
              </w:rPr>
              <w:t>1.05</w:t>
            </w:r>
          </w:p>
        </w:tc>
        <w:tc>
          <w:tcPr>
            <w:tcW w:w="484" w:type="pct"/>
            <w:tcBorders>
              <w:tl2br w:val="nil"/>
              <w:tr2bl w:val="nil"/>
            </w:tcBorders>
            <w:vAlign w:val="center"/>
          </w:tcPr>
          <w:p w14:paraId="074411C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1.0mg/m</w:t>
            </w:r>
            <w:r>
              <w:rPr>
                <w:rFonts w:ascii="Times New Roman" w:hAnsi="Times New Roman" w:cs="Times New Roman"/>
                <w:color w:val="000000" w:themeColor="text1"/>
                <w:szCs w:val="21"/>
                <w:highlight w:val="none"/>
                <w:vertAlign w:val="superscript"/>
                <w14:textFill>
                  <w14:solidFill>
                    <w14:schemeClr w14:val="tx1"/>
                  </w14:solidFill>
                </w14:textFill>
              </w:rPr>
              <w:t>3</w:t>
            </w:r>
          </w:p>
        </w:tc>
      </w:tr>
      <w:tr w14:paraId="487A250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0097BC1A">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continue"/>
            <w:tcBorders>
              <w:tl2br w:val="nil"/>
              <w:tr2bl w:val="nil"/>
            </w:tcBorders>
            <w:vAlign w:val="center"/>
          </w:tcPr>
          <w:p w14:paraId="464E454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399" w:type="pct"/>
            <w:tcBorders>
              <w:tl2br w:val="nil"/>
              <w:tr2bl w:val="nil"/>
            </w:tcBorders>
            <w:vAlign w:val="center"/>
          </w:tcPr>
          <w:p w14:paraId="4A701F34">
            <w:pPr>
              <w:keepNext w:val="0"/>
              <w:keepLines w:val="0"/>
              <w:pageBreakBefore w:val="0"/>
              <w:kinsoku/>
              <w:wordWrap/>
              <w:overflowPunct/>
              <w:topLinePunct w:val="0"/>
              <w:autoSpaceDE/>
              <w:autoSpaceDN/>
              <w:bidi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原矿装卸</w:t>
            </w:r>
          </w:p>
        </w:tc>
        <w:tc>
          <w:tcPr>
            <w:tcW w:w="370" w:type="pct"/>
            <w:tcBorders>
              <w:tl2br w:val="nil"/>
              <w:tr2bl w:val="nil"/>
            </w:tcBorders>
            <w:vAlign w:val="center"/>
          </w:tcPr>
          <w:p w14:paraId="54DAEDAA">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4FA4B7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35E52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484686C1">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0.965t/a</w:t>
            </w:r>
          </w:p>
        </w:tc>
        <w:tc>
          <w:tcPr>
            <w:tcW w:w="537" w:type="pct"/>
            <w:tcBorders>
              <w:tl2br w:val="nil"/>
              <w:tr2bl w:val="nil"/>
            </w:tcBorders>
            <w:vAlign w:val="center"/>
          </w:tcPr>
          <w:p w14:paraId="0FD5FA10">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洒水抑尘、苫布苫盖、降低卸料高度等</w:t>
            </w:r>
          </w:p>
        </w:tc>
        <w:tc>
          <w:tcPr>
            <w:tcW w:w="341" w:type="pct"/>
            <w:tcBorders>
              <w:tl2br w:val="nil"/>
              <w:tr2bl w:val="nil"/>
            </w:tcBorders>
            <w:vAlign w:val="center"/>
          </w:tcPr>
          <w:p w14:paraId="6B3073DB">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85</w:t>
            </w:r>
          </w:p>
        </w:tc>
        <w:tc>
          <w:tcPr>
            <w:tcW w:w="367" w:type="pct"/>
            <w:tcBorders>
              <w:tl2br w:val="nil"/>
              <w:tr2bl w:val="nil"/>
            </w:tcBorders>
            <w:vAlign w:val="center"/>
          </w:tcPr>
          <w:p w14:paraId="60E63DB5">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18514B34">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4CC14818">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0.145</w:t>
            </w:r>
          </w:p>
        </w:tc>
        <w:tc>
          <w:tcPr>
            <w:tcW w:w="484" w:type="pct"/>
            <w:tcBorders>
              <w:tl2br w:val="nil"/>
              <w:tr2bl w:val="nil"/>
            </w:tcBorders>
            <w:vAlign w:val="center"/>
          </w:tcPr>
          <w:p w14:paraId="7A200FCB">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1.0mg/m</w:t>
            </w:r>
            <w:r>
              <w:rPr>
                <w:rFonts w:ascii="Times New Roman" w:hAnsi="Times New Roman" w:cs="Times New Roman"/>
                <w:color w:val="000000" w:themeColor="text1"/>
                <w:szCs w:val="21"/>
                <w:highlight w:val="none"/>
                <w:vertAlign w:val="superscript"/>
                <w14:textFill>
                  <w14:solidFill>
                    <w14:schemeClr w14:val="tx1"/>
                  </w14:solidFill>
                </w14:textFill>
              </w:rPr>
              <w:t>3</w:t>
            </w:r>
          </w:p>
        </w:tc>
      </w:tr>
      <w:tr w14:paraId="6A1EEAC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11DA6D93">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continue"/>
            <w:tcBorders>
              <w:tl2br w:val="nil"/>
              <w:tr2bl w:val="nil"/>
            </w:tcBorders>
            <w:vAlign w:val="center"/>
          </w:tcPr>
          <w:p w14:paraId="5C5E6823">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399" w:type="pct"/>
            <w:tcBorders>
              <w:tl2br w:val="nil"/>
              <w:tr2bl w:val="nil"/>
            </w:tcBorders>
            <w:vAlign w:val="center"/>
          </w:tcPr>
          <w:p w14:paraId="384CDD5D">
            <w:pPr>
              <w:keepNext w:val="0"/>
              <w:keepLines w:val="0"/>
              <w:pageBreakBefore w:val="0"/>
              <w:kinsoku/>
              <w:wordWrap/>
              <w:overflowPunct/>
              <w:topLinePunct w:val="0"/>
              <w:autoSpaceDE/>
              <w:autoSpaceDN/>
              <w:bidi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尾矿装卸</w:t>
            </w:r>
          </w:p>
        </w:tc>
        <w:tc>
          <w:tcPr>
            <w:tcW w:w="370" w:type="pct"/>
            <w:tcBorders>
              <w:tl2br w:val="nil"/>
              <w:tr2bl w:val="nil"/>
            </w:tcBorders>
            <w:vAlign w:val="center"/>
          </w:tcPr>
          <w:p w14:paraId="332257D7">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2AF860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07D41B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26DD044B">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0.093</w:t>
            </w:r>
            <w:r>
              <w:rPr>
                <w:rFonts w:ascii="Times New Roman" w:hAnsi="Times New Roman" w:cs="Times New Roman"/>
                <w:color w:val="000000" w:themeColor="text1"/>
                <w:sz w:val="21"/>
                <w:szCs w:val="21"/>
                <w14:textFill>
                  <w14:solidFill>
                    <w14:schemeClr w14:val="tx1"/>
                  </w14:solidFill>
                </w14:textFill>
              </w:rPr>
              <w:t>t/a</w:t>
            </w:r>
          </w:p>
        </w:tc>
        <w:tc>
          <w:tcPr>
            <w:tcW w:w="537" w:type="pct"/>
            <w:tcBorders>
              <w:tl2br w:val="nil"/>
              <w:tr2bl w:val="nil"/>
            </w:tcBorders>
            <w:vAlign w:val="center"/>
          </w:tcPr>
          <w:p w14:paraId="082D29F3">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洒水抑尘、苫布苫盖、降低卸料高度等</w:t>
            </w:r>
          </w:p>
        </w:tc>
        <w:tc>
          <w:tcPr>
            <w:tcW w:w="341" w:type="pct"/>
            <w:tcBorders>
              <w:tl2br w:val="nil"/>
              <w:tr2bl w:val="nil"/>
            </w:tcBorders>
            <w:vAlign w:val="center"/>
          </w:tcPr>
          <w:p w14:paraId="16BEFC7A">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85</w:t>
            </w:r>
          </w:p>
        </w:tc>
        <w:tc>
          <w:tcPr>
            <w:tcW w:w="367" w:type="pct"/>
            <w:tcBorders>
              <w:tl2br w:val="nil"/>
              <w:tr2bl w:val="nil"/>
            </w:tcBorders>
            <w:vAlign w:val="center"/>
          </w:tcPr>
          <w:p w14:paraId="129B0E47">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522EFB77">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3B97DF64">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0.014</w:t>
            </w:r>
          </w:p>
        </w:tc>
        <w:tc>
          <w:tcPr>
            <w:tcW w:w="484" w:type="pct"/>
            <w:tcBorders>
              <w:tl2br w:val="nil"/>
              <w:tr2bl w:val="nil"/>
            </w:tcBorders>
            <w:vAlign w:val="center"/>
          </w:tcPr>
          <w:p w14:paraId="2746C9B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1.0mg/m</w:t>
            </w:r>
            <w:r>
              <w:rPr>
                <w:rFonts w:ascii="Times New Roman" w:hAnsi="Times New Roman" w:cs="Times New Roman"/>
                <w:color w:val="000000" w:themeColor="text1"/>
                <w:szCs w:val="21"/>
                <w:highlight w:val="none"/>
                <w:vertAlign w:val="superscript"/>
                <w14:textFill>
                  <w14:solidFill>
                    <w14:schemeClr w14:val="tx1"/>
                  </w14:solidFill>
                </w14:textFill>
              </w:rPr>
              <w:t>3</w:t>
            </w:r>
          </w:p>
        </w:tc>
      </w:tr>
      <w:tr w14:paraId="36971ED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509E9E94">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continue"/>
            <w:tcBorders>
              <w:tl2br w:val="nil"/>
              <w:tr2bl w:val="nil"/>
            </w:tcBorders>
            <w:vAlign w:val="center"/>
          </w:tcPr>
          <w:p w14:paraId="40CF50E9">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399" w:type="pct"/>
            <w:tcBorders>
              <w:tl2br w:val="nil"/>
              <w:tr2bl w:val="nil"/>
            </w:tcBorders>
            <w:vAlign w:val="center"/>
          </w:tcPr>
          <w:p w14:paraId="3A27E34F">
            <w:pPr>
              <w:keepNext w:val="0"/>
              <w:keepLines w:val="0"/>
              <w:pageBreakBefore w:val="0"/>
              <w:kinsoku/>
              <w:wordWrap/>
              <w:overflowPunct/>
              <w:topLinePunct w:val="0"/>
              <w:autoSpaceDE/>
              <w:autoSpaceDN/>
              <w:bidi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道路运输</w:t>
            </w:r>
          </w:p>
        </w:tc>
        <w:tc>
          <w:tcPr>
            <w:tcW w:w="370" w:type="pct"/>
            <w:tcBorders>
              <w:tl2br w:val="nil"/>
              <w:tr2bl w:val="nil"/>
            </w:tcBorders>
            <w:vAlign w:val="center"/>
          </w:tcPr>
          <w:p w14:paraId="3EDBECAC">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0D3713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387703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236AFA5C">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olor w:val="auto"/>
                <w:sz w:val="21"/>
                <w:szCs w:val="21"/>
                <w:lang w:val="en-US" w:eastAsia="zh-CN"/>
              </w:rPr>
              <w:t>4.052</w:t>
            </w:r>
            <w:r>
              <w:rPr>
                <w:rFonts w:hint="eastAsia" w:ascii="Times New Roman" w:eastAsia="宋体"/>
                <w:color w:val="auto"/>
                <w:sz w:val="21"/>
                <w:szCs w:val="21"/>
                <w:lang w:val="en-US" w:eastAsia="zh-CN"/>
              </w:rPr>
              <w:t>t</w:t>
            </w:r>
            <w:r>
              <w:rPr>
                <w:rFonts w:hint="default"/>
                <w:color w:val="auto"/>
                <w:sz w:val="21"/>
                <w:szCs w:val="21"/>
              </w:rPr>
              <w:t>/a</w:t>
            </w:r>
          </w:p>
        </w:tc>
        <w:tc>
          <w:tcPr>
            <w:tcW w:w="537" w:type="pct"/>
            <w:tcBorders>
              <w:tl2br w:val="nil"/>
              <w:tr2bl w:val="nil"/>
            </w:tcBorders>
            <w:vAlign w:val="center"/>
          </w:tcPr>
          <w:p w14:paraId="1EAA155C">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洒水抑尘、苫布苫盖、减速慢行等</w:t>
            </w:r>
          </w:p>
        </w:tc>
        <w:tc>
          <w:tcPr>
            <w:tcW w:w="341" w:type="pct"/>
            <w:tcBorders>
              <w:tl2br w:val="nil"/>
              <w:tr2bl w:val="nil"/>
            </w:tcBorders>
            <w:vAlign w:val="center"/>
          </w:tcPr>
          <w:p w14:paraId="4A0622CB">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85</w:t>
            </w:r>
          </w:p>
        </w:tc>
        <w:tc>
          <w:tcPr>
            <w:tcW w:w="367" w:type="pct"/>
            <w:tcBorders>
              <w:tl2br w:val="nil"/>
              <w:tr2bl w:val="nil"/>
            </w:tcBorders>
            <w:vAlign w:val="center"/>
          </w:tcPr>
          <w:p w14:paraId="1E513706">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780044EE">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742253B0">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olor w:val="auto"/>
                <w:sz w:val="21"/>
                <w:szCs w:val="21"/>
                <w:lang w:val="en-US" w:eastAsia="zh-CN"/>
              </w:rPr>
              <w:t>0.608</w:t>
            </w:r>
          </w:p>
        </w:tc>
        <w:tc>
          <w:tcPr>
            <w:tcW w:w="484" w:type="pct"/>
            <w:tcBorders>
              <w:tl2br w:val="nil"/>
              <w:tr2bl w:val="nil"/>
            </w:tcBorders>
            <w:vAlign w:val="center"/>
          </w:tcPr>
          <w:p w14:paraId="19018D56">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1.0mg/m</w:t>
            </w:r>
            <w:r>
              <w:rPr>
                <w:rFonts w:ascii="Times New Roman" w:hAnsi="Times New Roman" w:cs="Times New Roman"/>
                <w:color w:val="000000" w:themeColor="text1"/>
                <w:szCs w:val="21"/>
                <w:highlight w:val="none"/>
                <w:vertAlign w:val="superscript"/>
                <w14:textFill>
                  <w14:solidFill>
                    <w14:schemeClr w14:val="tx1"/>
                  </w14:solidFill>
                </w14:textFill>
              </w:rPr>
              <w:t>3</w:t>
            </w:r>
          </w:p>
        </w:tc>
      </w:tr>
      <w:tr w14:paraId="78C7747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29CCD60B">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127" w:type="pct"/>
            <w:vMerge w:val="continue"/>
            <w:tcBorders>
              <w:tl2br w:val="nil"/>
              <w:tr2bl w:val="nil"/>
            </w:tcBorders>
            <w:vAlign w:val="center"/>
          </w:tcPr>
          <w:p w14:paraId="330B8AC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p>
        </w:tc>
        <w:tc>
          <w:tcPr>
            <w:tcW w:w="399" w:type="pct"/>
            <w:tcBorders>
              <w:tl2br w:val="nil"/>
              <w:tr2bl w:val="nil"/>
            </w:tcBorders>
            <w:vAlign w:val="center"/>
          </w:tcPr>
          <w:p w14:paraId="1D457818">
            <w:pPr>
              <w:keepNext w:val="0"/>
              <w:keepLines w:val="0"/>
              <w:pageBreakBefore w:val="0"/>
              <w:kinsoku/>
              <w:wordWrap/>
              <w:overflowPunct/>
              <w:topLinePunct w:val="0"/>
              <w:autoSpaceDE/>
              <w:autoSpaceDN/>
              <w:bidi w:val="0"/>
              <w:spacing w:line="240" w:lineRule="auto"/>
              <w:jc w:val="center"/>
              <w:rPr>
                <w:rFonts w:hint="eastAsia"/>
                <w:sz w:val="21"/>
                <w:szCs w:val="21"/>
                <w:vertAlign w:val="baseline"/>
                <w:lang w:val="en-US" w:eastAsia="zh-CN"/>
              </w:rPr>
            </w:pPr>
            <w:r>
              <w:rPr>
                <w:rFonts w:hint="eastAsia"/>
                <w:sz w:val="21"/>
                <w:szCs w:val="21"/>
                <w:vertAlign w:val="baseline"/>
                <w:lang w:val="en-US" w:eastAsia="zh-CN"/>
              </w:rPr>
              <w:t>皮带输送</w:t>
            </w:r>
          </w:p>
        </w:tc>
        <w:tc>
          <w:tcPr>
            <w:tcW w:w="370" w:type="pct"/>
            <w:tcBorders>
              <w:tl2br w:val="nil"/>
              <w:tr2bl w:val="nil"/>
            </w:tcBorders>
            <w:vAlign w:val="center"/>
          </w:tcPr>
          <w:p w14:paraId="40D58235">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颗粒物</w:t>
            </w:r>
          </w:p>
        </w:tc>
        <w:tc>
          <w:tcPr>
            <w:tcW w:w="515" w:type="pct"/>
            <w:tcBorders>
              <w:tl2br w:val="nil"/>
              <w:tr2bl w:val="nil"/>
            </w:tcBorders>
            <w:vAlign w:val="center"/>
          </w:tcPr>
          <w:p w14:paraId="5C1DE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72A0B7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76DF93BE">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hAnsi="宋体"/>
                <w:bCs/>
                <w:color w:val="auto"/>
                <w:sz w:val="21"/>
                <w:szCs w:val="21"/>
                <w:highlight w:val="none"/>
                <w:lang w:val="en-US" w:eastAsia="zh-CN"/>
              </w:rPr>
              <w:t>0.29t/a</w:t>
            </w:r>
          </w:p>
        </w:tc>
        <w:tc>
          <w:tcPr>
            <w:tcW w:w="537" w:type="pct"/>
            <w:tcBorders>
              <w:tl2br w:val="nil"/>
              <w:tr2bl w:val="nil"/>
            </w:tcBorders>
            <w:vAlign w:val="center"/>
          </w:tcPr>
          <w:p w14:paraId="56A0141E">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输送带封闭</w:t>
            </w:r>
          </w:p>
        </w:tc>
        <w:tc>
          <w:tcPr>
            <w:tcW w:w="341" w:type="pct"/>
            <w:tcBorders>
              <w:tl2br w:val="nil"/>
              <w:tr2bl w:val="nil"/>
            </w:tcBorders>
            <w:vAlign w:val="center"/>
          </w:tcPr>
          <w:p w14:paraId="12D079D3">
            <w:pPr>
              <w:keepNext w:val="0"/>
              <w:keepLines w:val="0"/>
              <w:pageBreakBefore w:val="0"/>
              <w:widowControl/>
              <w:kinsoku/>
              <w:wordWrap/>
              <w:overflowPunct/>
              <w:topLinePunct w:val="0"/>
              <w:autoSpaceDE/>
              <w:autoSpaceDN/>
              <w:bidi w:val="0"/>
              <w:spacing w:line="240" w:lineRule="auto"/>
              <w:jc w:val="center"/>
              <w:textAlignment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85</w:t>
            </w:r>
          </w:p>
        </w:tc>
        <w:tc>
          <w:tcPr>
            <w:tcW w:w="367" w:type="pct"/>
            <w:tcBorders>
              <w:tl2br w:val="nil"/>
              <w:tr2bl w:val="nil"/>
            </w:tcBorders>
            <w:vAlign w:val="center"/>
          </w:tcPr>
          <w:p w14:paraId="3B279C95">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5A6F7847">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31A8A651">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hAnsi="宋体"/>
                <w:bCs/>
                <w:color w:val="auto"/>
                <w:sz w:val="21"/>
                <w:szCs w:val="21"/>
                <w:highlight w:val="none"/>
                <w:lang w:val="en-US" w:eastAsia="zh-CN"/>
              </w:rPr>
              <w:t>0.0435</w:t>
            </w:r>
          </w:p>
        </w:tc>
        <w:tc>
          <w:tcPr>
            <w:tcW w:w="484" w:type="pct"/>
            <w:tcBorders>
              <w:tl2br w:val="nil"/>
              <w:tr2bl w:val="nil"/>
            </w:tcBorders>
            <w:vAlign w:val="center"/>
          </w:tcPr>
          <w:p w14:paraId="323F42F6">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1.0mg/m</w:t>
            </w:r>
            <w:r>
              <w:rPr>
                <w:rFonts w:ascii="Times New Roman" w:hAnsi="Times New Roman" w:cs="Times New Roman"/>
                <w:color w:val="000000" w:themeColor="text1"/>
                <w:szCs w:val="21"/>
                <w:highlight w:val="none"/>
                <w:vertAlign w:val="superscript"/>
                <w14:textFill>
                  <w14:solidFill>
                    <w14:schemeClr w14:val="tx1"/>
                  </w14:solidFill>
                </w14:textFill>
              </w:rPr>
              <w:t>3</w:t>
            </w:r>
          </w:p>
        </w:tc>
      </w:tr>
      <w:tr w14:paraId="1788B2C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tcBorders>
              <w:tl2br w:val="nil"/>
              <w:tr2bl w:val="nil"/>
            </w:tcBorders>
            <w:vAlign w:val="center"/>
          </w:tcPr>
          <w:p w14:paraId="4A306E3B">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水污染物</w:t>
            </w:r>
          </w:p>
        </w:tc>
        <w:tc>
          <w:tcPr>
            <w:tcW w:w="526" w:type="pct"/>
            <w:gridSpan w:val="2"/>
            <w:tcBorders>
              <w:tl2br w:val="nil"/>
              <w:tr2bl w:val="nil"/>
            </w:tcBorders>
            <w:vAlign w:val="center"/>
          </w:tcPr>
          <w:p w14:paraId="4ED4DF8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选矿废水</w:t>
            </w:r>
          </w:p>
        </w:tc>
        <w:tc>
          <w:tcPr>
            <w:tcW w:w="370" w:type="pct"/>
            <w:tcBorders>
              <w:tl2br w:val="nil"/>
              <w:tr2bl w:val="nil"/>
            </w:tcBorders>
            <w:vAlign w:val="center"/>
          </w:tcPr>
          <w:p w14:paraId="41C1556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SS等</w:t>
            </w:r>
          </w:p>
        </w:tc>
        <w:tc>
          <w:tcPr>
            <w:tcW w:w="515" w:type="pct"/>
            <w:tcBorders>
              <w:tl2br w:val="nil"/>
              <w:tr2bl w:val="nil"/>
            </w:tcBorders>
            <w:vAlign w:val="center"/>
          </w:tcPr>
          <w:p w14:paraId="3FDABD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0C62EE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2844BBD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862.055</w:t>
            </w:r>
            <w:r>
              <w:rPr>
                <w:rFonts w:hint="eastAsia" w:hAnsi="宋体"/>
                <w:bCs/>
                <w:color w:val="auto"/>
                <w:sz w:val="21"/>
                <w:szCs w:val="21"/>
                <w:highlight w:val="none"/>
                <w:lang w:val="en-US" w:eastAsia="zh-CN"/>
              </w:rPr>
              <w:t>t/d</w:t>
            </w:r>
          </w:p>
        </w:tc>
        <w:tc>
          <w:tcPr>
            <w:tcW w:w="537" w:type="pct"/>
            <w:tcBorders>
              <w:tl2br w:val="nil"/>
              <w:tr2bl w:val="nil"/>
            </w:tcBorders>
            <w:vAlign w:val="center"/>
          </w:tcPr>
          <w:p w14:paraId="3A97031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暂存于循环水池，回用于生产，不外排</w:t>
            </w:r>
          </w:p>
        </w:tc>
        <w:tc>
          <w:tcPr>
            <w:tcW w:w="341" w:type="pct"/>
            <w:tcBorders>
              <w:tl2br w:val="nil"/>
              <w:tr2bl w:val="nil"/>
            </w:tcBorders>
            <w:vAlign w:val="center"/>
          </w:tcPr>
          <w:p w14:paraId="0E0E45D7">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67" w:type="pct"/>
            <w:tcBorders>
              <w:tl2br w:val="nil"/>
              <w:tr2bl w:val="nil"/>
            </w:tcBorders>
            <w:vAlign w:val="center"/>
          </w:tcPr>
          <w:p w14:paraId="469F2415">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138EE976">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636C950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6770E252">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r>
      <w:tr w14:paraId="1961F22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22339A86">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p>
        </w:tc>
        <w:tc>
          <w:tcPr>
            <w:tcW w:w="526" w:type="pct"/>
            <w:gridSpan w:val="2"/>
            <w:tcBorders>
              <w:tl2br w:val="nil"/>
              <w:tr2bl w:val="nil"/>
            </w:tcBorders>
            <w:vAlign w:val="center"/>
          </w:tcPr>
          <w:p w14:paraId="3E59A07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车间地面冲洗水</w:t>
            </w:r>
          </w:p>
        </w:tc>
        <w:tc>
          <w:tcPr>
            <w:tcW w:w="370" w:type="pct"/>
            <w:tcBorders>
              <w:tl2br w:val="nil"/>
              <w:tr2bl w:val="nil"/>
            </w:tcBorders>
            <w:vAlign w:val="center"/>
          </w:tcPr>
          <w:p w14:paraId="3B9F9DA6">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SS等</w:t>
            </w:r>
          </w:p>
        </w:tc>
        <w:tc>
          <w:tcPr>
            <w:tcW w:w="515" w:type="pct"/>
            <w:tcBorders>
              <w:tl2br w:val="nil"/>
              <w:tr2bl w:val="nil"/>
            </w:tcBorders>
            <w:vAlign w:val="center"/>
          </w:tcPr>
          <w:p w14:paraId="419A6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4D813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42A6C6D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0.8t/d</w:t>
            </w:r>
          </w:p>
        </w:tc>
        <w:tc>
          <w:tcPr>
            <w:tcW w:w="537" w:type="pct"/>
            <w:tcBorders>
              <w:tl2br w:val="nil"/>
              <w:tr2bl w:val="nil"/>
            </w:tcBorders>
            <w:vAlign w:val="center"/>
          </w:tcPr>
          <w:p w14:paraId="3CE0C03A">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暂存于循环水池，回用于生产，不外排</w:t>
            </w:r>
          </w:p>
        </w:tc>
        <w:tc>
          <w:tcPr>
            <w:tcW w:w="341" w:type="pct"/>
            <w:tcBorders>
              <w:tl2br w:val="nil"/>
              <w:tr2bl w:val="nil"/>
            </w:tcBorders>
            <w:vAlign w:val="center"/>
          </w:tcPr>
          <w:p w14:paraId="4E3C206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67" w:type="pct"/>
            <w:tcBorders>
              <w:tl2br w:val="nil"/>
              <w:tr2bl w:val="nil"/>
            </w:tcBorders>
            <w:vAlign w:val="center"/>
          </w:tcPr>
          <w:p w14:paraId="1769D8C5">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1B518F08">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230AE21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00D7EAE6">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r>
      <w:tr w14:paraId="6186ED8C">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62B3EC99">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p>
        </w:tc>
        <w:tc>
          <w:tcPr>
            <w:tcW w:w="526" w:type="pct"/>
            <w:gridSpan w:val="2"/>
            <w:tcBorders>
              <w:tl2br w:val="nil"/>
              <w:tr2bl w:val="nil"/>
            </w:tcBorders>
            <w:vAlign w:val="center"/>
          </w:tcPr>
          <w:p w14:paraId="199ACAD3">
            <w:pPr>
              <w:keepNext w:val="0"/>
              <w:keepLines w:val="0"/>
              <w:pageBreakBefore w:val="0"/>
              <w:widowControl/>
              <w:kinsoku/>
              <w:wordWrap/>
              <w:overflowPunct/>
              <w:topLinePunct w:val="0"/>
              <w:autoSpaceDE/>
              <w:autoSpaceDN/>
              <w:bidi w:val="0"/>
              <w:snapToGrid w:val="0"/>
              <w:spacing w:line="240" w:lineRule="auto"/>
              <w:ind w:firstLine="0" w:firstLine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员工生活</w:t>
            </w:r>
          </w:p>
        </w:tc>
        <w:tc>
          <w:tcPr>
            <w:tcW w:w="370" w:type="pct"/>
            <w:tcBorders>
              <w:tl2br w:val="nil"/>
              <w:tr2bl w:val="nil"/>
            </w:tcBorders>
            <w:vAlign w:val="center"/>
          </w:tcPr>
          <w:p w14:paraId="7619D0C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COD、BOD、氨氮、SS等</w:t>
            </w:r>
          </w:p>
        </w:tc>
        <w:tc>
          <w:tcPr>
            <w:tcW w:w="515" w:type="pct"/>
            <w:tcBorders>
              <w:tl2br w:val="nil"/>
              <w:tr2bl w:val="nil"/>
            </w:tcBorders>
            <w:vAlign w:val="center"/>
          </w:tcPr>
          <w:p w14:paraId="286B48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49" w:type="pct"/>
            <w:tcBorders>
              <w:tl2br w:val="nil"/>
              <w:tr2bl w:val="nil"/>
            </w:tcBorders>
            <w:vAlign w:val="center"/>
          </w:tcPr>
          <w:p w14:paraId="5B5492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eastAsia"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10" w:type="pct"/>
            <w:tcBorders>
              <w:tl2br w:val="nil"/>
              <w:tr2bl w:val="nil"/>
            </w:tcBorders>
            <w:vAlign w:val="center"/>
          </w:tcPr>
          <w:p w14:paraId="3D3105FE">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0.64t/d</w:t>
            </w:r>
          </w:p>
        </w:tc>
        <w:tc>
          <w:tcPr>
            <w:tcW w:w="537" w:type="pct"/>
            <w:tcBorders>
              <w:tl2br w:val="nil"/>
              <w:tr2bl w:val="nil"/>
            </w:tcBorders>
            <w:vAlign w:val="center"/>
          </w:tcPr>
          <w:p w14:paraId="128C8D1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依托现有</w:t>
            </w:r>
            <w:r>
              <w:rPr>
                <w:rFonts w:hint="eastAsia" w:ascii="Times New Roman" w:hAnsi="Times New Roman" w:cs="Times New Roman"/>
                <w:color w:val="000000" w:themeColor="text1"/>
                <w:szCs w:val="21"/>
                <w:highlight w:val="none"/>
                <w14:textFill>
                  <w14:solidFill>
                    <w14:schemeClr w14:val="tx1"/>
                  </w14:solidFill>
                </w14:textFill>
              </w:rPr>
              <w:t>旱厕</w:t>
            </w:r>
            <w:r>
              <w:rPr>
                <w:rFonts w:hint="eastAsia" w:cs="Times New Roman"/>
                <w:color w:val="000000" w:themeColor="text1"/>
                <w:szCs w:val="21"/>
                <w:highlight w:val="none"/>
                <w:lang w:val="en-US" w:eastAsia="zh-CN"/>
                <w14:textFill>
                  <w14:solidFill>
                    <w14:schemeClr w14:val="tx1"/>
                  </w14:solidFill>
                </w14:textFill>
              </w:rPr>
              <w:t>处理</w:t>
            </w:r>
            <w:r>
              <w:rPr>
                <w:rFonts w:hint="eastAsia"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14:textFill>
                  <w14:solidFill>
                    <w14:schemeClr w14:val="tx1"/>
                  </w14:solidFill>
                </w14:textFill>
              </w:rPr>
              <w:t>定期清掏</w:t>
            </w:r>
            <w:r>
              <w:rPr>
                <w:rFonts w:hint="eastAsia" w:cs="Times New Roman"/>
                <w:color w:val="000000" w:themeColor="text1"/>
                <w:szCs w:val="21"/>
                <w:highlight w:val="none"/>
                <w:lang w:eastAsia="zh-CN"/>
                <w14:textFill>
                  <w14:solidFill>
                    <w14:schemeClr w14:val="tx1"/>
                  </w14:solidFill>
                </w14:textFill>
              </w:rPr>
              <w:t>，</w:t>
            </w:r>
            <w:r>
              <w:rPr>
                <w:rFonts w:hint="eastAsia" w:cs="Times New Roman"/>
                <w:color w:val="000000" w:themeColor="text1"/>
                <w:szCs w:val="21"/>
                <w:highlight w:val="none"/>
                <w:lang w:val="en-US" w:eastAsia="zh-CN"/>
                <w14:textFill>
                  <w14:solidFill>
                    <w14:schemeClr w14:val="tx1"/>
                  </w14:solidFill>
                </w14:textFill>
              </w:rPr>
              <w:t>不外排</w:t>
            </w:r>
          </w:p>
        </w:tc>
        <w:tc>
          <w:tcPr>
            <w:tcW w:w="341" w:type="pct"/>
            <w:tcBorders>
              <w:tl2br w:val="nil"/>
              <w:tr2bl w:val="nil"/>
            </w:tcBorders>
            <w:vAlign w:val="center"/>
          </w:tcPr>
          <w:p w14:paraId="5552A4F6">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67" w:type="pct"/>
            <w:tcBorders>
              <w:tl2br w:val="nil"/>
              <w:tr2bl w:val="nil"/>
            </w:tcBorders>
            <w:vAlign w:val="center"/>
          </w:tcPr>
          <w:p w14:paraId="54D7FFB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sz w:val="21"/>
                <w:szCs w:val="21"/>
                <w:vertAlign w:val="baseline"/>
                <w:lang w:val="en-US" w:eastAsia="zh-CN"/>
              </w:rPr>
              <w:t>-</w:t>
            </w:r>
          </w:p>
        </w:tc>
        <w:tc>
          <w:tcPr>
            <w:tcW w:w="407" w:type="pct"/>
            <w:tcBorders>
              <w:tl2br w:val="nil"/>
              <w:tr2bl w:val="nil"/>
            </w:tcBorders>
            <w:vAlign w:val="center"/>
          </w:tcPr>
          <w:p w14:paraId="310CBC17">
            <w:pPr>
              <w:keepNext w:val="0"/>
              <w:keepLines w:val="0"/>
              <w:pageBreakBefore w:val="0"/>
              <w:kinsoku/>
              <w:wordWrap/>
              <w:overflowPunct/>
              <w:topLinePunct w:val="0"/>
              <w:autoSpaceDE/>
              <w:autoSpaceDN/>
              <w:bidi w:val="0"/>
              <w:spacing w:line="240" w:lineRule="auto"/>
              <w:jc w:val="center"/>
              <w:rPr>
                <w:rFonts w:hint="eastAsia"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c>
          <w:tcPr>
            <w:tcW w:w="333" w:type="pct"/>
            <w:tcBorders>
              <w:tl2br w:val="nil"/>
              <w:tr2bl w:val="nil"/>
            </w:tcBorders>
            <w:vAlign w:val="center"/>
          </w:tcPr>
          <w:p w14:paraId="62F8A37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23948E6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sz w:val="21"/>
                <w:szCs w:val="21"/>
                <w:vertAlign w:val="baseline"/>
                <w:lang w:val="en-US" w:eastAsia="zh-CN"/>
              </w:rPr>
              <w:t>-</w:t>
            </w:r>
          </w:p>
        </w:tc>
      </w:tr>
      <w:tr w14:paraId="49D2C42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restart"/>
            <w:tcBorders>
              <w:tl2br w:val="nil"/>
              <w:tr2bl w:val="nil"/>
            </w:tcBorders>
            <w:vAlign w:val="center"/>
          </w:tcPr>
          <w:p w14:paraId="4588FB6F">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固体</w:t>
            </w:r>
          </w:p>
          <w:p w14:paraId="13D71785">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废物</w:t>
            </w:r>
          </w:p>
        </w:tc>
        <w:tc>
          <w:tcPr>
            <w:tcW w:w="526" w:type="pct"/>
            <w:gridSpan w:val="2"/>
            <w:vMerge w:val="restart"/>
            <w:tcBorders>
              <w:tl2br w:val="nil"/>
              <w:tr2bl w:val="nil"/>
            </w:tcBorders>
            <w:vAlign w:val="center"/>
          </w:tcPr>
          <w:p w14:paraId="08A7D2CE">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一般固废</w:t>
            </w:r>
          </w:p>
        </w:tc>
        <w:tc>
          <w:tcPr>
            <w:tcW w:w="1234" w:type="pct"/>
            <w:gridSpan w:val="3"/>
            <w:tcBorders>
              <w:tl2br w:val="nil"/>
              <w:tr2bl w:val="nil"/>
            </w:tcBorders>
            <w:vAlign w:val="center"/>
          </w:tcPr>
          <w:p w14:paraId="5AD1FF2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产生量t/a</w:t>
            </w:r>
          </w:p>
        </w:tc>
        <w:tc>
          <w:tcPr>
            <w:tcW w:w="947" w:type="pct"/>
            <w:gridSpan w:val="2"/>
            <w:tcBorders>
              <w:tl2br w:val="nil"/>
              <w:tr2bl w:val="nil"/>
            </w:tcBorders>
            <w:vAlign w:val="center"/>
          </w:tcPr>
          <w:p w14:paraId="4A3B0DF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处置方式</w:t>
            </w:r>
          </w:p>
        </w:tc>
        <w:tc>
          <w:tcPr>
            <w:tcW w:w="1448" w:type="pct"/>
            <w:gridSpan w:val="4"/>
            <w:tcBorders>
              <w:tl2br w:val="nil"/>
              <w:tr2bl w:val="nil"/>
            </w:tcBorders>
            <w:vAlign w:val="center"/>
          </w:tcPr>
          <w:p w14:paraId="1916FDE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排放量t/a</w:t>
            </w:r>
          </w:p>
        </w:tc>
        <w:tc>
          <w:tcPr>
            <w:tcW w:w="484" w:type="pct"/>
            <w:tcBorders>
              <w:tl2br w:val="nil"/>
              <w:tr2bl w:val="nil"/>
            </w:tcBorders>
            <w:vAlign w:val="center"/>
          </w:tcPr>
          <w:p w14:paraId="5DA30170">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b/>
                <w:bCs/>
                <w:color w:val="000000" w:themeColor="text1"/>
                <w:szCs w:val="21"/>
                <w:highlight w:val="none"/>
                <w:lang w:val="en-US" w:eastAsia="zh-CN"/>
                <w14:textFill>
                  <w14:solidFill>
                    <w14:schemeClr w14:val="tx1"/>
                  </w14:solidFill>
                </w14:textFill>
              </w:rPr>
            </w:pPr>
            <w:r>
              <w:rPr>
                <w:rFonts w:hint="eastAsia" w:cs="Times New Roman"/>
                <w:b/>
                <w:bCs/>
                <w:color w:val="000000" w:themeColor="text1"/>
                <w:szCs w:val="21"/>
                <w:highlight w:val="none"/>
                <w:lang w:val="en-US" w:eastAsia="zh-CN"/>
                <w14:textFill>
                  <w14:solidFill>
                    <w14:schemeClr w14:val="tx1"/>
                  </w14:solidFill>
                </w14:textFill>
              </w:rPr>
              <w:t>去向</w:t>
            </w:r>
          </w:p>
        </w:tc>
      </w:tr>
      <w:tr w14:paraId="17DAFAA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3DD61194">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p>
        </w:tc>
        <w:tc>
          <w:tcPr>
            <w:tcW w:w="526" w:type="pct"/>
            <w:gridSpan w:val="2"/>
            <w:vMerge w:val="continue"/>
            <w:tcBorders>
              <w:tl2br w:val="nil"/>
              <w:tr2bl w:val="nil"/>
            </w:tcBorders>
            <w:vAlign w:val="center"/>
          </w:tcPr>
          <w:p w14:paraId="2CE6C186">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p>
        </w:tc>
        <w:tc>
          <w:tcPr>
            <w:tcW w:w="370" w:type="pct"/>
            <w:tcBorders>
              <w:tl2br w:val="nil"/>
              <w:tr2bl w:val="nil"/>
            </w:tcBorders>
            <w:vAlign w:val="center"/>
          </w:tcPr>
          <w:p w14:paraId="42906D92">
            <w:pPr>
              <w:keepNext w:val="0"/>
              <w:keepLines w:val="0"/>
              <w:pageBreakBefore w:val="0"/>
              <w:tabs>
                <w:tab w:val="left" w:pos="5295"/>
              </w:tabs>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b w:val="0"/>
                <w:bCs w:val="0"/>
                <w:color w:val="auto"/>
                <w:szCs w:val="21"/>
                <w:highlight w:val="none"/>
                <w:lang w:eastAsia="zh-CN"/>
              </w:rPr>
              <w:t>尾矿</w:t>
            </w:r>
          </w:p>
        </w:tc>
        <w:tc>
          <w:tcPr>
            <w:tcW w:w="864" w:type="pct"/>
            <w:gridSpan w:val="2"/>
            <w:tcBorders>
              <w:tl2br w:val="nil"/>
              <w:tr2bl w:val="nil"/>
            </w:tcBorders>
            <w:vAlign w:val="center"/>
          </w:tcPr>
          <w:p w14:paraId="590FBDE2">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auto"/>
                <w:szCs w:val="21"/>
                <w:highlight w:val="none"/>
                <w:lang w:val="en-US" w:eastAsia="zh-CN"/>
              </w:rPr>
              <w:t>18.594万</w:t>
            </w:r>
          </w:p>
        </w:tc>
        <w:tc>
          <w:tcPr>
            <w:tcW w:w="947" w:type="pct"/>
            <w:gridSpan w:val="2"/>
            <w:tcBorders>
              <w:tl2br w:val="nil"/>
              <w:tr2bl w:val="nil"/>
            </w:tcBorders>
            <w:vAlign w:val="center"/>
          </w:tcPr>
          <w:p w14:paraId="29BD580D">
            <w:pPr>
              <w:keepNext w:val="0"/>
              <w:keepLines w:val="0"/>
              <w:pageBreakBefore w:val="0"/>
              <w:tabs>
                <w:tab w:val="left" w:pos="3240"/>
              </w:tabs>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auto"/>
                <w:szCs w:val="21"/>
                <w:highlight w:val="none"/>
                <w:lang w:val="en-US" w:eastAsia="zh-CN"/>
              </w:rPr>
              <w:t>外运作为建筑材料原料综合利用</w:t>
            </w:r>
          </w:p>
        </w:tc>
        <w:tc>
          <w:tcPr>
            <w:tcW w:w="1448" w:type="pct"/>
            <w:gridSpan w:val="4"/>
            <w:tcBorders>
              <w:tl2br w:val="nil"/>
              <w:tr2bl w:val="nil"/>
            </w:tcBorders>
            <w:vAlign w:val="center"/>
          </w:tcPr>
          <w:p w14:paraId="4FC54516">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55D7F0A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综合利用</w:t>
            </w:r>
          </w:p>
        </w:tc>
      </w:tr>
      <w:tr w14:paraId="3118AC3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7EFF4216">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p>
        </w:tc>
        <w:tc>
          <w:tcPr>
            <w:tcW w:w="526" w:type="pct"/>
            <w:gridSpan w:val="2"/>
            <w:vMerge w:val="continue"/>
            <w:tcBorders>
              <w:tl2br w:val="nil"/>
              <w:tr2bl w:val="nil"/>
            </w:tcBorders>
            <w:vAlign w:val="center"/>
          </w:tcPr>
          <w:p w14:paraId="42FAFF6A">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p>
        </w:tc>
        <w:tc>
          <w:tcPr>
            <w:tcW w:w="370" w:type="pct"/>
            <w:tcBorders>
              <w:tl2br w:val="nil"/>
              <w:tr2bl w:val="nil"/>
            </w:tcBorders>
            <w:vAlign w:val="center"/>
          </w:tcPr>
          <w:p w14:paraId="3649250A">
            <w:pPr>
              <w:keepNext w:val="0"/>
              <w:keepLines w:val="0"/>
              <w:pageBreakBefore w:val="0"/>
              <w:tabs>
                <w:tab w:val="left" w:pos="5295"/>
              </w:tabs>
              <w:kinsoku/>
              <w:wordWrap/>
              <w:overflowPunct/>
              <w:topLinePunct w:val="0"/>
              <w:autoSpaceDE/>
              <w:autoSpaceDN/>
              <w:bidi w:val="0"/>
              <w:spacing w:line="240" w:lineRule="auto"/>
              <w:jc w:val="center"/>
              <w:rPr>
                <w:rFonts w:hint="eastAsia" w:cs="Times New Roman"/>
                <w:color w:val="000000" w:themeColor="text1"/>
                <w:szCs w:val="21"/>
                <w:highlight w:val="none"/>
                <w:lang w:eastAsia="zh-CN"/>
                <w14:textFill>
                  <w14:solidFill>
                    <w14:schemeClr w14:val="tx1"/>
                  </w14:solidFill>
                </w14:textFill>
              </w:rPr>
            </w:pPr>
            <w:r>
              <w:rPr>
                <w:rFonts w:hint="eastAsia" w:cs="Times New Roman"/>
                <w:b w:val="0"/>
                <w:bCs w:val="0"/>
                <w:color w:val="auto"/>
                <w:szCs w:val="21"/>
                <w:highlight w:val="none"/>
                <w:lang w:val="en-US" w:eastAsia="zh-CN"/>
              </w:rPr>
              <w:t>除尘灰</w:t>
            </w:r>
          </w:p>
        </w:tc>
        <w:tc>
          <w:tcPr>
            <w:tcW w:w="864" w:type="pct"/>
            <w:gridSpan w:val="2"/>
            <w:tcBorders>
              <w:tl2br w:val="nil"/>
              <w:tr2bl w:val="nil"/>
            </w:tcBorders>
            <w:vAlign w:val="center"/>
          </w:tcPr>
          <w:p w14:paraId="55DBA30E">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b w:val="0"/>
                <w:bCs w:val="0"/>
                <w:color w:val="auto"/>
                <w:highlight w:val="none"/>
                <w:lang w:val="en-US" w:eastAsia="zh-CN"/>
              </w:rPr>
              <w:t>62.37</w:t>
            </w:r>
          </w:p>
        </w:tc>
        <w:tc>
          <w:tcPr>
            <w:tcW w:w="947" w:type="pct"/>
            <w:gridSpan w:val="2"/>
            <w:tcBorders>
              <w:tl2br w:val="nil"/>
              <w:tr2bl w:val="nil"/>
            </w:tcBorders>
            <w:vAlign w:val="center"/>
          </w:tcPr>
          <w:p w14:paraId="47B4872A">
            <w:pPr>
              <w:keepNext w:val="0"/>
              <w:keepLines w:val="0"/>
              <w:pageBreakBefore w:val="0"/>
              <w:tabs>
                <w:tab w:val="left" w:pos="3240"/>
              </w:tabs>
              <w:kinsoku/>
              <w:wordWrap/>
              <w:overflowPunct/>
              <w:topLinePunct w:val="0"/>
              <w:autoSpaceDE/>
              <w:autoSpaceDN/>
              <w:bidi w:val="0"/>
              <w:spacing w:line="240" w:lineRule="auto"/>
              <w:jc w:val="center"/>
              <w:rPr>
                <w:rFonts w:hint="eastAsia" w:eastAsia="宋体" w:cs="Times New Roman"/>
                <w:b w:val="0"/>
                <w:bCs/>
                <w:color w:val="auto"/>
                <w:highlight w:val="none"/>
                <w:lang w:val="en-US" w:eastAsia="zh-CN"/>
              </w:rPr>
            </w:pPr>
            <w:r>
              <w:rPr>
                <w:rFonts w:hint="eastAsia" w:eastAsia="宋体" w:cs="Times New Roman"/>
                <w:b w:val="0"/>
                <w:bCs/>
                <w:color w:val="auto"/>
                <w:lang w:val="en-US" w:eastAsia="zh-CN"/>
              </w:rPr>
              <w:t>全部返回磨矿工艺</w:t>
            </w:r>
          </w:p>
        </w:tc>
        <w:tc>
          <w:tcPr>
            <w:tcW w:w="1448" w:type="pct"/>
            <w:gridSpan w:val="4"/>
            <w:tcBorders>
              <w:tl2br w:val="nil"/>
              <w:tr2bl w:val="nil"/>
            </w:tcBorders>
            <w:vAlign w:val="center"/>
          </w:tcPr>
          <w:p w14:paraId="5B3DB5D9">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17AD9ABE">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回用</w:t>
            </w:r>
          </w:p>
        </w:tc>
      </w:tr>
      <w:tr w14:paraId="65C6F52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09C11B95">
            <w:pPr>
              <w:keepNext w:val="0"/>
              <w:keepLines w:val="0"/>
              <w:pageBreakBefore w:val="0"/>
              <w:kinsoku/>
              <w:wordWrap/>
              <w:overflowPunct/>
              <w:topLinePunct w:val="0"/>
              <w:autoSpaceDE/>
              <w:autoSpaceDN/>
              <w:bidi w:val="0"/>
              <w:spacing w:line="240" w:lineRule="auto"/>
              <w:rPr>
                <w:rFonts w:ascii="Times New Roman" w:hAnsi="Times New Roman" w:cs="Times New Roman"/>
                <w:color w:val="000000" w:themeColor="text1"/>
                <w:highlight w:val="none"/>
                <w14:textFill>
                  <w14:solidFill>
                    <w14:schemeClr w14:val="tx1"/>
                  </w14:solidFill>
                </w14:textFill>
              </w:rPr>
            </w:pPr>
          </w:p>
        </w:tc>
        <w:tc>
          <w:tcPr>
            <w:tcW w:w="526" w:type="pct"/>
            <w:gridSpan w:val="2"/>
            <w:vMerge w:val="restart"/>
            <w:tcBorders>
              <w:tl2br w:val="nil"/>
              <w:tr2bl w:val="nil"/>
            </w:tcBorders>
            <w:vAlign w:val="center"/>
          </w:tcPr>
          <w:p w14:paraId="4B5EC76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危险废物</w:t>
            </w:r>
          </w:p>
        </w:tc>
        <w:tc>
          <w:tcPr>
            <w:tcW w:w="370" w:type="pct"/>
            <w:tcBorders>
              <w:tl2br w:val="nil"/>
              <w:tr2bl w:val="nil"/>
            </w:tcBorders>
            <w:vAlign w:val="center"/>
          </w:tcPr>
          <w:p w14:paraId="5973D07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废机油</w:t>
            </w:r>
          </w:p>
        </w:tc>
        <w:tc>
          <w:tcPr>
            <w:tcW w:w="864" w:type="pct"/>
            <w:gridSpan w:val="2"/>
            <w:tcBorders>
              <w:tl2br w:val="nil"/>
              <w:tr2bl w:val="nil"/>
            </w:tcBorders>
            <w:vAlign w:val="center"/>
          </w:tcPr>
          <w:p w14:paraId="7F68BDC0">
            <w:pPr>
              <w:keepNext w:val="0"/>
              <w:keepLines w:val="0"/>
              <w:pageBreakBefore w:val="0"/>
              <w:tabs>
                <w:tab w:val="left" w:pos="5295"/>
              </w:tabs>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auto"/>
                <w:kern w:val="2"/>
                <w:sz w:val="21"/>
                <w:szCs w:val="21"/>
                <w:highlight w:val="none"/>
                <w:lang w:val="en-US" w:eastAsia="zh-CN" w:bidi="ar-SA"/>
              </w:rPr>
              <w:t>0.5</w:t>
            </w:r>
          </w:p>
        </w:tc>
        <w:tc>
          <w:tcPr>
            <w:tcW w:w="947" w:type="pct"/>
            <w:gridSpan w:val="2"/>
            <w:vMerge w:val="restart"/>
            <w:tcBorders>
              <w:tl2br w:val="nil"/>
              <w:tr2bl w:val="nil"/>
            </w:tcBorders>
            <w:vAlign w:val="center"/>
          </w:tcPr>
          <w:p w14:paraId="3A3E479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bCs/>
                <w:color w:val="auto"/>
                <w:sz w:val="21"/>
                <w:szCs w:val="21"/>
              </w:rPr>
              <w:t>暂存于</w:t>
            </w:r>
            <w:r>
              <w:rPr>
                <w:rFonts w:hint="eastAsia" w:cs="Times New Roman"/>
                <w:bCs/>
                <w:color w:val="auto"/>
                <w:sz w:val="21"/>
                <w:szCs w:val="21"/>
                <w:lang w:val="en-US" w:eastAsia="zh-CN"/>
              </w:rPr>
              <w:t>现有</w:t>
            </w:r>
            <w:r>
              <w:rPr>
                <w:rFonts w:hint="default" w:ascii="Times New Roman" w:hAnsi="Times New Roman" w:eastAsia="宋体" w:cs="Times New Roman"/>
                <w:bCs/>
                <w:color w:val="auto"/>
                <w:sz w:val="21"/>
                <w:szCs w:val="21"/>
              </w:rPr>
              <w:t>危废</w:t>
            </w:r>
            <w:r>
              <w:rPr>
                <w:rFonts w:hint="default" w:ascii="Times New Roman" w:hAnsi="Times New Roman" w:eastAsia="宋体" w:cs="Times New Roman"/>
                <w:bCs/>
                <w:color w:val="auto"/>
                <w:sz w:val="21"/>
                <w:szCs w:val="21"/>
                <w:lang w:eastAsia="zh-CN"/>
              </w:rPr>
              <w:t>贮存点</w:t>
            </w:r>
            <w:r>
              <w:rPr>
                <w:rFonts w:hint="default" w:ascii="Times New Roman" w:hAnsi="Times New Roman" w:eastAsia="宋体" w:cs="Times New Roman"/>
                <w:bCs/>
                <w:color w:val="auto"/>
                <w:sz w:val="21"/>
                <w:szCs w:val="21"/>
              </w:rPr>
              <w:t>，定期</w:t>
            </w:r>
            <w:r>
              <w:rPr>
                <w:rFonts w:hint="default" w:ascii="Times New Roman" w:hAnsi="Times New Roman" w:eastAsia="宋体" w:cs="Times New Roman"/>
                <w:bCs/>
                <w:color w:val="auto"/>
                <w:sz w:val="21"/>
                <w:szCs w:val="21"/>
                <w:lang w:eastAsia="zh-CN"/>
              </w:rPr>
              <w:t>交</w:t>
            </w:r>
            <w:r>
              <w:rPr>
                <w:rFonts w:hint="default" w:ascii="Times New Roman" w:hAnsi="Times New Roman" w:eastAsia="宋体" w:cs="Times New Roman"/>
                <w:bCs/>
                <w:color w:val="auto"/>
                <w:sz w:val="21"/>
                <w:szCs w:val="21"/>
              </w:rPr>
              <w:t>有资质</w:t>
            </w:r>
            <w:r>
              <w:rPr>
                <w:rFonts w:hint="default" w:ascii="Times New Roman" w:hAnsi="Times New Roman" w:eastAsia="宋体" w:cs="Times New Roman"/>
                <w:bCs/>
                <w:color w:val="auto"/>
                <w:sz w:val="21"/>
                <w:szCs w:val="21"/>
                <w:lang w:eastAsia="zh-CN"/>
              </w:rPr>
              <w:t>单位</w:t>
            </w:r>
            <w:r>
              <w:rPr>
                <w:rFonts w:hint="default" w:ascii="Times New Roman" w:hAnsi="Times New Roman" w:eastAsia="宋体" w:cs="Times New Roman"/>
                <w:bCs/>
                <w:color w:val="auto"/>
                <w:sz w:val="21"/>
                <w:szCs w:val="21"/>
              </w:rPr>
              <w:t>处置</w:t>
            </w:r>
          </w:p>
        </w:tc>
        <w:tc>
          <w:tcPr>
            <w:tcW w:w="1448" w:type="pct"/>
            <w:gridSpan w:val="4"/>
            <w:tcBorders>
              <w:tl2br w:val="nil"/>
              <w:tr2bl w:val="nil"/>
            </w:tcBorders>
            <w:vAlign w:val="center"/>
          </w:tcPr>
          <w:p w14:paraId="605241BA">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473C000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委托处置</w:t>
            </w:r>
          </w:p>
        </w:tc>
      </w:tr>
      <w:tr w14:paraId="65284F9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58" w:type="pct"/>
            <w:vMerge w:val="continue"/>
            <w:tcBorders>
              <w:tl2br w:val="nil"/>
              <w:tr2bl w:val="nil"/>
            </w:tcBorders>
            <w:vAlign w:val="center"/>
          </w:tcPr>
          <w:p w14:paraId="1DAC9474">
            <w:pPr>
              <w:keepNext w:val="0"/>
              <w:keepLines w:val="0"/>
              <w:pageBreakBefore w:val="0"/>
              <w:kinsoku/>
              <w:wordWrap/>
              <w:overflowPunct/>
              <w:topLinePunct w:val="0"/>
              <w:autoSpaceDE/>
              <w:autoSpaceDN/>
              <w:bidi w:val="0"/>
              <w:spacing w:line="240" w:lineRule="auto"/>
              <w:rPr>
                <w:rFonts w:ascii="Times New Roman" w:hAnsi="Times New Roman" w:cs="Times New Roman"/>
                <w:color w:val="000000" w:themeColor="text1"/>
                <w:highlight w:val="none"/>
                <w14:textFill>
                  <w14:solidFill>
                    <w14:schemeClr w14:val="tx1"/>
                  </w14:solidFill>
                </w14:textFill>
              </w:rPr>
            </w:pPr>
          </w:p>
        </w:tc>
        <w:tc>
          <w:tcPr>
            <w:tcW w:w="526" w:type="pct"/>
            <w:gridSpan w:val="2"/>
            <w:vMerge w:val="continue"/>
            <w:tcBorders>
              <w:tl2br w:val="nil"/>
              <w:tr2bl w:val="nil"/>
            </w:tcBorders>
            <w:vAlign w:val="center"/>
          </w:tcPr>
          <w:p w14:paraId="5E5C7BA5">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p>
        </w:tc>
        <w:tc>
          <w:tcPr>
            <w:tcW w:w="370" w:type="pct"/>
            <w:tcBorders>
              <w:tl2br w:val="nil"/>
              <w:tr2bl w:val="nil"/>
            </w:tcBorders>
            <w:vAlign w:val="center"/>
          </w:tcPr>
          <w:p w14:paraId="4F9B8AB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废油桶</w:t>
            </w:r>
          </w:p>
        </w:tc>
        <w:tc>
          <w:tcPr>
            <w:tcW w:w="864" w:type="pct"/>
            <w:gridSpan w:val="2"/>
            <w:tcBorders>
              <w:tl2br w:val="nil"/>
              <w:tr2bl w:val="nil"/>
            </w:tcBorders>
            <w:vAlign w:val="center"/>
          </w:tcPr>
          <w:p w14:paraId="09AB9CE3">
            <w:pPr>
              <w:keepNext w:val="0"/>
              <w:keepLines w:val="0"/>
              <w:pageBreakBefore w:val="0"/>
              <w:tabs>
                <w:tab w:val="left" w:pos="5295"/>
              </w:tabs>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auto"/>
                <w:kern w:val="2"/>
                <w:sz w:val="21"/>
                <w:szCs w:val="21"/>
                <w:highlight w:val="none"/>
                <w:lang w:val="en-US" w:eastAsia="zh-CN" w:bidi="ar-SA"/>
              </w:rPr>
              <w:t>0.1</w:t>
            </w:r>
          </w:p>
        </w:tc>
        <w:tc>
          <w:tcPr>
            <w:tcW w:w="947" w:type="pct"/>
            <w:gridSpan w:val="2"/>
            <w:vMerge w:val="continue"/>
            <w:tcBorders>
              <w:tl2br w:val="nil"/>
              <w:tr2bl w:val="nil"/>
            </w:tcBorders>
            <w:vAlign w:val="center"/>
          </w:tcPr>
          <w:p w14:paraId="1858BB2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p>
        </w:tc>
        <w:tc>
          <w:tcPr>
            <w:tcW w:w="1448" w:type="pct"/>
            <w:gridSpan w:val="4"/>
            <w:tcBorders>
              <w:tl2br w:val="nil"/>
              <w:tr2bl w:val="nil"/>
            </w:tcBorders>
            <w:vAlign w:val="center"/>
          </w:tcPr>
          <w:p w14:paraId="564FF1A3">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04DA5220">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委托处置</w:t>
            </w:r>
          </w:p>
        </w:tc>
      </w:tr>
      <w:tr w14:paraId="023AE4F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58" w:type="pct"/>
            <w:vMerge w:val="continue"/>
            <w:tcBorders>
              <w:tl2br w:val="nil"/>
              <w:tr2bl w:val="nil"/>
            </w:tcBorders>
            <w:vAlign w:val="center"/>
          </w:tcPr>
          <w:p w14:paraId="1802B376">
            <w:pPr>
              <w:keepNext w:val="0"/>
              <w:keepLines w:val="0"/>
              <w:pageBreakBefore w:val="0"/>
              <w:kinsoku/>
              <w:wordWrap/>
              <w:overflowPunct/>
              <w:topLinePunct w:val="0"/>
              <w:autoSpaceDE/>
              <w:autoSpaceDN/>
              <w:bidi w:val="0"/>
              <w:spacing w:line="240" w:lineRule="auto"/>
              <w:rPr>
                <w:rFonts w:ascii="Times New Roman" w:hAnsi="Times New Roman" w:cs="Times New Roman"/>
                <w:color w:val="000000" w:themeColor="text1"/>
                <w:highlight w:val="none"/>
                <w14:textFill>
                  <w14:solidFill>
                    <w14:schemeClr w14:val="tx1"/>
                  </w14:solidFill>
                </w14:textFill>
              </w:rPr>
            </w:pPr>
          </w:p>
        </w:tc>
        <w:tc>
          <w:tcPr>
            <w:tcW w:w="526" w:type="pct"/>
            <w:gridSpan w:val="2"/>
            <w:vMerge w:val="continue"/>
            <w:tcBorders>
              <w:tl2br w:val="nil"/>
              <w:tr2bl w:val="nil"/>
            </w:tcBorders>
            <w:vAlign w:val="center"/>
          </w:tcPr>
          <w:p w14:paraId="0A30FE11">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p>
        </w:tc>
        <w:tc>
          <w:tcPr>
            <w:tcW w:w="370" w:type="pct"/>
            <w:tcBorders>
              <w:tl2br w:val="nil"/>
              <w:tr2bl w:val="nil"/>
            </w:tcBorders>
            <w:vAlign w:val="center"/>
          </w:tcPr>
          <w:p w14:paraId="5C44DA85">
            <w:pPr>
              <w:keepNext w:val="0"/>
              <w:keepLines w:val="0"/>
              <w:pageBreakBefore w:val="0"/>
              <w:kinsoku/>
              <w:wordWrap/>
              <w:overflowPunct/>
              <w:topLinePunct w:val="0"/>
              <w:autoSpaceDE/>
              <w:autoSpaceDN/>
              <w:bidi w:val="0"/>
              <w:spacing w:line="240" w:lineRule="auto"/>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浮选剂废包装</w:t>
            </w:r>
          </w:p>
        </w:tc>
        <w:tc>
          <w:tcPr>
            <w:tcW w:w="864" w:type="pct"/>
            <w:gridSpan w:val="2"/>
            <w:tcBorders>
              <w:tl2br w:val="nil"/>
              <w:tr2bl w:val="nil"/>
            </w:tcBorders>
            <w:vAlign w:val="center"/>
          </w:tcPr>
          <w:p w14:paraId="38FE392E">
            <w:pPr>
              <w:keepNext w:val="0"/>
              <w:keepLines w:val="0"/>
              <w:pageBreakBefore w:val="0"/>
              <w:tabs>
                <w:tab w:val="left" w:pos="5295"/>
              </w:tabs>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auto"/>
                <w:sz w:val="21"/>
                <w:szCs w:val="21"/>
                <w:highlight w:val="none"/>
                <w:lang w:val="en-US" w:eastAsia="zh-CN"/>
              </w:rPr>
              <w:t>3</w:t>
            </w:r>
          </w:p>
        </w:tc>
        <w:tc>
          <w:tcPr>
            <w:tcW w:w="947" w:type="pct"/>
            <w:gridSpan w:val="2"/>
            <w:vMerge w:val="continue"/>
            <w:tcBorders>
              <w:tl2br w:val="nil"/>
              <w:tr2bl w:val="nil"/>
            </w:tcBorders>
            <w:vAlign w:val="center"/>
          </w:tcPr>
          <w:p w14:paraId="6A6F1D05">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p>
        </w:tc>
        <w:tc>
          <w:tcPr>
            <w:tcW w:w="1448" w:type="pct"/>
            <w:gridSpan w:val="4"/>
            <w:tcBorders>
              <w:tl2br w:val="nil"/>
              <w:tr2bl w:val="nil"/>
            </w:tcBorders>
            <w:vAlign w:val="center"/>
          </w:tcPr>
          <w:p w14:paraId="4412EAC1">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38B900B7">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委托处置</w:t>
            </w:r>
          </w:p>
        </w:tc>
      </w:tr>
      <w:tr w14:paraId="75BB948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vMerge w:val="continue"/>
            <w:tcBorders>
              <w:tl2br w:val="nil"/>
              <w:tr2bl w:val="nil"/>
            </w:tcBorders>
            <w:vAlign w:val="center"/>
          </w:tcPr>
          <w:p w14:paraId="6BF8B816">
            <w:pPr>
              <w:keepNext w:val="0"/>
              <w:keepLines w:val="0"/>
              <w:pageBreakBefore w:val="0"/>
              <w:kinsoku/>
              <w:wordWrap/>
              <w:overflowPunct/>
              <w:topLinePunct w:val="0"/>
              <w:autoSpaceDE/>
              <w:autoSpaceDN/>
              <w:bidi w:val="0"/>
              <w:spacing w:line="240" w:lineRule="auto"/>
              <w:rPr>
                <w:rFonts w:ascii="Times New Roman" w:hAnsi="Times New Roman" w:cs="Times New Roman"/>
                <w:color w:val="000000" w:themeColor="text1"/>
                <w:highlight w:val="none"/>
                <w14:textFill>
                  <w14:solidFill>
                    <w14:schemeClr w14:val="tx1"/>
                  </w14:solidFill>
                </w14:textFill>
              </w:rPr>
            </w:pPr>
          </w:p>
        </w:tc>
        <w:tc>
          <w:tcPr>
            <w:tcW w:w="526" w:type="pct"/>
            <w:gridSpan w:val="2"/>
            <w:tcBorders>
              <w:tl2br w:val="nil"/>
              <w:tr2bl w:val="nil"/>
            </w:tcBorders>
            <w:vAlign w:val="center"/>
          </w:tcPr>
          <w:p w14:paraId="2E852561">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cs="Times New Roman"/>
                <w:color w:val="000000" w:themeColor="text1"/>
                <w:szCs w:val="21"/>
                <w:highlight w:val="none"/>
                <w:lang w:eastAsia="zh-CN"/>
                <w14:textFill>
                  <w14:solidFill>
                    <w14:schemeClr w14:val="tx1"/>
                  </w14:solidFill>
                </w14:textFill>
              </w:rPr>
              <w:t>生活垃圾</w:t>
            </w:r>
          </w:p>
        </w:tc>
        <w:tc>
          <w:tcPr>
            <w:tcW w:w="370" w:type="pct"/>
            <w:tcBorders>
              <w:tl2br w:val="nil"/>
              <w:tr2bl w:val="nil"/>
            </w:tcBorders>
            <w:vAlign w:val="center"/>
          </w:tcPr>
          <w:p w14:paraId="56FD7F7A">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ascii="Times New Roman" w:hAnsi="Times New Roman" w:cs="Times New Roman"/>
                <w:color w:val="000000" w:themeColor="text1"/>
                <w:szCs w:val="21"/>
                <w:highlight w:val="none"/>
                <w14:textFill>
                  <w14:solidFill>
                    <w14:schemeClr w14:val="tx1"/>
                  </w14:solidFill>
                </w14:textFill>
              </w:rPr>
              <w:t>生活垃圾</w:t>
            </w:r>
          </w:p>
        </w:tc>
        <w:tc>
          <w:tcPr>
            <w:tcW w:w="864" w:type="pct"/>
            <w:gridSpan w:val="2"/>
            <w:tcBorders>
              <w:tl2br w:val="nil"/>
              <w:tr2bl w:val="nil"/>
            </w:tcBorders>
            <w:vAlign w:val="center"/>
          </w:tcPr>
          <w:p w14:paraId="2DBA9BDD">
            <w:pPr>
              <w:keepNext w:val="0"/>
              <w:keepLines w:val="0"/>
              <w:pageBreakBefore w:val="0"/>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3</w:t>
            </w:r>
          </w:p>
        </w:tc>
        <w:tc>
          <w:tcPr>
            <w:tcW w:w="947" w:type="pct"/>
            <w:gridSpan w:val="2"/>
            <w:tcBorders>
              <w:tl2br w:val="nil"/>
              <w:tr2bl w:val="nil"/>
            </w:tcBorders>
            <w:vAlign w:val="center"/>
          </w:tcPr>
          <w:p w14:paraId="5C4DC396">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b w:val="0"/>
                <w:bCs/>
                <w:color w:val="auto"/>
                <w:lang w:val="en-US" w:eastAsia="zh-CN"/>
              </w:rPr>
              <w:t>暂存现有生活垃圾箱，由</w:t>
            </w:r>
            <w:r>
              <w:rPr>
                <w:rFonts w:hint="default" w:ascii="Times New Roman" w:hAnsi="Times New Roman" w:eastAsia="宋体" w:cs="Times New Roman"/>
                <w:color w:val="auto"/>
              </w:rPr>
              <w:t>环卫部门定期清运处理</w:t>
            </w:r>
          </w:p>
        </w:tc>
        <w:tc>
          <w:tcPr>
            <w:tcW w:w="1448" w:type="pct"/>
            <w:gridSpan w:val="4"/>
            <w:tcBorders>
              <w:tl2br w:val="nil"/>
              <w:tr2bl w:val="nil"/>
            </w:tcBorders>
            <w:vAlign w:val="center"/>
          </w:tcPr>
          <w:p w14:paraId="7EA2B067">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0</w:t>
            </w:r>
          </w:p>
        </w:tc>
        <w:tc>
          <w:tcPr>
            <w:tcW w:w="484" w:type="pct"/>
            <w:tcBorders>
              <w:tl2br w:val="nil"/>
              <w:tr2bl w:val="nil"/>
            </w:tcBorders>
            <w:vAlign w:val="center"/>
          </w:tcPr>
          <w:p w14:paraId="3E646C0F">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委托处置</w:t>
            </w:r>
          </w:p>
        </w:tc>
      </w:tr>
      <w:tr w14:paraId="5019F7B1">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8" w:type="pct"/>
            <w:tcBorders>
              <w:tl2br w:val="nil"/>
              <w:tr2bl w:val="nil"/>
            </w:tcBorders>
            <w:vAlign w:val="center"/>
          </w:tcPr>
          <w:p w14:paraId="0A815CEF">
            <w:pPr>
              <w:keepNext w:val="0"/>
              <w:keepLines w:val="0"/>
              <w:pageBreakBefore w:val="0"/>
              <w:kinsoku/>
              <w:wordWrap/>
              <w:overflowPunct/>
              <w:topLinePunct w:val="0"/>
              <w:autoSpaceDE/>
              <w:autoSpaceDN/>
              <w:bidi w:val="0"/>
              <w:spacing w:line="240" w:lineRule="auto"/>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噪声</w:t>
            </w:r>
          </w:p>
        </w:tc>
        <w:tc>
          <w:tcPr>
            <w:tcW w:w="526" w:type="pct"/>
            <w:gridSpan w:val="2"/>
            <w:tcBorders>
              <w:tl2br w:val="nil"/>
              <w:tr2bl w:val="nil"/>
            </w:tcBorders>
            <w:vAlign w:val="center"/>
          </w:tcPr>
          <w:p w14:paraId="270708B6">
            <w:pPr>
              <w:keepNext w:val="0"/>
              <w:keepLines w:val="0"/>
              <w:pageBreakBefore w:val="0"/>
              <w:kinsoku/>
              <w:wordWrap/>
              <w:overflowPunct/>
              <w:topLinePunct w:val="0"/>
              <w:autoSpaceDE/>
              <w:autoSpaceDN/>
              <w:bidi w:val="0"/>
              <w:adjustRightInd w:val="0"/>
              <w:snapToGrid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产噪设备</w:t>
            </w:r>
          </w:p>
        </w:tc>
        <w:tc>
          <w:tcPr>
            <w:tcW w:w="370" w:type="pct"/>
            <w:tcBorders>
              <w:tl2br w:val="nil"/>
              <w:tr2bl w:val="nil"/>
            </w:tcBorders>
            <w:vAlign w:val="center"/>
          </w:tcPr>
          <w:p w14:paraId="1EE05E36">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Leq（A）</w:t>
            </w:r>
          </w:p>
        </w:tc>
        <w:tc>
          <w:tcPr>
            <w:tcW w:w="864" w:type="pct"/>
            <w:gridSpan w:val="2"/>
            <w:tcBorders>
              <w:tl2br w:val="nil"/>
              <w:tr2bl w:val="nil"/>
            </w:tcBorders>
            <w:vAlign w:val="center"/>
          </w:tcPr>
          <w:p w14:paraId="6A8171A6">
            <w:pPr>
              <w:keepNext w:val="0"/>
              <w:keepLines w:val="0"/>
              <w:pageBreakBefore w:val="0"/>
              <w:widowControl/>
              <w:kinsoku/>
              <w:wordWrap/>
              <w:overflowPunct/>
              <w:topLinePunct w:val="0"/>
              <w:autoSpaceDE/>
              <w:autoSpaceDN/>
              <w:bidi w:val="0"/>
              <w:spacing w:line="240" w:lineRule="auto"/>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80</w:t>
            </w:r>
            <w:r>
              <w:rPr>
                <w:rFonts w:hint="eastAsia"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85</w:t>
            </w:r>
            <w:r>
              <w:rPr>
                <w:rFonts w:ascii="Times New Roman" w:hAnsi="Times New Roman" w:cs="Times New Roman"/>
                <w:color w:val="000000" w:themeColor="text1"/>
                <w:szCs w:val="21"/>
                <w14:textFill>
                  <w14:solidFill>
                    <w14:schemeClr w14:val="tx1"/>
                  </w14:solidFill>
                </w14:textFill>
              </w:rPr>
              <w:t>dB(A)</w:t>
            </w:r>
          </w:p>
        </w:tc>
        <w:tc>
          <w:tcPr>
            <w:tcW w:w="947" w:type="pct"/>
            <w:gridSpan w:val="2"/>
            <w:tcBorders>
              <w:tl2br w:val="nil"/>
              <w:tr2bl w:val="nil"/>
            </w:tcBorders>
            <w:vAlign w:val="center"/>
          </w:tcPr>
          <w:p w14:paraId="6097300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车间隔声</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消声</w:t>
            </w:r>
            <w:r>
              <w:rPr>
                <w:rFonts w:ascii="Times New Roman" w:hAnsi="Times New Roman" w:cs="Times New Roman"/>
                <w:color w:val="000000" w:themeColor="text1"/>
                <w:szCs w:val="21"/>
                <w14:textFill>
                  <w14:solidFill>
                    <w14:schemeClr w14:val="tx1"/>
                  </w14:solidFill>
                </w14:textFill>
              </w:rPr>
              <w:t>、基础减振</w:t>
            </w:r>
            <w:r>
              <w:rPr>
                <w:rFonts w:hint="eastAsia" w:cs="Times New Roman"/>
                <w:color w:val="000000" w:themeColor="text1"/>
                <w:szCs w:val="21"/>
                <w:lang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距离衰减等</w:t>
            </w:r>
          </w:p>
        </w:tc>
        <w:tc>
          <w:tcPr>
            <w:tcW w:w="1448" w:type="pct"/>
            <w:gridSpan w:val="4"/>
            <w:tcBorders>
              <w:tl2br w:val="nil"/>
              <w:tr2bl w:val="nil"/>
            </w:tcBorders>
            <w:vAlign w:val="center"/>
          </w:tcPr>
          <w:p w14:paraId="41AEFCD4">
            <w:pPr>
              <w:keepNext w:val="0"/>
              <w:keepLines w:val="0"/>
              <w:pageBreakBefore w:val="0"/>
              <w:widowControl/>
              <w:kinsoku/>
              <w:wordWrap/>
              <w:overflowPunct/>
              <w:topLinePunct w:val="0"/>
              <w:autoSpaceDE/>
              <w:autoSpaceDN/>
              <w:bidi w:val="0"/>
              <w:spacing w:line="240" w:lineRule="auto"/>
              <w:jc w:val="center"/>
              <w:rPr>
                <w:rFonts w:hint="default"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49-74</w:t>
            </w:r>
            <w:r>
              <w:rPr>
                <w:rFonts w:ascii="Times New Roman" w:hAnsi="Times New Roman" w:cs="Times New Roman"/>
                <w:color w:val="000000" w:themeColor="text1"/>
                <w:szCs w:val="21"/>
                <w14:textFill>
                  <w14:solidFill>
                    <w14:schemeClr w14:val="tx1"/>
                  </w14:solidFill>
                </w14:textFill>
              </w:rPr>
              <w:t>dB(A)</w:t>
            </w:r>
          </w:p>
        </w:tc>
        <w:tc>
          <w:tcPr>
            <w:tcW w:w="484" w:type="pct"/>
            <w:tcBorders>
              <w:tl2br w:val="nil"/>
              <w:tr2bl w:val="nil"/>
            </w:tcBorders>
            <w:vAlign w:val="center"/>
          </w:tcPr>
          <w:p w14:paraId="54D7F9A2">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达标排放</w:t>
            </w:r>
          </w:p>
        </w:tc>
      </w:tr>
    </w:tbl>
    <w:p w14:paraId="32E51076">
      <w:pPr>
        <w:bidi w:val="0"/>
        <w:rPr>
          <w:rFonts w:hint="default"/>
          <w:lang w:val="en-US" w:eastAsia="zh-CN"/>
        </w:rPr>
      </w:pPr>
    </w:p>
    <w:p w14:paraId="0E78FA58">
      <w:pPr>
        <w:pStyle w:val="5"/>
        <w:bidi w:val="0"/>
        <w:spacing w:line="240" w:lineRule="auto"/>
        <w:rPr>
          <w:rFonts w:hint="eastAsia" w:cs="Times New Roman"/>
          <w:sz w:val="24"/>
          <w:szCs w:val="24"/>
          <w:highlight w:val="none"/>
          <w:lang w:val="en-US" w:eastAsia="zh-CN"/>
        </w:rPr>
      </w:pPr>
      <w:r>
        <w:rPr>
          <w:rFonts w:hint="eastAsia" w:cs="Times New Roman"/>
          <w:sz w:val="24"/>
          <w:szCs w:val="24"/>
          <w:highlight w:val="none"/>
          <w:lang w:val="en-US" w:eastAsia="zh-CN"/>
        </w:rPr>
        <w:t>3.3.7项目污染物“三本帐”</w:t>
      </w:r>
    </w:p>
    <w:p w14:paraId="260BE9A4">
      <w:pPr>
        <w:spacing w:line="360" w:lineRule="auto"/>
        <w:ind w:firstLine="480" w:firstLineChars="200"/>
        <w:rPr>
          <w:rFonts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三本账</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涉及的污染物类型包括大气、水和固废。</w:t>
      </w:r>
      <w:r>
        <w:rPr>
          <w:rFonts w:hint="eastAsia" w:ascii="Times New Roman" w:hAnsi="Times New Roman" w:cs="Times New Roman"/>
          <w:color w:val="000000" w:themeColor="text1"/>
          <w:sz w:val="24"/>
          <w:highlight w:val="none"/>
          <w14:textFill>
            <w14:solidFill>
              <w14:schemeClr w14:val="tx1"/>
            </w14:solidFill>
          </w14:textFill>
        </w:rPr>
        <w:t>本</w:t>
      </w:r>
      <w:r>
        <w:rPr>
          <w:rFonts w:ascii="Times New Roman" w:hAnsi="Times New Roman" w:cs="Times New Roman"/>
          <w:color w:val="000000" w:themeColor="text1"/>
          <w:sz w:val="24"/>
          <w:highlight w:val="none"/>
          <w14:textFill>
            <w14:solidFill>
              <w14:schemeClr w14:val="tx1"/>
            </w14:solidFill>
          </w14:textFill>
        </w:rPr>
        <w:t>项目实施后</w:t>
      </w:r>
      <w:r>
        <w:rPr>
          <w:rFonts w:hint="eastAsia" w:cs="Times New Roman"/>
          <w:color w:val="000000" w:themeColor="text1"/>
          <w:sz w:val="24"/>
          <w:highlight w:val="none"/>
          <w:lang w:eastAsia="zh-CN"/>
          <w14:textFill>
            <w14:solidFill>
              <w14:schemeClr w14:val="tx1"/>
            </w14:solidFill>
          </w14:textFill>
        </w:rPr>
        <w:t>，</w:t>
      </w:r>
      <w:r>
        <w:rPr>
          <w:rFonts w:hint="eastAsia" w:cs="Times New Roman"/>
          <w:color w:val="000000" w:themeColor="text1"/>
          <w:sz w:val="24"/>
          <w:highlight w:val="none"/>
          <w:lang w:val="en-US" w:eastAsia="zh-CN"/>
          <w14:textFill>
            <w14:solidFill>
              <w14:schemeClr w14:val="tx1"/>
            </w14:solidFill>
          </w14:textFill>
        </w:rPr>
        <w:t>生产废水全部回用，生活污水排入旱厕后定期清掏，废水全部不外排；固废全部得到合理处置，不外排；仅废气经处理后达标排放，</w:t>
      </w:r>
      <w:r>
        <w:rPr>
          <w:rFonts w:ascii="Times New Roman" w:hAnsi="Times New Roman" w:cs="Times New Roman"/>
          <w:color w:val="000000" w:themeColor="text1"/>
          <w:sz w:val="24"/>
          <w:highlight w:val="none"/>
          <w14:textFill>
            <w14:solidFill>
              <w14:schemeClr w14:val="tx1"/>
            </w14:solidFill>
          </w14:textFill>
        </w:rPr>
        <w:t>污染</w:t>
      </w:r>
      <w:r>
        <w:rPr>
          <w:rFonts w:ascii="Times New Roman" w:hAnsi="Times New Roman" w:cs="Times New Roman"/>
          <w:color w:val="000000" w:themeColor="text1"/>
          <w:sz w:val="24"/>
          <w14:textFill>
            <w14:solidFill>
              <w14:schemeClr w14:val="tx1"/>
            </w14:solidFill>
          </w14:textFill>
        </w:rPr>
        <w:t>物排放</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三本帐</w:t>
      </w:r>
      <w:r>
        <w:rPr>
          <w:rFonts w:hint="eastAsia" w:ascii="Times New Roman" w:hAnsi="Times New Roman" w:cs="Times New Roman"/>
          <w:color w:val="000000" w:themeColor="text1"/>
          <w:sz w:val="24"/>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情况详见</w:t>
      </w:r>
      <w:r>
        <w:rPr>
          <w:rFonts w:hint="eastAsia" w:cs="Times New Roman"/>
          <w:color w:val="000000" w:themeColor="text1"/>
          <w:sz w:val="24"/>
          <w:lang w:eastAsia="zh-CN"/>
          <w14:textFill>
            <w14:solidFill>
              <w14:schemeClr w14:val="tx1"/>
            </w14:solidFill>
          </w14:textFill>
        </w:rPr>
        <w:t>下</w:t>
      </w:r>
      <w:r>
        <w:rPr>
          <w:rFonts w:ascii="Times New Roman" w:hAnsi="Times New Roman" w:cs="Times New Roman"/>
          <w:color w:val="000000" w:themeColor="text1"/>
          <w:sz w:val="24"/>
          <w14:textFill>
            <w14:solidFill>
              <w14:schemeClr w14:val="tx1"/>
            </w14:solidFill>
          </w14:textFill>
        </w:rPr>
        <w:t>表。</w:t>
      </w:r>
    </w:p>
    <w:p w14:paraId="49E7756A">
      <w:pPr>
        <w:spacing w:line="240" w:lineRule="auto"/>
        <w:ind w:firstLine="482"/>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kern w:val="2"/>
          <w:sz w:val="21"/>
          <w:szCs w:val="21"/>
          <w:lang w:val="en-US" w:eastAsia="zh-CN" w:bidi="ar-SA"/>
        </w:rPr>
        <w:t>表</w:t>
      </w:r>
      <w:r>
        <w:rPr>
          <w:rFonts w:hint="eastAsia" w:cs="Times New Roman"/>
          <w:b/>
          <w:color w:val="auto"/>
          <w:kern w:val="2"/>
          <w:sz w:val="21"/>
          <w:szCs w:val="21"/>
          <w:lang w:val="en-US" w:eastAsia="zh-CN" w:bidi="ar-SA"/>
        </w:rPr>
        <w:t>3.3-10</w:t>
      </w:r>
      <w:r>
        <w:rPr>
          <w:rFonts w:hint="eastAsia" w:ascii="Times New Roman" w:hAnsi="Times New Roman" w:eastAsia="宋体" w:cs="Times New Roman"/>
          <w:b/>
          <w:color w:val="auto"/>
          <w:kern w:val="2"/>
          <w:sz w:val="21"/>
          <w:szCs w:val="21"/>
          <w:lang w:val="en-US" w:eastAsia="zh-CN" w:bidi="ar-SA"/>
        </w:rPr>
        <w:t xml:space="preserve">     </w:t>
      </w:r>
      <w:r>
        <w:rPr>
          <w:rFonts w:hint="default" w:ascii="Times New Roman" w:hAnsi="Times New Roman" w:eastAsia="宋体" w:cs="Times New Roman"/>
          <w:b/>
          <w:color w:val="auto"/>
          <w:kern w:val="2"/>
          <w:sz w:val="21"/>
          <w:szCs w:val="21"/>
          <w:lang w:val="en-US" w:eastAsia="zh-CN" w:bidi="ar-SA"/>
        </w:rPr>
        <w:t>项目污染物“三本</w:t>
      </w:r>
      <w:r>
        <w:rPr>
          <w:rFonts w:hint="eastAsia" w:ascii="Times New Roman" w:hAnsi="Times New Roman" w:eastAsia="宋体" w:cs="Times New Roman"/>
          <w:b/>
          <w:color w:val="auto"/>
          <w:kern w:val="2"/>
          <w:sz w:val="21"/>
          <w:szCs w:val="21"/>
          <w:lang w:val="en-US" w:eastAsia="zh-CN" w:bidi="ar-SA"/>
        </w:rPr>
        <w:t>账</w:t>
      </w:r>
      <w:r>
        <w:rPr>
          <w:rFonts w:hint="default" w:ascii="Times New Roman" w:hAnsi="Times New Roman" w:eastAsia="宋体" w:cs="Times New Roman"/>
          <w:b/>
          <w:color w:val="auto"/>
          <w:kern w:val="2"/>
          <w:sz w:val="21"/>
          <w:szCs w:val="21"/>
          <w:lang w:val="en-US" w:eastAsia="zh-CN" w:bidi="ar-SA"/>
        </w:rPr>
        <w:t>”一览表</w:t>
      </w:r>
      <w:r>
        <w:rPr>
          <w:rFonts w:hint="eastAsia" w:ascii="Times New Roman" w:hAnsi="Times New Roman" w:eastAsia="宋体" w:cs="Times New Roman"/>
          <w:b/>
          <w:color w:val="auto"/>
          <w:kern w:val="2"/>
          <w:sz w:val="21"/>
          <w:szCs w:val="21"/>
          <w:lang w:val="en-US" w:eastAsia="zh-CN" w:bidi="ar-SA"/>
        </w:rPr>
        <w:t xml:space="preserve">   单位：t/a</w:t>
      </w:r>
    </w:p>
    <w:tbl>
      <w:tblPr>
        <w:tblStyle w:val="75"/>
        <w:tblW w:w="4998" w:type="pct"/>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2458"/>
        <w:gridCol w:w="2032"/>
        <w:gridCol w:w="1429"/>
        <w:gridCol w:w="1890"/>
        <w:gridCol w:w="1688"/>
        <w:gridCol w:w="1502"/>
        <w:gridCol w:w="1367"/>
      </w:tblGrid>
      <w:tr w14:paraId="0749D238">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469" w:type="pct"/>
            <w:tcBorders>
              <w:tl2br w:val="nil"/>
              <w:tr2bl w:val="nil"/>
            </w:tcBorders>
            <w:vAlign w:val="center"/>
          </w:tcPr>
          <w:p w14:paraId="4A1F3202">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污染物</w:t>
            </w:r>
          </w:p>
          <w:p w14:paraId="6D0A2548">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类型</w:t>
            </w:r>
          </w:p>
        </w:tc>
        <w:tc>
          <w:tcPr>
            <w:tcW w:w="900" w:type="pct"/>
            <w:tcBorders>
              <w:tl2br w:val="nil"/>
              <w:tr2bl w:val="nil"/>
            </w:tcBorders>
            <w:vAlign w:val="center"/>
          </w:tcPr>
          <w:p w14:paraId="151D476C">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产物环节</w:t>
            </w:r>
          </w:p>
        </w:tc>
        <w:tc>
          <w:tcPr>
            <w:tcW w:w="744" w:type="pct"/>
            <w:tcBorders>
              <w:tl2br w:val="nil"/>
              <w:tr2bl w:val="nil"/>
            </w:tcBorders>
            <w:vAlign w:val="center"/>
          </w:tcPr>
          <w:p w14:paraId="7DF57348">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污染物</w:t>
            </w:r>
          </w:p>
        </w:tc>
        <w:tc>
          <w:tcPr>
            <w:tcW w:w="523" w:type="pct"/>
            <w:tcBorders>
              <w:tl2br w:val="nil"/>
              <w:tr2bl w:val="nil"/>
            </w:tcBorders>
            <w:vAlign w:val="center"/>
          </w:tcPr>
          <w:p w14:paraId="78240D3A">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原有项目</w:t>
            </w:r>
            <w:r>
              <w:rPr>
                <w:rFonts w:ascii="Times New Roman" w:hAnsi="Times New Roman" w:cs="Times New Roman"/>
                <w:color w:val="000000" w:themeColor="text1"/>
                <w:szCs w:val="21"/>
                <w14:textFill>
                  <w14:solidFill>
                    <w14:schemeClr w14:val="tx1"/>
                  </w14:solidFill>
                </w14:textFill>
              </w:rPr>
              <w:t>排放量</w:t>
            </w:r>
          </w:p>
        </w:tc>
        <w:tc>
          <w:tcPr>
            <w:tcW w:w="692" w:type="pct"/>
            <w:tcBorders>
              <w:tl2br w:val="nil"/>
              <w:tr2bl w:val="nil"/>
            </w:tcBorders>
            <w:vAlign w:val="center"/>
          </w:tcPr>
          <w:p w14:paraId="34142D0D">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本次改扩建</w:t>
            </w:r>
            <w:r>
              <w:rPr>
                <w:rFonts w:hint="eastAsia" w:ascii="Times New Roman" w:hAnsi="Times New Roman" w:cs="Times New Roman"/>
                <w:color w:val="000000" w:themeColor="text1"/>
                <w:szCs w:val="21"/>
                <w14:textFill>
                  <w14:solidFill>
                    <w14:schemeClr w14:val="tx1"/>
                  </w14:solidFill>
                </w14:textFill>
              </w:rPr>
              <w:t>项目</w:t>
            </w:r>
          </w:p>
          <w:p w14:paraId="4D372AE5">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排放</w:t>
            </w:r>
            <w:r>
              <w:rPr>
                <w:rFonts w:hint="eastAsia" w:ascii="Times New Roman" w:hAnsi="Times New Roman" w:cs="Times New Roman"/>
                <w:color w:val="000000" w:themeColor="text1"/>
                <w:szCs w:val="21"/>
                <w14:textFill>
                  <w14:solidFill>
                    <w14:schemeClr w14:val="tx1"/>
                  </w14:solidFill>
                </w14:textFill>
              </w:rPr>
              <w:t>量</w:t>
            </w:r>
          </w:p>
        </w:tc>
        <w:tc>
          <w:tcPr>
            <w:tcW w:w="618" w:type="pct"/>
            <w:tcBorders>
              <w:tl2br w:val="nil"/>
              <w:tr2bl w:val="nil"/>
            </w:tcBorders>
            <w:vAlign w:val="center"/>
          </w:tcPr>
          <w:p w14:paraId="5F6B86F9">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“以新带老”削减量</w:t>
            </w:r>
          </w:p>
        </w:tc>
        <w:tc>
          <w:tcPr>
            <w:tcW w:w="550" w:type="pct"/>
            <w:tcBorders>
              <w:tl2br w:val="nil"/>
              <w:tr2bl w:val="nil"/>
            </w:tcBorders>
            <w:vAlign w:val="center"/>
          </w:tcPr>
          <w:p w14:paraId="11323244">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改扩建后全厂</w:t>
            </w:r>
            <w:r>
              <w:rPr>
                <w:rFonts w:hint="eastAsia" w:ascii="Times New Roman" w:hAnsi="Times New Roman" w:cs="Times New Roman"/>
                <w:color w:val="000000" w:themeColor="text1"/>
                <w:szCs w:val="21"/>
                <w14:textFill>
                  <w14:solidFill>
                    <w14:schemeClr w14:val="tx1"/>
                  </w14:solidFill>
                </w14:textFill>
              </w:rPr>
              <w:t>总排放量</w:t>
            </w:r>
          </w:p>
        </w:tc>
        <w:tc>
          <w:tcPr>
            <w:tcW w:w="500" w:type="pct"/>
            <w:tcBorders>
              <w:tl2br w:val="nil"/>
              <w:tr2bl w:val="nil"/>
            </w:tcBorders>
            <w:vAlign w:val="center"/>
          </w:tcPr>
          <w:p w14:paraId="6A6F5613">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全厂</w:t>
            </w:r>
            <w:r>
              <w:rPr>
                <w:rFonts w:hint="eastAsia" w:ascii="Times New Roman" w:hAnsi="Times New Roman" w:cs="Times New Roman"/>
                <w:color w:val="000000" w:themeColor="text1"/>
                <w:szCs w:val="21"/>
                <w14:textFill>
                  <w14:solidFill>
                    <w14:schemeClr w14:val="tx1"/>
                  </w14:solidFill>
                </w14:textFill>
              </w:rPr>
              <w:t>增减量</w:t>
            </w:r>
          </w:p>
        </w:tc>
      </w:tr>
      <w:tr w14:paraId="440697C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69" w:type="pct"/>
            <w:vMerge w:val="restart"/>
            <w:tcBorders>
              <w:tl2br w:val="nil"/>
              <w:tr2bl w:val="nil"/>
            </w:tcBorders>
            <w:vAlign w:val="center"/>
          </w:tcPr>
          <w:p w14:paraId="575D3244">
            <w:pPr>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大气污染物</w:t>
            </w:r>
          </w:p>
        </w:tc>
        <w:tc>
          <w:tcPr>
            <w:tcW w:w="900" w:type="pct"/>
            <w:tcBorders>
              <w:tl2br w:val="nil"/>
              <w:tr2bl w:val="nil"/>
            </w:tcBorders>
            <w:vAlign w:val="center"/>
          </w:tcPr>
          <w:p w14:paraId="71A5F489">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原矿、尾矿装卸扬尘</w:t>
            </w:r>
          </w:p>
        </w:tc>
        <w:tc>
          <w:tcPr>
            <w:tcW w:w="744" w:type="pct"/>
            <w:tcBorders>
              <w:tl2br w:val="nil"/>
              <w:tr2bl w:val="nil"/>
            </w:tcBorders>
            <w:vAlign w:val="center"/>
          </w:tcPr>
          <w:p w14:paraId="422DE969">
            <w:pPr>
              <w:widowControl/>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无组织颗粒物</w:t>
            </w:r>
          </w:p>
        </w:tc>
        <w:tc>
          <w:tcPr>
            <w:tcW w:w="523" w:type="pct"/>
            <w:tcBorders>
              <w:tl2br w:val="nil"/>
              <w:tr2bl w:val="nil"/>
            </w:tcBorders>
            <w:vAlign w:val="center"/>
          </w:tcPr>
          <w:p w14:paraId="0B7FA338">
            <w:pPr>
              <w:jc w:val="center"/>
              <w:rPr>
                <w:rFonts w:hint="default" w:ascii="Times New Roman" w:hAnsi="Times New Roman" w:cs="Times New Roman" w:eastAsiaTheme="majorEastAsia"/>
                <w:color w:val="000000" w:themeColor="text1"/>
                <w:szCs w:val="21"/>
                <w:lang w:val="en-US" w:eastAsia="zh-CN"/>
                <w14:textFill>
                  <w14:solidFill>
                    <w14:schemeClr w14:val="tx1"/>
                  </w14:solidFill>
                </w14:textFill>
              </w:rPr>
            </w:pPr>
            <w:r>
              <w:rPr>
                <w:rFonts w:hint="eastAsia"/>
                <w:b w:val="0"/>
                <w:bCs/>
                <w:color w:val="auto"/>
                <w:sz w:val="21"/>
                <w:szCs w:val="21"/>
                <w:vertAlign w:val="baseline"/>
                <w:lang w:val="en-US" w:eastAsia="zh-CN"/>
              </w:rPr>
              <w:t>0.297</w:t>
            </w:r>
          </w:p>
        </w:tc>
        <w:tc>
          <w:tcPr>
            <w:tcW w:w="692" w:type="pct"/>
            <w:tcBorders>
              <w:tl2br w:val="nil"/>
              <w:tr2bl w:val="nil"/>
            </w:tcBorders>
            <w:vAlign w:val="center"/>
          </w:tcPr>
          <w:p w14:paraId="0D2A815C">
            <w:pPr>
              <w:adjustRightInd w:val="0"/>
              <w:snapToGrid w:val="0"/>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0.159</w:t>
            </w:r>
          </w:p>
        </w:tc>
        <w:tc>
          <w:tcPr>
            <w:tcW w:w="618" w:type="pct"/>
            <w:tcBorders>
              <w:tl2br w:val="nil"/>
              <w:tr2bl w:val="nil"/>
            </w:tcBorders>
            <w:vAlign w:val="center"/>
          </w:tcPr>
          <w:p w14:paraId="2D4F80AB">
            <w:pPr>
              <w:snapToGrid w:val="0"/>
              <w:jc w:val="center"/>
              <w:rPr>
                <w:rFonts w:hint="default" w:ascii="Times New Roman" w:hAnsi="Times New Roman" w:cs="Times New Roman" w:eastAsiaTheme="majorEastAsia"/>
                <w:color w:val="000000" w:themeColor="text1"/>
                <w:szCs w:val="21"/>
                <w:lang w:val="en-US" w:eastAsia="zh-CN"/>
                <w14:textFill>
                  <w14:solidFill>
                    <w14:schemeClr w14:val="tx1"/>
                  </w14:solidFill>
                </w14:textFill>
              </w:rPr>
            </w:pPr>
            <w:r>
              <w:rPr>
                <w:rFonts w:hint="eastAsia" w:cs="Times New Roman" w:eastAsiaTheme="majorEastAsia"/>
                <w:color w:val="000000" w:themeColor="text1"/>
                <w:szCs w:val="21"/>
                <w:lang w:val="en-US" w:eastAsia="zh-CN"/>
                <w14:textFill>
                  <w14:solidFill>
                    <w14:schemeClr w14:val="tx1"/>
                  </w14:solidFill>
                </w14:textFill>
              </w:rPr>
              <w:t>0</w:t>
            </w:r>
          </w:p>
        </w:tc>
        <w:tc>
          <w:tcPr>
            <w:tcW w:w="550" w:type="pct"/>
            <w:tcBorders>
              <w:tl2br w:val="nil"/>
              <w:tr2bl w:val="nil"/>
            </w:tcBorders>
            <w:vAlign w:val="center"/>
          </w:tcPr>
          <w:p w14:paraId="5A5096F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0.456</w:t>
            </w:r>
          </w:p>
        </w:tc>
        <w:tc>
          <w:tcPr>
            <w:tcW w:w="500" w:type="pct"/>
            <w:tcBorders>
              <w:tl2br w:val="nil"/>
              <w:tr2bl w:val="nil"/>
            </w:tcBorders>
            <w:vAlign w:val="center"/>
          </w:tcPr>
          <w:p w14:paraId="6B2D51B9">
            <w:pPr>
              <w:adjustRightInd w:val="0"/>
              <w:snapToGrid w:val="0"/>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+0.159</w:t>
            </w:r>
          </w:p>
        </w:tc>
      </w:tr>
      <w:tr w14:paraId="5CFC722F">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69" w:type="pct"/>
            <w:vMerge w:val="continue"/>
            <w:tcBorders>
              <w:tl2br w:val="nil"/>
              <w:tr2bl w:val="nil"/>
            </w:tcBorders>
            <w:vAlign w:val="center"/>
          </w:tcPr>
          <w:p w14:paraId="4F9527FF">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57396A9C">
            <w:pPr>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道路</w:t>
            </w:r>
            <w:r>
              <w:rPr>
                <w:rFonts w:hint="eastAsia" w:ascii="Times New Roman" w:hAnsi="Times New Roman" w:cs="Times New Roman"/>
                <w:color w:val="auto"/>
                <w:szCs w:val="21"/>
              </w:rPr>
              <w:t>运输</w:t>
            </w:r>
            <w:r>
              <w:rPr>
                <w:rFonts w:hint="eastAsia" w:cs="Times New Roman"/>
                <w:color w:val="auto"/>
                <w:szCs w:val="21"/>
                <w:lang w:eastAsia="zh-CN"/>
              </w:rPr>
              <w:t>扬尘</w:t>
            </w:r>
          </w:p>
        </w:tc>
        <w:tc>
          <w:tcPr>
            <w:tcW w:w="744" w:type="pct"/>
            <w:tcBorders>
              <w:tl2br w:val="nil"/>
              <w:tr2bl w:val="nil"/>
            </w:tcBorders>
            <w:vAlign w:val="center"/>
          </w:tcPr>
          <w:p w14:paraId="2B2DD244">
            <w:pPr>
              <w:widowControl/>
              <w:snapToGrid w:val="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无组织颗粒物</w:t>
            </w:r>
          </w:p>
        </w:tc>
        <w:tc>
          <w:tcPr>
            <w:tcW w:w="523" w:type="pct"/>
            <w:tcBorders>
              <w:tl2br w:val="nil"/>
              <w:tr2bl w:val="nil"/>
            </w:tcBorders>
            <w:vAlign w:val="center"/>
          </w:tcPr>
          <w:p w14:paraId="11E6E7F3">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b w:val="0"/>
                <w:bCs/>
                <w:color w:val="auto"/>
                <w:sz w:val="21"/>
                <w:szCs w:val="21"/>
                <w:vertAlign w:val="baseline"/>
                <w:lang w:val="en-US" w:eastAsia="zh-CN"/>
              </w:rPr>
              <w:t>0.78</w:t>
            </w:r>
          </w:p>
        </w:tc>
        <w:tc>
          <w:tcPr>
            <w:tcW w:w="692" w:type="pct"/>
            <w:tcBorders>
              <w:tl2br w:val="nil"/>
              <w:tr2bl w:val="nil"/>
            </w:tcBorders>
            <w:vAlign w:val="center"/>
          </w:tcPr>
          <w:p w14:paraId="1179505B">
            <w:pPr>
              <w:adjustRightInd w:val="0"/>
              <w:snapToGrid w:val="0"/>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0.608</w:t>
            </w:r>
          </w:p>
        </w:tc>
        <w:tc>
          <w:tcPr>
            <w:tcW w:w="618" w:type="pct"/>
            <w:tcBorders>
              <w:tl2br w:val="nil"/>
              <w:tr2bl w:val="nil"/>
            </w:tcBorders>
            <w:vAlign w:val="center"/>
          </w:tcPr>
          <w:p w14:paraId="645DC5E9">
            <w:pPr>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eastAsiaTheme="majorEastAsia"/>
                <w:color w:val="000000" w:themeColor="text1"/>
                <w:szCs w:val="21"/>
                <w:lang w:val="en-US" w:eastAsia="zh-CN"/>
                <w14:textFill>
                  <w14:solidFill>
                    <w14:schemeClr w14:val="tx1"/>
                  </w14:solidFill>
                </w14:textFill>
              </w:rPr>
              <w:t>0</w:t>
            </w:r>
          </w:p>
        </w:tc>
        <w:tc>
          <w:tcPr>
            <w:tcW w:w="550" w:type="pct"/>
            <w:tcBorders>
              <w:tl2br w:val="nil"/>
              <w:tr2bl w:val="nil"/>
            </w:tcBorders>
            <w:vAlign w:val="center"/>
          </w:tcPr>
          <w:p w14:paraId="04407D4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1.388</w:t>
            </w:r>
          </w:p>
        </w:tc>
        <w:tc>
          <w:tcPr>
            <w:tcW w:w="500" w:type="pct"/>
            <w:tcBorders>
              <w:tl2br w:val="nil"/>
              <w:tr2bl w:val="nil"/>
            </w:tcBorders>
            <w:vAlign w:val="center"/>
          </w:tcPr>
          <w:p w14:paraId="2FAE5A37">
            <w:pPr>
              <w:adjustRightInd w:val="0"/>
              <w:snapToGrid w:val="0"/>
              <w:ind w:left="-105" w:leftChars="-50" w:right="-105" w:rightChars="-5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+0.608</w:t>
            </w:r>
          </w:p>
        </w:tc>
      </w:tr>
      <w:tr w14:paraId="51EF79C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69" w:type="pct"/>
            <w:vMerge w:val="continue"/>
            <w:tcBorders>
              <w:tl2br w:val="nil"/>
              <w:tr2bl w:val="nil"/>
            </w:tcBorders>
            <w:vAlign w:val="center"/>
          </w:tcPr>
          <w:p w14:paraId="2D5EAFFC">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41322CD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皮带输送粉尘</w:t>
            </w:r>
          </w:p>
        </w:tc>
        <w:tc>
          <w:tcPr>
            <w:tcW w:w="744" w:type="pct"/>
            <w:tcBorders>
              <w:tl2br w:val="nil"/>
              <w:tr2bl w:val="nil"/>
            </w:tcBorders>
            <w:vAlign w:val="center"/>
          </w:tcPr>
          <w:p w14:paraId="368FF7CD">
            <w:pPr>
              <w:widowControl/>
              <w:snapToGrid w:val="0"/>
              <w:jc w:val="center"/>
              <w:rPr>
                <w:rFonts w:hint="default" w:cs="Times New Roman"/>
                <w:color w:val="auto"/>
                <w:szCs w:val="21"/>
                <w:lang w:val="en-US" w:eastAsia="zh-CN"/>
              </w:rPr>
            </w:pPr>
            <w:r>
              <w:rPr>
                <w:rFonts w:hint="eastAsia" w:cs="Times New Roman"/>
                <w:color w:val="auto"/>
                <w:szCs w:val="21"/>
                <w:lang w:val="en-US" w:eastAsia="zh-CN"/>
              </w:rPr>
              <w:t>无组织颗粒物</w:t>
            </w:r>
          </w:p>
        </w:tc>
        <w:tc>
          <w:tcPr>
            <w:tcW w:w="523" w:type="pct"/>
            <w:tcBorders>
              <w:tl2br w:val="nil"/>
              <w:tr2bl w:val="nil"/>
            </w:tcBorders>
            <w:vAlign w:val="center"/>
          </w:tcPr>
          <w:p w14:paraId="08138451">
            <w:pPr>
              <w:jc w:val="center"/>
              <w:rPr>
                <w:rFonts w:hint="default" w:cs="Times New Roman"/>
                <w:color w:val="000000" w:themeColor="text1"/>
                <w:lang w:val="en-US" w:eastAsia="zh-CN"/>
                <w14:textFill>
                  <w14:solidFill>
                    <w14:schemeClr w14:val="tx1"/>
                  </w14:solidFill>
                </w14:textFill>
              </w:rPr>
            </w:pPr>
            <w:r>
              <w:rPr>
                <w:rFonts w:hint="eastAsia"/>
                <w:b w:val="0"/>
                <w:bCs/>
                <w:color w:val="auto"/>
                <w:sz w:val="21"/>
                <w:szCs w:val="21"/>
                <w:vertAlign w:val="baseline"/>
                <w:lang w:val="en-US" w:eastAsia="zh-CN"/>
              </w:rPr>
              <w:t>0.087</w:t>
            </w:r>
          </w:p>
        </w:tc>
        <w:tc>
          <w:tcPr>
            <w:tcW w:w="692" w:type="pct"/>
            <w:tcBorders>
              <w:tl2br w:val="nil"/>
              <w:tr2bl w:val="nil"/>
            </w:tcBorders>
            <w:vAlign w:val="center"/>
          </w:tcPr>
          <w:p w14:paraId="4197B5F0">
            <w:pPr>
              <w:adjustRightInd w:val="0"/>
              <w:snapToGrid w:val="0"/>
              <w:ind w:left="-105" w:leftChars="-50" w:right="-105" w:rightChars="-50"/>
              <w:jc w:val="center"/>
              <w:rPr>
                <w:rFonts w:hint="default" w:cs="Times New Roman"/>
                <w:color w:val="000000" w:themeColor="text1"/>
                <w:szCs w:val="21"/>
                <w:lang w:val="en-US" w:eastAsia="zh-CN"/>
                <w14:textFill>
                  <w14:solidFill>
                    <w14:schemeClr w14:val="tx1"/>
                  </w14:solidFill>
                </w14:textFill>
              </w:rPr>
            </w:pPr>
            <w:r>
              <w:rPr>
                <w:rFonts w:hint="eastAsia" w:hAnsi="宋体"/>
                <w:bCs/>
                <w:color w:val="auto"/>
                <w:sz w:val="21"/>
                <w:szCs w:val="21"/>
                <w:highlight w:val="none"/>
                <w:lang w:val="en-US" w:eastAsia="zh-CN"/>
              </w:rPr>
              <w:t>0.0435</w:t>
            </w:r>
          </w:p>
        </w:tc>
        <w:tc>
          <w:tcPr>
            <w:tcW w:w="618" w:type="pct"/>
            <w:tcBorders>
              <w:tl2br w:val="nil"/>
              <w:tr2bl w:val="nil"/>
            </w:tcBorders>
            <w:vAlign w:val="center"/>
          </w:tcPr>
          <w:p w14:paraId="1D7C465E">
            <w:pPr>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eastAsiaTheme="majorEastAsia"/>
                <w:color w:val="000000" w:themeColor="text1"/>
                <w:szCs w:val="21"/>
                <w:lang w:val="en-US" w:eastAsia="zh-CN"/>
                <w14:textFill>
                  <w14:solidFill>
                    <w14:schemeClr w14:val="tx1"/>
                  </w14:solidFill>
                </w14:textFill>
              </w:rPr>
              <w:t>0</w:t>
            </w:r>
          </w:p>
        </w:tc>
        <w:tc>
          <w:tcPr>
            <w:tcW w:w="550" w:type="pct"/>
            <w:tcBorders>
              <w:tl2br w:val="nil"/>
              <w:tr2bl w:val="nil"/>
            </w:tcBorders>
            <w:vAlign w:val="center"/>
          </w:tcPr>
          <w:p w14:paraId="47DBE8E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0.1305</w:t>
            </w:r>
          </w:p>
        </w:tc>
        <w:tc>
          <w:tcPr>
            <w:tcW w:w="500" w:type="pct"/>
            <w:tcBorders>
              <w:tl2br w:val="nil"/>
              <w:tr2bl w:val="nil"/>
            </w:tcBorders>
            <w:vAlign w:val="center"/>
          </w:tcPr>
          <w:p w14:paraId="4054A6A5">
            <w:pPr>
              <w:adjustRightInd w:val="0"/>
              <w:snapToGrid w:val="0"/>
              <w:ind w:left="-105" w:leftChars="-50" w:right="-105" w:rightChars="-50"/>
              <w:jc w:val="center"/>
              <w:rPr>
                <w:rFonts w:hint="default"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r>
              <w:rPr>
                <w:rFonts w:hint="eastAsia" w:hAnsi="宋体"/>
                <w:bCs/>
                <w:color w:val="auto"/>
                <w:sz w:val="21"/>
                <w:szCs w:val="21"/>
                <w:highlight w:val="none"/>
                <w:lang w:val="en-US" w:eastAsia="zh-CN"/>
              </w:rPr>
              <w:t>0.0435</w:t>
            </w:r>
          </w:p>
        </w:tc>
      </w:tr>
      <w:tr w14:paraId="57F145A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6DE698D6">
            <w:pPr>
              <w:widowControl/>
              <w:jc w:val="left"/>
              <w:rPr>
                <w:rFonts w:ascii="Times New Roman" w:hAnsi="Times New Roman" w:cs="Times New Roman"/>
                <w:color w:val="000000" w:themeColor="text1"/>
                <w:szCs w:val="21"/>
                <w14:textFill>
                  <w14:solidFill>
                    <w14:schemeClr w14:val="tx1"/>
                  </w14:solidFill>
                </w14:textFill>
              </w:rPr>
            </w:pPr>
          </w:p>
        </w:tc>
        <w:tc>
          <w:tcPr>
            <w:tcW w:w="900" w:type="pct"/>
            <w:vMerge w:val="restart"/>
            <w:tcBorders>
              <w:tl2br w:val="nil"/>
              <w:tr2bl w:val="nil"/>
            </w:tcBorders>
            <w:vAlign w:val="center"/>
          </w:tcPr>
          <w:p w14:paraId="6DFDA8EF">
            <w:pPr>
              <w:widowControl/>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选矿车间</w:t>
            </w:r>
          </w:p>
        </w:tc>
        <w:tc>
          <w:tcPr>
            <w:tcW w:w="744" w:type="pct"/>
            <w:tcBorders>
              <w:tl2br w:val="nil"/>
              <w:tr2bl w:val="nil"/>
            </w:tcBorders>
            <w:vAlign w:val="center"/>
          </w:tcPr>
          <w:p w14:paraId="14DCCF09">
            <w:pPr>
              <w:widowControl/>
              <w:spacing w:line="30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有组织颗粒物</w:t>
            </w:r>
          </w:p>
        </w:tc>
        <w:tc>
          <w:tcPr>
            <w:tcW w:w="523" w:type="pct"/>
            <w:tcBorders>
              <w:tl2br w:val="nil"/>
              <w:tr2bl w:val="nil"/>
            </w:tcBorders>
            <w:vAlign w:val="center"/>
          </w:tcPr>
          <w:p w14:paraId="2AC85118">
            <w:pPr>
              <w:jc w:val="center"/>
              <w:rPr>
                <w:rFonts w:hint="default" w:ascii="Times New Roman" w:hAnsi="Times New Roman" w:cs="Times New Roman" w:eastAsiaTheme="majorEastAsia"/>
                <w:color w:val="000000" w:themeColor="text1"/>
                <w:szCs w:val="21"/>
                <w:lang w:val="en-US" w:eastAsia="zh-CN"/>
                <w14:textFill>
                  <w14:solidFill>
                    <w14:schemeClr w14:val="tx1"/>
                  </w14:solidFill>
                </w14:textFill>
              </w:rPr>
            </w:pPr>
            <w:r>
              <w:rPr>
                <w:rFonts w:hint="eastAsia" w:ascii="Times New Roman" w:hAnsi="宋体" w:eastAsia="宋体" w:cs="Times New Roman"/>
                <w:b w:val="0"/>
                <w:bCs/>
                <w:color w:val="auto"/>
                <w:kern w:val="2"/>
                <w:sz w:val="21"/>
                <w:szCs w:val="21"/>
                <w:lang w:val="en-US" w:eastAsia="zh-CN" w:bidi="ar-SA"/>
              </w:rPr>
              <w:t>4.89</w:t>
            </w:r>
          </w:p>
        </w:tc>
        <w:tc>
          <w:tcPr>
            <w:tcW w:w="692" w:type="pct"/>
            <w:tcBorders>
              <w:tl2br w:val="nil"/>
              <w:tr2bl w:val="nil"/>
            </w:tcBorders>
            <w:vAlign w:val="center"/>
          </w:tcPr>
          <w:p w14:paraId="605A8BF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0.63</w:t>
            </w:r>
          </w:p>
        </w:tc>
        <w:tc>
          <w:tcPr>
            <w:tcW w:w="618" w:type="pct"/>
            <w:tcBorders>
              <w:tl2br w:val="nil"/>
              <w:tr2bl w:val="nil"/>
            </w:tcBorders>
            <w:vAlign w:val="center"/>
          </w:tcPr>
          <w:p w14:paraId="598A3BFC">
            <w:pPr>
              <w:jc w:val="center"/>
              <w:rPr>
                <w:rFonts w:hint="default" w:ascii="Times New Roman" w:hAnsi="Times New Roman" w:cs="Times New Roman" w:eastAsiaTheme="majorEastAsia"/>
                <w:color w:val="000000" w:themeColor="text1"/>
                <w:szCs w:val="21"/>
                <w:lang w:val="en-US" w:eastAsia="zh-CN"/>
                <w14:textFill>
                  <w14:solidFill>
                    <w14:schemeClr w14:val="tx1"/>
                  </w14:solidFill>
                </w14:textFill>
              </w:rPr>
            </w:pPr>
            <w:r>
              <w:rPr>
                <w:rFonts w:hint="eastAsia" w:cs="Times New Roman" w:eastAsiaTheme="majorEastAsia"/>
                <w:color w:val="000000" w:themeColor="text1"/>
                <w:szCs w:val="21"/>
                <w:lang w:val="en-US" w:eastAsia="zh-CN"/>
                <w14:textFill>
                  <w14:solidFill>
                    <w14:schemeClr w14:val="tx1"/>
                  </w14:solidFill>
                </w14:textFill>
              </w:rPr>
              <w:t>0</w:t>
            </w:r>
          </w:p>
        </w:tc>
        <w:tc>
          <w:tcPr>
            <w:tcW w:w="550" w:type="pct"/>
            <w:tcBorders>
              <w:tl2br w:val="nil"/>
              <w:tr2bl w:val="nil"/>
            </w:tcBorders>
            <w:vAlign w:val="center"/>
          </w:tcPr>
          <w:p w14:paraId="52BB5C3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5.52</w:t>
            </w:r>
          </w:p>
        </w:tc>
        <w:tc>
          <w:tcPr>
            <w:tcW w:w="500" w:type="pct"/>
            <w:tcBorders>
              <w:tl2br w:val="nil"/>
              <w:tr2bl w:val="nil"/>
            </w:tcBorders>
            <w:vAlign w:val="center"/>
          </w:tcPr>
          <w:p w14:paraId="64B617C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w:t>
            </w:r>
            <w:r>
              <w:rPr>
                <w:rFonts w:hint="default" w:ascii="Times New Roman" w:hAnsi="Times New Roman" w:eastAsia="宋体" w:cs="Times New Roman"/>
                <w:color w:val="000000" w:themeColor="text1"/>
                <w:szCs w:val="21"/>
                <w:lang w:val="en-US" w:eastAsia="zh-CN"/>
                <w14:textFill>
                  <w14:solidFill>
                    <w14:schemeClr w14:val="tx1"/>
                  </w14:solidFill>
                </w14:textFill>
              </w:rPr>
              <w:t>0.63</w:t>
            </w:r>
          </w:p>
        </w:tc>
      </w:tr>
      <w:tr w14:paraId="5A42523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48FC6FCE">
            <w:pPr>
              <w:widowControl/>
              <w:jc w:val="left"/>
              <w:rPr>
                <w:rFonts w:ascii="Times New Roman" w:hAnsi="Times New Roman" w:cs="Times New Roman"/>
                <w:color w:val="000000" w:themeColor="text1"/>
                <w:szCs w:val="21"/>
                <w14:textFill>
                  <w14:solidFill>
                    <w14:schemeClr w14:val="tx1"/>
                  </w14:solidFill>
                </w14:textFill>
              </w:rPr>
            </w:pPr>
          </w:p>
        </w:tc>
        <w:tc>
          <w:tcPr>
            <w:tcW w:w="900" w:type="pct"/>
            <w:vMerge w:val="continue"/>
            <w:tcBorders>
              <w:tl2br w:val="nil"/>
              <w:tr2bl w:val="nil"/>
            </w:tcBorders>
            <w:vAlign w:val="center"/>
          </w:tcPr>
          <w:p w14:paraId="441CFD34">
            <w:pPr>
              <w:widowControl/>
              <w:jc w:val="center"/>
              <w:rPr>
                <w:rFonts w:ascii="Times New Roman" w:hAnsi="Times New Roman" w:cs="Times New Roman"/>
                <w:color w:val="auto"/>
                <w:szCs w:val="21"/>
              </w:rPr>
            </w:pPr>
          </w:p>
        </w:tc>
        <w:tc>
          <w:tcPr>
            <w:tcW w:w="744" w:type="pct"/>
            <w:tcBorders>
              <w:tl2br w:val="nil"/>
              <w:tr2bl w:val="nil"/>
            </w:tcBorders>
            <w:vAlign w:val="center"/>
          </w:tcPr>
          <w:p w14:paraId="450E8FE0">
            <w:pPr>
              <w:widowControl/>
              <w:spacing w:line="300" w:lineRule="exact"/>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无组织颗粒物</w:t>
            </w:r>
          </w:p>
        </w:tc>
        <w:tc>
          <w:tcPr>
            <w:tcW w:w="523" w:type="pct"/>
            <w:tcBorders>
              <w:tl2br w:val="nil"/>
              <w:tr2bl w:val="nil"/>
            </w:tcBorders>
            <w:vAlign w:val="center"/>
          </w:tcPr>
          <w:p w14:paraId="57680809">
            <w:pPr>
              <w:widowControl w:val="0"/>
              <w:tabs>
                <w:tab w:val="left" w:pos="540"/>
              </w:tabs>
              <w:adjustRightInd w:val="0"/>
              <w:snapToGrid w:val="0"/>
              <w:ind w:firstLine="0" w:firstLineChars="0"/>
              <w:jc w:val="center"/>
              <w:rPr>
                <w:rFonts w:hint="default" w:ascii="Times New Roman" w:hAnsi="Times New Roman" w:cs="Times New Roman" w:eastAsiaTheme="majorEastAsia"/>
                <w:color w:val="000000" w:themeColor="text1"/>
                <w:szCs w:val="21"/>
                <w:lang w:val="en-US" w:eastAsia="zh-CN"/>
                <w14:textFill>
                  <w14:solidFill>
                    <w14:schemeClr w14:val="tx1"/>
                  </w14:solidFill>
                </w14:textFill>
              </w:rPr>
            </w:pPr>
            <w:r>
              <w:rPr>
                <w:rFonts w:hint="eastAsia" w:cs="Times New Roman" w:eastAsiaTheme="majorEastAsia"/>
                <w:color w:val="000000" w:themeColor="text1"/>
                <w:szCs w:val="21"/>
                <w:lang w:val="en-US" w:eastAsia="zh-CN"/>
                <w14:textFill>
                  <w14:solidFill>
                    <w14:schemeClr w14:val="tx1"/>
                  </w14:solidFill>
                </w14:textFill>
              </w:rPr>
              <w:t>1.96</w:t>
            </w:r>
          </w:p>
        </w:tc>
        <w:tc>
          <w:tcPr>
            <w:tcW w:w="692" w:type="pct"/>
            <w:tcBorders>
              <w:tl2br w:val="nil"/>
              <w:tr2bl w:val="nil"/>
            </w:tcBorders>
            <w:vAlign w:val="center"/>
          </w:tcPr>
          <w:p w14:paraId="467D1C17">
            <w:pPr>
              <w:widowControl w:val="0"/>
              <w:tabs>
                <w:tab w:val="left" w:pos="540"/>
              </w:tabs>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1.05</w:t>
            </w:r>
          </w:p>
        </w:tc>
        <w:tc>
          <w:tcPr>
            <w:tcW w:w="618" w:type="pct"/>
            <w:tcBorders>
              <w:tl2br w:val="nil"/>
              <w:tr2bl w:val="nil"/>
            </w:tcBorders>
            <w:vAlign w:val="center"/>
          </w:tcPr>
          <w:p w14:paraId="42D89B19">
            <w:pPr>
              <w:jc w:val="center"/>
              <w:rPr>
                <w:rFonts w:hint="default" w:ascii="Times New Roman" w:hAnsi="Times New Roman" w:cs="Times New Roman" w:eastAsiaTheme="majorEastAsia"/>
                <w:color w:val="000000" w:themeColor="text1"/>
                <w:szCs w:val="21"/>
                <w:lang w:val="en-US" w:eastAsia="zh-CN"/>
                <w14:textFill>
                  <w14:solidFill>
                    <w14:schemeClr w14:val="tx1"/>
                  </w14:solidFill>
                </w14:textFill>
              </w:rPr>
            </w:pPr>
            <w:r>
              <w:rPr>
                <w:rFonts w:hint="eastAsia" w:cs="Times New Roman" w:eastAsiaTheme="majorEastAsia"/>
                <w:color w:val="000000" w:themeColor="text1"/>
                <w:szCs w:val="21"/>
                <w:lang w:val="en-US" w:eastAsia="zh-CN"/>
                <w14:textFill>
                  <w14:solidFill>
                    <w14:schemeClr w14:val="tx1"/>
                  </w14:solidFill>
                </w14:textFill>
              </w:rPr>
              <w:t>0</w:t>
            </w:r>
          </w:p>
        </w:tc>
        <w:tc>
          <w:tcPr>
            <w:tcW w:w="550" w:type="pct"/>
            <w:tcBorders>
              <w:tl2br w:val="nil"/>
              <w:tr2bl w:val="nil"/>
            </w:tcBorders>
            <w:vAlign w:val="center"/>
          </w:tcPr>
          <w:p w14:paraId="61DB715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3.01</w:t>
            </w:r>
          </w:p>
        </w:tc>
        <w:tc>
          <w:tcPr>
            <w:tcW w:w="500" w:type="pct"/>
            <w:tcBorders>
              <w:tl2br w:val="nil"/>
              <w:tr2bl w:val="nil"/>
            </w:tcBorders>
            <w:vAlign w:val="center"/>
          </w:tcPr>
          <w:p w14:paraId="6E7DC77E">
            <w:pPr>
              <w:widowControl w:val="0"/>
              <w:tabs>
                <w:tab w:val="left" w:pos="540"/>
              </w:tabs>
              <w:adjustRightInd w:val="0"/>
              <w:snapToGrid w:val="0"/>
              <w:ind w:firstLine="0" w:firstLineChars="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+1.05</w:t>
            </w:r>
          </w:p>
        </w:tc>
      </w:tr>
      <w:tr w14:paraId="3416F00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restart"/>
            <w:tcBorders>
              <w:tl2br w:val="nil"/>
              <w:tr2bl w:val="nil"/>
            </w:tcBorders>
            <w:vAlign w:val="center"/>
          </w:tcPr>
          <w:p w14:paraId="70DA5AAB">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水污染物</w:t>
            </w:r>
          </w:p>
        </w:tc>
        <w:tc>
          <w:tcPr>
            <w:tcW w:w="900" w:type="pct"/>
            <w:tcBorders>
              <w:tl2br w:val="nil"/>
              <w:tr2bl w:val="nil"/>
            </w:tcBorders>
            <w:vAlign w:val="center"/>
          </w:tcPr>
          <w:p w14:paraId="261CDD72">
            <w:pPr>
              <w:widowControl/>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生产</w:t>
            </w:r>
            <w:r>
              <w:rPr>
                <w:rFonts w:hint="eastAsia" w:cs="Times New Roman"/>
                <w:color w:val="000000" w:themeColor="text1"/>
                <w:szCs w:val="21"/>
                <w:lang w:val="en-US" w:eastAsia="zh-CN"/>
                <w14:textFill>
                  <w14:solidFill>
                    <w14:schemeClr w14:val="tx1"/>
                  </w14:solidFill>
                </w14:textFill>
              </w:rPr>
              <w:t>过程</w:t>
            </w:r>
          </w:p>
        </w:tc>
        <w:tc>
          <w:tcPr>
            <w:tcW w:w="744" w:type="pct"/>
            <w:tcBorders>
              <w:tl2br w:val="nil"/>
              <w:tr2bl w:val="nil"/>
            </w:tcBorders>
            <w:vAlign w:val="center"/>
          </w:tcPr>
          <w:p w14:paraId="449D21AC">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生产废水</w:t>
            </w:r>
          </w:p>
        </w:tc>
        <w:tc>
          <w:tcPr>
            <w:tcW w:w="523" w:type="pct"/>
            <w:tcBorders>
              <w:tl2br w:val="nil"/>
              <w:tr2bl w:val="nil"/>
            </w:tcBorders>
            <w:vAlign w:val="center"/>
          </w:tcPr>
          <w:p w14:paraId="341F062C">
            <w:pPr>
              <w:widowControl/>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0B758A1F">
            <w:pPr>
              <w:widowControl/>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cs="Times New Roman"/>
                <w:color w:val="auto"/>
                <w:highlight w:val="none"/>
                <w:lang w:val="en-US" w:eastAsia="zh-CN"/>
              </w:rPr>
              <w:t>0</w:t>
            </w:r>
          </w:p>
        </w:tc>
        <w:tc>
          <w:tcPr>
            <w:tcW w:w="618" w:type="pct"/>
            <w:tcBorders>
              <w:tl2br w:val="nil"/>
              <w:tr2bl w:val="nil"/>
            </w:tcBorders>
            <w:vAlign w:val="center"/>
          </w:tcPr>
          <w:p w14:paraId="2BC7ED82">
            <w:pPr>
              <w:widowControl/>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01085B42">
            <w:pPr>
              <w:widowControl/>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0B22D384">
            <w:pPr>
              <w:widowControl/>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5F8DD4FE">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02" w:hRule="atLeast"/>
        </w:trPr>
        <w:tc>
          <w:tcPr>
            <w:tcW w:w="469" w:type="pct"/>
            <w:vMerge w:val="continue"/>
            <w:tcBorders>
              <w:tl2br w:val="nil"/>
              <w:tr2bl w:val="nil"/>
            </w:tcBorders>
            <w:vAlign w:val="center"/>
          </w:tcPr>
          <w:p w14:paraId="37FE0F4A">
            <w:pPr>
              <w:widowControl/>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29286CDA">
            <w:pPr>
              <w:widowControl/>
              <w:snapToGrid w:val="0"/>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员工</w:t>
            </w:r>
            <w:r>
              <w:rPr>
                <w:rFonts w:ascii="Times New Roman" w:hAnsi="Times New Roman" w:cs="Times New Roman"/>
                <w:color w:val="000000" w:themeColor="text1"/>
                <w:szCs w:val="21"/>
                <w14:textFill>
                  <w14:solidFill>
                    <w14:schemeClr w14:val="tx1"/>
                  </w14:solidFill>
                </w14:textFill>
              </w:rPr>
              <w:t>生活</w:t>
            </w:r>
          </w:p>
        </w:tc>
        <w:tc>
          <w:tcPr>
            <w:tcW w:w="744" w:type="pct"/>
            <w:tcBorders>
              <w:tl2br w:val="nil"/>
              <w:tr2bl w:val="nil"/>
            </w:tcBorders>
            <w:vAlign w:val="center"/>
          </w:tcPr>
          <w:p w14:paraId="2D5A7433">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生活污水</w:t>
            </w:r>
          </w:p>
        </w:tc>
        <w:tc>
          <w:tcPr>
            <w:tcW w:w="523" w:type="pct"/>
            <w:tcBorders>
              <w:tl2br w:val="nil"/>
              <w:tr2bl w:val="nil"/>
            </w:tcBorders>
            <w:vAlign w:val="center"/>
          </w:tcPr>
          <w:p w14:paraId="616C9D8A">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592E8FE1">
            <w:pPr>
              <w:widowControl/>
              <w:spacing w:line="300" w:lineRule="exact"/>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4230A401">
            <w:pPr>
              <w:widowControl/>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462CA042">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2660CF08">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681A16F3">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restart"/>
            <w:tcBorders>
              <w:tl2br w:val="nil"/>
              <w:tr2bl w:val="nil"/>
            </w:tcBorders>
            <w:vAlign w:val="center"/>
          </w:tcPr>
          <w:p w14:paraId="0522196E">
            <w:pPr>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固体废物</w:t>
            </w:r>
          </w:p>
        </w:tc>
        <w:tc>
          <w:tcPr>
            <w:tcW w:w="900" w:type="pct"/>
            <w:tcBorders>
              <w:tl2br w:val="nil"/>
              <w:tr2bl w:val="nil"/>
            </w:tcBorders>
            <w:vAlign w:val="center"/>
          </w:tcPr>
          <w:p w14:paraId="2F08EC54">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尾矿干排</w:t>
            </w:r>
          </w:p>
        </w:tc>
        <w:tc>
          <w:tcPr>
            <w:tcW w:w="744" w:type="pct"/>
            <w:tcBorders>
              <w:tl2br w:val="nil"/>
              <w:tr2bl w:val="nil"/>
            </w:tcBorders>
            <w:vAlign w:val="center"/>
          </w:tcPr>
          <w:p w14:paraId="485C9935">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尾矿</w:t>
            </w:r>
          </w:p>
        </w:tc>
        <w:tc>
          <w:tcPr>
            <w:tcW w:w="523" w:type="pct"/>
            <w:tcBorders>
              <w:tl2br w:val="nil"/>
              <w:tr2bl w:val="nil"/>
            </w:tcBorders>
            <w:vAlign w:val="center"/>
          </w:tcPr>
          <w:p w14:paraId="23329B1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17AD7B6B">
            <w:pPr>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508F4F25">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24621D3D">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1895673A">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75504A2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64C7E04A">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7FCDBAEC">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除尘器除尘</w:t>
            </w:r>
          </w:p>
        </w:tc>
        <w:tc>
          <w:tcPr>
            <w:tcW w:w="744" w:type="pct"/>
            <w:tcBorders>
              <w:tl2br w:val="nil"/>
              <w:tr2bl w:val="nil"/>
            </w:tcBorders>
            <w:vAlign w:val="center"/>
          </w:tcPr>
          <w:p w14:paraId="3754323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除尘灰</w:t>
            </w:r>
          </w:p>
        </w:tc>
        <w:tc>
          <w:tcPr>
            <w:tcW w:w="523" w:type="pct"/>
            <w:tcBorders>
              <w:tl2br w:val="nil"/>
              <w:tr2bl w:val="nil"/>
            </w:tcBorders>
            <w:vAlign w:val="center"/>
          </w:tcPr>
          <w:p w14:paraId="301B5B6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04C07190">
            <w:pPr>
              <w:jc w:val="center"/>
              <w:rPr>
                <w:rFonts w:hint="default" w:ascii="Times New Roman" w:hAnsi="Times New Roman" w:cs="Times New Roman"/>
                <w:color w:val="000000" w:themeColor="text1"/>
                <w:szCs w:val="21"/>
                <w:lang w:val="en-US"/>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237C14C3">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2EF19A69">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71778F42">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7E7DA66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745D683D">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4D1908E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设备维修保养</w:t>
            </w:r>
          </w:p>
        </w:tc>
        <w:tc>
          <w:tcPr>
            <w:tcW w:w="744" w:type="pct"/>
            <w:tcBorders>
              <w:tl2br w:val="nil"/>
              <w:tr2bl w:val="nil"/>
            </w:tcBorders>
            <w:vAlign w:val="center"/>
          </w:tcPr>
          <w:p w14:paraId="7467A6C3">
            <w:pPr>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废机油</w:t>
            </w:r>
          </w:p>
        </w:tc>
        <w:tc>
          <w:tcPr>
            <w:tcW w:w="523" w:type="pct"/>
            <w:tcBorders>
              <w:tl2br w:val="nil"/>
              <w:tr2bl w:val="nil"/>
            </w:tcBorders>
            <w:vAlign w:val="center"/>
          </w:tcPr>
          <w:p w14:paraId="6D4DCD3F">
            <w:pPr>
              <w:jc w:val="center"/>
              <w:rPr>
                <w:rFonts w:hint="default" w:cs="Times New Roman"/>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36708A9D">
            <w:pPr>
              <w:jc w:val="center"/>
              <w:rPr>
                <w:rFonts w:hint="eastAsia"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02DF95F7">
            <w:pPr>
              <w:widowControl/>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3493AEAC">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6B18774C">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1EFD9792">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012C02D3">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7F87F80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设备维修保养</w:t>
            </w:r>
          </w:p>
        </w:tc>
        <w:tc>
          <w:tcPr>
            <w:tcW w:w="744" w:type="pct"/>
            <w:tcBorders>
              <w:tl2br w:val="nil"/>
              <w:tr2bl w:val="nil"/>
            </w:tcBorders>
            <w:vAlign w:val="center"/>
          </w:tcPr>
          <w:p w14:paraId="1D81CDA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废油桶</w:t>
            </w:r>
          </w:p>
        </w:tc>
        <w:tc>
          <w:tcPr>
            <w:tcW w:w="523" w:type="pct"/>
            <w:tcBorders>
              <w:tl2br w:val="nil"/>
              <w:tr2bl w:val="nil"/>
            </w:tcBorders>
            <w:vAlign w:val="center"/>
          </w:tcPr>
          <w:p w14:paraId="48D8414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430AE85B">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47CFDF70">
            <w:pPr>
              <w:widowControl/>
              <w:snapToGrid w:val="0"/>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2A229629">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763821C9">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196B7487">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712A7E0F">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1B215EE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浮选过程</w:t>
            </w:r>
          </w:p>
        </w:tc>
        <w:tc>
          <w:tcPr>
            <w:tcW w:w="744" w:type="pct"/>
            <w:tcBorders>
              <w:tl2br w:val="nil"/>
              <w:tr2bl w:val="nil"/>
            </w:tcBorders>
            <w:vAlign w:val="center"/>
          </w:tcPr>
          <w:p w14:paraId="6F42AE7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浮选剂废包装</w:t>
            </w:r>
          </w:p>
        </w:tc>
        <w:tc>
          <w:tcPr>
            <w:tcW w:w="523" w:type="pct"/>
            <w:tcBorders>
              <w:tl2br w:val="nil"/>
              <w:tr2bl w:val="nil"/>
            </w:tcBorders>
            <w:vAlign w:val="center"/>
          </w:tcPr>
          <w:p w14:paraId="65A7485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72E6BAFA">
            <w:pPr>
              <w:jc w:val="center"/>
              <w:rPr>
                <w:rFonts w:hint="eastAsia"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3C2BC79B">
            <w:pPr>
              <w:widowControl/>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0A4599EC">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243D7565">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r w14:paraId="1F293474">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69" w:type="pct"/>
            <w:vMerge w:val="continue"/>
            <w:tcBorders>
              <w:tl2br w:val="nil"/>
              <w:tr2bl w:val="nil"/>
            </w:tcBorders>
            <w:vAlign w:val="center"/>
          </w:tcPr>
          <w:p w14:paraId="7CC06A41">
            <w:pPr>
              <w:snapToGrid w:val="0"/>
              <w:jc w:val="center"/>
              <w:rPr>
                <w:rFonts w:ascii="Times New Roman" w:hAnsi="Times New Roman" w:cs="Times New Roman"/>
                <w:color w:val="000000" w:themeColor="text1"/>
                <w:szCs w:val="21"/>
                <w14:textFill>
                  <w14:solidFill>
                    <w14:schemeClr w14:val="tx1"/>
                  </w14:solidFill>
                </w14:textFill>
              </w:rPr>
            </w:pPr>
          </w:p>
        </w:tc>
        <w:tc>
          <w:tcPr>
            <w:tcW w:w="900" w:type="pct"/>
            <w:tcBorders>
              <w:tl2br w:val="nil"/>
              <w:tr2bl w:val="nil"/>
            </w:tcBorders>
            <w:vAlign w:val="center"/>
          </w:tcPr>
          <w:p w14:paraId="39D0CE0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员工生活</w:t>
            </w:r>
          </w:p>
        </w:tc>
        <w:tc>
          <w:tcPr>
            <w:tcW w:w="744" w:type="pct"/>
            <w:tcBorders>
              <w:tl2br w:val="nil"/>
              <w:tr2bl w:val="nil"/>
            </w:tcBorders>
            <w:vAlign w:val="center"/>
          </w:tcPr>
          <w:p w14:paraId="731873F6">
            <w:pPr>
              <w:jc w:val="center"/>
              <w:rPr>
                <w:rFonts w:hint="default"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生活垃圾</w:t>
            </w:r>
          </w:p>
        </w:tc>
        <w:tc>
          <w:tcPr>
            <w:tcW w:w="523" w:type="pct"/>
            <w:tcBorders>
              <w:tl2br w:val="nil"/>
              <w:tr2bl w:val="nil"/>
            </w:tcBorders>
            <w:vAlign w:val="center"/>
          </w:tcPr>
          <w:p w14:paraId="056D969E">
            <w:pPr>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92" w:type="pct"/>
            <w:tcBorders>
              <w:tl2br w:val="nil"/>
              <w:tr2bl w:val="nil"/>
            </w:tcBorders>
            <w:vAlign w:val="center"/>
          </w:tcPr>
          <w:p w14:paraId="47C18226">
            <w:pPr>
              <w:jc w:val="center"/>
              <w:rPr>
                <w:rFonts w:hint="default" w:cs="Times New Roman"/>
                <w:color w:val="000000" w:themeColor="text1"/>
                <w:szCs w:val="21"/>
                <w:highlight w:val="none"/>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618" w:type="pct"/>
            <w:tcBorders>
              <w:tl2br w:val="nil"/>
              <w:tr2bl w:val="nil"/>
            </w:tcBorders>
            <w:vAlign w:val="center"/>
          </w:tcPr>
          <w:p w14:paraId="7D77BDB9">
            <w:pPr>
              <w:widowControl/>
              <w:snapToGrid w:val="0"/>
              <w:jc w:val="center"/>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50" w:type="pct"/>
            <w:tcBorders>
              <w:tl2br w:val="nil"/>
              <w:tr2bl w:val="nil"/>
            </w:tcBorders>
            <w:vAlign w:val="center"/>
          </w:tcPr>
          <w:p w14:paraId="571790E6">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500" w:type="pct"/>
            <w:tcBorders>
              <w:tl2br w:val="nil"/>
              <w:tr2bl w:val="nil"/>
            </w:tcBorders>
            <w:vAlign w:val="center"/>
          </w:tcPr>
          <w:p w14:paraId="4FF18ABC">
            <w:pPr>
              <w:widowControl/>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r>
    </w:tbl>
    <w:p w14:paraId="0DA9813D">
      <w:pPr>
        <w:tabs>
          <w:tab w:val="left" w:pos="7538"/>
        </w:tabs>
        <w:rPr>
          <w:rFonts w:hint="eastAsia"/>
          <w:b/>
          <w:color w:val="auto"/>
          <w:sz w:val="32"/>
          <w:szCs w:val="28"/>
          <w:lang w:val="en-US" w:eastAsia="zh-CN"/>
        </w:rPr>
      </w:pPr>
    </w:p>
    <w:p w14:paraId="4F1B5727">
      <w:pPr>
        <w:rPr>
          <w:color w:val="auto"/>
        </w:rPr>
        <w:sectPr>
          <w:footerReference r:id="rId8" w:type="default"/>
          <w:pgSz w:w="16838" w:h="11906"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0D0B67CC">
      <w:pPr>
        <w:pStyle w:val="3"/>
        <w:bidi w:val="0"/>
        <w:rPr>
          <w:rFonts w:hint="eastAsia"/>
          <w:sz w:val="32"/>
          <w:szCs w:val="32"/>
          <w:lang w:val="en-US" w:eastAsia="zh-CN"/>
        </w:rPr>
      </w:pPr>
      <w:bookmarkStart w:id="68" w:name="_Toc436571628"/>
      <w:bookmarkEnd w:id="68"/>
      <w:bookmarkStart w:id="69" w:name="_Toc5921"/>
      <w:r>
        <w:rPr>
          <w:rFonts w:hint="eastAsia"/>
          <w:sz w:val="32"/>
          <w:szCs w:val="32"/>
          <w:lang w:val="en-US" w:eastAsia="zh-CN"/>
        </w:rPr>
        <w:t>4自然环境概况</w:t>
      </w:r>
      <w:bookmarkEnd w:id="69"/>
    </w:p>
    <w:p w14:paraId="1B918216">
      <w:pPr>
        <w:pStyle w:val="4"/>
        <w:bidi w:val="0"/>
        <w:rPr>
          <w:rFonts w:hint="default" w:ascii="Times New Roman" w:hAnsi="Times New Roman" w:cs="Times New Roman" w:eastAsiaTheme="minorEastAsia"/>
          <w:lang w:val="en-US" w:eastAsia="zh-CN"/>
        </w:rPr>
      </w:pPr>
      <w:bookmarkStart w:id="70" w:name="_Toc20454"/>
      <w:r>
        <w:rPr>
          <w:rFonts w:hint="default" w:ascii="Times New Roman" w:hAnsi="Times New Roman" w:cs="Times New Roman" w:eastAsiaTheme="minorEastAsia"/>
          <w:lang w:val="en-US" w:eastAsia="zh-CN"/>
        </w:rPr>
        <w:t>4.1自然概况</w:t>
      </w:r>
      <w:bookmarkEnd w:id="70"/>
    </w:p>
    <w:p w14:paraId="453DFD48">
      <w:pPr>
        <w:pStyle w:val="5"/>
        <w:bidi w:val="0"/>
        <w:rPr>
          <w:rFonts w:hint="default"/>
          <w:lang w:val="en-US" w:eastAsia="zh-CN"/>
        </w:rPr>
      </w:pPr>
      <w:r>
        <w:rPr>
          <w:rFonts w:hint="eastAsia"/>
          <w:lang w:val="en-US" w:eastAsia="zh-CN"/>
        </w:rPr>
        <w:t>4.1.1地理位置</w:t>
      </w:r>
    </w:p>
    <w:p w14:paraId="472A1DED">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北票市位于辽宁西部</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大凌河中游</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东经 120°15-121°17</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北纬 41°24'-42°17'</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东西83.25km，南北长129.5km，南临锦州，北接内蒙古自治区，是辽蒙冀中心区域，环渤海经济圈的重要组成部分</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全市总面积4469km</w:t>
      </w:r>
      <w:r>
        <w:rPr>
          <w:rFonts w:hint="eastAsia" w:eastAsia="宋体" w:cs="Times New Roman"/>
          <w:color w:val="auto"/>
          <w:kern w:val="2"/>
          <w:sz w:val="24"/>
          <w:szCs w:val="24"/>
          <w:highlight w:val="none"/>
          <w:vertAlign w:val="superscript"/>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w:t>
      </w:r>
    </w:p>
    <w:p w14:paraId="41268B5C">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ascii="Times New Roman" w:eastAsia="宋体"/>
          <w:color w:val="auto"/>
          <w:lang w:val="en-US" w:eastAsia="zh-CN"/>
        </w:rPr>
        <w:t>位于辽宁省朝阳市北票市娄家店乡冯家营村</w:t>
      </w:r>
      <w:r>
        <w:rPr>
          <w:rFonts w:hint="default" w:ascii="Times New Roman" w:hAnsi="Times New Roman" w:eastAsia="宋体" w:cs="Times New Roman"/>
          <w:color w:val="auto"/>
          <w:kern w:val="2"/>
          <w:sz w:val="24"/>
          <w:szCs w:val="24"/>
          <w:highlight w:val="none"/>
          <w:lang w:val="en-US" w:eastAsia="zh-CN" w:bidi="ar-SA"/>
        </w:rPr>
        <w:t>，行政区划隶属青峰山乡管辖。中心地理坐标：</w:t>
      </w:r>
      <w:r>
        <w:rPr>
          <w:rFonts w:hint="eastAsia" w:eastAsia="宋体" w:cs="Times New Roman"/>
          <w:color w:val="auto"/>
          <w:kern w:val="2"/>
          <w:sz w:val="24"/>
          <w:szCs w:val="24"/>
          <w:highlight w:val="none"/>
          <w:lang w:val="en-US" w:eastAsia="zh-CN" w:bidi="ar-SA"/>
        </w:rPr>
        <w:t>经度：</w:t>
      </w:r>
      <w:r>
        <w:rPr>
          <w:rFonts w:hint="default" w:ascii="Times New Roman" w:hAnsi="Times New Roman" w:eastAsia="宋体" w:cs="Times New Roman"/>
          <w:color w:val="auto"/>
          <w:kern w:val="2"/>
          <w:sz w:val="24"/>
          <w:szCs w:val="24"/>
          <w:highlight w:val="none"/>
          <w:lang w:val="en-US" w:eastAsia="zh-CN" w:bidi="ar-SA"/>
        </w:rPr>
        <w:t>120.62018397</w:t>
      </w:r>
      <w:r>
        <w:rPr>
          <w:rFonts w:hint="eastAsia" w:eastAsia="宋体" w:cs="Times New Roman"/>
          <w:color w:val="auto"/>
          <w:kern w:val="2"/>
          <w:sz w:val="24"/>
          <w:szCs w:val="24"/>
          <w:highlight w:val="none"/>
          <w:lang w:val="en-US" w:eastAsia="zh-CN" w:bidi="ar-SA"/>
        </w:rPr>
        <w:t>°，纬度：</w:t>
      </w:r>
      <w:r>
        <w:rPr>
          <w:rFonts w:hint="default" w:ascii="Times New Roman" w:hAnsi="Times New Roman" w:eastAsia="宋体" w:cs="Times New Roman"/>
          <w:color w:val="auto"/>
          <w:kern w:val="2"/>
          <w:sz w:val="24"/>
          <w:szCs w:val="24"/>
          <w:highlight w:val="none"/>
          <w:lang w:val="en-US" w:eastAsia="zh-CN" w:bidi="ar-SA"/>
        </w:rPr>
        <w:t>42.03525535</w:t>
      </w:r>
      <w:r>
        <w:rPr>
          <w:rFonts w:hint="eastAsia"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w:t>
      </w:r>
      <w:r>
        <w:rPr>
          <w:rFonts w:hint="eastAsia" w:eastAsia="宋体" w:cs="Times New Roman"/>
          <w:color w:val="auto"/>
          <w:kern w:val="2"/>
          <w:sz w:val="24"/>
          <w:szCs w:val="24"/>
          <w:highlight w:val="none"/>
          <w:lang w:val="en-US" w:eastAsia="zh-CN" w:bidi="ar-SA"/>
        </w:rPr>
        <w:t>地理位置图如下</w:t>
      </w:r>
      <w:r>
        <w:rPr>
          <w:rFonts w:hint="default" w:ascii="Times New Roman" w:hAnsi="Times New Roman" w:eastAsia="宋体" w:cs="Times New Roman"/>
          <w:color w:val="auto"/>
          <w:kern w:val="2"/>
          <w:sz w:val="24"/>
          <w:szCs w:val="24"/>
          <w:highlight w:val="none"/>
          <w:lang w:val="en-US" w:eastAsia="zh-CN" w:bidi="ar-SA"/>
        </w:rPr>
        <w:t>。</w:t>
      </w:r>
    </w:p>
    <w:p w14:paraId="19EDC6C6">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p>
    <w:p w14:paraId="5043F90D">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p>
    <w:p w14:paraId="4432915B">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p>
    <w:p w14:paraId="33E220FA">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p>
    <w:p w14:paraId="4BF37C2A">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pPr>
    </w:p>
    <w:p w14:paraId="37ADBE81">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highlight w:val="none"/>
          <w:lang w:val="en-US" w:eastAsia="zh-CN" w:bidi="ar-SA"/>
        </w:rPr>
        <w:sectPr>
          <w:footerReference r:id="rId9" w:type="default"/>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3220D857">
      <w:pPr>
        <w:pStyle w:val="1486"/>
        <w:keepNext w:val="0"/>
        <w:keepLines w:val="0"/>
        <w:pageBreakBefore w:val="0"/>
        <w:widowControl w:val="0"/>
        <w:kinsoku/>
        <w:wordWrap/>
        <w:overflowPunct/>
        <w:topLinePunct w:val="0"/>
        <w:autoSpaceDE/>
        <w:autoSpaceDN/>
        <w:bidi w:val="0"/>
        <w:adjustRightInd/>
        <w:spacing w:line="360" w:lineRule="auto"/>
        <w:ind w:left="0" w:leftChars="0" w:firstLine="0" w:firstLineChars="0"/>
        <w:rPr>
          <w:rFonts w:hint="eastAsia" w:ascii="Times New Roman" w:hAnsi="Times New Roman" w:eastAsia="宋体" w:cs="Times New Roman"/>
          <w:color w:val="auto"/>
          <w:highlight w:val="none"/>
          <w:lang w:eastAsia="zh-CN"/>
        </w:rPr>
      </w:pPr>
      <w:r>
        <w:drawing>
          <wp:anchor distT="0" distB="0" distL="114300" distR="114300" simplePos="0" relativeHeight="251882496" behindDoc="0" locked="0" layoutInCell="1" allowOverlap="1">
            <wp:simplePos x="0" y="0"/>
            <wp:positionH relativeFrom="column">
              <wp:posOffset>6931660</wp:posOffset>
            </wp:positionH>
            <wp:positionV relativeFrom="paragraph">
              <wp:posOffset>278765</wp:posOffset>
            </wp:positionV>
            <wp:extent cx="410210" cy="756285"/>
            <wp:effectExtent l="0" t="0" r="8890" b="5715"/>
            <wp:wrapNone/>
            <wp:docPr id="2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5"/>
                    <pic:cNvPicPr>
                      <a:picLocks noChangeAspect="1"/>
                    </pic:cNvPicPr>
                  </pic:nvPicPr>
                  <pic:blipFill>
                    <a:blip r:embed="rId34"/>
                    <a:srcRect t="915"/>
                    <a:stretch>
                      <a:fillRect/>
                    </a:stretch>
                  </pic:blipFill>
                  <pic:spPr>
                    <a:xfrm>
                      <a:off x="0" y="0"/>
                      <a:ext cx="410210" cy="756285"/>
                    </a:xfrm>
                    <a:prstGeom prst="rect">
                      <a:avLst/>
                    </a:prstGeom>
                    <a:noFill/>
                    <a:ln>
                      <a:noFill/>
                    </a:ln>
                  </pic:spPr>
                </pic:pic>
              </a:graphicData>
            </a:graphic>
          </wp:anchor>
        </w:drawing>
      </w:r>
      <w:r>
        <w:rPr>
          <w:sz w:val="24"/>
        </w:rPr>
        <mc:AlternateContent>
          <mc:Choice Requires="wps">
            <w:drawing>
              <wp:anchor distT="0" distB="0" distL="114300" distR="114300" simplePos="0" relativeHeight="251854848" behindDoc="0" locked="0" layoutInCell="1" allowOverlap="1">
                <wp:simplePos x="0" y="0"/>
                <wp:positionH relativeFrom="column">
                  <wp:posOffset>1139825</wp:posOffset>
                </wp:positionH>
                <wp:positionV relativeFrom="paragraph">
                  <wp:posOffset>1116330</wp:posOffset>
                </wp:positionV>
                <wp:extent cx="75565" cy="75565"/>
                <wp:effectExtent l="12700" t="12700" r="26035" b="26035"/>
                <wp:wrapNone/>
                <wp:docPr id="250" name="椭圆 250"/>
                <wp:cNvGraphicFramePr/>
                <a:graphic xmlns:a="http://schemas.openxmlformats.org/drawingml/2006/main">
                  <a:graphicData uri="http://schemas.microsoft.com/office/word/2010/wordprocessingShape">
                    <wps:wsp>
                      <wps:cNvSpPr/>
                      <wps:spPr>
                        <a:xfrm>
                          <a:off x="2291080" y="2132965"/>
                          <a:ext cx="75565" cy="75565"/>
                        </a:xfrm>
                        <a:prstGeom prst="ellipse">
                          <a:avLst/>
                        </a:prstGeom>
                        <a:solidFill>
                          <a:srgbClr val="FF0000"/>
                        </a:solid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9.75pt;margin-top:87.9pt;height:5.95pt;width:5.95pt;z-index:251854848;v-text-anchor:middle;mso-width-relative:page;mso-height-relative:page;" fillcolor="#FF0000" filled="t" stroked="t" coordsize="21600,21600" o:gfxdata="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5vx6qtYAAAALAQAADwAAAAAAAAABACAAAAAiAAAAZHJzL2Rvd25yZXYueG1sUEsB&#10;AhQAFAAAAAgAh07iQJWD4s1pAgAA7QQAAA4AAAAAAAAAAQAgAAAAJQEAAGRycy9lMm9Eb2MueG1s&#10;UEsFBgAAAAAGAAYAWQEAAAAGAAAAAA==&#10;">
                <v:fill on="t" focussize="0,0"/>
                <v:stroke weight="2pt" color="#FF0000 [2404]" joinstyle="round"/>
                <v:imagedata o:title=""/>
                <o:lock v:ext="edit" aspectratio="f"/>
              </v:shape>
            </w:pict>
          </mc:Fallback>
        </mc:AlternateContent>
      </w:r>
      <w:r>
        <w:rPr>
          <w:rFonts w:hint="eastAsia" w:eastAsia="宋体" w:cs="Times New Roman"/>
          <w:color w:val="auto"/>
          <w:highlight w:val="none"/>
          <w:lang w:val="en-US" w:eastAsia="zh-CN"/>
        </w:rPr>
        <w:t xml:space="preserve">             </w:t>
      </w:r>
      <w:r>
        <w:rPr>
          <w:rFonts w:hint="eastAsia" w:ascii="Times New Roman" w:hAnsi="Times New Roman" w:eastAsia="宋体" w:cs="Times New Roman"/>
          <w:color w:val="auto"/>
          <w:highlight w:val="none"/>
          <w:lang w:eastAsia="zh-CN"/>
        </w:rPr>
        <w:drawing>
          <wp:inline distT="0" distB="0" distL="114300" distR="114300">
            <wp:extent cx="6445885" cy="4867275"/>
            <wp:effectExtent l="0" t="0" r="12065" b="9525"/>
            <wp:docPr id="249" name="图片 249" descr="大力选矿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大力选矿厂"/>
                    <pic:cNvPicPr>
                      <a:picLocks noChangeAspect="1"/>
                    </pic:cNvPicPr>
                  </pic:nvPicPr>
                  <pic:blipFill>
                    <a:blip r:embed="rId45"/>
                    <a:stretch>
                      <a:fillRect/>
                    </a:stretch>
                  </pic:blipFill>
                  <pic:spPr>
                    <a:xfrm>
                      <a:off x="0" y="0"/>
                      <a:ext cx="6445885" cy="4867275"/>
                    </a:xfrm>
                    <a:prstGeom prst="rect">
                      <a:avLst/>
                    </a:prstGeom>
                  </pic:spPr>
                </pic:pic>
              </a:graphicData>
            </a:graphic>
          </wp:inline>
        </w:drawing>
      </w:r>
    </w:p>
    <w:p w14:paraId="662E276F">
      <w:pPr>
        <w:pStyle w:val="1486"/>
        <w:keepNext w:val="0"/>
        <w:keepLines w:val="0"/>
        <w:pageBreakBefore w:val="0"/>
        <w:widowControl w:val="0"/>
        <w:kinsoku/>
        <w:wordWrap/>
        <w:overflowPunct/>
        <w:topLinePunct w:val="0"/>
        <w:autoSpaceDE/>
        <w:autoSpaceDN/>
        <w:bidi w:val="0"/>
        <w:adjustRightInd/>
        <w:spacing w:line="360" w:lineRule="auto"/>
        <w:ind w:left="0" w:leftChars="0" w:firstLine="0" w:firstLineChars="0"/>
        <w:jc w:val="center"/>
        <w:rPr>
          <w:rFonts w:hint="eastAsia" w:eastAsia="宋体" w:cs="Times New Roman"/>
          <w:b/>
          <w:bCs/>
          <w:color w:val="auto"/>
          <w:highlight w:val="none"/>
          <w:lang w:val="en-US" w:eastAsia="zh-CN"/>
        </w:rPr>
        <w:sectPr>
          <w:pgSz w:w="16838" w:h="11906"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eastAsia="宋体" w:cs="Times New Roman"/>
          <w:b/>
          <w:bCs/>
          <w:color w:val="auto"/>
          <w:highlight w:val="none"/>
          <w:lang w:val="en-US" w:eastAsia="zh-CN"/>
        </w:rPr>
        <w:t>图4.1-1 本项目相对于朝阳市的位置关系图</w:t>
      </w:r>
    </w:p>
    <w:p w14:paraId="69EA4467">
      <w:pPr>
        <w:pStyle w:val="5"/>
        <w:bidi w:val="0"/>
        <w:rPr>
          <w:rFonts w:hint="eastAsia"/>
          <w:lang w:val="en-US" w:eastAsia="zh-CN"/>
        </w:rPr>
      </w:pPr>
      <w:bookmarkStart w:id="71" w:name="_Toc71877447"/>
      <w:bookmarkEnd w:id="71"/>
      <w:bookmarkStart w:id="72" w:name="_Toc121171050"/>
      <w:bookmarkEnd w:id="72"/>
      <w:r>
        <w:rPr>
          <w:rFonts w:hint="eastAsia"/>
          <w:lang w:val="en-US" w:eastAsia="zh-CN"/>
        </w:rPr>
        <w:t>4.1.2 气象气候</w:t>
      </w:r>
    </w:p>
    <w:p w14:paraId="037A2B0F">
      <w:pPr>
        <w:bidi w:val="0"/>
        <w:spacing w:line="360" w:lineRule="auto"/>
        <w:ind w:firstLine="480" w:firstLineChars="200"/>
        <w:rPr>
          <w:rFonts w:hint="eastAsia"/>
          <w:sz w:val="24"/>
          <w:szCs w:val="32"/>
          <w:lang w:val="en-US" w:eastAsia="zh-CN"/>
        </w:rPr>
      </w:pPr>
      <w:r>
        <w:rPr>
          <w:rFonts w:hint="eastAsia"/>
          <w:sz w:val="24"/>
          <w:szCs w:val="32"/>
          <w:lang w:val="en-US" w:eastAsia="zh-CN"/>
        </w:rPr>
        <w:t>北票市属辽西低山丘陵地带，属暖温带半湿润的大陆性季风气候区，其特点四季分明，春季风大，雨少，蒸发量大，空气干燥，但气温回升快，日差较大;夏季炎热，雨量较集中，属雨热高峰；秋季雨量减少，温度下降较快，日温差明显增大;冬季寒冷，降雪量少，空气干燥。年均降水量474.7mm，大部分集中在七、八、九月，约占全年降水量的50.9%，作物生育期(四~九月)降雨量为436.7mm。年均蒸发量为2049.1mm，年均气温为8.7℃，七月份最高，月平均气温为 24.7℃，一月份最低，月平均气温为-10.2℃，全年平均日照时数为2933.1h，秋冬两季多北风，春夏多南风，年平均风速2.5m/s，最大风速为18.0m/s。无霜期为150d，地面冻结始于10月下旬，解冻在4月上旬左右，最大冻土深度为1.3m。</w:t>
      </w:r>
    </w:p>
    <w:p w14:paraId="3526E5FA">
      <w:pPr>
        <w:pStyle w:val="5"/>
        <w:bidi w:val="0"/>
        <w:rPr>
          <w:rFonts w:hint="eastAsia"/>
          <w:lang w:val="en-US" w:eastAsia="zh-CN"/>
        </w:rPr>
      </w:pPr>
      <w:r>
        <w:rPr>
          <w:rFonts w:hint="eastAsia"/>
          <w:lang w:val="en-US" w:eastAsia="zh-CN"/>
        </w:rPr>
        <w:t>4.1.3 水文</w:t>
      </w:r>
    </w:p>
    <w:p w14:paraId="1E5EE70D">
      <w:pPr>
        <w:bidi w:val="0"/>
        <w:spacing w:line="360" w:lineRule="auto"/>
        <w:ind w:firstLine="480" w:firstLineChars="200"/>
        <w:rPr>
          <w:rFonts w:hint="eastAsia"/>
          <w:sz w:val="24"/>
          <w:szCs w:val="32"/>
          <w:lang w:val="en-US" w:eastAsia="zh-CN"/>
        </w:rPr>
      </w:pPr>
      <w:r>
        <w:rPr>
          <w:rFonts w:hint="eastAsia"/>
          <w:sz w:val="24"/>
          <w:szCs w:val="32"/>
          <w:lang w:val="en-US" w:eastAsia="zh-CN"/>
        </w:rPr>
        <w:t>北票市境内大凌河、小凌河两水系。大凌河和牤牛河的支流及小凌河水系多为季节河，总计有大小河流1680余条，各支流均与次一级构造线平行，与主流呈直交或近似直交的格网水系,其中面积100平方公里以上流域的河流有13条，主要有大凌河、牤牛河、柳河、长皋河、蒙古营河、十八奋河、马友营河、老寨川河、黑城子河、西官营河、东官营河、顾洞河及巴图营河。本项目附近地表水为蒙古营子河，为季节性河流，水体不发育，附近无常年地表水体。</w:t>
      </w:r>
    </w:p>
    <w:p w14:paraId="7005CDB3">
      <w:pPr>
        <w:pStyle w:val="5"/>
        <w:bidi w:val="0"/>
        <w:rPr>
          <w:rFonts w:hint="eastAsia"/>
          <w:lang w:val="en-US" w:eastAsia="zh-CN"/>
        </w:rPr>
      </w:pPr>
      <w:r>
        <w:rPr>
          <w:rFonts w:hint="eastAsia"/>
          <w:lang w:val="en-US" w:eastAsia="zh-CN"/>
        </w:rPr>
        <w:t>4.1.4地形地貌</w:t>
      </w:r>
    </w:p>
    <w:p w14:paraId="38B86C49">
      <w:pPr>
        <w:bidi w:val="0"/>
        <w:spacing w:line="360" w:lineRule="auto"/>
        <w:ind w:firstLine="480" w:firstLineChars="200"/>
        <w:rPr>
          <w:rFonts w:hint="default"/>
          <w:sz w:val="24"/>
          <w:szCs w:val="32"/>
          <w:lang w:val="en-US" w:eastAsia="zh-CN"/>
        </w:rPr>
      </w:pPr>
      <w:r>
        <w:rPr>
          <w:rFonts w:hint="default"/>
          <w:sz w:val="24"/>
          <w:szCs w:val="32"/>
          <w:lang w:val="en-US" w:eastAsia="zh-CN"/>
        </w:rPr>
        <w:t>北票市是一个“七山一水二分田”的丘陵山区。境内四周高，中间低，西北绵亘大青山脉，主要山峰平顶山，海拔1074m。南部为起伏的松岭山脉</w:t>
      </w:r>
      <w:r>
        <w:rPr>
          <w:rFonts w:hint="eastAsia"/>
          <w:sz w:val="24"/>
          <w:szCs w:val="32"/>
          <w:lang w:val="en-US" w:eastAsia="zh-CN"/>
        </w:rPr>
        <w:t>；</w:t>
      </w:r>
      <w:r>
        <w:rPr>
          <w:rFonts w:hint="default"/>
          <w:sz w:val="24"/>
          <w:szCs w:val="32"/>
          <w:lang w:val="en-US" w:eastAsia="zh-CN"/>
        </w:rPr>
        <w:t>中部为海拔 200m左右的低丘。</w:t>
      </w:r>
    </w:p>
    <w:p w14:paraId="4970F004">
      <w:pPr>
        <w:bidi w:val="0"/>
        <w:spacing w:line="360" w:lineRule="auto"/>
        <w:ind w:firstLine="480" w:firstLineChars="200"/>
        <w:rPr>
          <w:rFonts w:hint="default"/>
          <w:sz w:val="24"/>
          <w:szCs w:val="32"/>
          <w:lang w:val="en-US" w:eastAsia="zh-CN"/>
        </w:rPr>
      </w:pPr>
      <w:r>
        <w:rPr>
          <w:rFonts w:hint="default"/>
          <w:sz w:val="24"/>
          <w:szCs w:val="32"/>
          <w:lang w:val="en-US" w:eastAsia="zh-CN"/>
        </w:rPr>
        <w:t>项目位于辽宁西部山区，地处努鲁儿虎山山系，处于辽西构造剥蚀低山区山脊多呈鱼脊状。地形总体上南西高、北东低，地形起伏大，地形最高海拔标高548m，最低海拔标高398m，相对高差150m，当地侵蚀基准面为390m。区内沟谷呈现中等切割构造剥蚀，侵蚀堆积地貌景观。第四系岩性主要为砂、砾石、岩石碎块及粘性土组成的残坡积、坡洪积,局部冲沟口堆积形成不规则的小透镜体，厚度在 2~5m。</w:t>
      </w:r>
    </w:p>
    <w:p w14:paraId="1DB2FD0A">
      <w:pPr>
        <w:pStyle w:val="5"/>
        <w:bidi w:val="0"/>
        <w:rPr>
          <w:rFonts w:hint="eastAsia"/>
          <w:lang w:val="en-US" w:eastAsia="zh-CN"/>
        </w:rPr>
      </w:pPr>
      <w:r>
        <w:rPr>
          <w:rFonts w:hint="eastAsia"/>
          <w:lang w:val="en-US" w:eastAsia="zh-CN"/>
        </w:rPr>
        <w:t>4.1.5 区域地质与构造</w:t>
      </w:r>
    </w:p>
    <w:p w14:paraId="27325B26">
      <w:pPr>
        <w:bidi w:val="0"/>
        <w:spacing w:line="360" w:lineRule="auto"/>
        <w:rPr>
          <w:rFonts w:hint="eastAsia"/>
          <w:b/>
          <w:bCs/>
          <w:sz w:val="24"/>
          <w:szCs w:val="32"/>
          <w:lang w:val="en-US" w:eastAsia="zh-CN"/>
        </w:rPr>
      </w:pPr>
      <w:r>
        <w:rPr>
          <w:rFonts w:hint="eastAsia"/>
          <w:b/>
          <w:bCs/>
          <w:sz w:val="24"/>
          <w:szCs w:val="32"/>
          <w:lang w:val="en-US" w:eastAsia="zh-CN"/>
        </w:rPr>
        <w:t>1.地质概况：</w:t>
      </w:r>
    </w:p>
    <w:p w14:paraId="0B5D96C6">
      <w:pPr>
        <w:bidi w:val="0"/>
        <w:spacing w:line="360" w:lineRule="auto"/>
        <w:ind w:firstLine="480" w:firstLineChars="200"/>
        <w:rPr>
          <w:rFonts w:hint="eastAsia"/>
          <w:sz w:val="24"/>
          <w:szCs w:val="32"/>
          <w:lang w:val="en-US" w:eastAsia="zh-CN"/>
        </w:rPr>
      </w:pPr>
      <w:r>
        <w:rPr>
          <w:rFonts w:hint="eastAsia"/>
          <w:sz w:val="24"/>
          <w:szCs w:val="32"/>
          <w:lang w:val="en-US" w:eastAsia="zh-CN"/>
        </w:rPr>
        <w:t>工作区大地构造位置处于柴达木-华北板块(I)，华北陆块(Ш-5)，燕山中新元古代裂陷带(Ш-5-4)，辽西中生代上叠盆地带(Ш-5-4-3)，朝阳中生代叠加盆岭系(II-5-4-3-2)。</w:t>
      </w:r>
    </w:p>
    <w:p w14:paraId="23BD75BD">
      <w:pPr>
        <w:bidi w:val="0"/>
        <w:spacing w:line="360" w:lineRule="auto"/>
        <w:rPr>
          <w:rFonts w:hint="eastAsia"/>
          <w:b/>
          <w:bCs/>
          <w:sz w:val="24"/>
          <w:szCs w:val="32"/>
          <w:lang w:val="en-US" w:eastAsia="zh-CN"/>
        </w:rPr>
      </w:pPr>
      <w:r>
        <w:rPr>
          <w:rFonts w:hint="eastAsia"/>
          <w:b/>
          <w:bCs/>
          <w:sz w:val="24"/>
          <w:szCs w:val="32"/>
          <w:lang w:val="en-US" w:eastAsia="zh-CN"/>
        </w:rPr>
        <w:t>2.区域地层：</w:t>
      </w:r>
    </w:p>
    <w:p w14:paraId="1EDD24EF">
      <w:pPr>
        <w:bidi w:val="0"/>
        <w:spacing w:line="360" w:lineRule="auto"/>
        <w:ind w:firstLine="480" w:firstLineChars="200"/>
        <w:rPr>
          <w:rFonts w:hint="eastAsia"/>
          <w:sz w:val="24"/>
          <w:szCs w:val="32"/>
          <w:lang w:val="en-US" w:eastAsia="zh-CN"/>
        </w:rPr>
      </w:pPr>
      <w:r>
        <w:rPr>
          <w:rFonts w:hint="eastAsia"/>
          <w:sz w:val="24"/>
          <w:szCs w:val="32"/>
          <w:lang w:val="en-US" w:eastAsia="zh-CN"/>
        </w:rPr>
        <w:t>区域上太古宙变质杂岩广布，构成了本区最古老的结品基底，该体系主要由变质表壳岩、变质深成岩和变质脉岩组成。</w:t>
      </w:r>
    </w:p>
    <w:p w14:paraId="6AF76A05">
      <w:pPr>
        <w:bidi w:val="0"/>
        <w:spacing w:line="360" w:lineRule="auto"/>
        <w:ind w:firstLine="480" w:firstLineChars="200"/>
        <w:rPr>
          <w:rFonts w:hint="eastAsia"/>
          <w:sz w:val="24"/>
          <w:szCs w:val="32"/>
          <w:lang w:val="en-US" w:eastAsia="zh-CN"/>
        </w:rPr>
      </w:pPr>
      <w:r>
        <w:rPr>
          <w:rFonts w:hint="eastAsia"/>
          <w:sz w:val="24"/>
          <w:szCs w:val="32"/>
          <w:lang w:val="en-US" w:eastAsia="zh-CN"/>
        </w:rPr>
        <w:t>变质表壳岩：本区最古老的高级变质火山岩、沉积岩、基性、超基性小侵入体，主要以透镜状、浑圆状、条带状及不规则状包体赋存于主体片麻岩中，其形态和排列方向与片麻理基本协调一致,主要岩石组合为磁铁石英岩、基性麻粒岩、斜长角闪岩及变质超基性岩。</w:t>
      </w:r>
    </w:p>
    <w:p w14:paraId="1D37FFD7">
      <w:pPr>
        <w:bidi w:val="0"/>
        <w:spacing w:line="360" w:lineRule="auto"/>
        <w:ind w:firstLine="480" w:firstLineChars="200"/>
        <w:rPr>
          <w:rFonts w:hint="eastAsia"/>
          <w:sz w:val="24"/>
          <w:szCs w:val="32"/>
          <w:lang w:val="en-US" w:eastAsia="zh-CN"/>
        </w:rPr>
      </w:pPr>
      <w:r>
        <w:rPr>
          <w:rFonts w:hint="eastAsia"/>
          <w:sz w:val="24"/>
          <w:szCs w:val="32"/>
          <w:lang w:val="en-US" w:eastAsia="zh-CN"/>
        </w:rPr>
        <w:t>主体片麻岩：各类变质深成岩，属于变质深成中性岩类，组构不均匀，变化较大，为变质杂岩主体，它侵入于变质表壳岩组合，具有变余深成岩结构，普遍具韧性变形特征。该岩石组合规模大小不等，长数米一数公里。</w:t>
      </w:r>
    </w:p>
    <w:p w14:paraId="7602FC7F">
      <w:pPr>
        <w:bidi w:val="0"/>
        <w:spacing w:line="360" w:lineRule="auto"/>
        <w:ind w:firstLine="480" w:firstLineChars="200"/>
        <w:rPr>
          <w:rFonts w:hint="eastAsia"/>
          <w:lang w:val="en-US" w:eastAsia="zh-CN"/>
        </w:rPr>
      </w:pPr>
      <w:r>
        <w:rPr>
          <w:rFonts w:hint="eastAsia"/>
          <w:sz w:val="24"/>
          <w:szCs w:val="32"/>
          <w:lang w:val="en-US" w:eastAsia="zh-CN"/>
        </w:rPr>
        <w:t>变质脉岩：斜长片麻岩和二长片麻岩，呈岩席状侵入于主体片麻岩中，片麻状构造，长英物质有拉长特点。</w:t>
      </w:r>
    </w:p>
    <w:p w14:paraId="2D417388">
      <w:pPr>
        <w:bidi w:val="0"/>
        <w:spacing w:line="360" w:lineRule="auto"/>
        <w:rPr>
          <w:rFonts w:hint="eastAsia"/>
          <w:b/>
          <w:bCs/>
          <w:sz w:val="24"/>
          <w:szCs w:val="32"/>
          <w:lang w:val="en-US" w:eastAsia="zh-CN"/>
        </w:rPr>
      </w:pPr>
      <w:r>
        <w:rPr>
          <w:rFonts w:hint="eastAsia"/>
          <w:b/>
          <w:bCs/>
          <w:sz w:val="24"/>
          <w:szCs w:val="32"/>
          <w:lang w:val="en-US" w:eastAsia="zh-CN"/>
        </w:rPr>
        <w:t>3.地质构造</w:t>
      </w:r>
    </w:p>
    <w:p w14:paraId="2762002A">
      <w:pPr>
        <w:bidi w:val="0"/>
        <w:spacing w:line="360" w:lineRule="auto"/>
        <w:ind w:firstLine="480" w:firstLineChars="200"/>
        <w:rPr>
          <w:rFonts w:hint="eastAsia"/>
          <w:sz w:val="24"/>
          <w:szCs w:val="32"/>
          <w:lang w:val="en-US" w:eastAsia="zh-CN"/>
        </w:rPr>
      </w:pPr>
      <w:r>
        <w:rPr>
          <w:rFonts w:hint="eastAsia"/>
          <w:sz w:val="24"/>
          <w:szCs w:val="32"/>
          <w:lang w:val="en-US" w:eastAsia="zh-CN"/>
        </w:rPr>
        <w:t>区域内主要地质构造为承德~北票壳断裂,系内蒙地轴和燕山台褶带两个二级构造单元分界线,该断裂在内蒙地轴以南通过,呈近东西向。破碎带宽度10m~100m，形成于元古代，具多期活动特点，在其北侧有与其平行的鸡冠山断裂房申断裂，最晚活动时间为晚侏罗纪。</w:t>
      </w:r>
    </w:p>
    <w:p w14:paraId="4ECC8DDB">
      <w:pPr>
        <w:bidi w:val="0"/>
        <w:spacing w:line="360" w:lineRule="auto"/>
        <w:rPr>
          <w:rFonts w:hint="eastAsia"/>
          <w:b/>
          <w:bCs/>
          <w:sz w:val="24"/>
          <w:szCs w:val="32"/>
          <w:lang w:val="en-US" w:eastAsia="zh-CN"/>
        </w:rPr>
      </w:pPr>
      <w:r>
        <w:rPr>
          <w:rFonts w:hint="eastAsia"/>
          <w:b/>
          <w:bCs/>
          <w:sz w:val="24"/>
          <w:szCs w:val="32"/>
          <w:lang w:val="en-US" w:eastAsia="zh-CN"/>
        </w:rPr>
        <w:t>4.岩浆岩</w:t>
      </w:r>
    </w:p>
    <w:p w14:paraId="1A9703D2">
      <w:pPr>
        <w:bidi w:val="0"/>
        <w:spacing w:line="360" w:lineRule="auto"/>
        <w:ind w:firstLine="480" w:firstLineChars="200"/>
        <w:rPr>
          <w:rFonts w:hint="eastAsia"/>
          <w:sz w:val="24"/>
          <w:szCs w:val="32"/>
          <w:lang w:val="en-US" w:eastAsia="zh-CN"/>
        </w:rPr>
      </w:pPr>
      <w:r>
        <w:rPr>
          <w:rFonts w:hint="eastAsia"/>
          <w:sz w:val="24"/>
          <w:szCs w:val="32"/>
          <w:lang w:val="en-US" w:eastAsia="zh-CN"/>
        </w:rPr>
        <w:t>区域内出露的岩浆岩主要有华力西期侵入岩、燕山期侵入岩以及岩脉。</w:t>
      </w:r>
    </w:p>
    <w:p w14:paraId="3E74EC41">
      <w:pPr>
        <w:bidi w:val="0"/>
        <w:spacing w:line="360" w:lineRule="auto"/>
        <w:ind w:firstLine="480" w:firstLineChars="200"/>
        <w:rPr>
          <w:rFonts w:hint="eastAsia"/>
          <w:sz w:val="24"/>
          <w:szCs w:val="32"/>
          <w:lang w:val="en-US" w:eastAsia="zh-CN"/>
        </w:rPr>
      </w:pPr>
      <w:r>
        <w:rPr>
          <w:rFonts w:hint="eastAsia"/>
          <w:sz w:val="24"/>
          <w:szCs w:val="32"/>
          <w:lang w:val="en-US" w:eastAsia="zh-CN"/>
        </w:rPr>
        <w:t>(1)华力西期侵入岩</w:t>
      </w:r>
    </w:p>
    <w:p w14:paraId="6FA7D425">
      <w:pPr>
        <w:bidi w:val="0"/>
        <w:spacing w:line="360" w:lineRule="auto"/>
        <w:ind w:firstLine="480" w:firstLineChars="200"/>
        <w:rPr>
          <w:rFonts w:hint="eastAsia"/>
          <w:sz w:val="24"/>
          <w:szCs w:val="32"/>
          <w:lang w:val="en-US" w:eastAsia="zh-CN"/>
        </w:rPr>
      </w:pPr>
      <w:r>
        <w:rPr>
          <w:rFonts w:hint="eastAsia"/>
          <w:sz w:val="24"/>
          <w:szCs w:val="32"/>
          <w:lang w:val="en-US" w:eastAsia="zh-CN"/>
        </w:rPr>
        <w:t>在本区分布较广泛，主要有华力西期花岗岩(y43)、华力西期闪长岩(643)，呈岩体产出。主要分为两部份,一部分分布于住户沟、莫海沟一带，面积约40km</w:t>
      </w:r>
      <w:r>
        <w:rPr>
          <w:rFonts w:hint="eastAsia"/>
          <w:sz w:val="24"/>
          <w:szCs w:val="32"/>
          <w:vertAlign w:val="superscript"/>
          <w:lang w:val="en-US" w:eastAsia="zh-CN"/>
        </w:rPr>
        <w:t>2</w:t>
      </w:r>
      <w:r>
        <w:rPr>
          <w:rFonts w:hint="eastAsia"/>
          <w:sz w:val="24"/>
          <w:szCs w:val="32"/>
          <w:lang w:val="en-US" w:eastAsia="zh-CN"/>
        </w:rPr>
        <w:t>另一部分分布于娄家店乡至北四家乡及其西北大部分地区，面积约90km</w:t>
      </w:r>
      <w:r>
        <w:rPr>
          <w:rFonts w:hint="eastAsia"/>
          <w:sz w:val="24"/>
          <w:szCs w:val="32"/>
          <w:vertAlign w:val="superscript"/>
          <w:lang w:val="en-US" w:eastAsia="zh-CN"/>
        </w:rPr>
        <w:t>2</w:t>
      </w:r>
      <w:r>
        <w:rPr>
          <w:rFonts w:hint="eastAsia"/>
          <w:sz w:val="24"/>
          <w:szCs w:val="32"/>
          <w:lang w:val="en-US" w:eastAsia="zh-CN"/>
        </w:rPr>
        <w:t>。</w:t>
      </w:r>
    </w:p>
    <w:p w14:paraId="6CBC73A1">
      <w:pPr>
        <w:bidi w:val="0"/>
        <w:spacing w:line="360" w:lineRule="auto"/>
        <w:ind w:firstLine="480" w:firstLineChars="200"/>
        <w:rPr>
          <w:rFonts w:hint="eastAsia"/>
          <w:sz w:val="24"/>
          <w:szCs w:val="32"/>
          <w:lang w:val="en-US" w:eastAsia="zh-CN"/>
        </w:rPr>
      </w:pPr>
      <w:r>
        <w:rPr>
          <w:rFonts w:hint="eastAsia"/>
          <w:sz w:val="24"/>
          <w:szCs w:val="32"/>
          <w:lang w:val="en-US" w:eastAsia="zh-CN"/>
        </w:rPr>
        <w:t>(2)燕山期侵入岩</w:t>
      </w:r>
    </w:p>
    <w:p w14:paraId="7CD74C4A">
      <w:pPr>
        <w:bidi w:val="0"/>
        <w:spacing w:line="360" w:lineRule="auto"/>
        <w:ind w:firstLine="480" w:firstLineChars="200"/>
        <w:rPr>
          <w:rFonts w:hint="eastAsia"/>
          <w:sz w:val="24"/>
          <w:szCs w:val="32"/>
          <w:lang w:val="en-US" w:eastAsia="zh-CN"/>
        </w:rPr>
      </w:pPr>
      <w:r>
        <w:rPr>
          <w:rFonts w:hint="eastAsia"/>
          <w:sz w:val="24"/>
          <w:szCs w:val="32"/>
          <w:lang w:val="en-US" w:eastAsia="zh-CN"/>
        </w:rPr>
        <w:t>燕山期侵入岩有花岗岩(y52)及闪长岩(852)，主要出露于马达营子东部、沙金沟北部、黄古屯东北、十八台南部，规模不大多呈小岩株和岩基产出。一般短轴长2km，长轴长4km。</w:t>
      </w:r>
    </w:p>
    <w:p w14:paraId="637EE732">
      <w:pPr>
        <w:bidi w:val="0"/>
        <w:spacing w:line="360" w:lineRule="auto"/>
        <w:ind w:firstLine="480" w:firstLineChars="200"/>
        <w:rPr>
          <w:rFonts w:hint="eastAsia"/>
          <w:sz w:val="24"/>
          <w:szCs w:val="32"/>
          <w:lang w:val="en-US" w:eastAsia="zh-CN"/>
        </w:rPr>
      </w:pPr>
      <w:r>
        <w:rPr>
          <w:rFonts w:hint="eastAsia"/>
          <w:sz w:val="24"/>
          <w:szCs w:val="32"/>
          <w:lang w:val="en-US" w:eastAsia="zh-CN"/>
        </w:rPr>
        <w:t>(3)岩脉</w:t>
      </w:r>
    </w:p>
    <w:p w14:paraId="36E11C78">
      <w:pPr>
        <w:bidi w:val="0"/>
        <w:spacing w:line="360" w:lineRule="auto"/>
        <w:ind w:firstLine="480" w:firstLineChars="200"/>
        <w:rPr>
          <w:rFonts w:hint="eastAsia"/>
          <w:lang w:val="en-US" w:eastAsia="zh-CN"/>
        </w:rPr>
      </w:pPr>
      <w:r>
        <w:rPr>
          <w:rFonts w:hint="eastAsia"/>
          <w:sz w:val="24"/>
          <w:szCs w:val="32"/>
          <w:lang w:val="en-US" w:eastAsia="zh-CN"/>
        </w:rPr>
        <w:t>本区岩脉较发育，主要有花岗斑岩(yπ)、流纹斑岩(h)、闪长斑岩(6元)、石英脉(q)、伟晶岩脉(p)、花岗细晶岩脉(yT)、煌斑岩脉(x)、辉绿岩脉(βu)、安山玢岩(a)、玄武玢岩(β)等。岩脉主要分布于黄古屯至北四家乡一带，一般规模不大长度一般在 1km-2km左右，最大者可达5.7km，宽度一般在0.2km左右。岩脉走向一般为30°~40°左右，倾向西北，倾角在70°~85°左右。</w:t>
      </w:r>
    </w:p>
    <w:p w14:paraId="47C2C6A4">
      <w:pPr>
        <w:pStyle w:val="5"/>
        <w:bidi w:val="0"/>
        <w:rPr>
          <w:rFonts w:hint="eastAsia"/>
          <w:lang w:val="en-US" w:eastAsia="zh-CN"/>
        </w:rPr>
      </w:pPr>
      <w:r>
        <w:rPr>
          <w:rFonts w:hint="eastAsia"/>
          <w:lang w:val="en-US" w:eastAsia="zh-CN"/>
        </w:rPr>
        <w:t>4.1.6 区域水文地质概况</w:t>
      </w:r>
    </w:p>
    <w:p w14:paraId="25799F90">
      <w:pPr>
        <w:pageBreakBefore w:val="0"/>
        <w:widowControl w:val="0"/>
        <w:kinsoku/>
        <w:wordWrap/>
        <w:overflowPunct/>
        <w:topLinePunct w:val="0"/>
        <w:autoSpaceDE/>
        <w:autoSpaceDN/>
        <w:bidi w:val="0"/>
        <w:adjustRightInd/>
        <w:snapToGrid/>
        <w:spacing w:line="360" w:lineRule="auto"/>
        <w:textAlignment w:val="auto"/>
        <w:rPr>
          <w:rFonts w:hint="eastAsia" w:cs="Times New Roman"/>
          <w:b/>
          <w:bCs/>
          <w:sz w:val="24"/>
          <w:szCs w:val="24"/>
          <w:lang w:val="en-US" w:eastAsia="zh-CN"/>
        </w:rPr>
      </w:pPr>
      <w:r>
        <w:rPr>
          <w:rFonts w:hint="eastAsia" w:cs="Times New Roman"/>
          <w:b/>
          <w:bCs/>
          <w:sz w:val="24"/>
          <w:szCs w:val="24"/>
          <w:lang w:val="en-US" w:eastAsia="zh-CN"/>
        </w:rPr>
        <w:t>1、地下水类型及含水岩组特征</w:t>
      </w:r>
    </w:p>
    <w:p w14:paraId="0928F033">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区域含水层主要为第四系松散岩类孔隙含水层、碎屑岩类孔隙裂隙含水层和基岩裂隙含水层。</w:t>
      </w:r>
    </w:p>
    <w:p w14:paraId="40B06F7B">
      <w:pPr>
        <w:pageBreakBefore w:val="0"/>
        <w:widowControl w:val="0"/>
        <w:numPr>
          <w:ilvl w:val="0"/>
          <w:numId w:val="8"/>
        </w:numPr>
        <w:kinsoku/>
        <w:wordWrap/>
        <w:overflowPunct/>
        <w:topLinePunct w:val="0"/>
        <w:autoSpaceDE/>
        <w:autoSpaceDN/>
        <w:bidi w:val="0"/>
        <w:adjustRightInd/>
        <w:snapToGrid/>
        <w:spacing w:line="360" w:lineRule="auto"/>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第四系松散岩类孔隙含水层：第四系孔隙潜水含水层:矿区东部第四纪松散堆积物因受地形影响比较发育，分布于近东西向沟谷之中，一般厚度5~10m，以砾石及黄土状亚粘土为主，富水性较好，除接受降水垂直渗透外，还可以接受基岩风化裂隙潜水补给，因其所处标高低，对矿床开采无影响。</w:t>
      </w:r>
    </w:p>
    <w:p w14:paraId="35DB372A">
      <w:pPr>
        <w:pageBreakBefore w:val="0"/>
        <w:widowControl w:val="0"/>
        <w:kinsoku/>
        <w:wordWrap/>
        <w:overflowPunct/>
        <w:topLinePunct w:val="0"/>
        <w:autoSpaceDE/>
        <w:autoSpaceDN/>
        <w:bidi w:val="0"/>
        <w:adjustRightInd/>
        <w:snapToGrid/>
        <w:spacing w:line="360" w:lineRule="auto"/>
        <w:textAlignment w:val="auto"/>
        <w:rPr>
          <w:rFonts w:hint="eastAsia" w:cs="Times New Roman"/>
          <w:b w:val="0"/>
          <w:bCs w:val="0"/>
          <w:sz w:val="24"/>
          <w:szCs w:val="24"/>
          <w:lang w:val="en-US" w:eastAsia="zh-CN"/>
        </w:rPr>
      </w:pPr>
      <w:r>
        <w:rPr>
          <w:rFonts w:hint="eastAsia" w:cs="Times New Roman"/>
          <w:b w:val="0"/>
          <w:bCs w:val="0"/>
          <w:sz w:val="24"/>
          <w:szCs w:val="24"/>
          <w:lang w:val="en-US" w:eastAsia="zh-CN"/>
        </w:rPr>
        <w:t>(2)基岩风化裂隙含水层，含水层岩性为黑云角闪斜长片麻岩和黑云斜长片麻岩，即矿体围岩，岩石大部分裸露，风化较剧，裂隙发育，富含风化裂隙潜水，与矿床充水关系较密切。</w:t>
      </w:r>
    </w:p>
    <w:p w14:paraId="5A6097C8">
      <w:pPr>
        <w:bidi w:val="0"/>
        <w:spacing w:line="360" w:lineRule="auto"/>
        <w:rPr>
          <w:rFonts w:hint="eastAsia"/>
          <w:b/>
          <w:bCs/>
          <w:sz w:val="24"/>
          <w:szCs w:val="32"/>
          <w:lang w:val="en-US" w:eastAsia="zh-CN"/>
        </w:rPr>
      </w:pPr>
      <w:r>
        <w:rPr>
          <w:rFonts w:hint="eastAsia"/>
          <w:b/>
          <w:bCs/>
          <w:sz w:val="24"/>
          <w:szCs w:val="32"/>
          <w:lang w:val="en-US" w:eastAsia="zh-CN"/>
        </w:rPr>
        <w:t>2、地下水的补给、径流与排泄条件</w:t>
      </w:r>
    </w:p>
    <w:p w14:paraId="6D3649E2">
      <w:pPr>
        <w:bidi w:val="0"/>
        <w:spacing w:line="360" w:lineRule="auto"/>
        <w:ind w:firstLine="480" w:firstLineChars="200"/>
        <w:rPr>
          <w:rFonts w:hint="eastAsia"/>
          <w:sz w:val="24"/>
          <w:szCs w:val="32"/>
          <w:lang w:val="en-US" w:eastAsia="zh-CN"/>
        </w:rPr>
      </w:pPr>
      <w:r>
        <w:rPr>
          <w:rFonts w:hint="eastAsia"/>
          <w:sz w:val="24"/>
          <w:szCs w:val="32"/>
          <w:lang w:val="en-US" w:eastAsia="zh-CN"/>
        </w:rPr>
        <w:t>区内地下水主要接受大气降水补给，由高向低沿坡地向沟谷排泄。在天然条件下，第四系松散层中的孔隙潜水与基岩风化带裂隙水存在密切的水力联系，构成统一的地下水面，而与深部基岩裂隙水间水力联系较弱。天然状态下区内地下水的补给、径流、排泄条件良好。</w:t>
      </w:r>
    </w:p>
    <w:p w14:paraId="32D3AD0B">
      <w:pPr>
        <w:bidi w:val="0"/>
        <w:spacing w:line="360" w:lineRule="auto"/>
        <w:rPr>
          <w:rFonts w:hint="eastAsia"/>
          <w:b/>
          <w:bCs/>
          <w:sz w:val="24"/>
          <w:szCs w:val="32"/>
          <w:lang w:val="en-US" w:eastAsia="zh-CN"/>
        </w:rPr>
      </w:pPr>
      <w:r>
        <w:rPr>
          <w:rFonts w:hint="eastAsia"/>
          <w:b/>
          <w:bCs/>
          <w:sz w:val="24"/>
          <w:szCs w:val="32"/>
          <w:lang w:val="en-US" w:eastAsia="zh-CN"/>
        </w:rPr>
        <w:t>3、地下水动态特征</w:t>
      </w:r>
    </w:p>
    <w:p w14:paraId="7A1940F2">
      <w:pPr>
        <w:bidi w:val="0"/>
        <w:spacing w:line="360" w:lineRule="auto"/>
        <w:rPr>
          <w:rFonts w:hint="eastAsia"/>
          <w:b/>
          <w:bCs/>
          <w:sz w:val="24"/>
          <w:szCs w:val="32"/>
          <w:lang w:val="en-US" w:eastAsia="zh-CN"/>
        </w:rPr>
      </w:pPr>
      <w:r>
        <w:rPr>
          <w:rFonts w:hint="eastAsia"/>
          <w:b/>
          <w:bCs/>
          <w:sz w:val="24"/>
          <w:szCs w:val="32"/>
          <w:lang w:val="en-US" w:eastAsia="zh-CN"/>
        </w:rPr>
        <w:t>（1）地下水水位统测</w:t>
      </w:r>
    </w:p>
    <w:p w14:paraId="1817220E">
      <w:pPr>
        <w:bidi w:val="0"/>
        <w:spacing w:line="360" w:lineRule="auto"/>
        <w:ind w:firstLine="480" w:firstLineChars="200"/>
        <w:rPr>
          <w:rFonts w:hint="eastAsia"/>
          <w:sz w:val="24"/>
          <w:szCs w:val="32"/>
          <w:lang w:val="en-US" w:eastAsia="zh-CN"/>
        </w:rPr>
      </w:pPr>
      <w:r>
        <w:rPr>
          <w:rFonts w:hint="eastAsia"/>
          <w:sz w:val="24"/>
          <w:szCs w:val="32"/>
          <w:lang w:val="en-US" w:eastAsia="zh-CN"/>
        </w:rPr>
        <w:t>丰水期受降雨影响河水补给地下水，枯水期河流水量小，有地下水向河流补给趋势，但补给量不大。</w:t>
      </w:r>
    </w:p>
    <w:p w14:paraId="33D25AF1">
      <w:pPr>
        <w:bidi w:val="0"/>
        <w:spacing w:line="360" w:lineRule="auto"/>
        <w:ind w:firstLine="480" w:firstLineChars="200"/>
        <w:rPr>
          <w:rFonts w:hint="eastAsia"/>
          <w:sz w:val="24"/>
          <w:szCs w:val="32"/>
          <w:lang w:val="en-US" w:eastAsia="zh-CN"/>
        </w:rPr>
      </w:pPr>
      <w:r>
        <w:rPr>
          <w:rFonts w:hint="eastAsia"/>
          <w:sz w:val="24"/>
          <w:szCs w:val="32"/>
          <w:lang w:val="en-US" w:eastAsia="zh-CN"/>
        </w:rPr>
        <w:t>评价区内地下水水位变化小，水力梯度较小，水流缓慢，在丰水期受河水补给影响，在河流附近水位略有上升，在农田区夏季灌溉导致地下水水位上升。枯水期河流缓慢，农田区亦无大量用水活动，水流总体呈现平缓流动趋势。</w:t>
      </w:r>
    </w:p>
    <w:p w14:paraId="024A0D7B">
      <w:pPr>
        <w:pageBreakBefore w:val="0"/>
        <w:widowControl w:val="0"/>
        <w:kinsoku/>
        <w:wordWrap/>
        <w:overflowPunct/>
        <w:topLinePunct w:val="0"/>
        <w:autoSpaceDE/>
        <w:autoSpaceDN/>
        <w:bidi w:val="0"/>
        <w:adjustRightInd/>
        <w:snapToGrid/>
        <w:spacing w:line="360" w:lineRule="auto"/>
        <w:textAlignment w:val="auto"/>
        <w:rPr>
          <w:rFonts w:hint="eastAsia"/>
          <w:b/>
          <w:bCs/>
          <w:sz w:val="24"/>
          <w:szCs w:val="24"/>
          <w:lang w:val="en-US" w:eastAsia="zh-CN"/>
        </w:rPr>
      </w:pPr>
      <w:r>
        <w:rPr>
          <w:rFonts w:hint="eastAsia"/>
          <w:b/>
          <w:bCs/>
          <w:sz w:val="24"/>
          <w:szCs w:val="24"/>
          <w:lang w:val="en-US" w:eastAsia="zh-CN"/>
        </w:rPr>
        <w:t>（2）地下水水位动态特征</w:t>
      </w:r>
    </w:p>
    <w:p w14:paraId="4FB362A7">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eastAsia"/>
          <w:b w:val="0"/>
          <w:bCs w:val="0"/>
          <w:sz w:val="24"/>
          <w:szCs w:val="24"/>
          <w:lang w:val="en-US" w:eastAsia="zh-CN"/>
        </w:rPr>
        <w:t>评价区浅层地下水水位动态主要受气象、水文、灌溉等因素控制，其中大气降水是主要因素，它控制着地下水动态的季节变化和年变化。据丰、枯水期动态监测，评价区浅层地下水水位丰水期和枯水期有一定的变化，但都显示为由北向南径流。丰水期和枯水期，地下水的流场形态略有不同，近河地段丰水期河水补给地下水，枯水期灌渠上游停止输水，接受地下水补给。从不同时期的等水位线图上可以看出，丰、枯水期北部变幅在1.0m左右，南部近河地段变幅在0.5m左右。该地区地下水径流滞缓，水位埋藏浅，毛细作用强，潜水蒸发及降水入渗是控制水位动态的主要因素。12月份至次年3月份地表封冻，水位最低且较平稳4~5月上旬，地表解冻，受春汛影响，水位有所上升。6月进入雨季，受降水入渗补给控制，水位开始上升，至9月下旬达到峰值。9月以后降雨入渗基本停止潜水蒸发排泄成为主导因素，水位缓慢下降，到次年2月底达到最低水位。属降雨入渗~蒸发型。</w:t>
      </w:r>
    </w:p>
    <w:p w14:paraId="1B1BCE96">
      <w:pPr>
        <w:pStyle w:val="5"/>
        <w:bidi w:val="0"/>
        <w:rPr>
          <w:rFonts w:hint="eastAsia"/>
          <w:lang w:val="en-US" w:eastAsia="zh-CN"/>
        </w:rPr>
      </w:pPr>
      <w:r>
        <w:rPr>
          <w:rFonts w:hint="eastAsia"/>
          <w:lang w:val="en-US" w:eastAsia="zh-CN"/>
        </w:rPr>
        <w:t>4.1.7土壤</w:t>
      </w:r>
    </w:p>
    <w:p w14:paraId="5D659BC1">
      <w:pPr>
        <w:pStyle w:val="148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rPr>
          <w:rFonts w:hint="eastAsia"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4.1.</w:t>
      </w:r>
      <w:r>
        <w:rPr>
          <w:rFonts w:hint="eastAsia" w:eastAsia="宋体" w:cs="Times New Roman"/>
          <w:b/>
          <w:bCs/>
          <w:color w:val="auto"/>
          <w:kern w:val="2"/>
          <w:sz w:val="24"/>
          <w:szCs w:val="24"/>
          <w:lang w:val="en-US" w:eastAsia="zh-CN" w:bidi="ar-SA"/>
        </w:rPr>
        <w:t>6</w:t>
      </w:r>
      <w:r>
        <w:rPr>
          <w:rFonts w:hint="eastAsia" w:ascii="Times New Roman" w:hAnsi="Times New Roman" w:eastAsia="宋体" w:cs="Times New Roman"/>
          <w:b/>
          <w:bCs/>
          <w:color w:val="auto"/>
          <w:kern w:val="2"/>
          <w:sz w:val="24"/>
          <w:szCs w:val="24"/>
          <w:lang w:val="en-US" w:eastAsia="zh-CN" w:bidi="ar-SA"/>
        </w:rPr>
        <w:t>.1区域土壤状况调查</w:t>
      </w:r>
    </w:p>
    <w:p w14:paraId="453B0914">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土壤区域分布是指由于中小地形、水文地质条件和成土母质等区域性成土条件的变化而引起的土壤有规律的变化。根据地貌和土壤组合特点，辽宁土壤的区域性分布可分为辽东山地丘陵区、辽西低山丘陵区、辽河平原区3种类型。本项目属于辽西低山丘陵区。</w:t>
      </w:r>
    </w:p>
    <w:p w14:paraId="611FF559">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本区包括朝阳市的全部和阜新市、锦州市的西部，葫芦岛市全部。南部以松岭山脉为界，是棕壤与褐土的过渡地带，相互间呈镶嵌分布，甚至犬牙交错，全区土壤组合有3种类型。</w:t>
      </w:r>
    </w:p>
    <w:p w14:paraId="297510F7">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（1）努鲁儿虎山和松岭山地西麓低山丘陵区</w:t>
      </w:r>
    </w:p>
    <w:p w14:paraId="4D9C01BB">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于本区成土母质主要为富钙的石灰岩、钙质砂页岩和黄土母质，所以土壤呈以褐土为主的枝状分布。除较高山地上部有棕壤或棕壤性土分布外，一般的低山丘陵上部分布着褐土性土；下部为褐土、石灰性褐土；缓坡坡脚分布着潮褐土；河谷平原分布着潮土。</w:t>
      </w:r>
    </w:p>
    <w:p w14:paraId="73784649">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（2）医巫闾山和松岭山地东麓低山丘陵区</w:t>
      </w:r>
    </w:p>
    <w:p w14:paraId="5C6FEF8C">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由于本区成土母质多为酸性结晶岩类和基性结晶岩类风化物及其黄土状母质，所以土壤呈以棕壤为主的枝头分布。低山丘陵上部分布着棕壤性土和粗骨土，下部分布着棕壤，坡脚平地分布窄条状潮棕壤，河流两岸河漫滩和河成阶地上分布着潮土。</w:t>
      </w:r>
    </w:p>
    <w:p w14:paraId="3E2DD14E">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（3）阜新、北票等山间盆地区</w:t>
      </w:r>
    </w:p>
    <w:p w14:paraId="57DB1A1B">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本区地貌类型为盆地，地形由四周向中心倾斜，所以由于成土条件、地形的变化，土壤类型也相应发生变化，土壤组合呈盆形分布。由盆地中心而外依次出现沼泽土、潮土、潮褐土、褐土或石灰性褐土。</w:t>
      </w:r>
    </w:p>
    <w:p w14:paraId="64E629F2">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项目区土壤区划处于褐土地带，可进一步划分为褐土性土和褐土、潮褐土三个亚类。</w:t>
      </w:r>
    </w:p>
    <w:p w14:paraId="689B6BBA">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褐土性土亚类大部分分布在石质低山丘陵的顶部，土体中砾石含量一般小于20%，土层厚度10～30cm，由腐殖层和母质层组成。特点是分布地势高、排水好、肥力低、不耐旱、生产性能差。</w:t>
      </w:r>
    </w:p>
    <w:p w14:paraId="05A5BB18">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褐土亚类多发育在石质或者土质丘陵的中上部或者坡脚，成土母质为岩石风化物、坡积物及黄土，由腐殖层、粘化层、钙积层和母质层组成，土层深厚，由于水土流失严重，腐殖层大部分已经流失掉，造成土壤的有机质和营养元素不高。</w:t>
      </w:r>
    </w:p>
    <w:p w14:paraId="3CC3C895">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潮褐土亚类成土母质为坡洪积物或者淤积物，有的土体夹有砾石层、沙土层、粘土层或者黑土层，土质松软、粘沙适中，土壤中水气协调，适宜作物广泛，是粮食及经济作物的高产土壤。</w:t>
      </w:r>
    </w:p>
    <w:p w14:paraId="09079961">
      <w:pPr>
        <w:pStyle w:val="1486"/>
        <w:spacing w:line="360" w:lineRule="auto"/>
        <w:ind w:firstLine="0" w:firstLineChars="0"/>
        <w:jc w:val="center"/>
        <w:rPr>
          <w:color w:val="auto"/>
        </w:rPr>
      </w:pPr>
      <w:r>
        <w:rPr>
          <w:color w:val="auto"/>
        </w:rPr>
        <mc:AlternateContent>
          <mc:Choice Requires="wps">
            <w:drawing>
              <wp:anchor distT="0" distB="0" distL="0" distR="0" simplePos="0" relativeHeight="251665408" behindDoc="0" locked="0" layoutInCell="1" allowOverlap="1">
                <wp:simplePos x="0" y="0"/>
                <wp:positionH relativeFrom="column">
                  <wp:posOffset>2587625</wp:posOffset>
                </wp:positionH>
                <wp:positionV relativeFrom="paragraph">
                  <wp:posOffset>377190</wp:posOffset>
                </wp:positionV>
                <wp:extent cx="983615" cy="299720"/>
                <wp:effectExtent l="422910" t="6350" r="22225" b="646430"/>
                <wp:wrapNone/>
                <wp:docPr id="383" name="对话气泡: 矩形 38"/>
                <wp:cNvGraphicFramePr/>
                <a:graphic xmlns:a="http://schemas.openxmlformats.org/drawingml/2006/main">
                  <a:graphicData uri="http://schemas.microsoft.com/office/word/2010/wordprocessingShape">
                    <wps:wsp>
                      <wps:cNvSpPr/>
                      <wps:spPr>
                        <a:xfrm>
                          <a:off x="0" y="0"/>
                          <a:ext cx="983615" cy="299720"/>
                        </a:xfrm>
                        <a:prstGeom prst="wedgeRectCallout">
                          <a:avLst>
                            <a:gd name="adj1" fmla="val -92349"/>
                            <a:gd name="adj2" fmla="val 258262"/>
                          </a:avLst>
                        </a:prstGeom>
                        <a:solidFill>
                          <a:srgbClr val="FFFFFF"/>
                        </a:solidFill>
                        <a:ln w="12700">
                          <a:solidFill>
                            <a:srgbClr val="000000"/>
                          </a:solidFill>
                        </a:ln>
                      </wps:spPr>
                      <wps:txbx>
                        <w:txbxContent>
                          <w:p w14:paraId="651F7154">
                            <w:pPr>
                              <w:pStyle w:val="1489"/>
                            </w:pPr>
                            <w:r>
                              <w:rPr>
                                <w:rFonts w:hint="eastAsia"/>
                              </w:rPr>
                              <w:t>项目所在地</w:t>
                            </w:r>
                          </w:p>
                        </w:txbxContent>
                      </wps:txbx>
                      <wps:bodyPr rot="0" vert="horz" wrap="square" lIns="91440" tIns="45720" rIns="91440" bIns="45720" anchor="t" anchorCtr="0"/>
                    </wps:wsp>
                  </a:graphicData>
                </a:graphic>
              </wp:anchor>
            </w:drawing>
          </mc:Choice>
          <mc:Fallback>
            <w:pict>
              <v:shape id="对话气泡: 矩形 38" o:spid="_x0000_s1026" o:spt="61" type="#_x0000_t61" style="position:absolute;left:0pt;margin-left:203.75pt;margin-top:29.7pt;height:23.6pt;width:77.45pt;z-index:251665408;mso-width-relative:page;mso-height-relative:page;" fillcolor="#FFFFFF" filled="t" stroked="t" coordsize="21600,21600" o:gfxdata="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01jaO2QAAAAoBAAAPAAAAAAAAAAEAIAAAACIAAABk&#10;cnMvZG93bnJldi54bWxQSwECFAAUAAAACACHTuJANeY7sT4CAABvBAAADgAAAAAAAAABACAAAAAo&#10;AQAAZHJzL2Uyb0RvYy54bWxQSwUGAAAAAAYABgBZAQAA2AUAAAAA&#10;" adj="-9147,66585">
                <v:fill on="t" focussize="0,0"/>
                <v:stroke weight="1pt" color="#000000" joinstyle="round"/>
                <v:imagedata o:title=""/>
                <o:lock v:ext="edit" aspectratio="f"/>
                <v:textbox>
                  <w:txbxContent>
                    <w:p w14:paraId="651F7154">
                      <w:pPr>
                        <w:pStyle w:val="1489"/>
                      </w:pPr>
                      <w:r>
                        <w:rPr>
                          <w:rFonts w:hint="eastAsia"/>
                        </w:rPr>
                        <w:t>项目所在地</w:t>
                      </w:r>
                    </w:p>
                  </w:txbxContent>
                </v:textbox>
              </v:shape>
            </w:pict>
          </mc:Fallback>
        </mc:AlternateContent>
      </w:r>
      <w:r>
        <w:rPr>
          <w:color w:val="auto"/>
        </w:rPr>
        <w:drawing>
          <wp:inline distT="0" distB="0" distL="0" distR="0">
            <wp:extent cx="4426585" cy="3587115"/>
            <wp:effectExtent l="0" t="0" r="12065" b="13335"/>
            <wp:docPr id="384" name="图片 1" descr="C:\Users\ADMINI~1\AppData\Local\Temp\WeChat Files\0f7d9960a09ddf61495c9502d2eca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1" descr="C:\Users\ADMINI~1\AppData\Local\Temp\WeChat Files\0f7d9960a09ddf61495c9502d2ecae5.png"/>
                    <pic:cNvPicPr>
                      <a:picLocks noChangeAspect="1"/>
                    </pic:cNvPicPr>
                  </pic:nvPicPr>
                  <pic:blipFill>
                    <a:blip r:embed="rId46" cstate="print"/>
                    <a:srcRect l="9933" t="18343" r="3020" b="5155"/>
                    <a:stretch>
                      <a:fillRect/>
                    </a:stretch>
                  </pic:blipFill>
                  <pic:spPr>
                    <a:xfrm>
                      <a:off x="0" y="0"/>
                      <a:ext cx="4426585" cy="3587115"/>
                    </a:xfrm>
                    <a:prstGeom prst="rect">
                      <a:avLst/>
                    </a:prstGeom>
                    <a:ln w="9525">
                      <a:noFill/>
                      <a:miter lim="800000"/>
                      <a:headEnd/>
                      <a:tailEnd/>
                    </a:ln>
                  </pic:spPr>
                </pic:pic>
              </a:graphicData>
            </a:graphic>
          </wp:inline>
        </w:drawing>
      </w:r>
    </w:p>
    <w:p w14:paraId="315F0B3B">
      <w:pPr>
        <w:pStyle w:val="1486"/>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rPr>
          <w:rFonts w:hint="default" w:ascii="Times New Roman" w:hAnsi="Times New Roman"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图4.1-2 土壤类型图</w:t>
      </w:r>
    </w:p>
    <w:p w14:paraId="6DC95DC3">
      <w:pPr>
        <w:pStyle w:val="3"/>
        <w:bidi w:val="0"/>
        <w:rPr>
          <w:rFonts w:hint="eastAsia"/>
          <w:sz w:val="32"/>
          <w:szCs w:val="32"/>
          <w:lang w:val="en-US" w:eastAsia="zh-CN"/>
        </w:rPr>
        <w:sectPr>
          <w:headerReference r:id="rId10" w:type="default"/>
          <w:footerReference r:id="rId11" w:type="default"/>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bookmarkStart w:id="73" w:name="_Toc436571632"/>
      <w:bookmarkEnd w:id="73"/>
      <w:bookmarkStart w:id="74" w:name="_Toc121593538"/>
      <w:bookmarkEnd w:id="74"/>
      <w:bookmarkStart w:id="75" w:name="_Toc487093171"/>
      <w:bookmarkEnd w:id="75"/>
      <w:bookmarkStart w:id="76" w:name="_Toc123632842"/>
      <w:bookmarkEnd w:id="76"/>
      <w:bookmarkStart w:id="77" w:name="_Toc339122009"/>
    </w:p>
    <w:p w14:paraId="4392BF01">
      <w:pPr>
        <w:pStyle w:val="3"/>
        <w:bidi w:val="0"/>
        <w:rPr>
          <w:rFonts w:hint="eastAsia"/>
          <w:sz w:val="32"/>
          <w:szCs w:val="32"/>
          <w:lang w:val="en-US" w:eastAsia="zh-CN"/>
        </w:rPr>
      </w:pPr>
      <w:bookmarkStart w:id="78" w:name="_Toc23960"/>
      <w:r>
        <w:rPr>
          <w:rFonts w:hint="eastAsia"/>
          <w:sz w:val="32"/>
          <w:szCs w:val="32"/>
          <w:lang w:val="en-US" w:eastAsia="zh-CN"/>
        </w:rPr>
        <w:t>5环境影响预测与评价</w:t>
      </w:r>
      <w:bookmarkEnd w:id="78"/>
    </w:p>
    <w:p w14:paraId="19F63BC8">
      <w:pPr>
        <w:pStyle w:val="4"/>
        <w:bidi w:val="0"/>
        <w:rPr>
          <w:rFonts w:hint="default" w:ascii="Times New Roman" w:hAnsi="Times New Roman" w:cs="Times New Roman" w:eastAsiaTheme="minorEastAsia"/>
          <w:lang w:val="en-US" w:eastAsia="zh-CN"/>
        </w:rPr>
      </w:pPr>
      <w:bookmarkStart w:id="79" w:name="_Toc15920"/>
      <w:r>
        <w:rPr>
          <w:rFonts w:hint="default" w:ascii="Times New Roman" w:hAnsi="Times New Roman" w:cs="Times New Roman" w:eastAsiaTheme="minorEastAsia"/>
        </w:rPr>
        <w:t>5.1施工期环境影响分析</w:t>
      </w:r>
      <w:bookmarkEnd w:id="79"/>
    </w:p>
    <w:bookmarkEnd w:id="77"/>
    <w:p w14:paraId="33E14D67">
      <w:pPr>
        <w:bidi w:val="0"/>
        <w:spacing w:line="360" w:lineRule="auto"/>
        <w:rPr>
          <w:rFonts w:hint="default" w:eastAsia="宋体"/>
          <w:highlight w:val="none"/>
          <w:lang w:val="en-US" w:eastAsia="zh-CN"/>
        </w:rPr>
      </w:pPr>
      <w:bookmarkStart w:id="80" w:name="_Toc434566380"/>
      <w:bookmarkEnd w:id="80"/>
      <w:r>
        <w:rPr>
          <w:rFonts w:hint="eastAsia"/>
          <w:lang w:val="en-US" w:eastAsia="zh-CN"/>
        </w:rPr>
        <w:t xml:space="preserve">   </w:t>
      </w:r>
      <w:r>
        <w:rPr>
          <w:rFonts w:hint="eastAsia"/>
          <w:sz w:val="24"/>
          <w:szCs w:val="32"/>
          <w:lang w:val="en-US" w:eastAsia="zh-CN"/>
        </w:rPr>
        <w:t xml:space="preserve"> 本项目属于未批先建项目，施工期已过，企业在施工期间采取了相应的废气、废水、噪声及固废治理措施，对环境</w:t>
      </w:r>
      <w:r>
        <w:rPr>
          <w:rFonts w:hint="eastAsia"/>
          <w:sz w:val="24"/>
          <w:szCs w:val="32"/>
          <w:highlight w:val="none"/>
          <w:lang w:val="en-US" w:eastAsia="zh-CN"/>
        </w:rPr>
        <w:t>影响较小，本环评不再进行详细分析。</w:t>
      </w:r>
    </w:p>
    <w:p w14:paraId="71EF1DFC">
      <w:pPr>
        <w:pStyle w:val="4"/>
        <w:bidi w:val="0"/>
        <w:rPr>
          <w:rFonts w:hint="default" w:ascii="Times New Roman" w:hAnsi="Times New Roman" w:cs="Times New Roman" w:eastAsiaTheme="majorEastAsia"/>
          <w:highlight w:val="none"/>
        </w:rPr>
      </w:pPr>
      <w:bookmarkStart w:id="81" w:name="_Toc10832"/>
      <w:r>
        <w:rPr>
          <w:rFonts w:hint="default" w:ascii="Times New Roman" w:hAnsi="Times New Roman" w:cs="Times New Roman" w:eastAsiaTheme="majorEastAsia"/>
          <w:highlight w:val="none"/>
        </w:rPr>
        <w:t>5.2营运期环境影响分析</w:t>
      </w:r>
      <w:bookmarkEnd w:id="81"/>
    </w:p>
    <w:p w14:paraId="5B5335A6">
      <w:pPr>
        <w:pStyle w:val="5"/>
        <w:bidi w:val="0"/>
        <w:rPr>
          <w:rFonts w:hint="eastAsia"/>
          <w:highlight w:val="none"/>
          <w:lang w:val="en-US" w:eastAsia="zh-CN"/>
        </w:rPr>
      </w:pPr>
      <w:bookmarkStart w:id="82" w:name="_Toc441053130"/>
      <w:bookmarkStart w:id="83" w:name="_Toc440874838"/>
      <w:bookmarkStart w:id="84" w:name="_Toc1652"/>
      <w:bookmarkStart w:id="85" w:name="_Toc7869"/>
      <w:r>
        <w:rPr>
          <w:rFonts w:hint="eastAsia"/>
          <w:highlight w:val="none"/>
          <w:lang w:val="en-US" w:eastAsia="zh-CN"/>
        </w:rPr>
        <w:t>5.2.</w:t>
      </w:r>
      <w:bookmarkEnd w:id="82"/>
      <w:bookmarkEnd w:id="83"/>
      <w:r>
        <w:rPr>
          <w:rFonts w:hint="eastAsia"/>
          <w:highlight w:val="none"/>
          <w:lang w:val="en-US" w:eastAsia="zh-CN"/>
        </w:rPr>
        <w:t>1大气环境影响预测与评价</w:t>
      </w:r>
      <w:bookmarkEnd w:id="84"/>
      <w:bookmarkEnd w:id="85"/>
      <w:bookmarkStart w:id="86" w:name="_Toc55205855"/>
    </w:p>
    <w:bookmarkEnd w:id="86"/>
    <w:p w14:paraId="5AA986B4">
      <w:pPr>
        <w:keepNext w:val="0"/>
        <w:keepLines w:val="0"/>
        <w:pageBreakBefore w:val="0"/>
        <w:kinsoku/>
        <w:wordWrap/>
        <w:overflowPunct/>
        <w:topLinePunct w:val="0"/>
        <w:autoSpaceDE/>
        <w:autoSpaceDN/>
        <w:bidi w:val="0"/>
        <w:adjustRightInd/>
        <w:snapToGrid/>
        <w:spacing w:line="360" w:lineRule="auto"/>
        <w:textAlignment w:val="auto"/>
        <w:rPr>
          <w:rFonts w:hint="default" w:hAnsi="宋体" w:eastAsia="宋体"/>
          <w:bCs w:val="0"/>
          <w:snapToGrid/>
          <w:color w:val="auto"/>
          <w:szCs w:val="24"/>
          <w:lang w:val="en-US" w:eastAsia="zh-CN"/>
        </w:rPr>
      </w:pPr>
      <w:r>
        <w:rPr>
          <w:rFonts w:hint="eastAsia" w:ascii="Times New Roman" w:hAnsi="Times New Roman" w:eastAsia="宋体" w:cs="Times New Roman"/>
          <w:b/>
          <w:bCs/>
          <w:color w:val="auto"/>
          <w:sz w:val="24"/>
          <w:szCs w:val="24"/>
        </w:rPr>
        <w:t>5.1.2.</w:t>
      </w:r>
      <w:r>
        <w:rPr>
          <w:rFonts w:hint="eastAsia" w:cs="Times New Roman"/>
          <w:b/>
          <w:bCs/>
          <w:color w:val="auto"/>
          <w:sz w:val="24"/>
          <w:szCs w:val="24"/>
          <w:lang w:val="en-US" w:eastAsia="zh-CN"/>
        </w:rPr>
        <w:t>1污染物排放量核算</w:t>
      </w:r>
    </w:p>
    <w:p w14:paraId="5CBA5DC7">
      <w:pPr>
        <w:pStyle w:val="1506"/>
        <w:rPr>
          <w:rFonts w:hint="default" w:hAnsi="宋体"/>
          <w:bCs w:val="0"/>
          <w:snapToGrid/>
          <w:color w:val="auto"/>
          <w:szCs w:val="24"/>
          <w:lang w:val="en-US"/>
        </w:rPr>
      </w:pPr>
      <w:r>
        <w:rPr>
          <w:rFonts w:hint="eastAsia" w:hAnsi="宋体"/>
          <w:bCs w:val="0"/>
          <w:snapToGrid/>
          <w:color w:val="auto"/>
          <w:szCs w:val="24"/>
          <w:lang w:val="en-US" w:eastAsia="zh-CN"/>
        </w:rPr>
        <w:t>本项目大气评价等级为二级，根据《环境影响评价技术导则</w:t>
      </w:r>
      <w:r>
        <w:rPr>
          <w:rFonts w:hint="default" w:hAnsi="宋体"/>
          <w:bCs w:val="0"/>
          <w:snapToGrid/>
          <w:color w:val="auto"/>
          <w:szCs w:val="24"/>
          <w:lang w:val="en-US" w:eastAsia="zh-CN"/>
        </w:rPr>
        <w:t>·</w:t>
      </w:r>
      <w:r>
        <w:rPr>
          <w:rFonts w:hint="eastAsia" w:hAnsi="宋体"/>
          <w:bCs w:val="0"/>
          <w:snapToGrid/>
          <w:color w:val="auto"/>
          <w:szCs w:val="24"/>
          <w:lang w:val="en-US" w:eastAsia="zh-CN"/>
        </w:rPr>
        <w:t>大气环境》（</w:t>
      </w:r>
      <w:r>
        <w:rPr>
          <w:rFonts w:hint="default" w:hAnsi="宋体"/>
          <w:bCs w:val="0"/>
          <w:snapToGrid/>
          <w:color w:val="auto"/>
          <w:szCs w:val="24"/>
          <w:lang w:val="en-US" w:eastAsia="zh-CN"/>
        </w:rPr>
        <w:t>HJ2.2- 2018</w:t>
      </w:r>
      <w:r>
        <w:rPr>
          <w:rFonts w:hint="eastAsia" w:hAnsi="宋体"/>
          <w:bCs w:val="0"/>
          <w:snapToGrid/>
          <w:color w:val="auto"/>
          <w:szCs w:val="24"/>
          <w:lang w:val="en-US" w:eastAsia="zh-CN"/>
        </w:rPr>
        <w:t>）</w:t>
      </w:r>
      <w:r>
        <w:rPr>
          <w:rFonts w:hint="default" w:hAnsi="宋体"/>
          <w:bCs w:val="0"/>
          <w:snapToGrid/>
          <w:color w:val="auto"/>
          <w:szCs w:val="24"/>
          <w:lang w:val="en-US" w:eastAsia="zh-CN"/>
        </w:rPr>
        <w:t>“</w:t>
      </w:r>
      <w:r>
        <w:rPr>
          <w:rFonts w:hint="eastAsia" w:hAnsi="宋体"/>
          <w:bCs w:val="0"/>
          <w:snapToGrid/>
          <w:color w:val="auto"/>
          <w:szCs w:val="24"/>
          <w:lang w:val="en-US" w:eastAsia="zh-CN"/>
        </w:rPr>
        <w:t>二级评价不进行进一步预测与评价，只对污染物排放量进行核算</w:t>
      </w:r>
      <w:r>
        <w:rPr>
          <w:rFonts w:hint="default" w:hAnsi="宋体"/>
          <w:bCs w:val="0"/>
          <w:snapToGrid/>
          <w:color w:val="auto"/>
          <w:szCs w:val="24"/>
          <w:lang w:val="en-US" w:eastAsia="zh-CN"/>
        </w:rPr>
        <w:t>”</w:t>
      </w:r>
      <w:r>
        <w:rPr>
          <w:rFonts w:hint="eastAsia" w:hAnsi="宋体"/>
          <w:bCs w:val="0"/>
          <w:snapToGrid/>
          <w:color w:val="auto"/>
          <w:szCs w:val="24"/>
          <w:lang w:val="en-US" w:eastAsia="zh-CN"/>
        </w:rPr>
        <w:t>。 项目有组织排放源为破碎区、球磨过程产生的粉尘，无组织排放源为皮带输送、道路运输、堆场装卸等过程中产生的粉尘。具体排放量见下表。</w:t>
      </w:r>
    </w:p>
    <w:p w14:paraId="2D2CD57C">
      <w:pPr>
        <w:pStyle w:val="31"/>
        <w:spacing w:line="212" w:lineRule="auto"/>
        <w:ind w:left="274" w:firstLine="964" w:firstLineChars="400"/>
        <w:rPr>
          <w:rFonts w:ascii="Arial" w:hAnsi="Arial" w:eastAsia="Arial" w:cs="Arial"/>
          <w:sz w:val="21"/>
          <w:szCs w:val="21"/>
        </w:rPr>
      </w:pPr>
      <w:r>
        <w:rPr>
          <w:rFonts w:ascii="宋体" w:hAnsi="宋体" w:eastAsia="宋体" w:cs="宋体"/>
          <w:b/>
          <w:bCs/>
          <w:sz w:val="24"/>
          <w:szCs w:val="32"/>
        </w:rPr>
        <w:t>表</w:t>
      </w:r>
      <w:r>
        <w:rPr>
          <w:rFonts w:ascii="宋体" w:hAnsi="宋体" w:eastAsia="宋体" w:cs="宋体"/>
          <w:spacing w:val="-51"/>
          <w:sz w:val="24"/>
          <w:szCs w:val="32"/>
        </w:rPr>
        <w:t xml:space="preserve"> </w:t>
      </w:r>
      <w:r>
        <w:rPr>
          <w:rFonts w:hint="eastAsia"/>
          <w:b/>
          <w:bCs/>
          <w:sz w:val="24"/>
          <w:szCs w:val="32"/>
          <w:lang w:val="en-US" w:eastAsia="zh-CN"/>
        </w:rPr>
        <w:t>5</w:t>
      </w:r>
      <w:r>
        <w:rPr>
          <w:b/>
          <w:bCs/>
          <w:sz w:val="24"/>
          <w:szCs w:val="32"/>
        </w:rPr>
        <w:t xml:space="preserve">.2-1        </w:t>
      </w:r>
      <w:r>
        <w:rPr>
          <w:rFonts w:ascii="宋体" w:hAnsi="宋体" w:eastAsia="宋体" w:cs="宋体"/>
          <w:b/>
          <w:bCs/>
          <w:spacing w:val="-1"/>
          <w:sz w:val="24"/>
          <w:szCs w:val="32"/>
        </w:rPr>
        <w:t>大气污染物有组织排放量核算表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471"/>
        <w:gridCol w:w="1431"/>
        <w:gridCol w:w="1471"/>
        <w:gridCol w:w="1467"/>
        <w:gridCol w:w="1449"/>
      </w:tblGrid>
      <w:tr w14:paraId="5A3A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14:paraId="6DAB58F4">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序号</w:t>
            </w:r>
          </w:p>
        </w:tc>
        <w:tc>
          <w:tcPr>
            <w:tcW w:w="1540" w:type="dxa"/>
            <w:vAlign w:val="center"/>
          </w:tcPr>
          <w:p w14:paraId="3D472F5A">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排放口编号</w:t>
            </w:r>
          </w:p>
        </w:tc>
        <w:tc>
          <w:tcPr>
            <w:tcW w:w="1540" w:type="dxa"/>
            <w:vAlign w:val="center"/>
          </w:tcPr>
          <w:p w14:paraId="10BC44FF">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tc>
        <w:tc>
          <w:tcPr>
            <w:tcW w:w="1540" w:type="dxa"/>
            <w:vAlign w:val="center"/>
          </w:tcPr>
          <w:p w14:paraId="2F5F9B58">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核算排放浓度/mg/m</w:t>
            </w:r>
            <w:r>
              <w:rPr>
                <w:rFonts w:hint="default" w:ascii="Times New Roman" w:hAnsi="Times New Roman" w:eastAsia="宋体" w:cs="Times New Roman"/>
                <w:sz w:val="21"/>
                <w:szCs w:val="21"/>
                <w:vertAlign w:val="superscript"/>
                <w:lang w:val="en-US" w:eastAsia="zh-CN"/>
              </w:rPr>
              <w:t>3</w:t>
            </w:r>
          </w:p>
        </w:tc>
        <w:tc>
          <w:tcPr>
            <w:tcW w:w="1540" w:type="dxa"/>
            <w:vAlign w:val="center"/>
          </w:tcPr>
          <w:p w14:paraId="1A92653D">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核算排放速率/kg/h</w:t>
            </w:r>
          </w:p>
        </w:tc>
        <w:tc>
          <w:tcPr>
            <w:tcW w:w="1541" w:type="dxa"/>
            <w:vAlign w:val="center"/>
          </w:tcPr>
          <w:p w14:paraId="448C25B1">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核算年排放量/t/a</w:t>
            </w:r>
          </w:p>
        </w:tc>
      </w:tr>
      <w:tr w14:paraId="52D1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1" w:type="dxa"/>
            <w:gridSpan w:val="6"/>
            <w:vAlign w:val="center"/>
          </w:tcPr>
          <w:p w14:paraId="1714EDC4">
            <w:pPr>
              <w:spacing w:line="360" w:lineRule="auto"/>
              <w:jc w:val="center"/>
              <w:rPr>
                <w:rFonts w:hint="default" w:ascii="Times New Roman" w:hAnsi="Times New Roman" w:eastAsia="Arial" w:cs="Times New Roman"/>
                <w:sz w:val="21"/>
                <w:szCs w:val="21"/>
                <w:vertAlign w:val="baseline"/>
              </w:rPr>
            </w:pPr>
            <w:r>
              <w:rPr>
                <w:rFonts w:hint="default" w:ascii="Times New Roman" w:hAnsi="Times New Roman" w:eastAsia="宋体" w:cs="Times New Roman"/>
                <w:sz w:val="21"/>
                <w:szCs w:val="21"/>
                <w:vertAlign w:val="baseline"/>
                <w:lang w:val="en-US" w:eastAsia="zh-CN"/>
              </w:rPr>
              <w:t>主要排放口</w:t>
            </w:r>
          </w:p>
        </w:tc>
      </w:tr>
      <w:tr w14:paraId="3DCB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0" w:type="dxa"/>
            <w:vAlign w:val="center"/>
          </w:tcPr>
          <w:p w14:paraId="0855B405">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540" w:type="dxa"/>
            <w:vAlign w:val="center"/>
          </w:tcPr>
          <w:p w14:paraId="41A490B9">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DA001</w:t>
            </w:r>
          </w:p>
        </w:tc>
        <w:tc>
          <w:tcPr>
            <w:tcW w:w="1540" w:type="dxa"/>
            <w:vAlign w:val="center"/>
          </w:tcPr>
          <w:p w14:paraId="1D14092D">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1540" w:type="dxa"/>
            <w:vAlign w:val="center"/>
          </w:tcPr>
          <w:p w14:paraId="216215CD">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9.23</w:t>
            </w:r>
          </w:p>
        </w:tc>
        <w:tc>
          <w:tcPr>
            <w:tcW w:w="1540" w:type="dxa"/>
            <w:vAlign w:val="center"/>
          </w:tcPr>
          <w:p w14:paraId="56406067">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0.1385</w:t>
            </w:r>
          </w:p>
        </w:tc>
        <w:tc>
          <w:tcPr>
            <w:tcW w:w="1541" w:type="dxa"/>
            <w:vAlign w:val="center"/>
          </w:tcPr>
          <w:p w14:paraId="3ACDF4FD">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0.63</w:t>
            </w:r>
          </w:p>
        </w:tc>
      </w:tr>
      <w:tr w14:paraId="30E0C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0" w:type="dxa"/>
            <w:gridSpan w:val="2"/>
            <w:vAlign w:val="center"/>
          </w:tcPr>
          <w:p w14:paraId="438199E3">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主要排放口</w:t>
            </w:r>
          </w:p>
        </w:tc>
        <w:tc>
          <w:tcPr>
            <w:tcW w:w="4620" w:type="dxa"/>
            <w:gridSpan w:val="3"/>
            <w:vAlign w:val="center"/>
          </w:tcPr>
          <w:p w14:paraId="46D83203">
            <w:pPr>
              <w:spacing w:line="360" w:lineRule="auto"/>
              <w:jc w:val="center"/>
              <w:rPr>
                <w:rFonts w:hint="default" w:ascii="Times New Roman" w:hAnsi="Times New Roman" w:eastAsia="Arial" w:cs="Times New Roman"/>
                <w:sz w:val="21"/>
                <w:szCs w:val="21"/>
                <w:vertAlign w:val="baseline"/>
              </w:rPr>
            </w:pPr>
            <w:r>
              <w:rPr>
                <w:rFonts w:hint="default" w:ascii="Times New Roman" w:hAnsi="Times New Roman" w:eastAsia="宋体" w:cs="Times New Roman"/>
                <w:sz w:val="21"/>
                <w:szCs w:val="21"/>
                <w:vertAlign w:val="baseline"/>
                <w:lang w:val="en-US" w:eastAsia="zh-CN"/>
              </w:rPr>
              <w:t>颗粒物</w:t>
            </w:r>
          </w:p>
        </w:tc>
        <w:tc>
          <w:tcPr>
            <w:tcW w:w="1541" w:type="dxa"/>
            <w:vAlign w:val="center"/>
          </w:tcPr>
          <w:p w14:paraId="0AA6A623">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0.63</w:t>
            </w:r>
          </w:p>
        </w:tc>
      </w:tr>
      <w:tr w14:paraId="7A8A0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1" w:type="dxa"/>
            <w:gridSpan w:val="6"/>
            <w:vAlign w:val="center"/>
          </w:tcPr>
          <w:p w14:paraId="430FFBA3">
            <w:pPr>
              <w:spacing w:line="360" w:lineRule="auto"/>
              <w:jc w:val="center"/>
              <w:rPr>
                <w:rFonts w:hint="default" w:ascii="Times New Roman" w:hAnsi="Times New Roman" w:eastAsia="Arial" w:cs="Times New Roman"/>
                <w:sz w:val="21"/>
                <w:szCs w:val="21"/>
                <w:vertAlign w:val="baseline"/>
              </w:rPr>
            </w:pPr>
            <w:r>
              <w:rPr>
                <w:rFonts w:hint="default" w:ascii="Times New Roman" w:hAnsi="Times New Roman" w:eastAsia="宋体" w:cs="Times New Roman"/>
                <w:sz w:val="21"/>
                <w:szCs w:val="21"/>
                <w:vertAlign w:val="baseline"/>
                <w:lang w:val="en-US" w:eastAsia="zh-CN"/>
              </w:rPr>
              <w:t>有组织排放总计</w:t>
            </w:r>
          </w:p>
        </w:tc>
      </w:tr>
      <w:tr w14:paraId="2FD9E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0" w:type="dxa"/>
            <w:gridSpan w:val="2"/>
            <w:vAlign w:val="center"/>
          </w:tcPr>
          <w:p w14:paraId="7B97E2BF">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有组织排放总计</w:t>
            </w:r>
          </w:p>
        </w:tc>
        <w:tc>
          <w:tcPr>
            <w:tcW w:w="4620" w:type="dxa"/>
            <w:gridSpan w:val="3"/>
            <w:vAlign w:val="center"/>
          </w:tcPr>
          <w:p w14:paraId="36276863">
            <w:pPr>
              <w:spacing w:line="360" w:lineRule="auto"/>
              <w:jc w:val="center"/>
              <w:rPr>
                <w:rFonts w:hint="default" w:ascii="Times New Roman" w:hAnsi="Times New Roman" w:eastAsia="Arial" w:cs="Times New Roman"/>
                <w:sz w:val="21"/>
                <w:szCs w:val="21"/>
                <w:vertAlign w:val="baseline"/>
              </w:rPr>
            </w:pPr>
            <w:r>
              <w:rPr>
                <w:rFonts w:hint="default" w:ascii="Times New Roman" w:hAnsi="Times New Roman" w:eastAsia="宋体" w:cs="Times New Roman"/>
                <w:sz w:val="21"/>
                <w:szCs w:val="21"/>
                <w:vertAlign w:val="baseline"/>
                <w:lang w:val="en-US" w:eastAsia="zh-CN"/>
              </w:rPr>
              <w:t>颗粒物</w:t>
            </w:r>
          </w:p>
        </w:tc>
        <w:tc>
          <w:tcPr>
            <w:tcW w:w="1541" w:type="dxa"/>
            <w:vAlign w:val="center"/>
          </w:tcPr>
          <w:p w14:paraId="7D7EFA62">
            <w:pPr>
              <w:spacing w:line="360" w:lineRule="auto"/>
              <w:jc w:val="center"/>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0.63</w:t>
            </w:r>
          </w:p>
        </w:tc>
      </w:tr>
    </w:tbl>
    <w:p w14:paraId="1A550ED5">
      <w:pPr>
        <w:spacing w:before="170" w:line="29" w:lineRule="exact"/>
        <w:ind w:firstLine="93"/>
      </w:pPr>
    </w:p>
    <w:p w14:paraId="17154453">
      <w:pPr>
        <w:spacing w:line="68" w:lineRule="exact"/>
      </w:pPr>
    </w:p>
    <w:p w14:paraId="45EA9B52">
      <w:pPr>
        <w:pStyle w:val="31"/>
        <w:spacing w:before="36" w:line="212" w:lineRule="auto"/>
        <w:ind w:left="101"/>
        <w:jc w:val="center"/>
        <w:rPr>
          <w:rFonts w:ascii="宋体" w:hAnsi="宋体" w:eastAsia="宋体" w:cs="宋体"/>
          <w:b/>
          <w:bCs/>
          <w:spacing w:val="-1"/>
          <w:sz w:val="24"/>
          <w:szCs w:val="32"/>
        </w:rPr>
      </w:pPr>
    </w:p>
    <w:p w14:paraId="7BE86EEE">
      <w:pPr>
        <w:pStyle w:val="31"/>
        <w:spacing w:before="36" w:line="212" w:lineRule="auto"/>
        <w:ind w:left="101"/>
        <w:jc w:val="center"/>
        <w:rPr>
          <w:rFonts w:ascii="宋体" w:hAnsi="宋体" w:eastAsia="宋体" w:cs="宋体"/>
          <w:b/>
          <w:bCs/>
          <w:spacing w:val="-1"/>
          <w:sz w:val="24"/>
          <w:szCs w:val="32"/>
        </w:rPr>
      </w:pPr>
    </w:p>
    <w:p w14:paraId="6018E84C">
      <w:pPr>
        <w:pStyle w:val="31"/>
        <w:spacing w:before="36" w:line="212" w:lineRule="auto"/>
        <w:ind w:left="101"/>
        <w:jc w:val="center"/>
        <w:rPr>
          <w:rFonts w:ascii="宋体" w:hAnsi="宋体" w:eastAsia="宋体" w:cs="宋体"/>
          <w:b/>
          <w:bCs/>
          <w:spacing w:val="-1"/>
          <w:sz w:val="24"/>
          <w:szCs w:val="32"/>
        </w:rPr>
      </w:pPr>
    </w:p>
    <w:p w14:paraId="4BC7C2AA">
      <w:pPr>
        <w:pStyle w:val="31"/>
        <w:spacing w:before="36" w:line="212" w:lineRule="auto"/>
        <w:ind w:left="101"/>
        <w:jc w:val="center"/>
        <w:rPr>
          <w:rFonts w:ascii="宋体" w:hAnsi="宋体" w:eastAsia="宋体" w:cs="宋体"/>
          <w:b/>
          <w:bCs/>
          <w:spacing w:val="-1"/>
          <w:sz w:val="24"/>
          <w:szCs w:val="32"/>
        </w:rPr>
      </w:pPr>
    </w:p>
    <w:p w14:paraId="15D74859">
      <w:pPr>
        <w:pStyle w:val="31"/>
        <w:spacing w:before="36" w:line="212" w:lineRule="auto"/>
        <w:ind w:left="101"/>
        <w:jc w:val="center"/>
        <w:rPr>
          <w:rFonts w:ascii="宋体" w:hAnsi="宋体" w:eastAsia="宋体" w:cs="宋体"/>
        </w:rPr>
      </w:pPr>
      <w:r>
        <w:rPr>
          <w:rFonts w:ascii="宋体" w:hAnsi="宋体" w:eastAsia="宋体" w:cs="宋体"/>
          <w:b/>
          <w:bCs/>
          <w:spacing w:val="-1"/>
          <w:sz w:val="24"/>
          <w:szCs w:val="32"/>
        </w:rPr>
        <w:t>表</w:t>
      </w:r>
      <w:r>
        <w:rPr>
          <w:rFonts w:ascii="宋体" w:hAnsi="宋体" w:eastAsia="宋体" w:cs="宋体"/>
          <w:spacing w:val="-34"/>
          <w:sz w:val="24"/>
          <w:szCs w:val="32"/>
        </w:rPr>
        <w:t xml:space="preserve"> </w:t>
      </w:r>
      <w:r>
        <w:rPr>
          <w:rFonts w:hint="eastAsia"/>
          <w:b/>
          <w:bCs/>
          <w:spacing w:val="-1"/>
          <w:sz w:val="24"/>
          <w:szCs w:val="32"/>
          <w:lang w:val="en-US" w:eastAsia="zh-CN"/>
        </w:rPr>
        <w:t>5</w:t>
      </w:r>
      <w:r>
        <w:rPr>
          <w:b/>
          <w:bCs/>
          <w:spacing w:val="-1"/>
          <w:sz w:val="24"/>
          <w:szCs w:val="32"/>
        </w:rPr>
        <w:t xml:space="preserve">.2-2    </w:t>
      </w:r>
      <w:r>
        <w:rPr>
          <w:rFonts w:ascii="宋体" w:hAnsi="宋体" w:eastAsia="宋体" w:cs="宋体"/>
          <w:b/>
          <w:bCs/>
          <w:spacing w:val="-1"/>
          <w:sz w:val="24"/>
          <w:szCs w:val="32"/>
        </w:rPr>
        <w:t>大气污染物无组织排放量核算表</w:t>
      </w:r>
    </w:p>
    <w:tbl>
      <w:tblPr>
        <w:tblStyle w:val="297"/>
        <w:tblW w:w="8593" w:type="dxa"/>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57"/>
        <w:gridCol w:w="1145"/>
        <w:gridCol w:w="797"/>
        <w:gridCol w:w="2804"/>
        <w:gridCol w:w="1469"/>
        <w:gridCol w:w="1013"/>
        <w:gridCol w:w="1008"/>
      </w:tblGrid>
      <w:tr w14:paraId="31148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3" w:hRule="atLeast"/>
        </w:trPr>
        <w:tc>
          <w:tcPr>
            <w:tcW w:w="357" w:type="dxa"/>
            <w:vMerge w:val="restart"/>
            <w:textDirection w:val="tbRlV"/>
            <w:vAlign w:val="top"/>
          </w:tcPr>
          <w:p w14:paraId="5947EE41">
            <w:pPr>
              <w:spacing w:before="68" w:line="211" w:lineRule="auto"/>
              <w:ind w:left="403"/>
              <w:rPr>
                <w:rFonts w:ascii="宋体" w:hAnsi="宋体" w:eastAsia="宋体" w:cs="宋体"/>
                <w:sz w:val="21"/>
                <w:szCs w:val="21"/>
              </w:rPr>
            </w:pPr>
            <w:r>
              <w:rPr>
                <w:rFonts w:ascii="宋体" w:hAnsi="宋体" w:eastAsia="宋体" w:cs="宋体"/>
                <w:spacing w:val="1"/>
                <w:sz w:val="21"/>
                <w:szCs w:val="21"/>
              </w:rPr>
              <w:t>序</w:t>
            </w:r>
            <w:r>
              <w:rPr>
                <w:rFonts w:ascii="宋体" w:hAnsi="宋体" w:eastAsia="宋体" w:cs="宋体"/>
                <w:spacing w:val="-5"/>
                <w:sz w:val="21"/>
                <w:szCs w:val="21"/>
              </w:rPr>
              <w:t xml:space="preserve"> </w:t>
            </w:r>
            <w:r>
              <w:rPr>
                <w:rFonts w:ascii="宋体" w:hAnsi="宋体" w:eastAsia="宋体" w:cs="宋体"/>
                <w:spacing w:val="1"/>
                <w:sz w:val="21"/>
                <w:szCs w:val="21"/>
              </w:rPr>
              <w:t>号</w:t>
            </w:r>
          </w:p>
        </w:tc>
        <w:tc>
          <w:tcPr>
            <w:tcW w:w="1145" w:type="dxa"/>
            <w:vMerge w:val="restart"/>
            <w:vAlign w:val="top"/>
          </w:tcPr>
          <w:p w14:paraId="4A0D1246">
            <w:pPr>
              <w:pStyle w:val="1517"/>
              <w:spacing w:line="243" w:lineRule="auto"/>
            </w:pPr>
          </w:p>
          <w:p w14:paraId="245AA265">
            <w:pPr>
              <w:pStyle w:val="1517"/>
              <w:spacing w:line="244" w:lineRule="auto"/>
            </w:pPr>
          </w:p>
          <w:p w14:paraId="125C531D">
            <w:pPr>
              <w:spacing w:before="68" w:line="221" w:lineRule="auto"/>
              <w:ind w:left="157"/>
              <w:rPr>
                <w:rFonts w:ascii="宋体" w:hAnsi="宋体" w:eastAsia="宋体" w:cs="宋体"/>
                <w:sz w:val="21"/>
                <w:szCs w:val="21"/>
              </w:rPr>
            </w:pPr>
            <w:r>
              <w:rPr>
                <w:rFonts w:ascii="宋体" w:hAnsi="宋体" w:eastAsia="宋体" w:cs="宋体"/>
                <w:spacing w:val="-2"/>
                <w:sz w:val="21"/>
                <w:szCs w:val="21"/>
              </w:rPr>
              <w:t>产污环节</w:t>
            </w:r>
          </w:p>
        </w:tc>
        <w:tc>
          <w:tcPr>
            <w:tcW w:w="797" w:type="dxa"/>
            <w:vMerge w:val="restart"/>
            <w:vAlign w:val="top"/>
          </w:tcPr>
          <w:p w14:paraId="573F121B">
            <w:pPr>
              <w:pStyle w:val="1517"/>
              <w:spacing w:line="244" w:lineRule="auto"/>
            </w:pPr>
          </w:p>
          <w:p w14:paraId="7D9192DE">
            <w:pPr>
              <w:pStyle w:val="1517"/>
              <w:spacing w:line="244" w:lineRule="auto"/>
            </w:pPr>
          </w:p>
          <w:p w14:paraId="29988066">
            <w:pPr>
              <w:spacing w:before="68" w:line="221" w:lineRule="auto"/>
              <w:ind w:left="91"/>
              <w:rPr>
                <w:rFonts w:ascii="宋体" w:hAnsi="宋体" w:eastAsia="宋体" w:cs="宋体"/>
                <w:sz w:val="21"/>
                <w:szCs w:val="21"/>
              </w:rPr>
            </w:pPr>
            <w:r>
              <w:rPr>
                <w:rFonts w:ascii="宋体" w:hAnsi="宋体" w:eastAsia="宋体" w:cs="宋体"/>
                <w:spacing w:val="-2"/>
                <w:sz w:val="21"/>
                <w:szCs w:val="21"/>
              </w:rPr>
              <w:t>污染物</w:t>
            </w:r>
          </w:p>
        </w:tc>
        <w:tc>
          <w:tcPr>
            <w:tcW w:w="2804" w:type="dxa"/>
            <w:vMerge w:val="restart"/>
            <w:vAlign w:val="top"/>
          </w:tcPr>
          <w:p w14:paraId="6335C8A3">
            <w:pPr>
              <w:pStyle w:val="1517"/>
              <w:spacing w:line="333" w:lineRule="auto"/>
            </w:pPr>
          </w:p>
          <w:p w14:paraId="383862BA">
            <w:pPr>
              <w:spacing w:before="68" w:line="221" w:lineRule="auto"/>
              <w:ind w:left="989"/>
              <w:rPr>
                <w:rFonts w:ascii="宋体" w:hAnsi="宋体" w:eastAsia="宋体" w:cs="宋体"/>
                <w:sz w:val="21"/>
                <w:szCs w:val="21"/>
              </w:rPr>
            </w:pPr>
            <w:r>
              <w:rPr>
                <w:rFonts w:ascii="宋体" w:hAnsi="宋体" w:eastAsia="宋体" w:cs="宋体"/>
                <w:spacing w:val="-2"/>
                <w:sz w:val="21"/>
                <w:szCs w:val="21"/>
              </w:rPr>
              <w:t>主要污染</w:t>
            </w:r>
          </w:p>
          <w:p w14:paraId="0E63D00D">
            <w:pPr>
              <w:spacing w:before="60" w:line="221" w:lineRule="auto"/>
              <w:ind w:left="1001"/>
              <w:rPr>
                <w:rFonts w:ascii="宋体" w:hAnsi="宋体" w:eastAsia="宋体" w:cs="宋体"/>
                <w:sz w:val="21"/>
                <w:szCs w:val="21"/>
              </w:rPr>
            </w:pPr>
            <w:r>
              <w:rPr>
                <w:rFonts w:ascii="宋体" w:hAnsi="宋体" w:eastAsia="宋体" w:cs="宋体"/>
                <w:spacing w:val="-5"/>
                <w:sz w:val="21"/>
                <w:szCs w:val="21"/>
              </w:rPr>
              <w:t>防治措施</w:t>
            </w:r>
          </w:p>
        </w:tc>
        <w:tc>
          <w:tcPr>
            <w:tcW w:w="2482" w:type="dxa"/>
            <w:gridSpan w:val="2"/>
            <w:vAlign w:val="top"/>
          </w:tcPr>
          <w:p w14:paraId="6509D850">
            <w:pPr>
              <w:spacing w:before="69" w:line="221" w:lineRule="auto"/>
              <w:ind w:left="113"/>
              <w:rPr>
                <w:rFonts w:ascii="宋体" w:hAnsi="宋体" w:eastAsia="宋体" w:cs="宋体"/>
                <w:sz w:val="21"/>
                <w:szCs w:val="21"/>
              </w:rPr>
            </w:pPr>
            <w:r>
              <w:rPr>
                <w:rFonts w:ascii="宋体" w:hAnsi="宋体" w:eastAsia="宋体" w:cs="宋体"/>
                <w:spacing w:val="-3"/>
                <w:sz w:val="21"/>
                <w:szCs w:val="21"/>
              </w:rPr>
              <w:t>国家或地方污染物排放标</w:t>
            </w:r>
          </w:p>
          <w:p w14:paraId="546D4E5C">
            <w:pPr>
              <w:spacing w:before="60" w:line="222" w:lineRule="auto"/>
              <w:ind w:left="1142"/>
              <w:rPr>
                <w:rFonts w:ascii="宋体" w:hAnsi="宋体" w:eastAsia="宋体" w:cs="宋体"/>
                <w:sz w:val="21"/>
                <w:szCs w:val="21"/>
              </w:rPr>
            </w:pPr>
            <w:r>
              <w:rPr>
                <w:rFonts w:ascii="宋体" w:hAnsi="宋体" w:eastAsia="宋体" w:cs="宋体"/>
                <w:sz w:val="21"/>
                <w:szCs w:val="21"/>
              </w:rPr>
              <w:t>准</w:t>
            </w:r>
          </w:p>
        </w:tc>
        <w:tc>
          <w:tcPr>
            <w:tcW w:w="1008" w:type="dxa"/>
            <w:vMerge w:val="restart"/>
            <w:vAlign w:val="top"/>
          </w:tcPr>
          <w:p w14:paraId="2636E025">
            <w:pPr>
              <w:pStyle w:val="1517"/>
              <w:spacing w:line="333" w:lineRule="auto"/>
            </w:pPr>
          </w:p>
          <w:p w14:paraId="53FD45C7">
            <w:pPr>
              <w:spacing w:before="68" w:line="228" w:lineRule="auto"/>
              <w:ind w:left="62"/>
              <w:rPr>
                <w:rFonts w:ascii="Times New Roman" w:hAnsi="Times New Roman" w:eastAsia="Times New Roman" w:cs="Times New Roman"/>
                <w:sz w:val="21"/>
                <w:szCs w:val="21"/>
              </w:rPr>
            </w:pPr>
            <w:r>
              <w:rPr>
                <w:rFonts w:ascii="宋体" w:hAnsi="宋体" w:eastAsia="宋体" w:cs="宋体"/>
                <w:spacing w:val="-2"/>
                <w:sz w:val="21"/>
                <w:szCs w:val="21"/>
              </w:rPr>
              <w:t>年排放量</w:t>
            </w:r>
            <w:r>
              <w:rPr>
                <w:rFonts w:ascii="Times New Roman" w:hAnsi="Times New Roman" w:eastAsia="Times New Roman" w:cs="Times New Roman"/>
                <w:spacing w:val="-2"/>
                <w:sz w:val="21"/>
                <w:szCs w:val="21"/>
              </w:rPr>
              <w:t>/</w:t>
            </w:r>
          </w:p>
          <w:p w14:paraId="0ACCF29F">
            <w:pPr>
              <w:spacing w:before="52"/>
              <w:ind w:left="202"/>
              <w:rPr>
                <w:rFonts w:ascii="宋体" w:hAnsi="宋体" w:eastAsia="宋体" w:cs="宋体"/>
                <w:sz w:val="21"/>
                <w:szCs w:val="21"/>
              </w:rPr>
            </w:pPr>
            <w:r>
              <w:rPr>
                <w:rFonts w:ascii="宋体" w:hAnsi="宋体" w:eastAsia="宋体" w:cs="宋体"/>
                <w:spacing w:val="-3"/>
                <w:sz w:val="21"/>
                <w:szCs w:val="21"/>
              </w:rPr>
              <w:t>（</w:t>
            </w:r>
            <w:r>
              <w:rPr>
                <w:rFonts w:ascii="Times New Roman" w:hAnsi="Times New Roman" w:eastAsia="Times New Roman" w:cs="Times New Roman"/>
                <w:spacing w:val="-3"/>
                <w:sz w:val="21"/>
                <w:szCs w:val="21"/>
              </w:rPr>
              <w:t>t/a</w:t>
            </w:r>
            <w:r>
              <w:rPr>
                <w:rFonts w:ascii="宋体" w:hAnsi="宋体" w:eastAsia="宋体" w:cs="宋体"/>
                <w:spacing w:val="-3"/>
                <w:sz w:val="21"/>
                <w:szCs w:val="21"/>
              </w:rPr>
              <w:t>）</w:t>
            </w:r>
          </w:p>
        </w:tc>
      </w:tr>
      <w:tr w14:paraId="2A49B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357" w:type="dxa"/>
            <w:vMerge w:val="continue"/>
            <w:textDirection w:val="tbRlV"/>
            <w:vAlign w:val="top"/>
          </w:tcPr>
          <w:p w14:paraId="332567A2">
            <w:pPr>
              <w:pStyle w:val="1517"/>
            </w:pPr>
          </w:p>
        </w:tc>
        <w:tc>
          <w:tcPr>
            <w:tcW w:w="1145" w:type="dxa"/>
            <w:vMerge w:val="continue"/>
            <w:vAlign w:val="top"/>
          </w:tcPr>
          <w:p w14:paraId="62C7C4D3">
            <w:pPr>
              <w:pStyle w:val="1517"/>
            </w:pPr>
          </w:p>
        </w:tc>
        <w:tc>
          <w:tcPr>
            <w:tcW w:w="797" w:type="dxa"/>
            <w:vMerge w:val="continue"/>
            <w:vAlign w:val="top"/>
          </w:tcPr>
          <w:p w14:paraId="29892EE7">
            <w:pPr>
              <w:pStyle w:val="1517"/>
            </w:pPr>
          </w:p>
        </w:tc>
        <w:tc>
          <w:tcPr>
            <w:tcW w:w="2804" w:type="dxa"/>
            <w:vMerge w:val="continue"/>
            <w:vAlign w:val="top"/>
          </w:tcPr>
          <w:p w14:paraId="31B5997E">
            <w:pPr>
              <w:pStyle w:val="1517"/>
            </w:pPr>
          </w:p>
        </w:tc>
        <w:tc>
          <w:tcPr>
            <w:tcW w:w="1469" w:type="dxa"/>
            <w:vAlign w:val="top"/>
          </w:tcPr>
          <w:p w14:paraId="47A4239B">
            <w:pPr>
              <w:spacing w:before="222" w:line="221" w:lineRule="auto"/>
              <w:ind w:left="321"/>
              <w:rPr>
                <w:rFonts w:ascii="宋体" w:hAnsi="宋体" w:eastAsia="宋体" w:cs="宋体"/>
                <w:sz w:val="21"/>
                <w:szCs w:val="21"/>
              </w:rPr>
            </w:pPr>
            <w:r>
              <w:rPr>
                <w:rFonts w:ascii="宋体" w:hAnsi="宋体" w:eastAsia="宋体" w:cs="宋体"/>
                <w:spacing w:val="-2"/>
                <w:sz w:val="21"/>
                <w:szCs w:val="21"/>
              </w:rPr>
              <w:t>标准名称</w:t>
            </w:r>
          </w:p>
        </w:tc>
        <w:tc>
          <w:tcPr>
            <w:tcW w:w="1013" w:type="dxa"/>
            <w:vAlign w:val="top"/>
          </w:tcPr>
          <w:p w14:paraId="0E1021A7">
            <w:pPr>
              <w:spacing w:before="66" w:line="228" w:lineRule="auto"/>
              <w:ind w:left="63"/>
              <w:rPr>
                <w:rFonts w:ascii="Times New Roman" w:hAnsi="Times New Roman" w:eastAsia="Times New Roman" w:cs="Times New Roman"/>
                <w:sz w:val="21"/>
                <w:szCs w:val="21"/>
              </w:rPr>
            </w:pPr>
            <w:r>
              <w:rPr>
                <w:rFonts w:ascii="宋体" w:hAnsi="宋体" w:eastAsia="宋体" w:cs="宋体"/>
                <w:spacing w:val="-1"/>
                <w:sz w:val="21"/>
                <w:szCs w:val="21"/>
              </w:rPr>
              <w:t>浓度限值</w:t>
            </w:r>
            <w:r>
              <w:rPr>
                <w:rFonts w:ascii="Times New Roman" w:hAnsi="Times New Roman" w:eastAsia="Times New Roman" w:cs="Times New Roman"/>
                <w:spacing w:val="-1"/>
                <w:sz w:val="21"/>
                <w:szCs w:val="21"/>
              </w:rPr>
              <w:t>/</w:t>
            </w:r>
          </w:p>
          <w:p w14:paraId="5A873C92">
            <w:pPr>
              <w:spacing w:before="52" w:line="207" w:lineRule="auto"/>
              <w:ind w:left="28"/>
              <w:rPr>
                <w:rFonts w:ascii="宋体" w:hAnsi="宋体" w:eastAsia="宋体" w:cs="宋体"/>
                <w:sz w:val="21"/>
                <w:szCs w:val="21"/>
              </w:rPr>
            </w:pPr>
            <w:r>
              <w:rPr>
                <w:rFonts w:ascii="宋体" w:hAnsi="宋体" w:eastAsia="宋体" w:cs="宋体"/>
                <w:spacing w:val="-2"/>
                <w:sz w:val="21"/>
                <w:szCs w:val="21"/>
              </w:rPr>
              <w:t>（</w:t>
            </w:r>
            <w:r>
              <w:rPr>
                <w:rFonts w:ascii="Times New Roman" w:hAnsi="Times New Roman" w:eastAsia="Times New Roman" w:cs="Times New Roman"/>
                <w:spacing w:val="-2"/>
                <w:sz w:val="21"/>
                <w:szCs w:val="21"/>
              </w:rPr>
              <w:t>mg/m</w:t>
            </w:r>
            <w:r>
              <w:rPr>
                <w:rFonts w:ascii="Times New Roman" w:hAnsi="Times New Roman" w:eastAsia="Times New Roman" w:cs="Times New Roman"/>
                <w:spacing w:val="-2"/>
                <w:position w:val="7"/>
                <w:sz w:val="13"/>
                <w:szCs w:val="13"/>
              </w:rPr>
              <w:t>3</w:t>
            </w:r>
            <w:r>
              <w:rPr>
                <w:rFonts w:ascii="宋体" w:hAnsi="宋体" w:eastAsia="宋体" w:cs="宋体"/>
                <w:spacing w:val="-2"/>
                <w:sz w:val="21"/>
                <w:szCs w:val="21"/>
              </w:rPr>
              <w:t>）</w:t>
            </w:r>
          </w:p>
        </w:tc>
        <w:tc>
          <w:tcPr>
            <w:tcW w:w="1008" w:type="dxa"/>
            <w:vMerge w:val="continue"/>
            <w:vAlign w:val="top"/>
          </w:tcPr>
          <w:p w14:paraId="63E990CD">
            <w:pPr>
              <w:pStyle w:val="1517"/>
            </w:pPr>
          </w:p>
        </w:tc>
      </w:tr>
      <w:tr w14:paraId="02584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57" w:type="dxa"/>
            <w:vAlign w:val="top"/>
          </w:tcPr>
          <w:p w14:paraId="48E59EEA">
            <w:pPr>
              <w:spacing w:before="160" w:line="236" w:lineRule="auto"/>
              <w:ind w:left="151" w:leftChars="0"/>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45" w:type="dxa"/>
            <w:vAlign w:val="center"/>
          </w:tcPr>
          <w:p w14:paraId="189562DC">
            <w:pPr>
              <w:keepNext w:val="0"/>
              <w:keepLines w:val="0"/>
              <w:pageBreakBefore w:val="0"/>
              <w:kinsoku/>
              <w:wordWrap/>
              <w:overflowPunct/>
              <w:topLinePunct w:val="0"/>
              <w:autoSpaceDE/>
              <w:autoSpaceDN/>
              <w:bidi w:val="0"/>
              <w:spacing w:line="240" w:lineRule="auto"/>
              <w:jc w:val="center"/>
              <w:rPr>
                <w:rFonts w:hint="default"/>
                <w:sz w:val="21"/>
                <w:szCs w:val="21"/>
                <w:vertAlign w:val="baseline"/>
                <w:lang w:val="en-US" w:eastAsia="zh-CN"/>
              </w:rPr>
            </w:pPr>
            <w:r>
              <w:rPr>
                <w:rFonts w:hint="eastAsia"/>
                <w:sz w:val="21"/>
                <w:szCs w:val="21"/>
                <w:vertAlign w:val="baseline"/>
                <w:lang w:val="en-US" w:eastAsia="zh-CN"/>
              </w:rPr>
              <w:t>选矿车间</w:t>
            </w:r>
          </w:p>
        </w:tc>
        <w:tc>
          <w:tcPr>
            <w:tcW w:w="797" w:type="dxa"/>
            <w:vAlign w:val="top"/>
          </w:tcPr>
          <w:p w14:paraId="16FEE92F">
            <w:pPr>
              <w:spacing w:before="128" w:line="221" w:lineRule="auto"/>
              <w:ind w:left="89"/>
              <w:rPr>
                <w:rFonts w:hint="eastAsia" w:ascii="宋体" w:hAnsi="宋体" w:eastAsia="宋体" w:cs="宋体"/>
                <w:spacing w:val="-1"/>
                <w:sz w:val="21"/>
                <w:szCs w:val="21"/>
                <w:lang w:val="en-US" w:eastAsia="zh-CN"/>
              </w:rPr>
            </w:pPr>
            <w:r>
              <w:rPr>
                <w:rFonts w:hint="eastAsia" w:ascii="宋体" w:hAnsi="宋体" w:eastAsia="宋体" w:cs="宋体"/>
                <w:spacing w:val="-1"/>
                <w:sz w:val="21"/>
                <w:szCs w:val="21"/>
                <w:lang w:val="en-US" w:eastAsia="zh-CN"/>
              </w:rPr>
              <w:t>颗粒物</w:t>
            </w:r>
          </w:p>
        </w:tc>
        <w:tc>
          <w:tcPr>
            <w:tcW w:w="2804" w:type="dxa"/>
            <w:vAlign w:val="center"/>
          </w:tcPr>
          <w:p w14:paraId="56D910B1">
            <w:pPr>
              <w:keepNext w:val="0"/>
              <w:keepLines w:val="0"/>
              <w:pageBreakBefore w:val="0"/>
              <w:widowControl/>
              <w:kinsoku/>
              <w:wordWrap/>
              <w:overflowPunct/>
              <w:topLinePunct w:val="0"/>
              <w:autoSpaceDE/>
              <w:autoSpaceDN/>
              <w:bidi w:val="0"/>
              <w:spacing w:line="240" w:lineRule="auto"/>
              <w:jc w:val="center"/>
              <w:textAlignment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洒水抑尘、降低卸料高度等</w:t>
            </w:r>
          </w:p>
        </w:tc>
        <w:tc>
          <w:tcPr>
            <w:tcW w:w="1469" w:type="dxa"/>
            <w:vMerge w:val="restart"/>
            <w:vAlign w:val="top"/>
          </w:tcPr>
          <w:p w14:paraId="5A8A8D13">
            <w:pPr>
              <w:pStyle w:val="1517"/>
              <w:spacing w:line="289" w:lineRule="auto"/>
            </w:pPr>
          </w:p>
          <w:p w14:paraId="25E31101">
            <w:pPr>
              <w:spacing w:before="68" w:line="221" w:lineRule="auto"/>
              <w:ind w:left="113"/>
              <w:rPr>
                <w:rFonts w:ascii="宋体" w:hAnsi="宋体" w:eastAsia="宋体" w:cs="宋体"/>
                <w:sz w:val="21"/>
                <w:szCs w:val="21"/>
              </w:rPr>
            </w:pPr>
            <w:r>
              <w:rPr>
                <w:rFonts w:ascii="宋体" w:hAnsi="宋体" w:eastAsia="宋体" w:cs="宋体"/>
                <w:spacing w:val="-2"/>
                <w:sz w:val="21"/>
                <w:szCs w:val="21"/>
              </w:rPr>
              <w:t>《大气污染物</w:t>
            </w:r>
          </w:p>
          <w:p w14:paraId="54B529E3">
            <w:pPr>
              <w:spacing w:before="60" w:line="221" w:lineRule="auto"/>
              <w:ind w:left="217"/>
              <w:rPr>
                <w:rFonts w:ascii="宋体" w:hAnsi="宋体" w:eastAsia="宋体" w:cs="宋体"/>
                <w:sz w:val="21"/>
                <w:szCs w:val="21"/>
              </w:rPr>
            </w:pPr>
            <w:r>
              <w:rPr>
                <w:rFonts w:ascii="宋体" w:hAnsi="宋体" w:eastAsia="宋体" w:cs="宋体"/>
                <w:spacing w:val="-2"/>
                <w:sz w:val="21"/>
                <w:szCs w:val="21"/>
              </w:rPr>
              <w:t>综合排放标</w:t>
            </w:r>
          </w:p>
          <w:p w14:paraId="64E9276D">
            <w:pPr>
              <w:spacing w:before="60" w:line="207" w:lineRule="auto"/>
              <w:ind w:left="53"/>
              <w:rPr>
                <w:rFonts w:ascii="Times New Roman" w:hAnsi="Times New Roman" w:eastAsia="Times New Roman" w:cs="Times New Roman"/>
                <w:sz w:val="21"/>
                <w:szCs w:val="21"/>
              </w:rPr>
            </w:pPr>
            <w:r>
              <w:rPr>
                <w:rFonts w:ascii="宋体" w:hAnsi="宋体" w:eastAsia="宋体" w:cs="宋体"/>
                <w:sz w:val="21"/>
                <w:szCs w:val="21"/>
              </w:rPr>
              <w:t>准》</w:t>
            </w:r>
            <w:r>
              <w:rPr>
                <w:rFonts w:ascii="Times New Roman" w:hAnsi="Times New Roman" w:eastAsia="Times New Roman" w:cs="Times New Roman"/>
                <w:sz w:val="21"/>
                <w:szCs w:val="21"/>
              </w:rPr>
              <w:t>(GB16297-</w:t>
            </w:r>
          </w:p>
          <w:p w14:paraId="07BE4160">
            <w:pPr>
              <w:spacing w:before="107" w:line="193" w:lineRule="auto"/>
              <w:ind w:left="512"/>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1996)</w:t>
            </w:r>
          </w:p>
        </w:tc>
        <w:tc>
          <w:tcPr>
            <w:tcW w:w="1013" w:type="dxa"/>
            <w:vMerge w:val="restart"/>
            <w:vAlign w:val="center"/>
          </w:tcPr>
          <w:p w14:paraId="52848556">
            <w:pPr>
              <w:spacing w:before="60" w:line="233" w:lineRule="auto"/>
              <w:ind w:left="399"/>
              <w:jc w:val="both"/>
              <w:rPr>
                <w:rFonts w:ascii="Times New Roman" w:hAnsi="Times New Roman" w:eastAsia="Times New Roman" w:cs="Times New Roman"/>
                <w:sz w:val="21"/>
                <w:szCs w:val="21"/>
              </w:rPr>
            </w:pPr>
            <w:r>
              <w:rPr>
                <w:rFonts w:ascii="Times New Roman" w:hAnsi="Times New Roman" w:eastAsia="Times New Roman" w:cs="Times New Roman"/>
                <w:spacing w:val="-5"/>
                <w:sz w:val="21"/>
                <w:szCs w:val="21"/>
              </w:rPr>
              <w:t>1.0</w:t>
            </w:r>
          </w:p>
        </w:tc>
        <w:tc>
          <w:tcPr>
            <w:tcW w:w="1008" w:type="dxa"/>
            <w:vAlign w:val="center"/>
          </w:tcPr>
          <w:p w14:paraId="7F4A2616">
            <w:pPr>
              <w:keepNext w:val="0"/>
              <w:keepLines w:val="0"/>
              <w:pageBreakBefore w:val="0"/>
              <w:kinsoku/>
              <w:wordWrap/>
              <w:overflowPunct/>
              <w:topLinePunct w:val="0"/>
              <w:autoSpaceDE/>
              <w:autoSpaceDN/>
              <w:bidi w:val="0"/>
              <w:spacing w:line="240" w:lineRule="auto"/>
              <w:jc w:val="center"/>
              <w:rPr>
                <w:rFonts w:hint="default"/>
                <w:sz w:val="21"/>
                <w:szCs w:val="21"/>
                <w:vertAlign w:val="baseline"/>
                <w:lang w:val="en-US" w:eastAsia="zh-CN"/>
              </w:rPr>
            </w:pPr>
            <w:r>
              <w:rPr>
                <w:rFonts w:hint="eastAsia"/>
                <w:sz w:val="21"/>
                <w:szCs w:val="21"/>
                <w:vertAlign w:val="baseline"/>
                <w:lang w:val="en-US" w:eastAsia="zh-CN"/>
              </w:rPr>
              <w:t>1.05</w:t>
            </w:r>
          </w:p>
        </w:tc>
      </w:tr>
      <w:tr w14:paraId="2A37F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3" w:hRule="atLeast"/>
        </w:trPr>
        <w:tc>
          <w:tcPr>
            <w:tcW w:w="357" w:type="dxa"/>
            <w:vAlign w:val="top"/>
          </w:tcPr>
          <w:p w14:paraId="3D7C47BD">
            <w:pPr>
              <w:spacing w:before="158" w:line="236" w:lineRule="auto"/>
              <w:ind w:left="131" w:leftChars="0"/>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145" w:type="dxa"/>
            <w:vAlign w:val="center"/>
          </w:tcPr>
          <w:p w14:paraId="3EB3B8E6">
            <w:pPr>
              <w:keepNext w:val="0"/>
              <w:keepLines w:val="0"/>
              <w:pageBreakBefore w:val="0"/>
              <w:kinsoku/>
              <w:wordWrap/>
              <w:overflowPunct/>
              <w:topLinePunct w:val="0"/>
              <w:autoSpaceDE/>
              <w:autoSpaceDN/>
              <w:bidi w:val="0"/>
              <w:spacing w:line="240" w:lineRule="auto"/>
              <w:jc w:val="center"/>
              <w:rPr>
                <w:rFonts w:ascii="宋体" w:hAnsi="宋体" w:eastAsia="宋体" w:cs="宋体"/>
                <w:sz w:val="21"/>
                <w:szCs w:val="21"/>
              </w:rPr>
            </w:pPr>
            <w:r>
              <w:rPr>
                <w:rFonts w:hint="eastAsia"/>
                <w:sz w:val="21"/>
                <w:szCs w:val="21"/>
                <w:vertAlign w:val="baseline"/>
                <w:lang w:val="en-US" w:eastAsia="zh-CN"/>
              </w:rPr>
              <w:t>原矿装卸</w:t>
            </w:r>
          </w:p>
        </w:tc>
        <w:tc>
          <w:tcPr>
            <w:tcW w:w="797" w:type="dxa"/>
            <w:vAlign w:val="top"/>
          </w:tcPr>
          <w:p w14:paraId="7BE9F3D5">
            <w:pPr>
              <w:spacing w:before="128" w:line="221" w:lineRule="auto"/>
              <w:ind w:left="89"/>
              <w:rPr>
                <w:rFonts w:ascii="宋体" w:hAnsi="宋体" w:eastAsia="宋体" w:cs="宋体"/>
                <w:sz w:val="21"/>
                <w:szCs w:val="21"/>
              </w:rPr>
            </w:pPr>
            <w:r>
              <w:rPr>
                <w:rFonts w:ascii="宋体" w:hAnsi="宋体" w:eastAsia="宋体" w:cs="宋体"/>
                <w:spacing w:val="-1"/>
                <w:sz w:val="21"/>
                <w:szCs w:val="21"/>
              </w:rPr>
              <w:t>颗粒物</w:t>
            </w:r>
          </w:p>
        </w:tc>
        <w:tc>
          <w:tcPr>
            <w:tcW w:w="2804" w:type="dxa"/>
            <w:vAlign w:val="center"/>
          </w:tcPr>
          <w:p w14:paraId="67654BB5">
            <w:pPr>
              <w:keepNext w:val="0"/>
              <w:keepLines w:val="0"/>
              <w:pageBreakBefore w:val="0"/>
              <w:widowControl/>
              <w:kinsoku/>
              <w:wordWrap/>
              <w:overflowPunct/>
              <w:topLinePunct w:val="0"/>
              <w:autoSpaceDE/>
              <w:autoSpaceDN/>
              <w:bidi w:val="0"/>
              <w:spacing w:line="240" w:lineRule="auto"/>
              <w:jc w:val="center"/>
              <w:textAlignment w:val="center"/>
              <w:rPr>
                <w:rFonts w:ascii="宋体" w:hAnsi="宋体" w:eastAsia="宋体" w:cs="宋体"/>
                <w:sz w:val="21"/>
                <w:szCs w:val="21"/>
              </w:rPr>
            </w:pPr>
            <w:r>
              <w:rPr>
                <w:rFonts w:hint="eastAsia" w:cs="Times New Roman"/>
                <w:color w:val="000000" w:themeColor="text1"/>
                <w:szCs w:val="21"/>
                <w:highlight w:val="none"/>
                <w:lang w:val="en-US" w:eastAsia="zh-CN"/>
                <w14:textFill>
                  <w14:solidFill>
                    <w14:schemeClr w14:val="tx1"/>
                  </w14:solidFill>
                </w14:textFill>
              </w:rPr>
              <w:t>洒水抑尘、苫布苫盖、降低卸料高度等</w:t>
            </w:r>
          </w:p>
        </w:tc>
        <w:tc>
          <w:tcPr>
            <w:tcW w:w="1469" w:type="dxa"/>
            <w:vMerge w:val="continue"/>
            <w:vAlign w:val="top"/>
          </w:tcPr>
          <w:p w14:paraId="3684067C">
            <w:pPr>
              <w:spacing w:before="107" w:line="193" w:lineRule="auto"/>
              <w:ind w:left="512"/>
              <w:rPr>
                <w:rFonts w:ascii="Times New Roman" w:hAnsi="Times New Roman" w:eastAsia="Times New Roman" w:cs="Times New Roman"/>
                <w:sz w:val="21"/>
                <w:szCs w:val="21"/>
              </w:rPr>
            </w:pPr>
          </w:p>
        </w:tc>
        <w:tc>
          <w:tcPr>
            <w:tcW w:w="1013" w:type="dxa"/>
            <w:vMerge w:val="continue"/>
            <w:vAlign w:val="center"/>
          </w:tcPr>
          <w:p w14:paraId="1F9FB98C">
            <w:pPr>
              <w:spacing w:before="60" w:line="233" w:lineRule="auto"/>
              <w:ind w:left="399"/>
              <w:jc w:val="both"/>
              <w:rPr>
                <w:rFonts w:ascii="Times New Roman" w:hAnsi="Times New Roman" w:eastAsia="Times New Roman" w:cs="Times New Roman"/>
                <w:sz w:val="21"/>
                <w:szCs w:val="21"/>
              </w:rPr>
            </w:pPr>
          </w:p>
        </w:tc>
        <w:tc>
          <w:tcPr>
            <w:tcW w:w="1008" w:type="dxa"/>
            <w:vAlign w:val="center"/>
          </w:tcPr>
          <w:p w14:paraId="49184A23">
            <w:pPr>
              <w:keepNext w:val="0"/>
              <w:keepLines w:val="0"/>
              <w:pageBreakBefore w:val="0"/>
              <w:kinsoku/>
              <w:wordWrap/>
              <w:overflowPunct/>
              <w:topLinePunct w:val="0"/>
              <w:autoSpaceDE/>
              <w:autoSpaceDN/>
              <w:bidi w:val="0"/>
              <w:spacing w:line="240" w:lineRule="auto"/>
              <w:jc w:val="center"/>
              <w:rPr>
                <w:rFonts w:ascii="Times New Roman" w:hAnsi="Times New Roman" w:eastAsia="Times New Roman" w:cs="Times New Roman"/>
                <w:b/>
                <w:bCs/>
                <w:sz w:val="21"/>
                <w:szCs w:val="21"/>
              </w:rPr>
            </w:pPr>
            <w:r>
              <w:rPr>
                <w:rFonts w:hint="eastAsia"/>
                <w:sz w:val="21"/>
                <w:szCs w:val="21"/>
                <w:vertAlign w:val="baseline"/>
                <w:lang w:val="en-US" w:eastAsia="zh-CN"/>
              </w:rPr>
              <w:t>0.145</w:t>
            </w:r>
          </w:p>
        </w:tc>
      </w:tr>
      <w:tr w14:paraId="5D33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357" w:type="dxa"/>
            <w:vAlign w:val="top"/>
          </w:tcPr>
          <w:p w14:paraId="38EF5FC9">
            <w:pPr>
              <w:spacing w:before="161" w:line="234" w:lineRule="auto"/>
              <w:ind w:left="135" w:leftChars="0"/>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45" w:type="dxa"/>
            <w:vAlign w:val="center"/>
          </w:tcPr>
          <w:p w14:paraId="5B34ACFE">
            <w:pPr>
              <w:keepNext w:val="0"/>
              <w:keepLines w:val="0"/>
              <w:pageBreakBefore w:val="0"/>
              <w:kinsoku/>
              <w:wordWrap/>
              <w:overflowPunct/>
              <w:topLinePunct w:val="0"/>
              <w:autoSpaceDE/>
              <w:autoSpaceDN/>
              <w:bidi w:val="0"/>
              <w:spacing w:line="240" w:lineRule="auto"/>
              <w:jc w:val="center"/>
              <w:rPr>
                <w:rFonts w:ascii="宋体" w:hAnsi="宋体" w:eastAsia="宋体" w:cs="宋体"/>
                <w:sz w:val="21"/>
                <w:szCs w:val="21"/>
              </w:rPr>
            </w:pPr>
            <w:r>
              <w:rPr>
                <w:rFonts w:hint="eastAsia"/>
                <w:sz w:val="21"/>
                <w:szCs w:val="21"/>
                <w:vertAlign w:val="baseline"/>
                <w:lang w:val="en-US" w:eastAsia="zh-CN"/>
              </w:rPr>
              <w:t>尾矿装卸</w:t>
            </w:r>
          </w:p>
        </w:tc>
        <w:tc>
          <w:tcPr>
            <w:tcW w:w="797" w:type="dxa"/>
            <w:vAlign w:val="top"/>
          </w:tcPr>
          <w:p w14:paraId="25F2844C">
            <w:pPr>
              <w:spacing w:before="126" w:line="221" w:lineRule="auto"/>
              <w:ind w:left="89"/>
              <w:rPr>
                <w:rFonts w:ascii="宋体" w:hAnsi="宋体" w:eastAsia="宋体" w:cs="宋体"/>
                <w:sz w:val="21"/>
                <w:szCs w:val="21"/>
              </w:rPr>
            </w:pPr>
            <w:r>
              <w:rPr>
                <w:rFonts w:ascii="宋体" w:hAnsi="宋体" w:eastAsia="宋体" w:cs="宋体"/>
                <w:spacing w:val="-1"/>
                <w:sz w:val="21"/>
                <w:szCs w:val="21"/>
              </w:rPr>
              <w:t>颗粒物</w:t>
            </w:r>
          </w:p>
        </w:tc>
        <w:tc>
          <w:tcPr>
            <w:tcW w:w="2804" w:type="dxa"/>
            <w:vAlign w:val="center"/>
          </w:tcPr>
          <w:p w14:paraId="1E7DF29C">
            <w:pPr>
              <w:keepNext w:val="0"/>
              <w:keepLines w:val="0"/>
              <w:pageBreakBefore w:val="0"/>
              <w:widowControl/>
              <w:kinsoku/>
              <w:wordWrap/>
              <w:overflowPunct/>
              <w:topLinePunct w:val="0"/>
              <w:autoSpaceDE/>
              <w:autoSpaceDN/>
              <w:bidi w:val="0"/>
              <w:spacing w:line="240" w:lineRule="auto"/>
              <w:jc w:val="center"/>
              <w:textAlignment w:val="center"/>
              <w:rPr>
                <w:rFonts w:ascii="宋体" w:hAnsi="宋体" w:eastAsia="宋体" w:cs="宋体"/>
                <w:sz w:val="21"/>
                <w:szCs w:val="21"/>
              </w:rPr>
            </w:pPr>
            <w:r>
              <w:rPr>
                <w:rFonts w:hint="eastAsia" w:cs="Times New Roman"/>
                <w:color w:val="000000" w:themeColor="text1"/>
                <w:szCs w:val="21"/>
                <w:highlight w:val="none"/>
                <w:lang w:val="en-US" w:eastAsia="zh-CN"/>
                <w14:textFill>
                  <w14:solidFill>
                    <w14:schemeClr w14:val="tx1"/>
                  </w14:solidFill>
                </w14:textFill>
              </w:rPr>
              <w:t>洒水抑尘、苫布苫盖、降低卸料高度等</w:t>
            </w:r>
          </w:p>
        </w:tc>
        <w:tc>
          <w:tcPr>
            <w:tcW w:w="1469" w:type="dxa"/>
            <w:vMerge w:val="continue"/>
            <w:vAlign w:val="top"/>
          </w:tcPr>
          <w:p w14:paraId="0E2C7CB0">
            <w:pPr>
              <w:pStyle w:val="1517"/>
            </w:pPr>
          </w:p>
        </w:tc>
        <w:tc>
          <w:tcPr>
            <w:tcW w:w="1013" w:type="dxa"/>
            <w:vMerge w:val="continue"/>
            <w:vAlign w:val="top"/>
          </w:tcPr>
          <w:p w14:paraId="57D418A9">
            <w:pPr>
              <w:pStyle w:val="1517"/>
            </w:pPr>
          </w:p>
        </w:tc>
        <w:tc>
          <w:tcPr>
            <w:tcW w:w="1008" w:type="dxa"/>
            <w:vAlign w:val="center"/>
          </w:tcPr>
          <w:p w14:paraId="23C5FE6C">
            <w:pPr>
              <w:keepNext w:val="0"/>
              <w:keepLines w:val="0"/>
              <w:pageBreakBefore w:val="0"/>
              <w:kinsoku/>
              <w:wordWrap/>
              <w:overflowPunct/>
              <w:topLinePunct w:val="0"/>
              <w:autoSpaceDE/>
              <w:autoSpaceDN/>
              <w:bidi w:val="0"/>
              <w:spacing w:line="240" w:lineRule="auto"/>
              <w:jc w:val="center"/>
              <w:rPr>
                <w:rFonts w:ascii="Times New Roman" w:hAnsi="Times New Roman" w:eastAsia="Times New Roman" w:cs="Times New Roman"/>
                <w:b/>
                <w:bCs/>
                <w:sz w:val="21"/>
                <w:szCs w:val="21"/>
              </w:rPr>
            </w:pPr>
            <w:r>
              <w:rPr>
                <w:rFonts w:hint="eastAsia"/>
                <w:sz w:val="21"/>
                <w:szCs w:val="21"/>
                <w:vertAlign w:val="baseline"/>
                <w:lang w:val="en-US" w:eastAsia="zh-CN"/>
              </w:rPr>
              <w:t>0.014</w:t>
            </w:r>
          </w:p>
        </w:tc>
      </w:tr>
      <w:tr w14:paraId="1D484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357" w:type="dxa"/>
            <w:vAlign w:val="top"/>
          </w:tcPr>
          <w:p w14:paraId="515EA259">
            <w:pPr>
              <w:spacing w:before="160" w:line="236" w:lineRule="auto"/>
              <w:ind w:left="130" w:leftChars="0"/>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145" w:type="dxa"/>
            <w:vAlign w:val="center"/>
          </w:tcPr>
          <w:p w14:paraId="1A4FC64F">
            <w:pPr>
              <w:keepNext w:val="0"/>
              <w:keepLines w:val="0"/>
              <w:pageBreakBefore w:val="0"/>
              <w:kinsoku/>
              <w:wordWrap/>
              <w:overflowPunct/>
              <w:topLinePunct w:val="0"/>
              <w:autoSpaceDE/>
              <w:autoSpaceDN/>
              <w:bidi w:val="0"/>
              <w:spacing w:line="240" w:lineRule="auto"/>
              <w:jc w:val="center"/>
              <w:rPr>
                <w:rFonts w:ascii="宋体" w:hAnsi="宋体" w:eastAsia="宋体" w:cs="宋体"/>
                <w:sz w:val="21"/>
                <w:szCs w:val="21"/>
              </w:rPr>
            </w:pPr>
            <w:r>
              <w:rPr>
                <w:rFonts w:hint="eastAsia"/>
                <w:sz w:val="21"/>
                <w:szCs w:val="21"/>
                <w:vertAlign w:val="baseline"/>
                <w:lang w:val="en-US" w:eastAsia="zh-CN"/>
              </w:rPr>
              <w:t>道路运输</w:t>
            </w:r>
          </w:p>
        </w:tc>
        <w:tc>
          <w:tcPr>
            <w:tcW w:w="797" w:type="dxa"/>
            <w:vAlign w:val="top"/>
          </w:tcPr>
          <w:p w14:paraId="6A5060F0">
            <w:pPr>
              <w:spacing w:before="129" w:line="221" w:lineRule="auto"/>
              <w:ind w:left="89"/>
              <w:rPr>
                <w:rFonts w:ascii="宋体" w:hAnsi="宋体" w:eastAsia="宋体" w:cs="宋体"/>
                <w:sz w:val="21"/>
                <w:szCs w:val="21"/>
              </w:rPr>
            </w:pPr>
            <w:r>
              <w:rPr>
                <w:rFonts w:ascii="宋体" w:hAnsi="宋体" w:eastAsia="宋体" w:cs="宋体"/>
                <w:spacing w:val="-1"/>
                <w:sz w:val="21"/>
                <w:szCs w:val="21"/>
              </w:rPr>
              <w:t>颗粒物</w:t>
            </w:r>
          </w:p>
        </w:tc>
        <w:tc>
          <w:tcPr>
            <w:tcW w:w="2804" w:type="dxa"/>
            <w:vAlign w:val="center"/>
          </w:tcPr>
          <w:p w14:paraId="34613A49">
            <w:pPr>
              <w:keepNext w:val="0"/>
              <w:keepLines w:val="0"/>
              <w:pageBreakBefore w:val="0"/>
              <w:widowControl/>
              <w:kinsoku/>
              <w:wordWrap/>
              <w:overflowPunct/>
              <w:topLinePunct w:val="0"/>
              <w:autoSpaceDE/>
              <w:autoSpaceDN/>
              <w:bidi w:val="0"/>
              <w:spacing w:line="240" w:lineRule="auto"/>
              <w:jc w:val="center"/>
              <w:textAlignment w:val="center"/>
              <w:rPr>
                <w:rFonts w:ascii="宋体" w:hAnsi="宋体" w:eastAsia="宋体" w:cs="宋体"/>
                <w:sz w:val="21"/>
                <w:szCs w:val="21"/>
              </w:rPr>
            </w:pPr>
            <w:r>
              <w:rPr>
                <w:rFonts w:hint="eastAsia" w:cs="Times New Roman"/>
                <w:color w:val="000000" w:themeColor="text1"/>
                <w:szCs w:val="21"/>
                <w:highlight w:val="none"/>
                <w:lang w:val="en-US" w:eastAsia="zh-CN"/>
                <w14:textFill>
                  <w14:solidFill>
                    <w14:schemeClr w14:val="tx1"/>
                  </w14:solidFill>
                </w14:textFill>
              </w:rPr>
              <w:t>洒水抑尘、苫布苫盖、减速慢行等</w:t>
            </w:r>
          </w:p>
        </w:tc>
        <w:tc>
          <w:tcPr>
            <w:tcW w:w="1469" w:type="dxa"/>
            <w:vMerge w:val="continue"/>
            <w:vAlign w:val="top"/>
          </w:tcPr>
          <w:p w14:paraId="4A452E3A">
            <w:pPr>
              <w:pStyle w:val="1517"/>
            </w:pPr>
          </w:p>
        </w:tc>
        <w:tc>
          <w:tcPr>
            <w:tcW w:w="1013" w:type="dxa"/>
            <w:vMerge w:val="continue"/>
            <w:vAlign w:val="top"/>
          </w:tcPr>
          <w:p w14:paraId="03C7BB40">
            <w:pPr>
              <w:pStyle w:val="1517"/>
            </w:pPr>
          </w:p>
        </w:tc>
        <w:tc>
          <w:tcPr>
            <w:tcW w:w="1008" w:type="dxa"/>
            <w:vAlign w:val="center"/>
          </w:tcPr>
          <w:p w14:paraId="1C01351D">
            <w:pPr>
              <w:keepNext w:val="0"/>
              <w:keepLines w:val="0"/>
              <w:pageBreakBefore w:val="0"/>
              <w:kinsoku/>
              <w:wordWrap/>
              <w:overflowPunct/>
              <w:topLinePunct w:val="0"/>
              <w:autoSpaceDE/>
              <w:autoSpaceDN/>
              <w:bidi w:val="0"/>
              <w:spacing w:line="240" w:lineRule="auto"/>
              <w:jc w:val="center"/>
              <w:rPr>
                <w:rFonts w:ascii="Times New Roman" w:hAnsi="Times New Roman" w:eastAsia="Times New Roman" w:cs="Times New Roman"/>
                <w:b/>
                <w:bCs/>
                <w:sz w:val="21"/>
                <w:szCs w:val="21"/>
              </w:rPr>
            </w:pPr>
            <w:r>
              <w:rPr>
                <w:rFonts w:hint="eastAsia"/>
                <w:color w:val="auto"/>
                <w:sz w:val="21"/>
                <w:szCs w:val="21"/>
                <w:lang w:val="en-US" w:eastAsia="zh-CN"/>
              </w:rPr>
              <w:t>0.608</w:t>
            </w:r>
          </w:p>
        </w:tc>
      </w:tr>
      <w:tr w14:paraId="619AE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357" w:type="dxa"/>
            <w:vAlign w:val="top"/>
          </w:tcPr>
          <w:p w14:paraId="43762376">
            <w:pPr>
              <w:spacing w:before="160" w:line="236" w:lineRule="auto"/>
              <w:ind w:left="13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p>
        </w:tc>
        <w:tc>
          <w:tcPr>
            <w:tcW w:w="1145" w:type="dxa"/>
            <w:vAlign w:val="center"/>
          </w:tcPr>
          <w:p w14:paraId="62797041">
            <w:pPr>
              <w:keepNext w:val="0"/>
              <w:keepLines w:val="0"/>
              <w:pageBreakBefore w:val="0"/>
              <w:kinsoku/>
              <w:wordWrap/>
              <w:overflowPunct/>
              <w:topLinePunct w:val="0"/>
              <w:autoSpaceDE/>
              <w:autoSpaceDN/>
              <w:bidi w:val="0"/>
              <w:spacing w:line="240" w:lineRule="auto"/>
              <w:jc w:val="center"/>
              <w:rPr>
                <w:rFonts w:ascii="宋体" w:hAnsi="宋体" w:eastAsia="宋体" w:cs="宋体"/>
                <w:sz w:val="21"/>
                <w:szCs w:val="21"/>
              </w:rPr>
            </w:pPr>
            <w:r>
              <w:rPr>
                <w:rFonts w:hint="eastAsia"/>
                <w:sz w:val="21"/>
                <w:szCs w:val="21"/>
                <w:vertAlign w:val="baseline"/>
                <w:lang w:val="en-US" w:eastAsia="zh-CN"/>
              </w:rPr>
              <w:t>皮带输送</w:t>
            </w:r>
          </w:p>
        </w:tc>
        <w:tc>
          <w:tcPr>
            <w:tcW w:w="797" w:type="dxa"/>
            <w:vAlign w:val="top"/>
          </w:tcPr>
          <w:p w14:paraId="7DF3E51F">
            <w:pPr>
              <w:spacing w:before="127" w:line="221" w:lineRule="auto"/>
              <w:ind w:left="89"/>
              <w:rPr>
                <w:rFonts w:ascii="宋体" w:hAnsi="宋体" w:eastAsia="宋体" w:cs="宋体"/>
                <w:sz w:val="21"/>
                <w:szCs w:val="21"/>
              </w:rPr>
            </w:pPr>
            <w:r>
              <w:rPr>
                <w:rFonts w:ascii="宋体" w:hAnsi="宋体" w:eastAsia="宋体" w:cs="宋体"/>
                <w:spacing w:val="-1"/>
                <w:sz w:val="21"/>
                <w:szCs w:val="21"/>
              </w:rPr>
              <w:t>颗粒物</w:t>
            </w:r>
          </w:p>
        </w:tc>
        <w:tc>
          <w:tcPr>
            <w:tcW w:w="2804" w:type="dxa"/>
            <w:vAlign w:val="center"/>
          </w:tcPr>
          <w:p w14:paraId="14B28B9E">
            <w:pPr>
              <w:keepNext w:val="0"/>
              <w:keepLines w:val="0"/>
              <w:pageBreakBefore w:val="0"/>
              <w:widowControl/>
              <w:kinsoku/>
              <w:wordWrap/>
              <w:overflowPunct/>
              <w:topLinePunct w:val="0"/>
              <w:autoSpaceDE/>
              <w:autoSpaceDN/>
              <w:bidi w:val="0"/>
              <w:spacing w:line="240" w:lineRule="auto"/>
              <w:jc w:val="center"/>
              <w:textAlignment w:val="center"/>
              <w:rPr>
                <w:rFonts w:ascii="宋体" w:hAnsi="宋体" w:eastAsia="宋体" w:cs="宋体"/>
                <w:sz w:val="21"/>
                <w:szCs w:val="21"/>
              </w:rPr>
            </w:pPr>
            <w:r>
              <w:rPr>
                <w:rFonts w:hint="eastAsia" w:cs="Times New Roman"/>
                <w:color w:val="000000" w:themeColor="text1"/>
                <w:szCs w:val="21"/>
                <w:highlight w:val="none"/>
                <w:lang w:val="en-US" w:eastAsia="zh-CN"/>
                <w14:textFill>
                  <w14:solidFill>
                    <w14:schemeClr w14:val="tx1"/>
                  </w14:solidFill>
                </w14:textFill>
              </w:rPr>
              <w:t>输送带封闭</w:t>
            </w:r>
          </w:p>
        </w:tc>
        <w:tc>
          <w:tcPr>
            <w:tcW w:w="1469" w:type="dxa"/>
            <w:vMerge w:val="continue"/>
            <w:vAlign w:val="top"/>
          </w:tcPr>
          <w:p w14:paraId="35FF9726">
            <w:pPr>
              <w:pStyle w:val="1517"/>
            </w:pPr>
          </w:p>
        </w:tc>
        <w:tc>
          <w:tcPr>
            <w:tcW w:w="1013" w:type="dxa"/>
            <w:vMerge w:val="continue"/>
            <w:vAlign w:val="top"/>
          </w:tcPr>
          <w:p w14:paraId="58AD81C9">
            <w:pPr>
              <w:pStyle w:val="1517"/>
            </w:pPr>
          </w:p>
        </w:tc>
        <w:tc>
          <w:tcPr>
            <w:tcW w:w="1008" w:type="dxa"/>
            <w:vAlign w:val="center"/>
          </w:tcPr>
          <w:p w14:paraId="14C1F75A">
            <w:pPr>
              <w:keepNext w:val="0"/>
              <w:keepLines w:val="0"/>
              <w:pageBreakBefore w:val="0"/>
              <w:kinsoku/>
              <w:wordWrap/>
              <w:overflowPunct/>
              <w:topLinePunct w:val="0"/>
              <w:autoSpaceDE/>
              <w:autoSpaceDN/>
              <w:bidi w:val="0"/>
              <w:spacing w:line="240" w:lineRule="auto"/>
              <w:jc w:val="center"/>
              <w:rPr>
                <w:rFonts w:ascii="Times New Roman" w:hAnsi="Times New Roman" w:eastAsia="Times New Roman" w:cs="Times New Roman"/>
                <w:b/>
                <w:bCs/>
                <w:sz w:val="21"/>
                <w:szCs w:val="21"/>
              </w:rPr>
            </w:pPr>
            <w:r>
              <w:rPr>
                <w:rFonts w:hint="eastAsia" w:hAnsi="宋体"/>
                <w:bCs/>
                <w:color w:val="auto"/>
                <w:sz w:val="21"/>
                <w:szCs w:val="21"/>
                <w:highlight w:val="none"/>
                <w:lang w:val="en-US" w:eastAsia="zh-CN"/>
              </w:rPr>
              <w:t>0.0435</w:t>
            </w:r>
          </w:p>
        </w:tc>
      </w:tr>
    </w:tbl>
    <w:p w14:paraId="2F8B077A">
      <w:pPr>
        <w:spacing w:before="73" w:line="221" w:lineRule="auto"/>
        <w:ind w:left="3620"/>
        <w:rPr>
          <w:rFonts w:ascii="Arial"/>
          <w:sz w:val="2"/>
        </w:rPr>
      </w:pPr>
      <w:r>
        <w:rPr>
          <w:rFonts w:ascii="宋体" w:hAnsi="宋体" w:eastAsia="宋体" w:cs="宋体"/>
          <w:spacing w:val="-1"/>
          <w:sz w:val="21"/>
          <w:szCs w:val="21"/>
        </w:rPr>
        <w:t>无组织排放总计</w:t>
      </w:r>
    </w:p>
    <w:tbl>
      <w:tblPr>
        <w:tblStyle w:val="297"/>
        <w:tblW w:w="8607" w:type="dxa"/>
        <w:tblInd w:w="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14"/>
        <w:gridCol w:w="4272"/>
        <w:gridCol w:w="2021"/>
      </w:tblGrid>
      <w:tr w14:paraId="5F41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trPr>
        <w:tc>
          <w:tcPr>
            <w:tcW w:w="2314" w:type="dxa"/>
            <w:vAlign w:val="top"/>
          </w:tcPr>
          <w:p w14:paraId="05BF9B24">
            <w:pPr>
              <w:spacing w:before="73" w:line="221" w:lineRule="auto"/>
              <w:ind w:left="439"/>
              <w:rPr>
                <w:rFonts w:ascii="宋体" w:hAnsi="宋体" w:eastAsia="宋体" w:cs="宋体"/>
                <w:sz w:val="21"/>
                <w:szCs w:val="21"/>
              </w:rPr>
            </w:pPr>
            <w:r>
              <w:rPr>
                <w:rFonts w:ascii="宋体" w:hAnsi="宋体" w:eastAsia="宋体" w:cs="宋体"/>
                <w:spacing w:val="-1"/>
                <w:sz w:val="21"/>
                <w:szCs w:val="21"/>
              </w:rPr>
              <w:t>无组织排放总计</w:t>
            </w:r>
          </w:p>
        </w:tc>
        <w:tc>
          <w:tcPr>
            <w:tcW w:w="4272" w:type="dxa"/>
            <w:vAlign w:val="top"/>
          </w:tcPr>
          <w:p w14:paraId="383C65AC">
            <w:pPr>
              <w:spacing w:before="73" w:line="221" w:lineRule="auto"/>
              <w:ind w:left="1826"/>
              <w:rPr>
                <w:rFonts w:ascii="宋体" w:hAnsi="宋体" w:eastAsia="宋体" w:cs="宋体"/>
                <w:sz w:val="21"/>
                <w:szCs w:val="21"/>
              </w:rPr>
            </w:pPr>
            <w:r>
              <w:rPr>
                <w:rFonts w:ascii="宋体" w:hAnsi="宋体" w:eastAsia="宋体" w:cs="宋体"/>
                <w:spacing w:val="-1"/>
                <w:sz w:val="21"/>
                <w:szCs w:val="21"/>
              </w:rPr>
              <w:t>颗粒物</w:t>
            </w:r>
          </w:p>
        </w:tc>
        <w:tc>
          <w:tcPr>
            <w:tcW w:w="2021" w:type="dxa"/>
            <w:vAlign w:val="top"/>
          </w:tcPr>
          <w:p w14:paraId="18CF500E">
            <w:pPr>
              <w:spacing w:before="107" w:line="232" w:lineRule="auto"/>
              <w:ind w:left="780"/>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1.8605</w:t>
            </w:r>
          </w:p>
        </w:tc>
      </w:tr>
    </w:tbl>
    <w:p w14:paraId="3572E643">
      <w:pPr>
        <w:pStyle w:val="31"/>
        <w:spacing w:before="36" w:line="212" w:lineRule="auto"/>
        <w:ind w:left="101"/>
        <w:jc w:val="center"/>
        <w:rPr>
          <w:rFonts w:ascii="宋体" w:hAnsi="宋体" w:eastAsia="宋体" w:cs="宋体"/>
          <w:sz w:val="24"/>
          <w:szCs w:val="32"/>
        </w:rPr>
      </w:pPr>
      <w:r>
        <w:rPr>
          <w:rFonts w:ascii="宋体" w:hAnsi="宋体" w:eastAsia="宋体" w:cs="宋体"/>
          <w:b/>
          <w:bCs/>
          <w:sz w:val="24"/>
          <w:szCs w:val="32"/>
        </w:rPr>
        <w:t>表</w:t>
      </w:r>
      <w:r>
        <w:rPr>
          <w:rFonts w:ascii="宋体" w:hAnsi="宋体" w:eastAsia="宋体" w:cs="宋体"/>
          <w:spacing w:val="-52"/>
          <w:sz w:val="24"/>
          <w:szCs w:val="32"/>
        </w:rPr>
        <w:t xml:space="preserve"> </w:t>
      </w:r>
      <w:r>
        <w:rPr>
          <w:rFonts w:hint="eastAsia"/>
          <w:b/>
          <w:bCs/>
          <w:sz w:val="24"/>
          <w:szCs w:val="32"/>
          <w:lang w:val="en-US" w:eastAsia="zh-CN"/>
        </w:rPr>
        <w:t>5</w:t>
      </w:r>
      <w:r>
        <w:rPr>
          <w:b/>
          <w:bCs/>
          <w:sz w:val="24"/>
          <w:szCs w:val="32"/>
        </w:rPr>
        <w:t xml:space="preserve">.2-3    </w:t>
      </w:r>
      <w:r>
        <w:rPr>
          <w:b/>
          <w:bCs/>
          <w:spacing w:val="-1"/>
          <w:sz w:val="24"/>
          <w:szCs w:val="32"/>
        </w:rPr>
        <w:t xml:space="preserve">   </w:t>
      </w:r>
      <w:r>
        <w:rPr>
          <w:rFonts w:ascii="宋体" w:hAnsi="宋体" w:eastAsia="宋体" w:cs="宋体"/>
          <w:b/>
          <w:bCs/>
          <w:spacing w:val="-1"/>
          <w:sz w:val="24"/>
          <w:szCs w:val="32"/>
        </w:rPr>
        <w:t>大气污染物年排放核算表</w:t>
      </w:r>
    </w:p>
    <w:tbl>
      <w:tblPr>
        <w:tblStyle w:val="297"/>
        <w:tblW w:w="86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9"/>
        <w:gridCol w:w="3068"/>
        <w:gridCol w:w="3977"/>
      </w:tblGrid>
      <w:tr w14:paraId="1D173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trPr>
        <w:tc>
          <w:tcPr>
            <w:tcW w:w="1629" w:type="dxa"/>
            <w:vAlign w:val="top"/>
          </w:tcPr>
          <w:p w14:paraId="430124E9">
            <w:pPr>
              <w:spacing w:before="88" w:line="222" w:lineRule="auto"/>
              <w:ind w:left="621"/>
              <w:rPr>
                <w:rFonts w:ascii="宋体" w:hAnsi="宋体" w:eastAsia="宋体" w:cs="宋体"/>
                <w:sz w:val="21"/>
                <w:szCs w:val="21"/>
              </w:rPr>
            </w:pPr>
            <w:r>
              <w:rPr>
                <w:rFonts w:ascii="宋体" w:hAnsi="宋体" w:eastAsia="宋体" w:cs="宋体"/>
                <w:spacing w:val="-2"/>
                <w:sz w:val="21"/>
                <w:szCs w:val="21"/>
              </w:rPr>
              <w:t>序号</w:t>
            </w:r>
          </w:p>
        </w:tc>
        <w:tc>
          <w:tcPr>
            <w:tcW w:w="3068" w:type="dxa"/>
            <w:vAlign w:val="top"/>
          </w:tcPr>
          <w:p w14:paraId="760A85D7">
            <w:pPr>
              <w:spacing w:before="89" w:line="221" w:lineRule="auto"/>
              <w:ind w:left="1227"/>
              <w:rPr>
                <w:rFonts w:ascii="宋体" w:hAnsi="宋体" w:eastAsia="宋体" w:cs="宋体"/>
                <w:sz w:val="21"/>
                <w:szCs w:val="21"/>
              </w:rPr>
            </w:pPr>
            <w:r>
              <w:rPr>
                <w:rFonts w:ascii="宋体" w:hAnsi="宋体" w:eastAsia="宋体" w:cs="宋体"/>
                <w:spacing w:val="-2"/>
                <w:sz w:val="21"/>
                <w:szCs w:val="21"/>
              </w:rPr>
              <w:t>污染物</w:t>
            </w:r>
          </w:p>
        </w:tc>
        <w:tc>
          <w:tcPr>
            <w:tcW w:w="3977" w:type="dxa"/>
            <w:vAlign w:val="top"/>
          </w:tcPr>
          <w:p w14:paraId="56EE8F7F">
            <w:pPr>
              <w:spacing w:before="100" w:line="228" w:lineRule="auto"/>
              <w:ind w:left="1231"/>
              <w:rPr>
                <w:rFonts w:ascii="宋体" w:hAnsi="宋体" w:eastAsia="宋体" w:cs="宋体"/>
                <w:sz w:val="21"/>
                <w:szCs w:val="21"/>
              </w:rPr>
            </w:pPr>
            <w:r>
              <w:rPr>
                <w:rFonts w:ascii="宋体" w:hAnsi="宋体" w:eastAsia="宋体" w:cs="宋体"/>
                <w:spacing w:val="-1"/>
                <w:sz w:val="21"/>
                <w:szCs w:val="21"/>
              </w:rPr>
              <w:t>年排放量</w:t>
            </w:r>
            <w:r>
              <w:rPr>
                <w:rFonts w:ascii="Times New Roman" w:hAnsi="Times New Roman" w:eastAsia="Times New Roman" w:cs="Times New Roman"/>
                <w:spacing w:val="-1"/>
                <w:sz w:val="21"/>
                <w:szCs w:val="21"/>
              </w:rPr>
              <w:t>/</w:t>
            </w:r>
            <w:r>
              <w:rPr>
                <w:rFonts w:ascii="宋体" w:hAnsi="宋体" w:eastAsia="宋体" w:cs="宋体"/>
                <w:spacing w:val="-1"/>
                <w:sz w:val="21"/>
                <w:szCs w:val="21"/>
              </w:rPr>
              <w:t>（</w:t>
            </w:r>
            <w:r>
              <w:rPr>
                <w:rFonts w:ascii="Times New Roman" w:hAnsi="Times New Roman" w:eastAsia="Times New Roman" w:cs="Times New Roman"/>
                <w:spacing w:val="-1"/>
                <w:sz w:val="21"/>
                <w:szCs w:val="21"/>
              </w:rPr>
              <w:t>t/a</w:t>
            </w:r>
            <w:r>
              <w:rPr>
                <w:rFonts w:ascii="宋体" w:hAnsi="宋体" w:eastAsia="宋体" w:cs="宋体"/>
                <w:spacing w:val="-1"/>
                <w:sz w:val="21"/>
                <w:szCs w:val="21"/>
              </w:rPr>
              <w:t>）</w:t>
            </w:r>
          </w:p>
        </w:tc>
      </w:tr>
      <w:tr w14:paraId="4981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0" w:hRule="atLeast"/>
        </w:trPr>
        <w:tc>
          <w:tcPr>
            <w:tcW w:w="1629" w:type="dxa"/>
            <w:vAlign w:val="top"/>
          </w:tcPr>
          <w:p w14:paraId="58622098">
            <w:pPr>
              <w:spacing w:before="127" w:line="236" w:lineRule="auto"/>
              <w:ind w:left="795"/>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3068" w:type="dxa"/>
            <w:vAlign w:val="top"/>
          </w:tcPr>
          <w:p w14:paraId="467D5CFB">
            <w:pPr>
              <w:spacing w:before="95" w:line="221" w:lineRule="auto"/>
              <w:ind w:left="1225"/>
              <w:rPr>
                <w:rFonts w:ascii="宋体" w:hAnsi="宋体" w:eastAsia="宋体" w:cs="宋体"/>
                <w:sz w:val="21"/>
                <w:szCs w:val="21"/>
              </w:rPr>
            </w:pPr>
            <w:r>
              <w:rPr>
                <w:rFonts w:ascii="宋体" w:hAnsi="宋体" w:eastAsia="宋体" w:cs="宋体"/>
                <w:spacing w:val="-1"/>
                <w:sz w:val="21"/>
                <w:szCs w:val="21"/>
              </w:rPr>
              <w:t>颗粒物</w:t>
            </w:r>
          </w:p>
        </w:tc>
        <w:tc>
          <w:tcPr>
            <w:tcW w:w="3977" w:type="dxa"/>
            <w:shd w:val="clear" w:color="auto" w:fill="auto"/>
            <w:vAlign w:val="center"/>
          </w:tcPr>
          <w:p w14:paraId="20CD54F1">
            <w:pPr>
              <w:keepNext w:val="0"/>
              <w:keepLines w:val="0"/>
              <w:widowControl/>
              <w:suppressLineNumbers w:val="0"/>
              <w:jc w:val="center"/>
              <w:textAlignment w:val="center"/>
              <w:rPr>
                <w:rFonts w:hint="default" w:ascii="宋体" w:hAnsi="宋体" w:eastAsia="宋体" w:cs="宋体"/>
                <w:i w:val="0"/>
                <w:iCs w:val="0"/>
                <w:color w:val="000000"/>
                <w:kern w:val="2"/>
                <w:sz w:val="24"/>
                <w:szCs w:val="24"/>
                <w:u w:val="none"/>
                <w:lang w:val="en-US" w:eastAsia="zh-CN" w:bidi="ar-SA"/>
              </w:rPr>
            </w:pPr>
            <w:r>
              <w:rPr>
                <w:rFonts w:hint="eastAsia" w:ascii="Times New Roman" w:hAnsi="Times New Roman" w:cs="Times New Roman"/>
                <w:i w:val="0"/>
                <w:iCs w:val="0"/>
                <w:color w:val="000000"/>
                <w:kern w:val="0"/>
                <w:sz w:val="21"/>
                <w:szCs w:val="21"/>
                <w:u w:val="none"/>
                <w:lang w:val="en-US" w:eastAsia="zh-CN" w:bidi="ar"/>
              </w:rPr>
              <w:t>2.49</w:t>
            </w:r>
          </w:p>
        </w:tc>
      </w:tr>
    </w:tbl>
    <w:p w14:paraId="2E13E4FE">
      <w:pPr>
        <w:pStyle w:val="31"/>
        <w:spacing w:before="264" w:line="234" w:lineRule="auto"/>
        <w:rPr>
          <w:rFonts w:ascii="宋体" w:hAnsi="宋体" w:eastAsia="宋体" w:cs="宋体"/>
          <w:sz w:val="24"/>
          <w:szCs w:val="32"/>
        </w:rPr>
      </w:pPr>
      <w:r>
        <w:rPr>
          <w:rFonts w:hint="eastAsia" w:eastAsia="宋体"/>
          <w:b/>
          <w:bCs/>
          <w:spacing w:val="-2"/>
          <w:sz w:val="24"/>
          <w:szCs w:val="32"/>
          <w:lang w:val="en-US" w:eastAsia="zh-CN"/>
        </w:rPr>
        <w:t>5.1.2.2</w:t>
      </w:r>
      <w:r>
        <w:rPr>
          <w:rFonts w:ascii="宋体" w:hAnsi="宋体" w:eastAsia="宋体" w:cs="宋体"/>
          <w:b/>
          <w:bCs/>
          <w:spacing w:val="-2"/>
          <w:sz w:val="24"/>
          <w:szCs w:val="32"/>
        </w:rPr>
        <w:t>非正常工况大气环境影响分析</w:t>
      </w:r>
    </w:p>
    <w:p w14:paraId="6CA7DFC6">
      <w:pPr>
        <w:pStyle w:val="31"/>
        <w:spacing w:before="165" w:line="350" w:lineRule="auto"/>
        <w:ind w:right="81" w:firstLine="488" w:firstLineChars="200"/>
        <w:jc w:val="both"/>
        <w:rPr>
          <w:rFonts w:ascii="宋体" w:hAnsi="宋体" w:eastAsia="宋体" w:cs="宋体"/>
          <w:sz w:val="24"/>
          <w:szCs w:val="32"/>
        </w:rPr>
      </w:pPr>
      <w:r>
        <w:rPr>
          <w:rFonts w:ascii="宋体" w:hAnsi="宋体" w:eastAsia="宋体" w:cs="宋体"/>
          <w:spacing w:val="2"/>
          <w:sz w:val="24"/>
          <w:szCs w:val="32"/>
        </w:rPr>
        <w:t>本项目非正常工况大气污染源主要来自</w:t>
      </w:r>
      <w:r>
        <w:rPr>
          <w:rFonts w:hint="eastAsia" w:ascii="宋体" w:hAnsi="宋体" w:eastAsia="宋体" w:cs="宋体"/>
          <w:spacing w:val="2"/>
          <w:sz w:val="24"/>
          <w:szCs w:val="32"/>
          <w:lang w:val="en-US" w:eastAsia="zh-CN"/>
        </w:rPr>
        <w:t>布袋除尘器发生故障时，</w:t>
      </w:r>
      <w:r>
        <w:rPr>
          <w:rFonts w:ascii="宋体" w:hAnsi="宋体" w:eastAsia="宋体" w:cs="宋体"/>
          <w:spacing w:val="-4"/>
          <w:sz w:val="24"/>
          <w:szCs w:val="32"/>
        </w:rPr>
        <w:t>除尘效率未达到设计水平；或由于管理方面原因，未按规定周期进行维</w:t>
      </w:r>
      <w:r>
        <w:rPr>
          <w:rFonts w:ascii="宋体" w:hAnsi="宋体" w:eastAsia="宋体" w:cs="宋体"/>
          <w:spacing w:val="-5"/>
          <w:sz w:val="24"/>
          <w:szCs w:val="32"/>
        </w:rPr>
        <w:t>修保养造成除尘器漏风，导致除尘器负压减少除尘效率低下，布袋</w:t>
      </w:r>
      <w:r>
        <w:rPr>
          <w:rFonts w:ascii="宋体" w:hAnsi="宋体" w:eastAsia="宋体" w:cs="宋体"/>
          <w:spacing w:val="-6"/>
          <w:sz w:val="24"/>
          <w:szCs w:val="32"/>
        </w:rPr>
        <w:t>除尘器损坏未及时更换，</w:t>
      </w:r>
      <w:r>
        <w:rPr>
          <w:rFonts w:ascii="宋体" w:hAnsi="宋体" w:eastAsia="宋体" w:cs="宋体"/>
          <w:spacing w:val="-1"/>
          <w:sz w:val="24"/>
          <w:szCs w:val="32"/>
        </w:rPr>
        <w:t>导致除尘效率降低。本次评价按照最不利情况下，污染物</w:t>
      </w:r>
      <w:r>
        <w:rPr>
          <w:rFonts w:hint="eastAsia" w:ascii="宋体" w:hAnsi="宋体" w:eastAsia="宋体" w:cs="宋体"/>
          <w:spacing w:val="-1"/>
          <w:sz w:val="24"/>
          <w:szCs w:val="32"/>
          <w:lang w:val="en-US" w:eastAsia="zh-CN"/>
        </w:rPr>
        <w:t>排放量</w:t>
      </w:r>
      <w:r>
        <w:rPr>
          <w:rFonts w:ascii="宋体" w:hAnsi="宋体" w:eastAsia="宋体" w:cs="宋体"/>
          <w:spacing w:val="-1"/>
          <w:sz w:val="24"/>
          <w:szCs w:val="32"/>
        </w:rPr>
        <w:t>以持续时间</w:t>
      </w:r>
      <w:r>
        <w:rPr>
          <w:spacing w:val="-1"/>
          <w:sz w:val="24"/>
          <w:szCs w:val="32"/>
        </w:rPr>
        <w:t>1</w:t>
      </w:r>
      <w:r>
        <w:rPr>
          <w:rFonts w:ascii="宋体" w:hAnsi="宋体" w:eastAsia="宋体" w:cs="宋体"/>
          <w:spacing w:val="-1"/>
          <w:sz w:val="24"/>
          <w:szCs w:val="32"/>
        </w:rPr>
        <w:t>小时计，</w:t>
      </w:r>
      <w:r>
        <w:rPr>
          <w:rFonts w:hint="eastAsia" w:ascii="宋体" w:hAnsi="宋体" w:eastAsia="宋体" w:cs="宋体"/>
          <w:spacing w:val="-1"/>
          <w:sz w:val="24"/>
          <w:szCs w:val="32"/>
          <w:lang w:val="en-US" w:eastAsia="zh-CN"/>
        </w:rPr>
        <w:t>除尘效率按</w:t>
      </w:r>
      <w:r>
        <w:rPr>
          <w:rFonts w:hint="default" w:ascii="Times New Roman" w:hAnsi="Times New Roman" w:eastAsia="宋体" w:cs="Times New Roman"/>
          <w:spacing w:val="-1"/>
          <w:sz w:val="24"/>
          <w:szCs w:val="32"/>
          <w:lang w:val="en-US" w:eastAsia="zh-CN"/>
        </w:rPr>
        <w:t>0%计</w:t>
      </w:r>
      <w:r>
        <w:rPr>
          <w:rFonts w:hint="default" w:ascii="Times New Roman" w:hAnsi="Times New Roman" w:eastAsia="宋体" w:cs="Times New Roman"/>
          <w:spacing w:val="-2"/>
          <w:sz w:val="24"/>
          <w:szCs w:val="32"/>
        </w:rPr>
        <w:t>，</w:t>
      </w:r>
      <w:r>
        <w:rPr>
          <w:rFonts w:ascii="宋体" w:hAnsi="宋体" w:eastAsia="宋体" w:cs="宋体"/>
          <w:spacing w:val="-2"/>
          <w:sz w:val="24"/>
          <w:szCs w:val="32"/>
        </w:rPr>
        <w:t>计算结果见下表。</w:t>
      </w:r>
    </w:p>
    <w:p w14:paraId="6429059F">
      <w:pPr>
        <w:pStyle w:val="31"/>
        <w:keepNext w:val="0"/>
        <w:keepLines w:val="0"/>
        <w:pageBreakBefore w:val="0"/>
        <w:widowControl w:val="0"/>
        <w:kinsoku/>
        <w:wordWrap/>
        <w:overflowPunct/>
        <w:topLinePunct w:val="0"/>
        <w:autoSpaceDE/>
        <w:autoSpaceDN/>
        <w:bidi w:val="0"/>
        <w:adjustRightInd/>
        <w:snapToGrid/>
        <w:spacing w:after="0" w:line="360" w:lineRule="auto"/>
        <w:ind w:left="295"/>
        <w:jc w:val="center"/>
        <w:textAlignment w:val="auto"/>
        <w:rPr>
          <w:rFonts w:ascii="宋体" w:hAnsi="宋体" w:eastAsia="宋体" w:cs="宋体"/>
          <w:sz w:val="21"/>
          <w:szCs w:val="21"/>
        </w:rPr>
      </w:pPr>
      <w:r>
        <w:rPr>
          <w:rFonts w:ascii="宋体" w:hAnsi="宋体" w:eastAsia="宋体" w:cs="宋体"/>
          <w:b/>
          <w:bCs/>
          <w:sz w:val="24"/>
          <w:szCs w:val="24"/>
        </w:rPr>
        <w:t>表</w:t>
      </w:r>
      <w:r>
        <w:rPr>
          <w:rFonts w:ascii="宋体" w:hAnsi="宋体" w:eastAsia="宋体" w:cs="宋体"/>
          <w:spacing w:val="-44"/>
          <w:sz w:val="24"/>
          <w:szCs w:val="24"/>
        </w:rPr>
        <w:t xml:space="preserve"> </w:t>
      </w:r>
      <w:r>
        <w:rPr>
          <w:rFonts w:hint="eastAsia"/>
          <w:b/>
          <w:bCs/>
          <w:sz w:val="24"/>
          <w:szCs w:val="24"/>
          <w:lang w:val="en-US" w:eastAsia="zh-CN"/>
        </w:rPr>
        <w:t>5</w:t>
      </w:r>
      <w:r>
        <w:rPr>
          <w:b/>
          <w:bCs/>
          <w:sz w:val="24"/>
          <w:szCs w:val="24"/>
        </w:rPr>
        <w:t>.2-</w:t>
      </w:r>
      <w:r>
        <w:rPr>
          <w:rFonts w:hint="eastAsia"/>
          <w:b/>
          <w:bCs/>
          <w:sz w:val="24"/>
          <w:szCs w:val="24"/>
          <w:lang w:val="en-US" w:eastAsia="zh-CN"/>
        </w:rPr>
        <w:t>4</w:t>
      </w:r>
      <w:r>
        <w:rPr>
          <w:b/>
          <w:bCs/>
          <w:sz w:val="24"/>
          <w:szCs w:val="24"/>
        </w:rPr>
        <w:t xml:space="preserve">           </w:t>
      </w:r>
      <w:r>
        <w:rPr>
          <w:rFonts w:ascii="宋体" w:hAnsi="宋体" w:eastAsia="宋体" w:cs="宋体"/>
          <w:b/>
          <w:bCs/>
          <w:spacing w:val="-1"/>
          <w:sz w:val="24"/>
          <w:szCs w:val="24"/>
        </w:rPr>
        <w:t>非正常工况排放情况</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093"/>
        <w:gridCol w:w="1067"/>
        <w:gridCol w:w="1111"/>
        <w:gridCol w:w="1101"/>
        <w:gridCol w:w="1067"/>
        <w:gridCol w:w="1067"/>
        <w:gridCol w:w="1095"/>
      </w:tblGrid>
      <w:tr w14:paraId="10185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00A135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排放口</w:t>
            </w:r>
          </w:p>
        </w:tc>
        <w:tc>
          <w:tcPr>
            <w:tcW w:w="1160" w:type="dxa"/>
            <w:vAlign w:val="center"/>
          </w:tcPr>
          <w:p w14:paraId="4BE53A6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排放源</w:t>
            </w:r>
          </w:p>
        </w:tc>
        <w:tc>
          <w:tcPr>
            <w:tcW w:w="1160" w:type="dxa"/>
            <w:vAlign w:val="center"/>
          </w:tcPr>
          <w:p w14:paraId="4632B4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污染物</w:t>
            </w:r>
          </w:p>
        </w:tc>
        <w:tc>
          <w:tcPr>
            <w:tcW w:w="1160" w:type="dxa"/>
            <w:vAlign w:val="center"/>
          </w:tcPr>
          <w:p w14:paraId="0D8279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排放浓度</w:t>
            </w:r>
            <w:r>
              <w:rPr>
                <w:rFonts w:hint="default" w:ascii="Times New Roman" w:hAnsi="Times New Roman" w:eastAsia="Times New Roman" w:cs="Times New Roman"/>
                <w:sz w:val="21"/>
                <w:szCs w:val="21"/>
              </w:rPr>
              <w:t>mg/m</w:t>
            </w:r>
            <w:r>
              <w:rPr>
                <w:rFonts w:hint="default" w:ascii="Times New Roman" w:hAnsi="Times New Roman" w:eastAsia="Times New Roman" w:cs="Times New Roman"/>
                <w:position w:val="6"/>
                <w:sz w:val="13"/>
                <w:szCs w:val="13"/>
              </w:rPr>
              <w:t>3</w:t>
            </w:r>
          </w:p>
        </w:tc>
        <w:tc>
          <w:tcPr>
            <w:tcW w:w="1160" w:type="dxa"/>
            <w:vAlign w:val="center"/>
          </w:tcPr>
          <w:p w14:paraId="2A2D70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排放量kg/h</w:t>
            </w:r>
          </w:p>
        </w:tc>
        <w:tc>
          <w:tcPr>
            <w:tcW w:w="1160" w:type="dxa"/>
            <w:vAlign w:val="center"/>
          </w:tcPr>
          <w:p w14:paraId="1A316F8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单次持续时间h</w:t>
            </w:r>
          </w:p>
        </w:tc>
        <w:tc>
          <w:tcPr>
            <w:tcW w:w="1160" w:type="dxa"/>
            <w:vAlign w:val="center"/>
          </w:tcPr>
          <w:p w14:paraId="5D31A2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发生原因</w:t>
            </w:r>
          </w:p>
        </w:tc>
        <w:tc>
          <w:tcPr>
            <w:tcW w:w="1161" w:type="dxa"/>
            <w:vAlign w:val="center"/>
          </w:tcPr>
          <w:p w14:paraId="15AE7F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应对措施</w:t>
            </w:r>
          </w:p>
        </w:tc>
      </w:tr>
      <w:tr w14:paraId="279A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0" w:type="dxa"/>
            <w:vAlign w:val="center"/>
          </w:tcPr>
          <w:p w14:paraId="5E53056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DA001</w:t>
            </w:r>
          </w:p>
        </w:tc>
        <w:tc>
          <w:tcPr>
            <w:tcW w:w="1160" w:type="dxa"/>
            <w:vAlign w:val="center"/>
          </w:tcPr>
          <w:p w14:paraId="5FF2E5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Arial" w:cs="Times New Roman"/>
                <w:sz w:val="21"/>
                <w:szCs w:val="21"/>
                <w:vertAlign w:val="baseline"/>
              </w:rPr>
            </w:pPr>
            <w:r>
              <w:rPr>
                <w:rFonts w:hint="default" w:ascii="Times New Roman" w:hAnsi="Times New Roman" w:eastAsia="宋体" w:cs="Times New Roman"/>
                <w:spacing w:val="-2"/>
                <w:sz w:val="21"/>
                <w:szCs w:val="21"/>
                <w:lang w:val="en-US" w:eastAsia="zh-CN"/>
              </w:rPr>
              <w:t>破碎区、球磨</w:t>
            </w:r>
          </w:p>
        </w:tc>
        <w:tc>
          <w:tcPr>
            <w:tcW w:w="1160" w:type="dxa"/>
            <w:vAlign w:val="center"/>
          </w:tcPr>
          <w:p w14:paraId="65F3DF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颗粒物</w:t>
            </w:r>
          </w:p>
        </w:tc>
        <w:tc>
          <w:tcPr>
            <w:tcW w:w="1160" w:type="dxa"/>
            <w:vAlign w:val="center"/>
          </w:tcPr>
          <w:p w14:paraId="2F2259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923</w:t>
            </w:r>
          </w:p>
        </w:tc>
        <w:tc>
          <w:tcPr>
            <w:tcW w:w="1160" w:type="dxa"/>
            <w:vAlign w:val="center"/>
          </w:tcPr>
          <w:p w14:paraId="0C2A252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13.85</w:t>
            </w:r>
          </w:p>
        </w:tc>
        <w:tc>
          <w:tcPr>
            <w:tcW w:w="1160" w:type="dxa"/>
            <w:vAlign w:val="center"/>
          </w:tcPr>
          <w:p w14:paraId="33B7F2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w:t>
            </w:r>
          </w:p>
        </w:tc>
        <w:tc>
          <w:tcPr>
            <w:tcW w:w="1160" w:type="dxa"/>
            <w:vAlign w:val="center"/>
          </w:tcPr>
          <w:p w14:paraId="57C52D5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突发故障</w:t>
            </w:r>
          </w:p>
        </w:tc>
        <w:tc>
          <w:tcPr>
            <w:tcW w:w="1161" w:type="dxa"/>
            <w:vAlign w:val="center"/>
          </w:tcPr>
          <w:p w14:paraId="15188E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立即停产，检修</w:t>
            </w:r>
          </w:p>
        </w:tc>
      </w:tr>
    </w:tbl>
    <w:p w14:paraId="6297B450">
      <w:pPr>
        <w:spacing w:line="170" w:lineRule="exact"/>
      </w:pPr>
    </w:p>
    <w:p w14:paraId="48817E69">
      <w:pPr>
        <w:keepNext w:val="0"/>
        <w:keepLines w:val="0"/>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5.1.2.</w:t>
      </w:r>
      <w:r>
        <w:rPr>
          <w:rFonts w:hint="eastAsia" w:cs="Times New Roman"/>
          <w:b/>
          <w:bCs/>
          <w:color w:val="auto"/>
          <w:sz w:val="24"/>
          <w:szCs w:val="24"/>
          <w:lang w:val="en-US" w:eastAsia="zh-CN"/>
        </w:rPr>
        <w:t>3大气</w:t>
      </w:r>
      <w:r>
        <w:rPr>
          <w:rFonts w:hint="eastAsia" w:ascii="Times New Roman" w:hAnsi="Times New Roman" w:eastAsia="宋体" w:cs="Times New Roman"/>
          <w:b/>
          <w:bCs/>
          <w:color w:val="auto"/>
          <w:sz w:val="24"/>
          <w:szCs w:val="24"/>
        </w:rPr>
        <w:t>防护距离</w:t>
      </w:r>
    </w:p>
    <w:p w14:paraId="608E0D8C">
      <w:pPr>
        <w:pStyle w:val="1506"/>
        <w:keepNext w:val="0"/>
        <w:keepLines w:val="0"/>
        <w:pageBreakBefore w:val="0"/>
        <w:kinsoku/>
        <w:wordWrap/>
        <w:overflowPunct/>
        <w:topLinePunct w:val="0"/>
        <w:autoSpaceDE/>
        <w:autoSpaceDN/>
        <w:bidi w:val="0"/>
        <w:adjustRightInd/>
        <w:snapToGrid/>
        <w:spacing w:after="0"/>
        <w:textAlignment w:val="auto"/>
        <w:rPr>
          <w:rFonts w:hint="default" w:ascii="Times New Roman" w:hAnsi="Times New Roman" w:eastAsia="宋体" w:cs="Times New Roman"/>
          <w:color w:val="auto"/>
          <w:spacing w:val="0"/>
          <w:w w:val="100"/>
          <w:kern w:val="0"/>
          <w:sz w:val="24"/>
          <w:szCs w:val="24"/>
          <w:highlight w:val="none"/>
          <w:lang w:val="zh-CN" w:bidi="zh-CN"/>
        </w:rPr>
      </w:pPr>
      <w:r>
        <w:rPr>
          <w:rFonts w:hint="default" w:ascii="Times New Roman" w:hAnsi="Times New Roman" w:eastAsia="宋体" w:cs="Times New Roman"/>
          <w:color w:val="auto"/>
          <w:spacing w:val="0"/>
          <w:w w:val="100"/>
          <w:kern w:val="0"/>
          <w:sz w:val="24"/>
          <w:szCs w:val="24"/>
          <w:highlight w:val="none"/>
          <w:lang w:val="zh-CN" w:eastAsia="zh-CN" w:bidi="zh-CN"/>
        </w:rPr>
        <w:t xml:space="preserve">根据《环境影响评价技术导则-大气环境》（HJ2.2-2018）中的规定：“对于 </w:t>
      </w:r>
    </w:p>
    <w:p w14:paraId="28272221">
      <w:pPr>
        <w:pStyle w:val="1506"/>
        <w:keepNext w:val="0"/>
        <w:keepLines w:val="0"/>
        <w:pageBreakBefore w:val="0"/>
        <w:kinsoku/>
        <w:wordWrap/>
        <w:overflowPunct/>
        <w:topLinePunct w:val="0"/>
        <w:autoSpaceDE/>
        <w:autoSpaceDN/>
        <w:bidi w:val="0"/>
        <w:adjustRightInd/>
        <w:snapToGrid/>
        <w:spacing w:after="0"/>
        <w:ind w:left="0" w:leftChars="0" w:firstLine="0" w:firstLineChars="0"/>
        <w:textAlignment w:val="auto"/>
        <w:rPr>
          <w:rFonts w:hint="eastAsia" w:ascii="Times New Roman" w:hAnsi="宋体" w:eastAsia="宋体" w:cs="Times New Roman"/>
          <w:bCs/>
          <w:snapToGrid/>
          <w:color w:val="auto"/>
          <w:szCs w:val="24"/>
        </w:rPr>
      </w:pPr>
      <w:r>
        <w:rPr>
          <w:rFonts w:hint="default" w:ascii="Times New Roman" w:hAnsi="Times New Roman" w:eastAsia="宋体" w:cs="Times New Roman"/>
          <w:color w:val="auto"/>
          <w:spacing w:val="0"/>
          <w:w w:val="100"/>
          <w:kern w:val="0"/>
          <w:sz w:val="24"/>
          <w:szCs w:val="24"/>
          <w:highlight w:val="none"/>
          <w:lang w:val="zh-CN" w:eastAsia="zh-CN" w:bidi="zh-CN"/>
        </w:rPr>
        <w:t>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由估算模型结果可以看出，本项目正常排放时，污染物最大落地浓度为TSP</w:t>
      </w:r>
      <w:r>
        <w:rPr>
          <w:rFonts w:hint="eastAsia" w:eastAsia="宋体" w:cs="Times New Roman"/>
          <w:color w:val="auto"/>
          <w:spacing w:val="0"/>
          <w:w w:val="100"/>
          <w:kern w:val="0"/>
          <w:sz w:val="24"/>
          <w:szCs w:val="24"/>
          <w:highlight w:val="none"/>
          <w:lang w:val="en-US" w:eastAsia="zh-CN" w:bidi="zh-CN"/>
        </w:rPr>
        <w:t>59.7</w:t>
      </w:r>
      <w:r>
        <w:rPr>
          <w:rFonts w:hint="default" w:ascii="Times New Roman" w:hAnsi="Times New Roman" w:eastAsia="宋体" w:cs="Times New Roman"/>
          <w:color w:val="auto"/>
          <w:spacing w:val="0"/>
          <w:w w:val="100"/>
          <w:kern w:val="0"/>
          <w:sz w:val="24"/>
          <w:szCs w:val="24"/>
          <w:highlight w:val="none"/>
          <w:lang w:val="zh-CN" w:eastAsia="zh-CN" w:bidi="zh-CN"/>
        </w:rPr>
        <w:t>μg/m</w:t>
      </w:r>
      <w:r>
        <w:rPr>
          <w:rFonts w:hint="default" w:ascii="Times New Roman" w:hAnsi="Times New Roman" w:eastAsia="宋体" w:cs="Times New Roman"/>
          <w:color w:val="auto"/>
          <w:spacing w:val="0"/>
          <w:w w:val="100"/>
          <w:kern w:val="0"/>
          <w:sz w:val="24"/>
          <w:szCs w:val="24"/>
          <w:highlight w:val="none"/>
          <w:vertAlign w:val="superscript"/>
          <w:lang w:val="zh-CN" w:eastAsia="zh-CN" w:bidi="zh-CN"/>
        </w:rPr>
        <w:t>3</w:t>
      </w:r>
      <w:r>
        <w:rPr>
          <w:rFonts w:hint="default" w:ascii="Times New Roman" w:hAnsi="Times New Roman" w:eastAsia="宋体" w:cs="Times New Roman"/>
          <w:color w:val="auto"/>
          <w:spacing w:val="0"/>
          <w:w w:val="100"/>
          <w:kern w:val="0"/>
          <w:sz w:val="24"/>
          <w:szCs w:val="24"/>
          <w:highlight w:val="none"/>
          <w:lang w:val="zh-CN" w:eastAsia="zh-CN" w:bidi="zh-CN"/>
        </w:rPr>
        <w:t>，满足《环境空气质量标准》（GB3095-2012）中的标准要求，故无需计算大气防护距离，无需设置大气环境防护</w:t>
      </w:r>
      <w:r>
        <w:rPr>
          <w:rFonts w:hint="eastAsia" w:eastAsia="宋体" w:cs="Times New Roman"/>
          <w:color w:val="auto"/>
          <w:spacing w:val="0"/>
          <w:w w:val="100"/>
          <w:kern w:val="0"/>
          <w:sz w:val="24"/>
          <w:szCs w:val="24"/>
          <w:highlight w:val="none"/>
          <w:lang w:val="en-US" w:eastAsia="zh-CN" w:bidi="zh-CN"/>
        </w:rPr>
        <w:t>区域</w:t>
      </w:r>
      <w:r>
        <w:rPr>
          <w:rFonts w:hint="default" w:ascii="Times New Roman" w:hAnsi="Times New Roman" w:eastAsia="宋体" w:cs="Times New Roman"/>
          <w:color w:val="auto"/>
          <w:spacing w:val="0"/>
          <w:w w:val="100"/>
          <w:kern w:val="0"/>
          <w:sz w:val="24"/>
          <w:szCs w:val="24"/>
          <w:highlight w:val="none"/>
          <w:lang w:val="zh-CN" w:bidi="zh-CN"/>
        </w:rPr>
        <w:t>。</w:t>
      </w:r>
    </w:p>
    <w:p w14:paraId="73C21284">
      <w:pPr>
        <w:pStyle w:val="5"/>
        <w:bidi w:val="0"/>
        <w:rPr>
          <w:rFonts w:hint="eastAsia"/>
          <w:lang w:val="en-US" w:eastAsia="zh-CN"/>
        </w:rPr>
      </w:pPr>
      <w:r>
        <w:rPr>
          <w:rFonts w:hint="eastAsia"/>
          <w:lang w:val="en-US" w:eastAsia="zh-CN"/>
        </w:rPr>
        <w:t>5.2.2地表水环境影响分析与评价</w:t>
      </w:r>
    </w:p>
    <w:p w14:paraId="6B4080FB">
      <w:pPr>
        <w:bidi w:val="0"/>
        <w:spacing w:line="360" w:lineRule="auto"/>
        <w:rPr>
          <w:rFonts w:hint="default"/>
          <w:b/>
          <w:bCs/>
          <w:color w:val="auto"/>
          <w:sz w:val="24"/>
          <w:szCs w:val="24"/>
          <w:lang w:val="en-US" w:eastAsia="zh-CN"/>
        </w:rPr>
      </w:pPr>
      <w:r>
        <w:rPr>
          <w:rFonts w:hint="eastAsia"/>
          <w:b/>
          <w:bCs/>
          <w:color w:val="auto"/>
          <w:sz w:val="24"/>
          <w:szCs w:val="24"/>
          <w:lang w:val="en-US" w:eastAsia="zh-CN"/>
        </w:rPr>
        <w:t>5.2.2.1地表水环境影响评价内容</w:t>
      </w:r>
    </w:p>
    <w:p w14:paraId="41E8857A">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根据《环境影响评价技术导则 地表水环境》（HJ2.3-2018）规定，确定</w:t>
      </w:r>
      <w:r>
        <w:rPr>
          <w:rFonts w:hint="eastAsia" w:ascii="Times New Roman" w:hAnsi="Times New Roman" w:eastAsia="宋体" w:cs="Times New Roman"/>
          <w:color w:val="auto"/>
          <w:sz w:val="24"/>
          <w:lang w:val="en-US" w:eastAsia="zh-CN"/>
        </w:rPr>
        <w:t>本项目</w:t>
      </w:r>
      <w:r>
        <w:rPr>
          <w:rFonts w:ascii="Times New Roman" w:hAnsi="Times New Roman" w:eastAsia="宋体" w:cs="Times New Roman"/>
          <w:color w:val="auto"/>
          <w:sz w:val="24"/>
        </w:rPr>
        <w:t>地表水环境评价等级为三级B。</w:t>
      </w:r>
    </w:p>
    <w:p w14:paraId="449DE490">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eastAsia" w:ascii="Times New Roman" w:hAnsi="Times New Roman" w:eastAsia="宋体" w:cs="Times New Roman"/>
          <w:color w:val="auto"/>
          <w:sz w:val="24"/>
          <w:lang w:val="en-US" w:eastAsia="zh-CN"/>
        </w:rPr>
        <w:t>水污染型三级</w:t>
      </w:r>
      <w:r>
        <w:rPr>
          <w:rFonts w:hint="default" w:ascii="Times New Roman" w:hAnsi="Times New Roman" w:eastAsia="宋体" w:cs="Times New Roman"/>
          <w:color w:val="auto"/>
          <w:sz w:val="24"/>
          <w:lang w:val="en-US" w:eastAsia="zh-CN"/>
        </w:rPr>
        <w:t>B</w:t>
      </w:r>
      <w:r>
        <w:rPr>
          <w:rFonts w:hint="eastAsia" w:ascii="Times New Roman" w:hAnsi="Times New Roman" w:eastAsia="宋体" w:cs="Times New Roman"/>
          <w:color w:val="auto"/>
          <w:sz w:val="24"/>
          <w:lang w:val="en-US" w:eastAsia="zh-CN"/>
        </w:rPr>
        <w:t>评价可不进行水环境影响预测，仅对水污染控制和水环境影响减缓措施有效性进行评价，并说明生产废水回用</w:t>
      </w:r>
      <w:r>
        <w:rPr>
          <w:rFonts w:hint="eastAsia" w:eastAsia="宋体" w:cs="Times New Roman"/>
          <w:color w:val="auto"/>
          <w:sz w:val="24"/>
          <w:lang w:val="en-US" w:eastAsia="zh-CN"/>
        </w:rPr>
        <w:t>及生活污水不外排</w:t>
      </w:r>
      <w:r>
        <w:rPr>
          <w:rFonts w:hint="eastAsia" w:ascii="Times New Roman" w:hAnsi="Times New Roman" w:eastAsia="宋体" w:cs="Times New Roman"/>
          <w:color w:val="auto"/>
          <w:sz w:val="24"/>
          <w:lang w:val="en-US" w:eastAsia="zh-CN"/>
        </w:rPr>
        <w:t>可行性评价。</w:t>
      </w:r>
    </w:p>
    <w:p w14:paraId="2C06970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b/>
          <w:bCs/>
          <w:color w:val="auto"/>
          <w:sz w:val="24"/>
          <w:szCs w:val="24"/>
          <w:lang w:val="en-US" w:eastAsia="zh-CN"/>
        </w:rPr>
      </w:pPr>
      <w:r>
        <w:rPr>
          <w:rFonts w:hint="eastAsia"/>
          <w:b/>
          <w:bCs/>
          <w:color w:val="auto"/>
          <w:sz w:val="24"/>
          <w:szCs w:val="24"/>
          <w:lang w:val="en-US" w:eastAsia="zh-CN"/>
        </w:rPr>
        <w:t>5.2.2.2污染源调查</w:t>
      </w:r>
    </w:p>
    <w:p w14:paraId="528D217E">
      <w:pPr>
        <w:pStyle w:val="509"/>
        <w:keepNext w:val="0"/>
        <w:keepLines w:val="0"/>
        <w:pageBreakBefore w:val="0"/>
        <w:widowControl w:val="0"/>
        <w:tabs>
          <w:tab w:val="left" w:pos="1374"/>
        </w:tabs>
        <w:kinsoku/>
        <w:wordWrap/>
        <w:overflowPunct/>
        <w:topLinePunct w:val="0"/>
        <w:autoSpaceDE/>
        <w:autoSpaceDN/>
        <w:bidi w:val="0"/>
        <w:adjustRightInd/>
        <w:snapToGrid/>
        <w:spacing w:line="360" w:lineRule="auto"/>
        <w:ind w:left="-105" w:firstLine="480" w:firstLineChars="200"/>
        <w:textAlignment w:val="auto"/>
        <w:outlineLvl w:val="9"/>
        <w:rPr>
          <w:rFonts w:hint="eastAsia" w:eastAsia="宋体"/>
          <w:color w:val="auto"/>
          <w:lang w:eastAsia="zh-CN"/>
        </w:rPr>
      </w:pPr>
      <w:r>
        <w:rPr>
          <w:rFonts w:hint="eastAsia"/>
          <w:color w:val="auto"/>
          <w:lang w:eastAsia="zh-CN"/>
        </w:rPr>
        <w:t>按照《环境影响评价技术导则</w:t>
      </w:r>
      <w:r>
        <w:rPr>
          <w:rFonts w:hint="eastAsia"/>
          <w:color w:val="auto"/>
          <w:lang w:val="en-US" w:eastAsia="zh-CN"/>
        </w:rPr>
        <w:t xml:space="preserve"> 地表水环境</w:t>
      </w:r>
      <w:r>
        <w:rPr>
          <w:rFonts w:hint="eastAsia"/>
          <w:color w:val="auto"/>
          <w:lang w:eastAsia="zh-CN"/>
        </w:rPr>
        <w:t>》（</w:t>
      </w:r>
      <w:r>
        <w:rPr>
          <w:rFonts w:hint="eastAsia"/>
          <w:color w:val="auto"/>
          <w:lang w:val="en-US" w:eastAsia="zh-CN"/>
        </w:rPr>
        <w:t>HJ2.3-2018</w:t>
      </w:r>
      <w:r>
        <w:rPr>
          <w:rFonts w:hint="eastAsia"/>
          <w:color w:val="auto"/>
          <w:lang w:eastAsia="zh-CN"/>
        </w:rPr>
        <w:t>）中“</w:t>
      </w:r>
      <w:r>
        <w:rPr>
          <w:rFonts w:hint="eastAsia"/>
          <w:color w:val="auto"/>
          <w:lang w:val="en-US" w:eastAsia="zh-CN"/>
        </w:rPr>
        <w:t>6.6调查要求</w:t>
      </w:r>
      <w:r>
        <w:rPr>
          <w:rFonts w:hint="eastAsia"/>
          <w:color w:val="auto"/>
          <w:lang w:eastAsia="zh-CN"/>
        </w:rPr>
        <w:t>”，</w:t>
      </w:r>
      <w:r>
        <w:rPr>
          <w:rFonts w:hint="eastAsia"/>
          <w:color w:val="auto"/>
          <w:lang w:val="en-US" w:eastAsia="zh-CN"/>
        </w:rPr>
        <w:t>三级B可不开展区域污染源调查，仅调查本项目水污染物的排放量及进入受纳水体的污染负荷量</w:t>
      </w:r>
      <w:r>
        <w:rPr>
          <w:rFonts w:hint="eastAsia"/>
          <w:color w:val="auto"/>
          <w:lang w:eastAsia="zh-CN"/>
        </w:rPr>
        <w:t>，</w:t>
      </w:r>
      <w:r>
        <w:rPr>
          <w:rFonts w:hint="eastAsia"/>
          <w:color w:val="auto"/>
          <w:lang w:val="en-US" w:eastAsia="zh-CN"/>
        </w:rPr>
        <w:t>本项目</w:t>
      </w:r>
      <w:r>
        <w:rPr>
          <w:rFonts w:hint="eastAsia"/>
          <w:color w:val="auto"/>
          <w:lang w:eastAsia="zh-CN"/>
        </w:rPr>
        <w:t>污染源调查情况如下：</w:t>
      </w:r>
    </w:p>
    <w:p w14:paraId="4D026EC8">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z w:val="24"/>
        </w:rPr>
        <w:t>项目</w:t>
      </w:r>
      <w:r>
        <w:rPr>
          <w:rFonts w:hint="eastAsia" w:eastAsia="宋体" w:cs="Times New Roman"/>
          <w:color w:val="auto"/>
          <w:sz w:val="24"/>
          <w:lang w:val="en-US" w:eastAsia="zh-CN"/>
        </w:rPr>
        <w:t>产生的</w:t>
      </w:r>
      <w:r>
        <w:rPr>
          <w:rFonts w:hint="default" w:ascii="Times New Roman" w:hAnsi="Times New Roman" w:eastAsia="宋体" w:cs="Times New Roman"/>
          <w:color w:val="auto"/>
          <w:sz w:val="24"/>
        </w:rPr>
        <w:t>废水</w:t>
      </w:r>
      <w:r>
        <w:rPr>
          <w:rFonts w:hint="eastAsia" w:eastAsia="宋体" w:cs="Times New Roman"/>
          <w:color w:val="auto"/>
          <w:sz w:val="24"/>
          <w:lang w:val="en-US" w:eastAsia="zh-CN"/>
        </w:rPr>
        <w:t>包括生产废水</w:t>
      </w:r>
      <w:r>
        <w:rPr>
          <w:rFonts w:hint="default" w:ascii="Times New Roman" w:hAnsi="Times New Roman" w:eastAsia="宋体" w:cs="Times New Roman"/>
          <w:color w:val="auto"/>
        </w:rPr>
        <w:t>和生活污水。</w:t>
      </w:r>
    </w:p>
    <w:p w14:paraId="58C9AD18">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（1）</w:t>
      </w:r>
      <w:r>
        <w:rPr>
          <w:rFonts w:hint="eastAsia" w:eastAsia="宋体" w:cs="Times New Roman"/>
          <w:color w:val="auto"/>
          <w:sz w:val="24"/>
          <w:szCs w:val="24"/>
          <w:lang w:val="en-US" w:eastAsia="zh-CN"/>
        </w:rPr>
        <w:t>生产废水</w:t>
      </w:r>
    </w:p>
    <w:p w14:paraId="756D780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本</w:t>
      </w:r>
      <w:r>
        <w:rPr>
          <w:rFonts w:hint="eastAsia" w:cs="Times New Roman"/>
          <w:color w:val="auto"/>
          <w:sz w:val="24"/>
          <w:szCs w:val="24"/>
          <w:lang w:val="en-US" w:eastAsia="zh-CN"/>
        </w:rPr>
        <w:t>次改扩建项目新增</w:t>
      </w:r>
      <w:r>
        <w:rPr>
          <w:rFonts w:hint="default" w:ascii="Times New Roman" w:hAnsi="Times New Roman" w:eastAsia="宋体" w:cs="Times New Roman"/>
          <w:color w:val="auto"/>
          <w:sz w:val="24"/>
          <w:szCs w:val="24"/>
        </w:rPr>
        <w:t>的浮选选矿工艺，</w:t>
      </w:r>
      <w:r>
        <w:rPr>
          <w:rFonts w:hint="eastAsia" w:cs="Times New Roman"/>
          <w:color w:val="auto"/>
          <w:sz w:val="24"/>
          <w:szCs w:val="24"/>
          <w:lang w:val="en-US" w:eastAsia="zh-CN"/>
        </w:rPr>
        <w:t>主要生产废水为</w:t>
      </w:r>
      <w:r>
        <w:rPr>
          <w:rFonts w:hint="eastAsia" w:eastAsia="宋体" w:cs="Times New Roman"/>
          <w:color w:val="auto"/>
          <w:sz w:val="24"/>
          <w:lang w:val="en-US" w:eastAsia="zh-CN"/>
        </w:rPr>
        <w:t>选矿工序废水、车间地面冲洗废水</w:t>
      </w:r>
      <w:r>
        <w:rPr>
          <w:rFonts w:hint="eastAsia" w:cs="Times New Roman"/>
          <w:color w:val="auto"/>
          <w:sz w:val="24"/>
          <w:lang w:val="en-US" w:eastAsia="zh-CN"/>
        </w:rPr>
        <w:t>，</w:t>
      </w:r>
      <w:r>
        <w:rPr>
          <w:rFonts w:hint="default" w:ascii="Times New Roman" w:hAnsi="Times New Roman" w:eastAsia="宋体" w:cs="Times New Roman"/>
          <w:color w:val="auto"/>
          <w:sz w:val="24"/>
          <w:szCs w:val="24"/>
        </w:rPr>
        <w:t>选矿废水</w:t>
      </w:r>
      <w:r>
        <w:rPr>
          <w:rFonts w:hint="eastAsia" w:cs="Times New Roman"/>
          <w:color w:val="auto"/>
          <w:sz w:val="24"/>
          <w:szCs w:val="24"/>
          <w:lang w:val="en-US" w:eastAsia="zh-CN"/>
        </w:rPr>
        <w:t>产生量为1803.315t/d，地面冲洗废水产生量为0.8t/d</w:t>
      </w:r>
      <w:r>
        <w:rPr>
          <w:rFonts w:hint="eastAsia" w:eastAsia="宋体" w:cs="Times New Roman"/>
          <w:color w:val="auto"/>
          <w:sz w:val="24"/>
          <w:szCs w:val="24"/>
          <w:highlight w:val="none"/>
          <w:lang w:eastAsia="zh-CN"/>
        </w:rPr>
        <w:t>，</w:t>
      </w:r>
      <w:r>
        <w:rPr>
          <w:rFonts w:hint="eastAsia" w:cs="Times New Roman"/>
          <w:color w:val="auto"/>
          <w:sz w:val="24"/>
          <w:szCs w:val="24"/>
          <w:highlight w:val="none"/>
          <w:lang w:val="en-US" w:eastAsia="zh-CN"/>
        </w:rPr>
        <w:t>废水全部</w:t>
      </w:r>
      <w:r>
        <w:rPr>
          <w:rFonts w:hint="eastAsia" w:ascii="Times New Roman" w:hAnsi="Times New Roman" w:eastAsia="宋体" w:cs="Times New Roman"/>
          <w:color w:val="auto"/>
          <w:kern w:val="2"/>
          <w:sz w:val="24"/>
          <w:szCs w:val="24"/>
          <w:highlight w:val="none"/>
          <w:lang w:val="en-US" w:eastAsia="zh-CN" w:bidi="ar-SA"/>
        </w:rPr>
        <w:t>由</w:t>
      </w:r>
      <w:r>
        <w:rPr>
          <w:rFonts w:hint="eastAsia" w:cs="Times New Roman"/>
          <w:color w:val="auto"/>
          <w:kern w:val="2"/>
          <w:sz w:val="24"/>
          <w:szCs w:val="24"/>
          <w:highlight w:val="none"/>
          <w:lang w:val="en-US" w:eastAsia="zh-CN" w:bidi="ar-SA"/>
        </w:rPr>
        <w:t>泵打入循环水池，回用于</w:t>
      </w:r>
      <w:r>
        <w:rPr>
          <w:rFonts w:hint="eastAsia" w:ascii="Times New Roman" w:hAnsi="Times New Roman" w:eastAsia="宋体" w:cs="Times New Roman"/>
          <w:color w:val="auto"/>
          <w:kern w:val="2"/>
          <w:sz w:val="24"/>
          <w:szCs w:val="24"/>
          <w:highlight w:val="none"/>
          <w:lang w:val="en-US" w:eastAsia="zh-CN" w:bidi="ar-SA"/>
        </w:rPr>
        <w:t>球磨工序</w:t>
      </w:r>
      <w:r>
        <w:rPr>
          <w:rFonts w:hint="eastAsia" w:cs="Times New Roman"/>
          <w:color w:val="auto"/>
          <w:kern w:val="2"/>
          <w:sz w:val="24"/>
          <w:szCs w:val="24"/>
          <w:highlight w:val="none"/>
          <w:lang w:val="en-US" w:eastAsia="zh-CN" w:bidi="ar-SA"/>
        </w:rPr>
        <w:t>，不外排</w:t>
      </w:r>
      <w:r>
        <w:rPr>
          <w:rFonts w:hint="default" w:ascii="Times New Roman" w:hAnsi="Times New Roman" w:eastAsia="宋体" w:cs="Times New Roman"/>
          <w:color w:val="auto"/>
          <w:kern w:val="2"/>
          <w:sz w:val="24"/>
          <w:szCs w:val="24"/>
          <w:highlight w:val="none"/>
          <w:lang w:val="en-US" w:eastAsia="zh-CN" w:bidi="ar-SA"/>
        </w:rPr>
        <w:t>。</w:t>
      </w:r>
    </w:p>
    <w:p w14:paraId="03E350CA">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（2）生活污水</w:t>
      </w:r>
    </w:p>
    <w:p w14:paraId="044ABAFD">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eastAsia="宋体" w:cs="Times New Roman"/>
          <w:color w:val="auto"/>
          <w:lang w:val="en-US" w:eastAsia="zh-CN"/>
        </w:rPr>
      </w:pPr>
      <w:r>
        <w:rPr>
          <w:rFonts w:hint="eastAsia" w:eastAsia="宋体" w:cs="Times New Roman"/>
          <w:color w:val="auto"/>
          <w:lang w:val="en-US" w:eastAsia="zh-CN"/>
        </w:rPr>
        <w:t>本项目新增废水生活污水产生量为0.64t/d，排入现有防渗旱厕，定期清掏，不外排。</w:t>
      </w:r>
    </w:p>
    <w:p w14:paraId="5F9981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lang w:val="en-US" w:eastAsia="zh-CN"/>
        </w:rPr>
      </w:pPr>
      <w:r>
        <w:rPr>
          <w:rFonts w:hint="eastAsia"/>
          <w:b/>
          <w:bCs/>
          <w:color w:val="auto"/>
          <w:sz w:val="24"/>
          <w:szCs w:val="24"/>
          <w:lang w:val="en-US" w:eastAsia="zh-CN"/>
        </w:rPr>
        <w:t>5.2.2.3水污染控制和水环境影响减缓措施有效性评价</w:t>
      </w:r>
    </w:p>
    <w:p w14:paraId="76801C8D">
      <w:pPr>
        <w:pStyle w:val="509"/>
        <w:keepNext w:val="0"/>
        <w:keepLines w:val="0"/>
        <w:pageBreakBefore w:val="0"/>
        <w:widowControl w:val="0"/>
        <w:tabs>
          <w:tab w:val="left" w:pos="1374"/>
        </w:tabs>
        <w:kinsoku/>
        <w:wordWrap/>
        <w:overflowPunct/>
        <w:topLinePunct w:val="0"/>
        <w:autoSpaceDE/>
        <w:autoSpaceDN/>
        <w:bidi w:val="0"/>
        <w:adjustRightInd/>
        <w:snapToGrid/>
        <w:spacing w:line="360" w:lineRule="auto"/>
        <w:ind w:left="0" w:leftChars="0" w:firstLine="0" w:firstLineChars="0"/>
        <w:textAlignment w:val="auto"/>
        <w:outlineLvl w:val="9"/>
        <w:rPr>
          <w:rFonts w:hint="eastAsia" w:eastAsia="宋体"/>
          <w:color w:val="auto"/>
          <w:lang w:eastAsia="zh-CN"/>
        </w:rPr>
      </w:pPr>
      <w:r>
        <w:rPr>
          <w:rFonts w:hint="eastAsia"/>
          <w:color w:val="auto"/>
          <w:lang w:val="en-US" w:eastAsia="zh-CN"/>
        </w:rPr>
        <w:t>（1）水质</w:t>
      </w:r>
    </w:p>
    <w:p w14:paraId="767BC6EE">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US" w:eastAsia="zh-CN"/>
        </w:rPr>
      </w:pPr>
      <w:r>
        <w:rPr>
          <w:rFonts w:ascii="Times New Roman" w:hAnsi="Times New Roman" w:eastAsia="宋体" w:cs="Times New Roman"/>
          <w:color w:val="auto"/>
          <w:sz w:val="24"/>
        </w:rPr>
        <w:t>选矿废水是一个累积的过程，</w:t>
      </w:r>
      <w:r>
        <w:rPr>
          <w:rFonts w:hint="eastAsia" w:ascii="Times New Roman" w:hAnsi="Times New Roman" w:eastAsia="宋体" w:cs="Times New Roman"/>
          <w:color w:val="auto"/>
          <w:sz w:val="24"/>
        </w:rPr>
        <w:t>选矿</w:t>
      </w:r>
      <w:r>
        <w:rPr>
          <w:rFonts w:ascii="Times New Roman" w:hAnsi="Times New Roman" w:eastAsia="宋体" w:cs="Times New Roman"/>
          <w:color w:val="auto"/>
          <w:sz w:val="24"/>
        </w:rPr>
        <w:t>废水</w:t>
      </w:r>
      <w:r>
        <w:rPr>
          <w:rFonts w:hint="eastAsia" w:ascii="Times New Roman" w:hAnsi="Times New Roman" w:eastAsia="宋体" w:cs="Times New Roman"/>
          <w:color w:val="auto"/>
          <w:sz w:val="24"/>
        </w:rPr>
        <w:t>水质源强的</w:t>
      </w:r>
      <w:r>
        <w:rPr>
          <w:rFonts w:ascii="Times New Roman" w:hAnsi="Times New Roman" w:eastAsia="宋体" w:cs="Times New Roman"/>
          <w:color w:val="auto"/>
          <w:sz w:val="24"/>
        </w:rPr>
        <w:t>确定，</w:t>
      </w:r>
      <w:r>
        <w:rPr>
          <w:rFonts w:hint="eastAsia" w:ascii="Times New Roman" w:hAnsi="Times New Roman" w:eastAsia="宋体" w:cs="Times New Roman"/>
          <w:color w:val="auto"/>
          <w:sz w:val="24"/>
        </w:rPr>
        <w:t>部分</w:t>
      </w:r>
      <w:r>
        <w:rPr>
          <w:rFonts w:ascii="Times New Roman" w:hAnsi="Times New Roman" w:eastAsia="宋体" w:cs="Times New Roman"/>
          <w:color w:val="auto"/>
          <w:sz w:val="24"/>
        </w:rPr>
        <w:t>污染因子</w:t>
      </w:r>
      <w:r>
        <w:rPr>
          <w:rFonts w:hint="eastAsia" w:ascii="Times New Roman" w:hAnsi="Times New Roman" w:eastAsia="宋体" w:cs="Times New Roman"/>
          <w:color w:val="auto"/>
          <w:sz w:val="24"/>
        </w:rPr>
        <w:t>经类比</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北票市龙兴矿业有限公司选矿厂建设项目</w:t>
      </w:r>
      <w:r>
        <w:rPr>
          <w:rFonts w:hint="eastAsia" w:eastAsia="宋体" w:cs="Times New Roman"/>
          <w:color w:val="auto"/>
          <w:sz w:val="24"/>
          <w:lang w:val="en-US" w:eastAsia="zh-CN"/>
        </w:rPr>
        <w:t>选矿废水监测报告</w:t>
      </w:r>
      <w:r>
        <w:rPr>
          <w:rFonts w:hint="eastAsia" w:ascii="Times New Roman" w:hAnsi="Times New Roman" w:eastAsia="宋体" w:cs="Times New Roman"/>
          <w:color w:val="auto"/>
          <w:sz w:val="24"/>
          <w:lang w:eastAsia="zh-CN"/>
        </w:rPr>
        <w:t>》</w:t>
      </w:r>
      <w:r>
        <w:rPr>
          <w:rFonts w:hint="eastAsia" w:eastAsia="宋体" w:cs="Times New Roman"/>
          <w:color w:val="auto"/>
          <w:sz w:val="24"/>
          <w:lang w:eastAsia="zh-CN"/>
        </w:rPr>
        <w:t>，</w:t>
      </w:r>
      <w:r>
        <w:rPr>
          <w:rFonts w:hint="eastAsia" w:ascii="Times New Roman" w:hAnsi="Times New Roman" w:eastAsia="宋体" w:cs="Times New Roman"/>
          <w:color w:val="auto"/>
          <w:sz w:val="24"/>
        </w:rPr>
        <w:t>该选厂选矿原料、</w:t>
      </w:r>
      <w:r>
        <w:rPr>
          <w:rFonts w:ascii="Times New Roman" w:hAnsi="Times New Roman" w:eastAsia="宋体" w:cs="Times New Roman"/>
          <w:color w:val="auto"/>
          <w:sz w:val="24"/>
        </w:rPr>
        <w:t>生产产品、</w:t>
      </w:r>
      <w:r>
        <w:rPr>
          <w:rFonts w:hint="eastAsia" w:ascii="Times New Roman" w:hAnsi="Times New Roman" w:eastAsia="宋体" w:cs="Times New Roman"/>
          <w:color w:val="auto"/>
          <w:sz w:val="24"/>
        </w:rPr>
        <w:t>所用</w:t>
      </w:r>
      <w:r>
        <w:rPr>
          <w:rFonts w:ascii="Times New Roman" w:hAnsi="Times New Roman" w:eastAsia="宋体" w:cs="Times New Roman"/>
          <w:color w:val="auto"/>
          <w:sz w:val="24"/>
        </w:rPr>
        <w:t>工艺</w:t>
      </w:r>
      <w:r>
        <w:rPr>
          <w:rFonts w:hint="eastAsia" w:ascii="Times New Roman" w:hAnsi="Times New Roman" w:eastAsia="宋体" w:cs="Times New Roman"/>
          <w:color w:val="auto"/>
          <w:sz w:val="24"/>
        </w:rPr>
        <w:t>、原料</w:t>
      </w:r>
      <w:r>
        <w:rPr>
          <w:rFonts w:ascii="Times New Roman" w:hAnsi="Times New Roman" w:eastAsia="宋体" w:cs="Times New Roman"/>
          <w:color w:val="auto"/>
          <w:sz w:val="24"/>
        </w:rPr>
        <w:t>及浮选药剂和本项目相近，</w:t>
      </w:r>
      <w:r>
        <w:rPr>
          <w:rFonts w:hint="eastAsia" w:ascii="Times New Roman" w:hAnsi="Times New Roman" w:eastAsia="宋体" w:cs="Times New Roman"/>
          <w:color w:val="auto"/>
          <w:sz w:val="24"/>
        </w:rPr>
        <w:t>并</w:t>
      </w:r>
      <w:r>
        <w:rPr>
          <w:rFonts w:ascii="Times New Roman" w:hAnsi="Times New Roman" w:eastAsia="宋体" w:cs="Times New Roman"/>
          <w:color w:val="auto"/>
          <w:sz w:val="24"/>
        </w:rPr>
        <w:t>同时参考</w:t>
      </w:r>
      <w:r>
        <w:rPr>
          <w:rFonts w:hint="eastAsia" w:ascii="Times New Roman" w:hAnsi="Times New Roman" w:eastAsia="宋体" w:cs="Times New Roman"/>
          <w:color w:val="auto"/>
          <w:sz w:val="24"/>
        </w:rPr>
        <w:t>文献</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磷矿</w:t>
      </w:r>
      <w:r>
        <w:rPr>
          <w:rFonts w:ascii="Times New Roman" w:hAnsi="Times New Roman" w:eastAsia="宋体" w:cs="Times New Roman"/>
          <w:color w:val="auto"/>
          <w:sz w:val="24"/>
        </w:rPr>
        <w:t>浮选废水治理的现状及发展趋势</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徐</w:t>
      </w:r>
      <w:r>
        <w:rPr>
          <w:rFonts w:ascii="Times New Roman" w:hAnsi="Times New Roman" w:eastAsia="宋体" w:cs="Times New Roman"/>
          <w:color w:val="auto"/>
          <w:sz w:val="24"/>
        </w:rPr>
        <w:t>昌</w:t>
      </w:r>
      <w:r>
        <w:rPr>
          <w:rFonts w:hint="eastAsia" w:ascii="Times New Roman" w:hAnsi="Times New Roman" w:eastAsia="宋体" w:cs="Times New Roman"/>
          <w:color w:val="auto"/>
          <w:sz w:val="24"/>
        </w:rPr>
        <w:t>伟</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高宏亮</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w:t>
      </w:r>
      <w:r>
        <w:rPr>
          <w:rFonts w:hint="default" w:ascii="Times New Roman" w:hAnsi="Times New Roman" w:eastAsia="宋体" w:cs="Times New Roman"/>
          <w:color w:val="auto"/>
        </w:rPr>
        <w:t>尾矿浓密/压滤出水指标</w:t>
      </w:r>
      <w:r>
        <w:rPr>
          <w:rFonts w:hint="eastAsia" w:ascii="Times New Roman" w:hAnsi="Times New Roman" w:eastAsia="宋体" w:cs="Times New Roman"/>
          <w:color w:val="auto"/>
          <w:lang w:val="en-US" w:eastAsia="zh-CN"/>
        </w:rPr>
        <w:t>为见下表，选矿废水中主要污染物为COD、重金属和石油类等，无其他有毒有害污染物，能够满足磨矿工序用水对水质要求，因此从水质方面分析选矿用水循环使用可行。</w:t>
      </w:r>
    </w:p>
    <w:p w14:paraId="6AEB5D82">
      <w:pPr>
        <w:pStyle w:val="509"/>
        <w:keepNext w:val="0"/>
        <w:keepLines w:val="0"/>
        <w:pageBreakBefore w:val="0"/>
        <w:widowControl w:val="0"/>
        <w:tabs>
          <w:tab w:val="left" w:pos="1374"/>
        </w:tabs>
        <w:kinsoku/>
        <w:wordWrap/>
        <w:overflowPunct/>
        <w:topLinePunct w:val="0"/>
        <w:autoSpaceDE/>
        <w:autoSpaceDN/>
        <w:bidi w:val="0"/>
        <w:adjustRightInd/>
        <w:snapToGrid/>
        <w:spacing w:line="360" w:lineRule="auto"/>
        <w:ind w:left="0" w:leftChars="0" w:firstLine="0" w:firstLineChars="0"/>
        <w:textAlignment w:val="auto"/>
        <w:outlineLvl w:val="9"/>
        <w:rPr>
          <w:rFonts w:hint="eastAsia" w:eastAsia="宋体"/>
          <w:color w:val="auto"/>
          <w:lang w:eastAsia="zh-CN"/>
        </w:rPr>
      </w:pPr>
      <w:r>
        <w:rPr>
          <w:rFonts w:hint="eastAsia"/>
          <w:color w:val="auto"/>
          <w:lang w:val="en-US" w:eastAsia="zh-CN"/>
        </w:rPr>
        <w:t>（2）水量</w:t>
      </w:r>
    </w:p>
    <w:p w14:paraId="2E7B20C4">
      <w:pPr>
        <w:pStyle w:val="509"/>
        <w:keepNext w:val="0"/>
        <w:keepLines w:val="0"/>
        <w:pageBreakBefore w:val="0"/>
        <w:widowControl w:val="0"/>
        <w:tabs>
          <w:tab w:val="left" w:pos="1374"/>
        </w:tabs>
        <w:kinsoku/>
        <w:wordWrap/>
        <w:overflowPunct/>
        <w:topLinePunct w:val="0"/>
        <w:autoSpaceDE/>
        <w:autoSpaceDN/>
        <w:bidi w:val="0"/>
        <w:adjustRightInd/>
        <w:snapToGrid/>
        <w:spacing w:line="360" w:lineRule="auto"/>
        <w:ind w:left="-105" w:firstLine="480" w:firstLineChars="200"/>
        <w:textAlignment w:val="auto"/>
        <w:outlineLvl w:val="9"/>
        <w:rPr>
          <w:rFonts w:hint="eastAsia"/>
          <w:color w:val="auto"/>
        </w:rPr>
      </w:pPr>
      <w:r>
        <w:rPr>
          <w:rFonts w:hint="eastAsia"/>
          <w:color w:val="auto"/>
        </w:rPr>
        <w:t>项目产生的</w:t>
      </w:r>
      <w:r>
        <w:rPr>
          <w:rFonts w:hint="eastAsia"/>
          <w:color w:val="auto"/>
          <w:lang w:val="en-US" w:eastAsia="zh-CN"/>
        </w:rPr>
        <w:t>生产废水（包括选矿废水和车间地面冲洗废水）</w:t>
      </w:r>
      <w:r>
        <w:rPr>
          <w:rFonts w:hint="eastAsia"/>
          <w:color w:val="auto"/>
        </w:rPr>
        <w:t>依托厂区内</w:t>
      </w:r>
      <w:r>
        <w:rPr>
          <w:rFonts w:hint="eastAsia"/>
          <w:color w:val="auto"/>
          <w:lang w:val="en-US" w:eastAsia="zh-CN"/>
        </w:rPr>
        <w:t>现有循环水池</w:t>
      </w:r>
      <w:r>
        <w:rPr>
          <w:rFonts w:hint="eastAsia"/>
          <w:color w:val="auto"/>
        </w:rPr>
        <w:t>，</w:t>
      </w:r>
      <w:r>
        <w:rPr>
          <w:rFonts w:hint="eastAsia"/>
          <w:color w:val="auto"/>
          <w:lang w:val="en-US" w:eastAsia="zh-CN"/>
        </w:rPr>
        <w:t>单池容积</w:t>
      </w:r>
      <w:r>
        <w:rPr>
          <w:rFonts w:hint="eastAsia"/>
          <w:color w:val="auto"/>
          <w:highlight w:val="none"/>
          <w:lang w:val="en-US" w:eastAsia="zh-CN"/>
        </w:rPr>
        <w:t>为1000m</w:t>
      </w:r>
      <w:r>
        <w:rPr>
          <w:rFonts w:hint="eastAsia"/>
          <w:color w:val="auto"/>
          <w:highlight w:val="none"/>
          <w:vertAlign w:val="superscript"/>
          <w:lang w:val="en-US" w:eastAsia="zh-CN"/>
        </w:rPr>
        <w:t>3</w:t>
      </w:r>
      <w:r>
        <w:rPr>
          <w:rFonts w:hint="eastAsia"/>
          <w:color w:val="auto"/>
          <w:highlight w:val="none"/>
          <w:lang w:val="en-US" w:eastAsia="zh-CN"/>
        </w:rPr>
        <w:t>，共2座，本项目循环水日产量为1804.115t/d</w:t>
      </w:r>
      <w:r>
        <w:rPr>
          <w:rFonts w:hint="eastAsia"/>
          <w:color w:val="auto"/>
          <w:highlight w:val="none"/>
        </w:rPr>
        <w:t>，</w:t>
      </w:r>
      <w:r>
        <w:rPr>
          <w:rFonts w:hint="eastAsia"/>
          <w:color w:val="auto"/>
          <w:highlight w:val="none"/>
          <w:lang w:val="en-US" w:eastAsia="zh-CN"/>
        </w:rPr>
        <w:t>循环水池容积能够满足当天的选矿废水储存容量，因此，现有循环水池容</w:t>
      </w:r>
      <w:r>
        <w:rPr>
          <w:rFonts w:hint="eastAsia"/>
          <w:color w:val="auto"/>
          <w:lang w:val="en-US" w:eastAsia="zh-CN"/>
        </w:rPr>
        <w:t>积</w:t>
      </w:r>
      <w:r>
        <w:rPr>
          <w:rFonts w:hint="eastAsia"/>
          <w:color w:val="auto"/>
        </w:rPr>
        <w:t>能够满足</w:t>
      </w:r>
      <w:r>
        <w:rPr>
          <w:rFonts w:hint="eastAsia"/>
          <w:color w:val="auto"/>
          <w:lang w:eastAsia="zh-CN"/>
        </w:rPr>
        <w:t>本次改扩建项目</w:t>
      </w:r>
      <w:r>
        <w:rPr>
          <w:rFonts w:hint="eastAsia"/>
          <w:color w:val="auto"/>
        </w:rPr>
        <w:t>对</w:t>
      </w:r>
      <w:r>
        <w:rPr>
          <w:rFonts w:hint="eastAsia"/>
          <w:color w:val="auto"/>
          <w:lang w:val="en-US" w:eastAsia="zh-CN"/>
        </w:rPr>
        <w:t>循环水储存</w:t>
      </w:r>
      <w:r>
        <w:rPr>
          <w:rFonts w:hint="eastAsia"/>
          <w:color w:val="auto"/>
        </w:rPr>
        <w:t>的需求。</w:t>
      </w:r>
    </w:p>
    <w:p w14:paraId="0CCBEFF4">
      <w:pPr>
        <w:pStyle w:val="509"/>
        <w:keepNext w:val="0"/>
        <w:keepLines w:val="0"/>
        <w:pageBreakBefore w:val="0"/>
        <w:widowControl w:val="0"/>
        <w:tabs>
          <w:tab w:val="left" w:pos="1374"/>
        </w:tabs>
        <w:kinsoku/>
        <w:wordWrap/>
        <w:overflowPunct/>
        <w:topLinePunct w:val="0"/>
        <w:autoSpaceDE/>
        <w:autoSpaceDN/>
        <w:bidi w:val="0"/>
        <w:adjustRightInd/>
        <w:snapToGrid/>
        <w:spacing w:line="360" w:lineRule="auto"/>
        <w:ind w:left="-105" w:firstLine="480" w:firstLineChars="200"/>
        <w:textAlignment w:val="auto"/>
        <w:outlineLvl w:val="9"/>
        <w:rPr>
          <w:rFonts w:hint="eastAsia"/>
          <w:color w:val="auto"/>
        </w:rPr>
      </w:pPr>
      <w:r>
        <w:rPr>
          <w:rFonts w:hint="eastAsia"/>
          <w:color w:val="auto"/>
        </w:rPr>
        <w:t>综上，</w:t>
      </w:r>
      <w:r>
        <w:rPr>
          <w:rFonts w:hint="eastAsia"/>
          <w:color w:val="auto"/>
          <w:lang w:eastAsia="zh-CN"/>
        </w:rPr>
        <w:t>本项目</w:t>
      </w:r>
      <w:r>
        <w:rPr>
          <w:rFonts w:hint="eastAsia"/>
          <w:color w:val="auto"/>
        </w:rPr>
        <w:t>水污染控制和水环境影响减缓措施有效。</w:t>
      </w:r>
    </w:p>
    <w:p w14:paraId="23353F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lang w:val="en-US" w:eastAsia="zh-CN"/>
        </w:rPr>
      </w:pPr>
      <w:r>
        <w:rPr>
          <w:rFonts w:hint="eastAsia"/>
          <w:b/>
          <w:bCs/>
          <w:color w:val="auto"/>
          <w:sz w:val="24"/>
          <w:szCs w:val="24"/>
          <w:lang w:val="en-US" w:eastAsia="zh-CN"/>
        </w:rPr>
        <w:t>5.2.2.4事故情况下地表水环境影响分析</w:t>
      </w:r>
    </w:p>
    <w:p w14:paraId="6F429591">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本项目可能发生的事故情况有以下情形，即</w:t>
      </w:r>
      <w:r>
        <w:rPr>
          <w:rFonts w:hint="eastAsia" w:eastAsia="宋体" w:cs="Times New Roman"/>
          <w:color w:val="auto"/>
          <w:lang w:val="en-US" w:eastAsia="zh-CN"/>
        </w:rPr>
        <w:t>生产废水</w:t>
      </w:r>
      <w:r>
        <w:rPr>
          <w:rFonts w:hint="default" w:ascii="Times New Roman" w:hAnsi="Times New Roman" w:eastAsia="宋体" w:cs="Times New Roman"/>
          <w:color w:val="auto"/>
        </w:rPr>
        <w:t>输送管道跑、冒、滴、漏、甚至破裂。</w:t>
      </w:r>
    </w:p>
    <w:p w14:paraId="2D28768A">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为控制事故情况</w:t>
      </w:r>
      <w:r>
        <w:rPr>
          <w:rFonts w:hint="eastAsia" w:eastAsia="宋体" w:cs="Times New Roman"/>
          <w:color w:val="auto"/>
          <w:lang w:val="en-US" w:eastAsia="zh-CN"/>
        </w:rPr>
        <w:t>生产</w:t>
      </w:r>
      <w:r>
        <w:rPr>
          <w:rFonts w:hint="default" w:ascii="Times New Roman" w:hAnsi="Times New Roman" w:eastAsia="宋体" w:cs="Times New Roman"/>
          <w:color w:val="auto"/>
        </w:rPr>
        <w:t>废水跑冒造成地表水污染，设计主要采取以下措施：</w:t>
      </w:r>
    </w:p>
    <w:p w14:paraId="46BD25AD">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GB"/>
        </w:rPr>
        <w:t>（</w:t>
      </w:r>
      <w:r>
        <w:rPr>
          <w:rFonts w:hint="eastAsia" w:eastAsia="宋体" w:cs="Times New Roman"/>
          <w:color w:val="auto"/>
          <w:lang w:val="en-US" w:eastAsia="zh-CN"/>
        </w:rPr>
        <w:t>1</w:t>
      </w:r>
      <w:r>
        <w:rPr>
          <w:rFonts w:hint="default" w:ascii="Times New Roman" w:hAnsi="Times New Roman" w:eastAsia="宋体" w:cs="Times New Roman"/>
          <w:color w:val="auto"/>
          <w:lang w:val="en-GB"/>
        </w:rPr>
        <w:t>）</w:t>
      </w:r>
      <w:r>
        <w:rPr>
          <w:rFonts w:hint="default" w:ascii="Times New Roman" w:hAnsi="Times New Roman" w:eastAsia="宋体" w:cs="Times New Roman"/>
          <w:color w:val="auto"/>
        </w:rPr>
        <w:t>为避免输送管道跑冒滴漏，选择质量良好的耐磨复合钢管作为输送管道。管理上应安排专人定期沿线巡逻，发现问题及时尽早解决。</w:t>
      </w:r>
    </w:p>
    <w:p w14:paraId="1D89AB53">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color w:val="auto"/>
          <w:lang w:val="en-GB"/>
        </w:rPr>
      </w:pPr>
      <w:r>
        <w:rPr>
          <w:rFonts w:hint="default" w:ascii="Times New Roman" w:hAnsi="Times New Roman" w:eastAsia="宋体" w:cs="Times New Roman"/>
          <w:color w:val="auto"/>
        </w:rPr>
        <w:t>（</w:t>
      </w:r>
      <w:r>
        <w:rPr>
          <w:rFonts w:hint="eastAsia" w:eastAsia="宋体" w:cs="Times New Roman"/>
          <w:color w:val="auto"/>
          <w:lang w:val="en-US" w:eastAsia="zh-CN"/>
        </w:rPr>
        <w:t>2</w:t>
      </w:r>
      <w:r>
        <w:rPr>
          <w:rFonts w:hint="default" w:ascii="Times New Roman" w:hAnsi="Times New Roman" w:eastAsia="宋体" w:cs="Times New Roman"/>
          <w:color w:val="auto"/>
        </w:rPr>
        <w:t>）事故情况应及时维修设施，必要时停产或减能，确保事故情况下不外溢。</w:t>
      </w:r>
    </w:p>
    <w:p w14:paraId="6D6D0B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lang w:val="en-US" w:eastAsia="zh-CN"/>
        </w:rPr>
      </w:pPr>
      <w:r>
        <w:rPr>
          <w:rFonts w:hint="eastAsia"/>
          <w:b/>
          <w:bCs/>
          <w:color w:val="auto"/>
          <w:sz w:val="24"/>
          <w:szCs w:val="24"/>
          <w:lang w:val="en-US" w:eastAsia="zh-CN"/>
        </w:rPr>
        <w:t>5.2.2.5地表水环境影响评价结论</w:t>
      </w:r>
    </w:p>
    <w:p w14:paraId="1364FF53">
      <w:pPr>
        <w:pStyle w:val="509"/>
        <w:keepNext w:val="0"/>
        <w:keepLines w:val="0"/>
        <w:pageBreakBefore w:val="0"/>
        <w:widowControl w:val="0"/>
        <w:tabs>
          <w:tab w:val="left" w:pos="1374"/>
        </w:tabs>
        <w:kinsoku/>
        <w:wordWrap/>
        <w:overflowPunct/>
        <w:topLinePunct w:val="0"/>
        <w:autoSpaceDE/>
        <w:autoSpaceDN/>
        <w:bidi w:val="0"/>
        <w:adjustRightInd/>
        <w:snapToGrid/>
        <w:ind w:left="-105" w:firstLine="480" w:firstLineChars="200"/>
        <w:textAlignment w:val="auto"/>
        <w:outlineLvl w:val="9"/>
        <w:rPr>
          <w:color w:val="auto"/>
        </w:rPr>
      </w:pPr>
      <w:r>
        <w:rPr>
          <w:rFonts w:hint="eastAsia"/>
          <w:color w:val="auto"/>
          <w:lang w:eastAsia="zh-CN"/>
        </w:rPr>
        <w:t>根据《环境影响评价技术导则</w:t>
      </w:r>
      <w:r>
        <w:rPr>
          <w:rFonts w:hint="eastAsia"/>
          <w:color w:val="auto"/>
          <w:lang w:val="en-US" w:eastAsia="zh-CN"/>
        </w:rPr>
        <w:t xml:space="preserve"> 地表水环境</w:t>
      </w:r>
      <w:r>
        <w:rPr>
          <w:rFonts w:hint="eastAsia"/>
          <w:color w:val="auto"/>
          <w:lang w:eastAsia="zh-CN"/>
        </w:rPr>
        <w:t>》（</w:t>
      </w:r>
      <w:r>
        <w:rPr>
          <w:rFonts w:hint="eastAsia"/>
          <w:color w:val="auto"/>
          <w:lang w:val="en-US" w:eastAsia="zh-CN"/>
        </w:rPr>
        <w:t>HJ2.3-2018</w:t>
      </w:r>
      <w:r>
        <w:rPr>
          <w:rFonts w:hint="eastAsia"/>
          <w:color w:val="auto"/>
          <w:lang w:eastAsia="zh-CN"/>
        </w:rPr>
        <w:t>）中要求：厂区内有充足的事故废水收集措施，因此</w:t>
      </w:r>
      <w:r>
        <w:rPr>
          <w:rFonts w:hint="eastAsia"/>
          <w:color w:val="auto"/>
          <w:lang w:val="en-US" w:eastAsia="zh-CN"/>
        </w:rPr>
        <w:t>无</w:t>
      </w:r>
      <w:r>
        <w:rPr>
          <w:rFonts w:hint="eastAsia"/>
          <w:color w:val="auto"/>
          <w:lang w:eastAsia="zh-CN"/>
        </w:rPr>
        <w:t>需对非正常情形下的污染物排放及影响进行分析预测；</w:t>
      </w:r>
      <w:r>
        <w:rPr>
          <w:rFonts w:hint="eastAsia"/>
          <w:color w:val="auto"/>
          <w:lang w:val="en-US" w:eastAsia="zh-CN"/>
        </w:rPr>
        <w:t>本项目生产废水依托现有循环水池储存，生产废水全部循环使用</w:t>
      </w:r>
      <w:r>
        <w:rPr>
          <w:color w:val="auto"/>
        </w:rPr>
        <w:t>，项目拟采取的水污染控制措施合理、有效，因此项目对地表水环境影响较小。项目的生产运行</w:t>
      </w:r>
      <w:r>
        <w:rPr>
          <w:rFonts w:hint="eastAsia"/>
          <w:color w:val="auto"/>
        </w:rPr>
        <w:t>对</w:t>
      </w:r>
      <w:r>
        <w:rPr>
          <w:color w:val="auto"/>
        </w:rPr>
        <w:t>地表水环境影响可接受。</w:t>
      </w:r>
    </w:p>
    <w:p w14:paraId="347485AC">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6E321524">
      <w:pPr>
        <w:pStyle w:val="5"/>
        <w:bidi w:val="0"/>
        <w:rPr>
          <w:rFonts w:hint="eastAsia"/>
          <w:lang w:val="en-US" w:eastAsia="zh-CN"/>
        </w:rPr>
      </w:pPr>
      <w:r>
        <w:rPr>
          <w:rFonts w:hint="eastAsia"/>
          <w:lang w:val="en-US" w:eastAsia="zh-CN"/>
        </w:rPr>
        <w:t>5.2.3声环境影响分析与评价</w:t>
      </w:r>
    </w:p>
    <w:p w14:paraId="4FE6FDED">
      <w:pPr>
        <w:spacing w:line="360" w:lineRule="auto"/>
        <w:ind w:firstLine="480" w:firstLineChars="200"/>
        <w:rPr>
          <w:color w:val="auto"/>
          <w:kern w:val="0"/>
          <w:sz w:val="24"/>
          <w:highlight w:val="none"/>
        </w:rPr>
      </w:pPr>
      <w:r>
        <w:rPr>
          <w:color w:val="auto"/>
          <w:kern w:val="0"/>
          <w:sz w:val="24"/>
          <w:highlight w:val="none"/>
        </w:rPr>
        <w:t>根据《环境影响评价技术导则</w:t>
      </w:r>
      <w:r>
        <w:rPr>
          <w:rFonts w:hint="eastAsia"/>
          <w:color w:val="auto"/>
          <w:kern w:val="0"/>
          <w:sz w:val="24"/>
          <w:highlight w:val="none"/>
          <w:lang w:val="en-US" w:eastAsia="zh-CN"/>
        </w:rPr>
        <w:t xml:space="preserve"> </w:t>
      </w:r>
      <w:r>
        <w:rPr>
          <w:color w:val="auto"/>
          <w:kern w:val="0"/>
          <w:sz w:val="24"/>
          <w:highlight w:val="none"/>
        </w:rPr>
        <w:t>声环境》（HJ2.4-20</w:t>
      </w:r>
      <w:r>
        <w:rPr>
          <w:rFonts w:hint="eastAsia"/>
          <w:color w:val="auto"/>
          <w:kern w:val="0"/>
          <w:sz w:val="24"/>
          <w:highlight w:val="none"/>
          <w:lang w:val="en-US" w:eastAsia="zh-CN"/>
        </w:rPr>
        <w:t>21</w:t>
      </w:r>
      <w:r>
        <w:rPr>
          <w:color w:val="auto"/>
          <w:kern w:val="0"/>
          <w:sz w:val="24"/>
          <w:highlight w:val="none"/>
        </w:rPr>
        <w:t>）中噪声环境影响评价工作等级划分的基本原则，</w:t>
      </w:r>
      <w:r>
        <w:rPr>
          <w:rFonts w:hint="eastAsia"/>
          <w:color w:val="auto"/>
          <w:sz w:val="24"/>
          <w:lang w:val="en-US" w:eastAsia="zh-CN"/>
        </w:rPr>
        <w:t>确定项目噪声环境影响评价工作等级为三级评价。</w:t>
      </w:r>
      <w:r>
        <w:rPr>
          <w:color w:val="auto"/>
          <w:kern w:val="0"/>
          <w:sz w:val="24"/>
          <w:highlight w:val="none"/>
        </w:rPr>
        <w:t>评价范围为项目厂界</w:t>
      </w:r>
      <w:r>
        <w:rPr>
          <w:rFonts w:hint="eastAsia"/>
          <w:color w:val="auto"/>
          <w:kern w:val="0"/>
          <w:sz w:val="24"/>
          <w:highlight w:val="none"/>
          <w:lang w:val="en-US" w:eastAsia="zh-CN"/>
        </w:rPr>
        <w:t>外扩</w:t>
      </w:r>
      <w:r>
        <w:rPr>
          <w:color w:val="auto"/>
          <w:kern w:val="0"/>
          <w:sz w:val="24"/>
          <w:highlight w:val="none"/>
        </w:rPr>
        <w:t>200m。</w:t>
      </w:r>
    </w:p>
    <w:p w14:paraId="2C67005E">
      <w:pPr>
        <w:spacing w:line="360" w:lineRule="auto"/>
        <w:ind w:firstLine="480" w:firstLineChars="200"/>
        <w:rPr>
          <w:color w:val="auto"/>
          <w:kern w:val="0"/>
          <w:sz w:val="24"/>
          <w:highlight w:val="none"/>
        </w:rPr>
      </w:pPr>
      <w:r>
        <w:rPr>
          <w:color w:val="auto"/>
          <w:kern w:val="0"/>
          <w:sz w:val="24"/>
          <w:highlight w:val="none"/>
        </w:rPr>
        <w:t>本次评价主要预测项目建成投产后厂界的</w:t>
      </w:r>
      <w:r>
        <w:rPr>
          <w:rFonts w:hint="eastAsia"/>
          <w:color w:val="auto"/>
          <w:kern w:val="0"/>
          <w:sz w:val="24"/>
          <w:highlight w:val="none"/>
          <w:lang w:val="en-US" w:eastAsia="zh-CN"/>
        </w:rPr>
        <w:t>噪声排放达标</w:t>
      </w:r>
      <w:r>
        <w:rPr>
          <w:color w:val="auto"/>
          <w:kern w:val="0"/>
          <w:sz w:val="24"/>
          <w:highlight w:val="none"/>
        </w:rPr>
        <w:t>情况，评价建设项目在运营期噪声的影响程度、影响范围，给出厂界噪声贡献值达标分析。</w:t>
      </w:r>
    </w:p>
    <w:p w14:paraId="535F79C8">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.1噪声源强统计</w:t>
      </w:r>
    </w:p>
    <w:p w14:paraId="627ADADD">
      <w:pPr>
        <w:spacing w:line="360" w:lineRule="auto"/>
        <w:ind w:firstLine="480" w:firstLineChars="200"/>
        <w:rPr>
          <w:rFonts w:hint="eastAsia" w:ascii="Times New Roman" w:hAnsi="Times New Roman" w:eastAsia="宋体" w:cs="Times New Roman"/>
          <w:color w:val="auto"/>
          <w:kern w:val="0"/>
          <w:sz w:val="24"/>
          <w:highlight w:val="none"/>
          <w:lang w:val="en-US" w:eastAsia="zh-CN"/>
        </w:rPr>
      </w:pPr>
      <w:r>
        <w:rPr>
          <w:rFonts w:hint="eastAsia"/>
          <w:color w:val="auto"/>
          <w:sz w:val="24"/>
        </w:rPr>
        <w:t>本项目噪声源主要来自</w:t>
      </w:r>
      <w:r>
        <w:rPr>
          <w:color w:val="auto"/>
          <w:sz w:val="24"/>
        </w:rPr>
        <w:t>破碎机</w:t>
      </w:r>
      <w:r>
        <w:rPr>
          <w:rFonts w:hint="eastAsia"/>
          <w:color w:val="auto"/>
          <w:sz w:val="24"/>
        </w:rPr>
        <w:t>、</w:t>
      </w:r>
      <w:r>
        <w:rPr>
          <w:color w:val="auto"/>
          <w:sz w:val="24"/>
        </w:rPr>
        <w:t>球磨机、</w:t>
      </w:r>
      <w:r>
        <w:rPr>
          <w:rFonts w:hint="eastAsia"/>
          <w:color w:val="auto"/>
          <w:sz w:val="24"/>
          <w:lang w:val="en-US" w:eastAsia="zh-CN"/>
        </w:rPr>
        <w:t>浮选机</w:t>
      </w:r>
      <w:r>
        <w:rPr>
          <w:color w:val="auto"/>
          <w:sz w:val="24"/>
        </w:rPr>
        <w:t>等生产机械设备运行时产生的噪声</w:t>
      </w:r>
      <w:r>
        <w:rPr>
          <w:rFonts w:hint="eastAsia"/>
          <w:color w:val="auto"/>
          <w:sz w:val="24"/>
        </w:rPr>
        <w:t>，</w:t>
      </w:r>
      <w:r>
        <w:rPr>
          <w:color w:val="auto"/>
          <w:sz w:val="24"/>
        </w:rPr>
        <w:t>大部分为固定设备。按声源性质划分，各设备可视为固定声源，且大部</w:t>
      </w:r>
      <w:r>
        <w:rPr>
          <w:color w:val="auto"/>
          <w:sz w:val="24"/>
          <w:highlight w:val="none"/>
        </w:rPr>
        <w:t>分属于连续声源，预测时可按点声源考虑</w:t>
      </w:r>
      <w:r>
        <w:rPr>
          <w:rFonts w:hint="eastAsia" w:ascii="Times New Roman" w:hAnsi="Times New Roman" w:eastAsia="宋体" w:cs="Times New Roman"/>
          <w:color w:val="auto"/>
          <w:kern w:val="0"/>
          <w:sz w:val="24"/>
          <w:highlight w:val="none"/>
          <w:lang w:val="en-US" w:eastAsia="zh-CN"/>
        </w:rPr>
        <w:t>。</w:t>
      </w:r>
    </w:p>
    <w:p w14:paraId="4B4BA0CC">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.2声环境保护目标调查</w:t>
      </w:r>
    </w:p>
    <w:p w14:paraId="15EDACB4">
      <w:pPr>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eastAsia" w:ascii="Times New Roman" w:hAnsi="Times New Roman" w:eastAsia="宋体" w:cs="Times New Roman"/>
          <w:color w:val="auto"/>
          <w:kern w:val="0"/>
          <w:sz w:val="24"/>
          <w:highlight w:val="none"/>
          <w:lang w:eastAsia="zh-CN"/>
        </w:rPr>
        <w:t>距离</w:t>
      </w:r>
      <w:r>
        <w:rPr>
          <w:rFonts w:hint="eastAsia" w:ascii="Times New Roman" w:hAnsi="Times New Roman" w:eastAsia="宋体" w:cs="Times New Roman"/>
          <w:color w:val="auto"/>
          <w:kern w:val="0"/>
          <w:sz w:val="24"/>
          <w:highlight w:val="none"/>
          <w:lang w:val="en-US" w:eastAsia="zh-CN"/>
        </w:rPr>
        <w:t>厂区200m范围内无声环境保护目标，最近的声环境保护目标为</w:t>
      </w:r>
      <w:r>
        <w:rPr>
          <w:rFonts w:hint="eastAsia" w:cs="Times New Roman"/>
          <w:color w:val="auto"/>
          <w:kern w:val="0"/>
          <w:sz w:val="24"/>
          <w:highlight w:val="none"/>
          <w:lang w:val="en-US" w:eastAsia="zh-CN"/>
        </w:rPr>
        <w:t>东</w:t>
      </w:r>
      <w:r>
        <w:rPr>
          <w:rFonts w:hint="eastAsia" w:ascii="Times New Roman" w:hAnsi="Times New Roman" w:eastAsia="宋体" w:cs="Times New Roman"/>
          <w:color w:val="auto"/>
          <w:kern w:val="0"/>
          <w:sz w:val="24"/>
          <w:highlight w:val="none"/>
          <w:lang w:val="en-US" w:eastAsia="zh-CN"/>
        </w:rPr>
        <w:t>侧</w:t>
      </w:r>
      <w:r>
        <w:rPr>
          <w:rFonts w:hint="eastAsia" w:cs="Times New Roman"/>
          <w:color w:val="auto"/>
          <w:kern w:val="0"/>
          <w:sz w:val="24"/>
          <w:highlight w:val="none"/>
          <w:lang w:val="en-US" w:eastAsia="zh-CN"/>
        </w:rPr>
        <w:t>734</w:t>
      </w:r>
      <w:r>
        <w:rPr>
          <w:rFonts w:hint="eastAsia" w:ascii="Times New Roman" w:hAnsi="Times New Roman" w:eastAsia="宋体" w:cs="Times New Roman"/>
          <w:color w:val="auto"/>
          <w:kern w:val="0"/>
          <w:sz w:val="24"/>
          <w:highlight w:val="none"/>
          <w:lang w:val="en-US" w:eastAsia="zh-CN"/>
        </w:rPr>
        <w:t>m的</w:t>
      </w:r>
      <w:r>
        <w:rPr>
          <w:rFonts w:hint="eastAsia" w:cs="Times New Roman"/>
          <w:color w:val="auto"/>
          <w:kern w:val="0"/>
          <w:sz w:val="24"/>
          <w:highlight w:val="none"/>
          <w:lang w:val="en-US" w:eastAsia="zh-CN"/>
        </w:rPr>
        <w:t>马场村</w:t>
      </w:r>
      <w:r>
        <w:rPr>
          <w:rFonts w:hint="eastAsia" w:ascii="Times New Roman" w:hAnsi="Times New Roman" w:eastAsia="宋体" w:cs="Times New Roman"/>
          <w:color w:val="auto"/>
          <w:kern w:val="0"/>
          <w:sz w:val="24"/>
          <w:highlight w:val="none"/>
          <w:lang w:val="en-US" w:eastAsia="zh-CN"/>
        </w:rPr>
        <w:t>，不在声环境影响评价范围内。</w:t>
      </w:r>
    </w:p>
    <w:p w14:paraId="3B815512">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评价方法与预测模式</w:t>
      </w:r>
    </w:p>
    <w:p w14:paraId="615871BB">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项目生产设备均位于封闭</w:t>
      </w:r>
      <w:r>
        <w:rPr>
          <w:rFonts w:hint="eastAsia" w:cs="Times New Roman"/>
          <w:color w:val="auto"/>
          <w:sz w:val="24"/>
          <w:lang w:val="en-US" w:eastAsia="zh-CN"/>
        </w:rPr>
        <w:t>建筑结构内</w:t>
      </w:r>
      <w:r>
        <w:rPr>
          <w:rFonts w:ascii="Times New Roman" w:hAnsi="Times New Roman" w:eastAsia="宋体" w:cs="Times New Roman"/>
          <w:color w:val="auto"/>
          <w:sz w:val="24"/>
        </w:rPr>
        <w:t>内，采用《环境影响评价技术导则</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声环境》(HJ2.4-2021)推荐的室内声源等效室外声源声功率级计算方法来计算车间内生产设备在各厂界处噪声的贡献值。预测模式如下：</w:t>
      </w:r>
    </w:p>
    <w:p w14:paraId="66AF6D94">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L</w:t>
      </w:r>
      <w:r>
        <w:rPr>
          <w:rFonts w:ascii="Times New Roman" w:hAnsi="Times New Roman" w:eastAsia="宋体" w:cs="Times New Roman"/>
          <w:color w:val="auto"/>
          <w:sz w:val="24"/>
          <w:vertAlign w:val="subscript"/>
        </w:rPr>
        <w:t>p2</w:t>
      </w:r>
      <w:r>
        <w:rPr>
          <w:rFonts w:ascii="Times New Roman" w:hAnsi="Times New Roman" w:eastAsia="宋体" w:cs="Times New Roman"/>
          <w:color w:val="auto"/>
          <w:sz w:val="24"/>
        </w:rPr>
        <w:t>=L</w:t>
      </w:r>
      <w:r>
        <w:rPr>
          <w:rFonts w:ascii="Times New Roman" w:hAnsi="Times New Roman" w:eastAsia="宋体" w:cs="Times New Roman"/>
          <w:color w:val="auto"/>
          <w:sz w:val="24"/>
          <w:vertAlign w:val="subscript"/>
        </w:rPr>
        <w:t>p1</w:t>
      </w:r>
      <w:r>
        <w:rPr>
          <w:rFonts w:ascii="Times New Roman" w:hAnsi="Times New Roman" w:eastAsia="宋体" w:cs="Times New Roman"/>
          <w:color w:val="auto"/>
          <w:sz w:val="24"/>
        </w:rPr>
        <w:t>–(TL+6)</w:t>
      </w:r>
    </w:p>
    <w:p w14:paraId="3EB36252">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式中：</w:t>
      </w:r>
    </w:p>
    <w:p w14:paraId="2FAC231E">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L</w:t>
      </w:r>
      <w:r>
        <w:rPr>
          <w:rFonts w:ascii="Times New Roman" w:hAnsi="Times New Roman" w:eastAsia="宋体" w:cs="Times New Roman"/>
          <w:color w:val="auto"/>
          <w:sz w:val="24"/>
          <w:vertAlign w:val="subscript"/>
        </w:rPr>
        <w:t>p1</w:t>
      </w:r>
      <w:r>
        <w:rPr>
          <w:rFonts w:ascii="Times New Roman" w:hAnsi="Times New Roman" w:eastAsia="宋体" w:cs="Times New Roman"/>
          <w:color w:val="auto"/>
          <w:sz w:val="24"/>
        </w:rPr>
        <w:t>—靠近围护结构处室内声源倍频带声压级，dB。</w:t>
      </w:r>
    </w:p>
    <w:p w14:paraId="250D2FAC">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L</w:t>
      </w:r>
      <w:r>
        <w:rPr>
          <w:rFonts w:ascii="Times New Roman" w:hAnsi="Times New Roman" w:eastAsia="宋体" w:cs="Times New Roman"/>
          <w:color w:val="auto"/>
          <w:sz w:val="24"/>
          <w:vertAlign w:val="subscript"/>
        </w:rPr>
        <w:t>p2</w:t>
      </w:r>
      <w:r>
        <w:rPr>
          <w:rFonts w:ascii="Times New Roman" w:hAnsi="Times New Roman" w:eastAsia="宋体" w:cs="Times New Roman"/>
          <w:color w:val="auto"/>
          <w:sz w:val="24"/>
        </w:rPr>
        <w:t>—靠近围护结构处等效室外倍频带的声压级，dB。</w:t>
      </w:r>
    </w:p>
    <w:p w14:paraId="092F979F">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T</w:t>
      </w:r>
      <w:r>
        <w:rPr>
          <w:rFonts w:ascii="Times New Roman" w:hAnsi="Times New Roman" w:eastAsia="宋体" w:cs="Times New Roman"/>
          <w:color w:val="auto"/>
          <w:sz w:val="24"/>
          <w:vertAlign w:val="subscript"/>
        </w:rPr>
        <w:t>L</w:t>
      </w:r>
      <w:r>
        <w:rPr>
          <w:rFonts w:ascii="Times New Roman" w:hAnsi="Times New Roman" w:eastAsia="宋体" w:cs="Times New Roman"/>
          <w:color w:val="auto"/>
          <w:sz w:val="24"/>
        </w:rPr>
        <w:t>—隔墙(或窗户)倍频带的隔声量，dB。</w:t>
      </w:r>
    </w:p>
    <w:p w14:paraId="63F5D1B9">
      <w:pPr>
        <w:spacing w:before="219" w:line="235" w:lineRule="auto"/>
        <w:ind w:left="516"/>
        <w:rPr>
          <w:rFonts w:ascii="Times New Roman" w:hAnsi="Times New Roman" w:eastAsia="Times New Roman" w:cs="Times New Roman"/>
          <w:color w:val="auto"/>
          <w:sz w:val="23"/>
          <w:szCs w:val="23"/>
        </w:rPr>
      </w:pPr>
      <w:r>
        <w:rPr>
          <w:rFonts w:ascii="Times New Roman" w:hAnsi="Times New Roman" w:eastAsia="Times New Roman" w:cs="Times New Roman"/>
          <w:i/>
          <w:iCs/>
          <w:color w:val="auto"/>
          <w:position w:val="1"/>
          <w:sz w:val="23"/>
          <w:szCs w:val="23"/>
        </w:rPr>
        <w:t>L</w:t>
      </w:r>
      <w:r>
        <w:rPr>
          <w:rFonts w:ascii="Times New Roman" w:hAnsi="Times New Roman" w:eastAsia="Times New Roman" w:cs="Times New Roman"/>
          <w:color w:val="auto"/>
          <w:position w:val="-4"/>
          <w:sz w:val="13"/>
          <w:szCs w:val="13"/>
        </w:rPr>
        <w:t>P</w:t>
      </w:r>
      <w:r>
        <w:rPr>
          <w:rFonts w:ascii="Times New Roman" w:hAnsi="Times New Roman" w:eastAsia="Times New Roman" w:cs="Times New Roman"/>
          <w:color w:val="auto"/>
          <w:spacing w:val="8"/>
          <w:position w:val="-4"/>
          <w:sz w:val="13"/>
          <w:szCs w:val="13"/>
        </w:rPr>
        <w:t>1</w:t>
      </w:r>
      <w:r>
        <w:rPr>
          <w:rFonts w:ascii="Times New Roman" w:hAnsi="Times New Roman" w:eastAsia="Times New Roman" w:cs="Times New Roman"/>
          <w:color w:val="auto"/>
          <w:spacing w:val="4"/>
          <w:position w:val="-4"/>
          <w:sz w:val="13"/>
          <w:szCs w:val="13"/>
        </w:rPr>
        <w:t xml:space="preserve">  </w:t>
      </w:r>
      <w:r>
        <w:rPr>
          <w:rFonts w:ascii="Symbol" w:hAnsi="Symbol" w:eastAsia="Symbol" w:cs="Symbol"/>
          <w:color w:val="auto"/>
          <w:spacing w:val="4"/>
          <w:position w:val="1"/>
          <w:sz w:val="23"/>
          <w:szCs w:val="23"/>
        </w:rPr>
        <w:t xml:space="preserve">= </w:t>
      </w:r>
      <w:r>
        <w:rPr>
          <w:rFonts w:ascii="Times New Roman" w:hAnsi="Times New Roman" w:eastAsia="Times New Roman" w:cs="Times New Roman"/>
          <w:i/>
          <w:iCs/>
          <w:color w:val="auto"/>
          <w:position w:val="1"/>
          <w:sz w:val="23"/>
          <w:szCs w:val="23"/>
        </w:rPr>
        <w:t>L</w:t>
      </w:r>
      <w:r>
        <w:rPr>
          <w:rFonts w:ascii="Times New Roman" w:hAnsi="Times New Roman" w:eastAsia="Times New Roman" w:cs="Times New Roman"/>
          <w:color w:val="auto"/>
          <w:position w:val="-5"/>
          <w:sz w:val="13"/>
          <w:szCs w:val="13"/>
        </w:rPr>
        <w:t>w</w:t>
      </w:r>
      <w:r>
        <w:rPr>
          <w:rFonts w:ascii="Times New Roman" w:hAnsi="Times New Roman" w:eastAsia="Times New Roman" w:cs="Times New Roman"/>
          <w:color w:val="auto"/>
          <w:spacing w:val="4"/>
          <w:position w:val="-5"/>
          <w:sz w:val="13"/>
          <w:szCs w:val="13"/>
        </w:rPr>
        <w:t xml:space="preserve"> 1  </w:t>
      </w:r>
      <w:r>
        <w:rPr>
          <w:rFonts w:ascii="Symbol" w:hAnsi="Symbol" w:eastAsia="Symbol" w:cs="Symbol"/>
          <w:color w:val="auto"/>
          <w:spacing w:val="4"/>
          <w:position w:val="1"/>
          <w:sz w:val="23"/>
          <w:szCs w:val="23"/>
        </w:rPr>
        <w:t xml:space="preserve">+ </w:t>
      </w:r>
      <w:r>
        <w:rPr>
          <w:rFonts w:ascii="Times New Roman" w:hAnsi="Times New Roman" w:eastAsia="Times New Roman" w:cs="Times New Roman"/>
          <w:color w:val="auto"/>
          <w:spacing w:val="4"/>
          <w:position w:val="1"/>
          <w:sz w:val="23"/>
          <w:szCs w:val="23"/>
        </w:rPr>
        <w:t>10</w:t>
      </w:r>
      <w:r>
        <w:rPr>
          <w:rFonts w:ascii="Times New Roman" w:hAnsi="Times New Roman" w:eastAsia="Times New Roman" w:cs="Times New Roman"/>
          <w:color w:val="auto"/>
          <w:position w:val="1"/>
          <w:sz w:val="23"/>
          <w:szCs w:val="23"/>
        </w:rPr>
        <w:t>lg</w:t>
      </w:r>
      <w:r>
        <w:rPr>
          <w:rFonts w:ascii="Times New Roman" w:hAnsi="Times New Roman" w:eastAsia="Times New Roman" w:cs="Times New Roman"/>
          <w:color w:val="auto"/>
          <w:spacing w:val="4"/>
          <w:position w:val="1"/>
          <w:sz w:val="23"/>
          <w:szCs w:val="23"/>
        </w:rPr>
        <w:t xml:space="preserve"> (</w:t>
      </w:r>
      <w:r>
        <w:rPr>
          <w:color w:val="auto"/>
          <w:position w:val="-24"/>
          <w:sz w:val="23"/>
          <w:szCs w:val="23"/>
        </w:rPr>
        <w:drawing>
          <wp:inline distT="0" distB="0" distL="114300" distR="114300">
            <wp:extent cx="320675" cy="359410"/>
            <wp:effectExtent l="0" t="0" r="9525" b="8890"/>
            <wp:docPr id="202" name="图片 5"/>
            <wp:cNvGraphicFramePr/>
            <a:graphic xmlns:a="http://schemas.openxmlformats.org/drawingml/2006/main">
              <a:graphicData uri="http://schemas.openxmlformats.org/drawingml/2006/picture">
                <pic:pic xmlns:pic="http://schemas.openxmlformats.org/drawingml/2006/picture">
                  <pic:nvPicPr>
                    <pic:cNvPr id="202" name="图片 5"/>
                    <pic:cNvPicPr/>
                  </pic:nvPicPr>
                  <pic:blipFill>
                    <a:blip r:embed="rId47"/>
                    <a:stretch>
                      <a:fillRect/>
                    </a:stretch>
                  </pic:blipFill>
                  <pic:spPr>
                    <a:xfrm>
                      <a:off x="0" y="0"/>
                      <a:ext cx="320675" cy="359410"/>
                    </a:xfrm>
                    <a:prstGeom prst="rect">
                      <a:avLst/>
                    </a:prstGeom>
                    <a:noFill/>
                    <a:ln>
                      <a:noFill/>
                    </a:ln>
                  </pic:spPr>
                </pic:pic>
              </a:graphicData>
            </a:graphic>
          </wp:inline>
        </w:drawing>
      </w:r>
      <w:r>
        <w:rPr>
          <w:rFonts w:ascii="Times New Roman" w:hAnsi="Times New Roman" w:eastAsia="Times New Roman" w:cs="Times New Roman"/>
          <w:color w:val="auto"/>
          <w:spacing w:val="4"/>
          <w:position w:val="1"/>
          <w:sz w:val="23"/>
          <w:szCs w:val="23"/>
        </w:rPr>
        <w:t xml:space="preserve"> </w:t>
      </w:r>
      <w:r>
        <w:rPr>
          <w:rFonts w:ascii="Symbol" w:hAnsi="Symbol" w:eastAsia="Symbol" w:cs="Symbol"/>
          <w:color w:val="auto"/>
          <w:spacing w:val="4"/>
          <w:position w:val="1"/>
          <w:sz w:val="23"/>
          <w:szCs w:val="23"/>
        </w:rPr>
        <w:t xml:space="preserve">+ </w:t>
      </w:r>
      <w:r>
        <w:rPr>
          <w:color w:val="auto"/>
          <w:position w:val="-17"/>
          <w:sz w:val="23"/>
          <w:szCs w:val="23"/>
        </w:rPr>
        <w:drawing>
          <wp:inline distT="0" distB="0" distL="114300" distR="114300">
            <wp:extent cx="125095" cy="318135"/>
            <wp:effectExtent l="0" t="0" r="1905" b="12065"/>
            <wp:docPr id="203" name="图片 6"/>
            <wp:cNvGraphicFramePr/>
            <a:graphic xmlns:a="http://schemas.openxmlformats.org/drawingml/2006/main">
              <a:graphicData uri="http://schemas.openxmlformats.org/drawingml/2006/picture">
                <pic:pic xmlns:pic="http://schemas.openxmlformats.org/drawingml/2006/picture">
                  <pic:nvPicPr>
                    <pic:cNvPr id="203" name="图片 6"/>
                    <pic:cNvPicPr/>
                  </pic:nvPicPr>
                  <pic:blipFill>
                    <a:blip r:embed="rId48"/>
                    <a:stretch>
                      <a:fillRect/>
                    </a:stretch>
                  </pic:blipFill>
                  <pic:spPr>
                    <a:xfrm>
                      <a:off x="0" y="0"/>
                      <a:ext cx="125095" cy="318135"/>
                    </a:xfrm>
                    <a:prstGeom prst="rect">
                      <a:avLst/>
                    </a:prstGeom>
                    <a:noFill/>
                    <a:ln>
                      <a:noFill/>
                    </a:ln>
                  </pic:spPr>
                </pic:pic>
              </a:graphicData>
            </a:graphic>
          </wp:inline>
        </w:drawing>
      </w:r>
      <w:r>
        <w:rPr>
          <w:rFonts w:ascii="Times New Roman" w:hAnsi="Times New Roman" w:eastAsia="Times New Roman" w:cs="Times New Roman"/>
          <w:color w:val="auto"/>
          <w:spacing w:val="4"/>
          <w:position w:val="1"/>
          <w:sz w:val="23"/>
          <w:szCs w:val="23"/>
        </w:rPr>
        <w:t>)</w:t>
      </w:r>
    </w:p>
    <w:p w14:paraId="21FB8178">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式中：Q—指向性因数，通常对无指向性声源。当声源放在房间内中心时，Q=1；当放在一面墙的中心时，Q=2；当放在两面墙夹角处时，Q=4，当放在三面墙夹角处时，Q=</w:t>
      </w:r>
      <w:r>
        <w:rPr>
          <w:rFonts w:hint="eastAsia" w:ascii="Times New Roman" w:hAnsi="Times New Roman" w:eastAsia="宋体" w:cs="Times New Roman"/>
          <w:color w:val="auto"/>
          <w:sz w:val="24"/>
          <w:lang w:val="en-US" w:eastAsia="zh-CN"/>
        </w:rPr>
        <w:t>8</w:t>
      </w:r>
      <w:r>
        <w:rPr>
          <w:rFonts w:ascii="Times New Roman" w:hAnsi="Times New Roman" w:eastAsia="宋体" w:cs="Times New Roman"/>
          <w:color w:val="auto"/>
          <w:sz w:val="24"/>
        </w:rPr>
        <w:t>。</w:t>
      </w:r>
    </w:p>
    <w:p w14:paraId="527B3D82">
      <w:pPr>
        <w:spacing w:line="360" w:lineRule="auto"/>
        <w:ind w:left="481" w:leftChars="220" w:hanging="19" w:hangingChars="8"/>
        <w:jc w:val="left"/>
        <w:rPr>
          <w:rFonts w:ascii="Times New Roman" w:hAnsi="Times New Roman" w:eastAsia="宋体" w:cs="Times New Roman"/>
          <w:color w:val="auto"/>
          <w:sz w:val="24"/>
        </w:rPr>
      </w:pPr>
      <w:r>
        <w:rPr>
          <w:rFonts w:ascii="Times New Roman" w:hAnsi="Times New Roman" w:eastAsia="宋体" w:cs="Times New Roman"/>
          <w:color w:val="auto"/>
          <w:sz w:val="24"/>
        </w:rPr>
        <w:t>R—房间常数，R=Sα/(1-α)，S为房间内表面面积，m</w:t>
      </w:r>
      <w:r>
        <w:rPr>
          <w:rFonts w:ascii="Times New Roman" w:hAnsi="Times New Roman" w:eastAsia="宋体" w:cs="Times New Roman"/>
          <w:color w:val="auto"/>
          <w:sz w:val="24"/>
          <w:vertAlign w:val="superscript"/>
        </w:rPr>
        <w:t>2</w:t>
      </w:r>
      <w:r>
        <w:rPr>
          <w:rFonts w:ascii="Times New Roman" w:hAnsi="Times New Roman" w:eastAsia="宋体" w:cs="Times New Roman"/>
          <w:color w:val="auto"/>
          <w:sz w:val="24"/>
        </w:rPr>
        <w:t>，α为平均吸声系数。r—声源到靠近围护结构某点处的距离，m。</w:t>
      </w:r>
    </w:p>
    <w:p w14:paraId="28076391">
      <w:pPr>
        <w:spacing w:line="360" w:lineRule="auto"/>
        <w:ind w:left="-17" w:leftChars="-8" w:firstLine="403"/>
        <w:jc w:val="left"/>
        <w:rPr>
          <w:rFonts w:ascii="Times New Roman" w:hAnsi="Times New Roman" w:eastAsia="宋体" w:cs="Times New Roman"/>
          <w:color w:val="auto"/>
          <w:sz w:val="24"/>
        </w:rPr>
      </w:pPr>
      <w:r>
        <w:rPr>
          <w:rFonts w:ascii="Times New Roman" w:hAnsi="Times New Roman" w:eastAsia="宋体" w:cs="Times New Roman"/>
          <w:color w:val="auto"/>
          <w:sz w:val="24"/>
        </w:rPr>
        <w:t>(2)噪声贡献值计算结果</w:t>
      </w:r>
    </w:p>
    <w:p w14:paraId="7492752A">
      <w:pPr>
        <w:spacing w:line="360" w:lineRule="auto"/>
        <w:ind w:left="-17" w:leftChars="-8" w:firstLine="403"/>
        <w:jc w:val="left"/>
        <w:rPr>
          <w:rFonts w:ascii="Times New Roman" w:hAnsi="Times New Roman" w:eastAsia="宋体" w:cs="Times New Roman"/>
          <w:color w:val="auto"/>
          <w:sz w:val="24"/>
        </w:rPr>
      </w:pPr>
      <w:r>
        <w:rPr>
          <w:color w:val="auto"/>
        </w:rPr>
        <mc:AlternateContent>
          <mc:Choice Requires="wps">
            <w:drawing>
              <wp:anchor distT="0" distB="0" distL="114300" distR="114300" simplePos="0" relativeHeight="251669504" behindDoc="0" locked="0" layoutInCell="1" allowOverlap="1">
                <wp:simplePos x="0" y="0"/>
                <wp:positionH relativeFrom="column">
                  <wp:posOffset>2093595</wp:posOffset>
                </wp:positionH>
                <wp:positionV relativeFrom="paragraph">
                  <wp:posOffset>527050</wp:posOffset>
                </wp:positionV>
                <wp:extent cx="322580" cy="230505"/>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322580" cy="230505"/>
                        </a:xfrm>
                        <a:prstGeom prst="rect">
                          <a:avLst/>
                        </a:prstGeom>
                        <a:noFill/>
                        <a:ln>
                          <a:noFill/>
                        </a:ln>
                      </wps:spPr>
                      <wps:txbx>
                        <w:txbxContent>
                          <w:p w14:paraId="4DEC5764">
                            <w:pPr>
                              <w:spacing w:before="20"/>
                              <w:ind w:left="20"/>
                              <w:rPr>
                                <w:rFonts w:hint="default" w:ascii="Symbol" w:hAnsi="Symbol" w:eastAsia="宋体" w:cs="Symbol"/>
                                <w:sz w:val="27"/>
                                <w:szCs w:val="27"/>
                                <w:lang w:val="en-US" w:eastAsia="zh-CN"/>
                              </w:rPr>
                            </w:pPr>
                            <w:r>
                              <w:rPr>
                                <w:rFonts w:hint="eastAsia" w:ascii="Times New Roman" w:hAnsi="Times New Roman" w:eastAsia="宋体" w:cs="Times New Roman"/>
                                <w:spacing w:val="1"/>
                                <w:sz w:val="16"/>
                                <w:szCs w:val="16"/>
                                <w:lang w:val="en-US" w:eastAsia="zh-CN"/>
                              </w:rPr>
                              <w:t>n</w:t>
                            </w:r>
                          </w:p>
                        </w:txbxContent>
                      </wps:txbx>
                      <wps:bodyPr lIns="0" tIns="0" rIns="0" bIns="0" upright="1"/>
                    </wps:wsp>
                  </a:graphicData>
                </a:graphic>
              </wp:anchor>
            </w:drawing>
          </mc:Choice>
          <mc:Fallback>
            <w:pict>
              <v:shape id="_x0000_s1026" o:spid="_x0000_s1026" o:spt="202" type="#_x0000_t202" style="position:absolute;left:0pt;margin-left:164.85pt;margin-top:41.5pt;height:18.15pt;width:25.4pt;z-index:251669504;mso-width-relative:page;mso-height-relative:page;" filled="f" stroked="f" coordsize="21600,21600" o:gfxdata="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uIAdkAAAAKAQAADwAAAAAAAAABACAAAAAiAAAAZHJzL2Rvd25yZXYueG1sUEsB&#10;AhQAFAAAAAgAh07iQEgeUJu7AQAAdQMAAA4AAAAAAAAAAQAgAAAAKAEAAGRycy9lMm9Eb2MueG1s&#10;UEsFBgAAAAAGAAYAWQEAAFUFAAAAAA==&#10;">
                <v:fill on="f" focussize="0,0"/>
                <v:stroke on="f"/>
                <v:imagedata o:title=""/>
                <o:lock v:ext="edit" aspectratio="f"/>
                <v:textbox inset="0mm,0mm,0mm,0mm">
                  <w:txbxContent>
                    <w:p w14:paraId="4DEC5764">
                      <w:pPr>
                        <w:spacing w:before="20"/>
                        <w:ind w:left="20"/>
                        <w:rPr>
                          <w:rFonts w:hint="default" w:ascii="Symbol" w:hAnsi="Symbol" w:eastAsia="宋体" w:cs="Symbol"/>
                          <w:sz w:val="27"/>
                          <w:szCs w:val="27"/>
                          <w:lang w:val="en-US" w:eastAsia="zh-CN"/>
                        </w:rPr>
                      </w:pPr>
                      <w:r>
                        <w:rPr>
                          <w:rFonts w:hint="eastAsia" w:ascii="Times New Roman" w:hAnsi="Times New Roman" w:eastAsia="宋体" w:cs="Times New Roman"/>
                          <w:spacing w:val="1"/>
                          <w:sz w:val="16"/>
                          <w:szCs w:val="16"/>
                          <w:lang w:val="en-US" w:eastAsia="zh-CN"/>
                        </w:rPr>
                        <w:t>n</w:t>
                      </w:r>
                    </w:p>
                  </w:txbxContent>
                </v:textbox>
              </v:shape>
            </w:pict>
          </mc:Fallback>
        </mc:AlternateContent>
      </w:r>
      <w:r>
        <w:rPr>
          <w:rFonts w:ascii="Times New Roman" w:hAnsi="Times New Roman" w:eastAsia="宋体" w:cs="Times New Roman"/>
          <w:color w:val="auto"/>
          <w:sz w:val="24"/>
        </w:rPr>
        <w:t>通过以上公式计算出车间内各生产设备在厂界处的噪声贡献值后，由于噪声源有多个，因此，需要将各厂界处的噪声贡献值进行叠加，采用如下公式：</w:t>
      </w:r>
    </w:p>
    <w:p w14:paraId="647AAC4A">
      <w:pPr>
        <w:spacing w:before="17" w:line="240" w:lineRule="auto"/>
        <w:ind w:left="908"/>
        <w:rPr>
          <w:rFonts w:ascii="Symbol" w:hAnsi="Symbol" w:eastAsia="Symbol" w:cs="Symbol"/>
          <w:color w:val="auto"/>
          <w:sz w:val="27"/>
          <w:szCs w:val="27"/>
        </w:rPr>
      </w:pPr>
      <w:r>
        <w:rPr>
          <w:color w:val="auto"/>
        </w:rPr>
        <mc:AlternateContent>
          <mc:Choice Requires="wps">
            <w:drawing>
              <wp:anchor distT="0" distB="0" distL="114300" distR="114300" simplePos="0" relativeHeight="251668480" behindDoc="0" locked="0" layoutInCell="1" allowOverlap="1">
                <wp:simplePos x="0" y="0"/>
                <wp:positionH relativeFrom="column">
                  <wp:posOffset>2027555</wp:posOffset>
                </wp:positionH>
                <wp:positionV relativeFrom="paragraph">
                  <wp:posOffset>304165</wp:posOffset>
                </wp:positionV>
                <wp:extent cx="322580" cy="230505"/>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322580" cy="230505"/>
                        </a:xfrm>
                        <a:prstGeom prst="rect">
                          <a:avLst/>
                        </a:prstGeom>
                        <a:noFill/>
                        <a:ln>
                          <a:noFill/>
                        </a:ln>
                      </wps:spPr>
                      <wps:txbx>
                        <w:txbxContent>
                          <w:p w14:paraId="2703A3BD">
                            <w:pPr>
                              <w:spacing w:before="20"/>
                              <w:ind w:left="20"/>
                              <w:rPr>
                                <w:rFonts w:ascii="Symbol" w:hAnsi="Symbol" w:eastAsia="Symbol" w:cs="Symbol"/>
                                <w:sz w:val="27"/>
                                <w:szCs w:val="27"/>
                              </w:rPr>
                            </w:pPr>
                            <w:r>
                              <w:rPr>
                                <w:rFonts w:ascii="Times New Roman" w:hAnsi="Times New Roman" w:eastAsia="Times New Roman" w:cs="Times New Roman"/>
                                <w:spacing w:val="1"/>
                                <w:sz w:val="16"/>
                                <w:szCs w:val="16"/>
                              </w:rPr>
                              <w:t xml:space="preserve"> </w:t>
                            </w:r>
                            <w:r>
                              <w:rPr>
                                <w:rFonts w:ascii="Times New Roman" w:hAnsi="Times New Roman" w:eastAsia="Times New Roman" w:cs="Times New Roman"/>
                                <w:i/>
                                <w:iCs/>
                                <w:sz w:val="16"/>
                                <w:szCs w:val="16"/>
                              </w:rPr>
                              <w:t>i</w:t>
                            </w:r>
                            <w:r>
                              <w:rPr>
                                <w:rFonts w:ascii="Times New Roman" w:hAnsi="Times New Roman" w:eastAsia="Times New Roman" w:cs="Times New Roman"/>
                                <w:spacing w:val="1"/>
                                <w:sz w:val="16"/>
                                <w:szCs w:val="16"/>
                              </w:rPr>
                              <w:t xml:space="preserve"> </w:t>
                            </w:r>
                            <w:r>
                              <w:rPr>
                                <w:rFonts w:ascii="Symbol" w:hAnsi="Symbol" w:eastAsia="Symbol" w:cs="Symbol"/>
                                <w:spacing w:val="1"/>
                                <w:sz w:val="16"/>
                                <w:szCs w:val="16"/>
                              </w:rPr>
                              <w:t>=</w:t>
                            </w:r>
                            <w:r>
                              <w:rPr>
                                <w:rFonts w:ascii="Times New Roman" w:hAnsi="Times New Roman" w:eastAsia="Times New Roman" w:cs="Times New Roman"/>
                                <w:spacing w:val="1"/>
                                <w:sz w:val="16"/>
                                <w:szCs w:val="16"/>
                              </w:rPr>
                              <w:t>1</w:t>
                            </w:r>
                          </w:p>
                        </w:txbxContent>
                      </wps:txbx>
                      <wps:bodyPr lIns="0" tIns="0" rIns="0" bIns="0" upright="1"/>
                    </wps:wsp>
                  </a:graphicData>
                </a:graphic>
              </wp:anchor>
            </w:drawing>
          </mc:Choice>
          <mc:Fallback>
            <w:pict>
              <v:shape id="_x0000_s1026" o:spid="_x0000_s1026" o:spt="202" type="#_x0000_t202" style="position:absolute;left:0pt;margin-left:159.65pt;margin-top:23.95pt;height:18.15pt;width:25.4pt;z-index:251668480;mso-width-relative:page;mso-height-relative:page;" filled="f" stroked="f" coordsize="21600,21600" o:gfxdata="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SOPGNkAAAAJAQAADwAAAAAAAAABACAAAAAiAAAAZHJzL2Rvd25yZXYueG1sUEsB&#10;AhQAFAAAAAgAh07iQMGvGb27AQAAdQMAAA4AAAAAAAAAAQAgAAAAKAEAAGRycy9lMm9Eb2MueG1s&#10;UEsFBgAAAAAGAAYAWQEAAFUFAAAAAA==&#10;">
                <v:fill on="f" focussize="0,0"/>
                <v:stroke on="f"/>
                <v:imagedata o:title=""/>
                <o:lock v:ext="edit" aspectratio="f"/>
                <v:textbox inset="0mm,0mm,0mm,0mm">
                  <w:txbxContent>
                    <w:p w14:paraId="2703A3BD">
                      <w:pPr>
                        <w:spacing w:before="20"/>
                        <w:ind w:left="20"/>
                        <w:rPr>
                          <w:rFonts w:ascii="Symbol" w:hAnsi="Symbol" w:eastAsia="Symbol" w:cs="Symbol"/>
                          <w:sz w:val="27"/>
                          <w:szCs w:val="27"/>
                        </w:rPr>
                      </w:pPr>
                      <w:r>
                        <w:rPr>
                          <w:rFonts w:ascii="Times New Roman" w:hAnsi="Times New Roman" w:eastAsia="Times New Roman" w:cs="Times New Roman"/>
                          <w:spacing w:val="1"/>
                          <w:sz w:val="16"/>
                          <w:szCs w:val="16"/>
                        </w:rPr>
                        <w:t xml:space="preserve"> </w:t>
                      </w:r>
                      <w:r>
                        <w:rPr>
                          <w:rFonts w:ascii="Times New Roman" w:hAnsi="Times New Roman" w:eastAsia="Times New Roman" w:cs="Times New Roman"/>
                          <w:i/>
                          <w:iCs/>
                          <w:sz w:val="16"/>
                          <w:szCs w:val="16"/>
                        </w:rPr>
                        <w:t>i</w:t>
                      </w:r>
                      <w:r>
                        <w:rPr>
                          <w:rFonts w:ascii="Times New Roman" w:hAnsi="Times New Roman" w:eastAsia="Times New Roman" w:cs="Times New Roman"/>
                          <w:spacing w:val="1"/>
                          <w:sz w:val="16"/>
                          <w:szCs w:val="16"/>
                        </w:rPr>
                        <w:t xml:space="preserve"> </w:t>
                      </w:r>
                      <w:r>
                        <w:rPr>
                          <w:rFonts w:ascii="Symbol" w:hAnsi="Symbol" w:eastAsia="Symbol" w:cs="Symbol"/>
                          <w:spacing w:val="1"/>
                          <w:sz w:val="16"/>
                          <w:szCs w:val="16"/>
                        </w:rPr>
                        <w:t>=</w:t>
                      </w:r>
                      <w:r>
                        <w:rPr>
                          <w:rFonts w:ascii="Times New Roman" w:hAnsi="Times New Roman" w:eastAsia="Times New Roman" w:cs="Times New Roman"/>
                          <w:spacing w:val="1"/>
                          <w:sz w:val="16"/>
                          <w:szCs w:val="16"/>
                        </w:rPr>
                        <w:t>1</w:t>
                      </w:r>
                    </w:p>
                  </w:txbxContent>
                </v:textbox>
              </v:shape>
            </w:pict>
          </mc:Fallback>
        </mc:AlternateContent>
      </w:r>
      <w:r>
        <w:rPr>
          <w:rFonts w:ascii="Times New Roman" w:hAnsi="Times New Roman" w:eastAsia="Times New Roman" w:cs="Times New Roman"/>
          <w:i/>
          <w:iCs/>
          <w:color w:val="auto"/>
          <w:spacing w:val="-5"/>
          <w:position w:val="4"/>
          <w:sz w:val="27"/>
          <w:szCs w:val="27"/>
        </w:rPr>
        <w:t>L</w:t>
      </w:r>
      <w:r>
        <w:rPr>
          <w:rFonts w:ascii="宋体" w:hAnsi="宋体" w:eastAsia="宋体" w:cs="宋体"/>
          <w:color w:val="auto"/>
          <w:spacing w:val="-10"/>
          <w:position w:val="-4"/>
          <w:sz w:val="16"/>
          <w:szCs w:val="16"/>
        </w:rPr>
        <w:t xml:space="preserve">总 </w:t>
      </w:r>
      <w:r>
        <w:rPr>
          <w:rFonts w:ascii="Symbol" w:hAnsi="Symbol" w:eastAsia="Symbol" w:cs="Symbol"/>
          <w:color w:val="auto"/>
          <w:spacing w:val="-8"/>
          <w:position w:val="4"/>
          <w:sz w:val="27"/>
          <w:szCs w:val="27"/>
        </w:rPr>
        <w:t>=</w:t>
      </w:r>
      <w:r>
        <w:rPr>
          <w:rFonts w:ascii="Symbol" w:hAnsi="Symbol" w:eastAsia="Symbol" w:cs="Symbol"/>
          <w:color w:val="auto"/>
          <w:spacing w:val="-5"/>
          <w:position w:val="4"/>
          <w:sz w:val="27"/>
          <w:szCs w:val="27"/>
        </w:rPr>
        <w:t xml:space="preserve"> </w:t>
      </w:r>
      <w:r>
        <w:rPr>
          <w:rFonts w:ascii="Times New Roman" w:hAnsi="Times New Roman" w:eastAsia="Times New Roman" w:cs="Times New Roman"/>
          <w:color w:val="auto"/>
          <w:spacing w:val="-5"/>
          <w:position w:val="4"/>
          <w:sz w:val="27"/>
          <w:szCs w:val="27"/>
        </w:rPr>
        <w:t>10 lg</w:t>
      </w:r>
      <w:r>
        <w:rPr>
          <w:rFonts w:hint="eastAsia" w:ascii="Times New Roman" w:hAnsi="Times New Roman" w:eastAsia="宋体" w:cs="Times New Roman"/>
          <w:color w:val="auto"/>
          <w:spacing w:val="-5"/>
          <w:position w:val="4"/>
          <w:sz w:val="27"/>
          <w:szCs w:val="27"/>
          <w:lang w:eastAsia="zh-CN"/>
        </w:rPr>
        <w:t>（</w:t>
      </w:r>
      <w:r>
        <w:rPr>
          <w:rFonts w:ascii="Times New Roman" w:hAnsi="Times New Roman" w:eastAsia="Times New Roman" w:cs="Times New Roman"/>
          <w:color w:val="auto"/>
          <w:spacing w:val="-5"/>
          <w:position w:val="4"/>
          <w:sz w:val="27"/>
          <w:szCs w:val="27"/>
        </w:rPr>
        <w:t>10</w:t>
      </w:r>
      <w:r>
        <w:rPr>
          <w:rFonts w:ascii="Times New Roman" w:hAnsi="Times New Roman" w:eastAsia="Times New Roman" w:cs="Times New Roman"/>
          <w:color w:val="auto"/>
          <w:spacing w:val="-5"/>
          <w:position w:val="16"/>
          <w:sz w:val="16"/>
          <w:szCs w:val="16"/>
        </w:rPr>
        <w:t>0. 1</w:t>
      </w:r>
      <w:r>
        <w:rPr>
          <w:rFonts w:ascii="Times New Roman" w:hAnsi="Times New Roman" w:eastAsia="Times New Roman" w:cs="Times New Roman"/>
          <w:i/>
          <w:iCs/>
          <w:color w:val="auto"/>
          <w:spacing w:val="-5"/>
          <w:position w:val="16"/>
          <w:sz w:val="16"/>
          <w:szCs w:val="16"/>
        </w:rPr>
        <w:t>L</w:t>
      </w:r>
      <w:r>
        <w:rPr>
          <w:rFonts w:ascii="Times New Roman" w:hAnsi="Times New Roman" w:eastAsia="Times New Roman" w:cs="Times New Roman"/>
          <w:i/>
          <w:iCs/>
          <w:color w:val="auto"/>
          <w:spacing w:val="-5"/>
          <w:position w:val="12"/>
          <w:sz w:val="11"/>
          <w:szCs w:val="11"/>
        </w:rPr>
        <w:t>b</w:t>
      </w:r>
      <w:r>
        <w:rPr>
          <w:rFonts w:ascii="Times New Roman" w:hAnsi="Times New Roman" w:eastAsia="Times New Roman" w:cs="Times New Roman"/>
          <w:color w:val="auto"/>
          <w:spacing w:val="-5"/>
          <w:position w:val="12"/>
          <w:sz w:val="11"/>
          <w:szCs w:val="11"/>
        </w:rPr>
        <w:t xml:space="preserve">   </w:t>
      </w:r>
      <w:r>
        <w:rPr>
          <w:rFonts w:ascii="Symbol" w:hAnsi="Symbol" w:eastAsia="Symbol" w:cs="Symbol"/>
          <w:color w:val="auto"/>
          <w:spacing w:val="-5"/>
          <w:position w:val="4"/>
          <w:sz w:val="27"/>
          <w:szCs w:val="27"/>
        </w:rPr>
        <w:t xml:space="preserve">+ </w:t>
      </w:r>
      <w:r>
        <w:rPr>
          <w:color w:val="auto"/>
          <w:position w:val="-11"/>
          <w:sz w:val="27"/>
          <w:szCs w:val="27"/>
        </w:rPr>
        <w:drawing>
          <wp:inline distT="0" distB="0" distL="114300" distR="114300">
            <wp:extent cx="171450" cy="321945"/>
            <wp:effectExtent l="0" t="0" r="6350" b="8890"/>
            <wp:docPr id="205" name="图片 7"/>
            <wp:cNvGraphicFramePr/>
            <a:graphic xmlns:a="http://schemas.openxmlformats.org/drawingml/2006/main">
              <a:graphicData uri="http://schemas.openxmlformats.org/drawingml/2006/picture">
                <pic:pic xmlns:pic="http://schemas.openxmlformats.org/drawingml/2006/picture">
                  <pic:nvPicPr>
                    <pic:cNvPr id="205" name="图片 7"/>
                    <pic:cNvPicPr/>
                  </pic:nvPicPr>
                  <pic:blipFill>
                    <a:blip r:embed="rId49"/>
                    <a:stretch>
                      <a:fillRect/>
                    </a:stretch>
                  </pic:blipFill>
                  <pic:spPr>
                    <a:xfrm>
                      <a:off x="0" y="0"/>
                      <a:ext cx="171450" cy="321945"/>
                    </a:xfrm>
                    <a:prstGeom prst="rect">
                      <a:avLst/>
                    </a:prstGeom>
                    <a:noFill/>
                    <a:ln>
                      <a:noFill/>
                    </a:ln>
                  </pic:spPr>
                </pic:pic>
              </a:graphicData>
            </a:graphic>
          </wp:inline>
        </w:drawing>
      </w:r>
      <w:r>
        <w:rPr>
          <w:rFonts w:hint="eastAsia" w:ascii="Times New Roman" w:hAnsi="Times New Roman" w:eastAsia="宋体" w:cs="Times New Roman"/>
          <w:i/>
          <w:iCs/>
          <w:color w:val="auto"/>
          <w:spacing w:val="-5"/>
          <w:position w:val="31"/>
          <w:sz w:val="16"/>
          <w:szCs w:val="16"/>
          <w:lang w:val="en-US" w:eastAsia="zh-CN"/>
        </w:rPr>
        <w:t xml:space="preserve"> </w:t>
      </w:r>
      <w:r>
        <w:rPr>
          <w:rFonts w:ascii="Times New Roman" w:hAnsi="Times New Roman" w:eastAsia="Times New Roman" w:cs="Times New Roman"/>
          <w:color w:val="auto"/>
          <w:spacing w:val="-5"/>
          <w:position w:val="31"/>
          <w:sz w:val="16"/>
          <w:szCs w:val="16"/>
        </w:rPr>
        <w:t xml:space="preserve"> </w:t>
      </w:r>
      <w:r>
        <w:rPr>
          <w:rFonts w:ascii="Times New Roman" w:hAnsi="Times New Roman" w:eastAsia="Times New Roman" w:cs="Times New Roman"/>
          <w:color w:val="auto"/>
          <w:spacing w:val="-5"/>
          <w:position w:val="4"/>
          <w:sz w:val="27"/>
          <w:szCs w:val="27"/>
        </w:rPr>
        <w:t>10</w:t>
      </w:r>
      <w:r>
        <w:rPr>
          <w:rFonts w:ascii="Times New Roman" w:hAnsi="Times New Roman" w:eastAsia="Times New Roman" w:cs="Times New Roman"/>
          <w:color w:val="auto"/>
          <w:spacing w:val="-5"/>
          <w:position w:val="16"/>
          <w:sz w:val="16"/>
          <w:szCs w:val="16"/>
        </w:rPr>
        <w:t>0. 1</w:t>
      </w:r>
      <w:r>
        <w:rPr>
          <w:rFonts w:ascii="Times New Roman" w:hAnsi="Times New Roman" w:eastAsia="Times New Roman" w:cs="Times New Roman"/>
          <w:i/>
          <w:iCs/>
          <w:color w:val="auto"/>
          <w:spacing w:val="-5"/>
          <w:position w:val="16"/>
          <w:sz w:val="16"/>
          <w:szCs w:val="16"/>
        </w:rPr>
        <w:t>L</w:t>
      </w:r>
      <w:r>
        <w:rPr>
          <w:rFonts w:ascii="Times New Roman" w:hAnsi="Times New Roman" w:eastAsia="Times New Roman" w:cs="Times New Roman"/>
          <w:i/>
          <w:iCs/>
          <w:color w:val="auto"/>
          <w:spacing w:val="-5"/>
          <w:position w:val="12"/>
          <w:sz w:val="11"/>
          <w:szCs w:val="11"/>
        </w:rPr>
        <w:t>i</w:t>
      </w:r>
      <w:r>
        <w:rPr>
          <w:rFonts w:ascii="Times New Roman" w:hAnsi="Times New Roman" w:eastAsia="Times New Roman" w:cs="Times New Roman"/>
          <w:color w:val="auto"/>
          <w:spacing w:val="-5"/>
          <w:position w:val="12"/>
          <w:sz w:val="11"/>
          <w:szCs w:val="11"/>
        </w:rPr>
        <w:t xml:space="preserve">  </w:t>
      </w:r>
      <w:r>
        <w:rPr>
          <w:rFonts w:hint="eastAsia" w:ascii="Times New Roman" w:hAnsi="Times New Roman" w:eastAsia="宋体" w:cs="Times New Roman"/>
          <w:color w:val="auto"/>
          <w:spacing w:val="-5"/>
          <w:position w:val="4"/>
          <w:sz w:val="27"/>
          <w:szCs w:val="27"/>
          <w:lang w:eastAsia="zh-CN"/>
        </w:rPr>
        <w:t>）</w:t>
      </w:r>
    </w:p>
    <w:p w14:paraId="4AC94E74">
      <w:pPr>
        <w:spacing w:line="360" w:lineRule="auto"/>
        <w:ind w:left="-17" w:leftChars="-8" w:firstLine="938" w:firstLineChars="391"/>
        <w:jc w:val="left"/>
        <w:rPr>
          <w:rFonts w:ascii="Times New Roman" w:hAnsi="Times New Roman" w:eastAsia="宋体" w:cs="Times New Roman"/>
          <w:color w:val="auto"/>
          <w:sz w:val="24"/>
        </w:rPr>
      </w:pPr>
      <w:r>
        <w:rPr>
          <w:rFonts w:ascii="Times New Roman" w:hAnsi="Times New Roman" w:eastAsia="宋体" w:cs="Times New Roman"/>
          <w:color w:val="auto"/>
          <w:sz w:val="24"/>
        </w:rPr>
        <w:t>式中：L总——测点总的A声级，dB(A)；</w:t>
      </w:r>
    </w:p>
    <w:p w14:paraId="5A5D61F0">
      <w:pPr>
        <w:spacing w:line="360" w:lineRule="auto"/>
        <w:ind w:left="-17" w:leftChars="-8" w:firstLine="1656" w:firstLineChars="690"/>
        <w:jc w:val="left"/>
        <w:rPr>
          <w:rFonts w:ascii="Times New Roman" w:hAnsi="Times New Roman" w:eastAsia="宋体" w:cs="Times New Roman"/>
          <w:color w:val="auto"/>
          <w:sz w:val="24"/>
        </w:rPr>
      </w:pPr>
      <w:r>
        <w:rPr>
          <w:rFonts w:ascii="Times New Roman" w:hAnsi="Times New Roman" w:eastAsia="宋体" w:cs="Times New Roman"/>
          <w:color w:val="auto"/>
          <w:sz w:val="24"/>
        </w:rPr>
        <w:t>Li——第i个声源到预测点处的声压级；dB(A)；</w:t>
      </w:r>
    </w:p>
    <w:p w14:paraId="33A821C3">
      <w:pPr>
        <w:spacing w:line="360" w:lineRule="auto"/>
        <w:ind w:left="-17" w:leftChars="-8" w:firstLine="1656" w:firstLineChars="690"/>
        <w:jc w:val="left"/>
        <w:rPr>
          <w:rFonts w:ascii="Times New Roman" w:hAnsi="Times New Roman" w:eastAsia="宋体" w:cs="Times New Roman"/>
          <w:color w:val="auto"/>
          <w:sz w:val="24"/>
        </w:rPr>
      </w:pPr>
      <w:r>
        <w:rPr>
          <w:rFonts w:ascii="Times New Roman" w:hAnsi="Times New Roman" w:eastAsia="宋体" w:cs="Times New Roman"/>
          <w:color w:val="auto"/>
          <w:sz w:val="24"/>
        </w:rPr>
        <w:t>Lb——现有环境噪声本底值(包含现有个噪声源的贡献值)；</w:t>
      </w:r>
    </w:p>
    <w:p w14:paraId="40521C33">
      <w:pPr>
        <w:spacing w:line="360" w:lineRule="auto"/>
        <w:ind w:left="-17" w:leftChars="-8" w:firstLine="1656" w:firstLineChars="690"/>
        <w:jc w:val="left"/>
        <w:rPr>
          <w:rFonts w:ascii="Times New Roman" w:hAnsi="Times New Roman" w:eastAsia="宋体" w:cs="Times New Roman"/>
          <w:color w:val="auto"/>
          <w:sz w:val="24"/>
        </w:rPr>
      </w:pPr>
      <w:r>
        <w:rPr>
          <w:rFonts w:ascii="Times New Roman" w:hAnsi="Times New Roman" w:eastAsia="宋体" w:cs="Times New Roman"/>
          <w:color w:val="auto"/>
          <w:sz w:val="24"/>
        </w:rPr>
        <w:t>n——声源个数。</w:t>
      </w:r>
    </w:p>
    <w:p w14:paraId="7C3B032F">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噪声预测结果及影响分析</w:t>
      </w:r>
    </w:p>
    <w:p w14:paraId="08B810CB">
      <w:pPr>
        <w:spacing w:line="360" w:lineRule="auto"/>
        <w:ind w:firstLine="480" w:firstLineChars="200"/>
        <w:rPr>
          <w:color w:val="auto"/>
          <w:sz w:val="24"/>
        </w:rPr>
      </w:pPr>
      <w:r>
        <w:rPr>
          <w:color w:val="auto"/>
          <w:sz w:val="24"/>
        </w:rPr>
        <w:t>噪声在室外空间的传播，由于受到遮挡物的隔断，各种介质的吸收与反射，以及空气介质的吸收等物理作用而逐渐减弱。为了简化计算条件并能考虑到最不利因素，计算时只考虑</w:t>
      </w:r>
      <w:r>
        <w:rPr>
          <w:rFonts w:hint="eastAsia"/>
          <w:color w:val="auto"/>
          <w:sz w:val="24"/>
        </w:rPr>
        <w:t>距离</w:t>
      </w:r>
      <w:r>
        <w:rPr>
          <w:color w:val="auto"/>
          <w:sz w:val="24"/>
        </w:rPr>
        <w:t>衰减。</w:t>
      </w:r>
    </w:p>
    <w:p w14:paraId="2DE412E3">
      <w:pPr>
        <w:spacing w:line="360" w:lineRule="auto"/>
        <w:ind w:firstLine="480" w:firstLineChars="200"/>
      </w:pPr>
      <w:r>
        <w:rPr>
          <w:color w:val="auto"/>
          <w:sz w:val="24"/>
        </w:rPr>
        <w:t>只考虑距离衰减时噪声源对厂界噪声贡献值见表5.2-</w:t>
      </w:r>
      <w:r>
        <w:rPr>
          <w:rFonts w:hint="eastAsia"/>
          <w:color w:val="auto"/>
          <w:sz w:val="24"/>
          <w:lang w:val="en-US" w:eastAsia="zh-CN"/>
        </w:rPr>
        <w:t>5</w:t>
      </w:r>
      <w:r>
        <w:rPr>
          <w:color w:val="auto"/>
          <w:sz w:val="24"/>
        </w:rPr>
        <w:t>。</w:t>
      </w:r>
    </w:p>
    <w:p w14:paraId="1410C914">
      <w:pPr>
        <w:spacing w:line="360" w:lineRule="auto"/>
        <w:jc w:val="center"/>
        <w:rPr>
          <w:rFonts w:hint="eastAsia"/>
          <w:b/>
          <w:bCs/>
          <w:sz w:val="24"/>
          <w:szCs w:val="32"/>
          <w:lang w:val="en-US" w:eastAsia="zh-CN"/>
        </w:rPr>
      </w:pPr>
      <w:r>
        <w:rPr>
          <w:rFonts w:hint="eastAsia"/>
          <w:b/>
          <w:bCs/>
          <w:sz w:val="24"/>
          <w:szCs w:val="32"/>
          <w:lang w:val="en-US" w:eastAsia="zh-CN"/>
        </w:rPr>
        <w:t>表5.2-5   各车间到厂界噪声预测结果   单位：dB（A）</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1453"/>
        <w:gridCol w:w="1453"/>
        <w:gridCol w:w="1453"/>
        <w:gridCol w:w="1454"/>
        <w:gridCol w:w="1454"/>
      </w:tblGrid>
      <w:tr w14:paraId="5603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06" w:type="dxa"/>
            <w:gridSpan w:val="2"/>
            <w:vAlign w:val="center"/>
          </w:tcPr>
          <w:p w14:paraId="7A1F0DF7">
            <w:pPr>
              <w:spacing w:line="360" w:lineRule="auto"/>
              <w:jc w:val="center"/>
              <w:rPr>
                <w:rFonts w:hint="default"/>
                <w:b/>
                <w:bCs/>
                <w:vertAlign w:val="baseline"/>
                <w:lang w:val="en-US" w:eastAsia="zh-CN"/>
              </w:rPr>
            </w:pPr>
            <w:r>
              <w:rPr>
                <w:rFonts w:hint="eastAsia"/>
                <w:b/>
                <w:bCs/>
                <w:vertAlign w:val="baseline"/>
                <w:lang w:val="en-US" w:eastAsia="zh-CN"/>
              </w:rPr>
              <w:t>预测点</w:t>
            </w:r>
          </w:p>
        </w:tc>
        <w:tc>
          <w:tcPr>
            <w:tcW w:w="1453" w:type="dxa"/>
            <w:vAlign w:val="center"/>
          </w:tcPr>
          <w:p w14:paraId="0CAD3B9F">
            <w:pPr>
              <w:spacing w:line="360" w:lineRule="auto"/>
              <w:jc w:val="center"/>
              <w:rPr>
                <w:rFonts w:hint="default"/>
                <w:b/>
                <w:bCs/>
                <w:vertAlign w:val="baseline"/>
                <w:lang w:val="en-US" w:eastAsia="zh-CN"/>
              </w:rPr>
            </w:pPr>
            <w:r>
              <w:rPr>
                <w:rFonts w:hint="eastAsia"/>
                <w:b/>
                <w:bCs/>
                <w:vertAlign w:val="baseline"/>
                <w:lang w:val="en-US" w:eastAsia="zh-CN"/>
              </w:rPr>
              <w:t>主要噪声源</w:t>
            </w:r>
          </w:p>
        </w:tc>
        <w:tc>
          <w:tcPr>
            <w:tcW w:w="1453" w:type="dxa"/>
            <w:vAlign w:val="center"/>
          </w:tcPr>
          <w:p w14:paraId="2FC4CA6F">
            <w:pPr>
              <w:spacing w:line="360" w:lineRule="auto"/>
              <w:jc w:val="center"/>
              <w:rPr>
                <w:rFonts w:hint="default"/>
                <w:b/>
                <w:bCs/>
                <w:vertAlign w:val="baseline"/>
                <w:lang w:val="en-US" w:eastAsia="zh-CN"/>
              </w:rPr>
            </w:pPr>
            <w:r>
              <w:rPr>
                <w:rFonts w:hint="eastAsia"/>
                <w:b/>
                <w:bCs/>
                <w:vertAlign w:val="baseline"/>
                <w:lang w:val="en-US" w:eastAsia="zh-CN"/>
              </w:rPr>
              <w:t>叠加值</w:t>
            </w:r>
          </w:p>
        </w:tc>
        <w:tc>
          <w:tcPr>
            <w:tcW w:w="1454" w:type="dxa"/>
            <w:vAlign w:val="center"/>
          </w:tcPr>
          <w:p w14:paraId="039BA52B">
            <w:pPr>
              <w:spacing w:line="360" w:lineRule="auto"/>
              <w:jc w:val="center"/>
              <w:rPr>
                <w:rFonts w:hint="default"/>
                <w:b/>
                <w:bCs/>
                <w:vertAlign w:val="baseline"/>
                <w:lang w:val="en-US" w:eastAsia="zh-CN"/>
              </w:rPr>
            </w:pPr>
            <w:r>
              <w:rPr>
                <w:rFonts w:hint="eastAsia"/>
                <w:b/>
                <w:bCs/>
                <w:vertAlign w:val="baseline"/>
                <w:lang w:val="en-US" w:eastAsia="zh-CN"/>
              </w:rPr>
              <w:t>距厂界距离m</w:t>
            </w:r>
          </w:p>
        </w:tc>
        <w:tc>
          <w:tcPr>
            <w:tcW w:w="1454" w:type="dxa"/>
            <w:vAlign w:val="center"/>
          </w:tcPr>
          <w:p w14:paraId="135711B5">
            <w:pPr>
              <w:spacing w:line="360" w:lineRule="auto"/>
              <w:jc w:val="center"/>
              <w:rPr>
                <w:rFonts w:hint="default"/>
                <w:b/>
                <w:bCs/>
                <w:vertAlign w:val="baseline"/>
                <w:lang w:val="en-US" w:eastAsia="zh-CN"/>
              </w:rPr>
            </w:pPr>
            <w:r>
              <w:rPr>
                <w:rFonts w:hint="eastAsia"/>
                <w:b/>
                <w:bCs/>
                <w:vertAlign w:val="baseline"/>
                <w:lang w:val="en-US" w:eastAsia="zh-CN"/>
              </w:rPr>
              <w:t>贡献值</w:t>
            </w:r>
          </w:p>
        </w:tc>
      </w:tr>
      <w:tr w14:paraId="02E2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restart"/>
            <w:vAlign w:val="center"/>
          </w:tcPr>
          <w:p w14:paraId="681E9F62">
            <w:pPr>
              <w:spacing w:line="360" w:lineRule="auto"/>
              <w:jc w:val="center"/>
              <w:rPr>
                <w:rFonts w:hint="default"/>
                <w:b/>
                <w:bCs/>
                <w:vertAlign w:val="baseline"/>
                <w:lang w:val="en-US" w:eastAsia="zh-CN"/>
              </w:rPr>
            </w:pPr>
            <w:r>
              <w:rPr>
                <w:rFonts w:hint="eastAsia"/>
                <w:b w:val="0"/>
                <w:bCs w:val="0"/>
                <w:vertAlign w:val="baseline"/>
                <w:lang w:val="en-US" w:eastAsia="zh-CN"/>
              </w:rPr>
              <w:t>选矿车间</w:t>
            </w:r>
          </w:p>
        </w:tc>
        <w:tc>
          <w:tcPr>
            <w:tcW w:w="1453" w:type="dxa"/>
            <w:vAlign w:val="center"/>
          </w:tcPr>
          <w:p w14:paraId="07A3D363">
            <w:pPr>
              <w:spacing w:line="360" w:lineRule="auto"/>
              <w:jc w:val="center"/>
              <w:rPr>
                <w:rFonts w:hint="default"/>
                <w:b w:val="0"/>
                <w:bCs w:val="0"/>
                <w:vertAlign w:val="baseline"/>
                <w:lang w:val="en-US" w:eastAsia="zh-CN"/>
              </w:rPr>
            </w:pPr>
            <w:r>
              <w:rPr>
                <w:rFonts w:hint="eastAsia"/>
                <w:b w:val="0"/>
                <w:bCs w:val="0"/>
                <w:vertAlign w:val="baseline"/>
                <w:lang w:val="en-US" w:eastAsia="zh-CN"/>
              </w:rPr>
              <w:t>东厂界1m</w:t>
            </w:r>
          </w:p>
        </w:tc>
        <w:tc>
          <w:tcPr>
            <w:tcW w:w="1453" w:type="dxa"/>
            <w:vMerge w:val="restart"/>
            <w:vAlign w:val="center"/>
          </w:tcPr>
          <w:p w14:paraId="575EBCCB">
            <w:pPr>
              <w:spacing w:line="360" w:lineRule="auto"/>
              <w:jc w:val="center"/>
              <w:rPr>
                <w:rFonts w:hint="default"/>
                <w:b/>
                <w:bCs/>
                <w:vertAlign w:val="baseline"/>
                <w:lang w:val="en-US" w:eastAsia="zh-CN"/>
              </w:rPr>
            </w:pPr>
            <w:r>
              <w:rPr>
                <w:rFonts w:hint="eastAsia"/>
                <w:b w:val="0"/>
                <w:bCs w:val="0"/>
                <w:vertAlign w:val="baseline"/>
                <w:lang w:val="en-US" w:eastAsia="zh-CN"/>
              </w:rPr>
              <w:t>球磨机、浮选机、精粉压滤机</w:t>
            </w:r>
          </w:p>
        </w:tc>
        <w:tc>
          <w:tcPr>
            <w:tcW w:w="1453" w:type="dxa"/>
            <w:vMerge w:val="restart"/>
            <w:vAlign w:val="center"/>
          </w:tcPr>
          <w:p w14:paraId="60D176FE">
            <w:pPr>
              <w:spacing w:line="360" w:lineRule="auto"/>
              <w:jc w:val="center"/>
              <w:rPr>
                <w:rFonts w:hint="default"/>
                <w:b/>
                <w:bCs/>
                <w:vertAlign w:val="baseline"/>
                <w:lang w:val="en-US" w:eastAsia="zh-CN"/>
              </w:rPr>
            </w:pPr>
            <w:r>
              <w:rPr>
                <w:rFonts w:hint="eastAsia"/>
                <w:b w:val="0"/>
                <w:bCs w:val="0"/>
                <w:vertAlign w:val="baseline"/>
                <w:lang w:val="en-US" w:eastAsia="zh-CN"/>
              </w:rPr>
              <w:t>73</w:t>
            </w:r>
          </w:p>
        </w:tc>
        <w:tc>
          <w:tcPr>
            <w:tcW w:w="1454" w:type="dxa"/>
            <w:vAlign w:val="center"/>
          </w:tcPr>
          <w:p w14:paraId="3E046EBE">
            <w:pPr>
              <w:spacing w:line="360" w:lineRule="auto"/>
              <w:jc w:val="center"/>
              <w:rPr>
                <w:rFonts w:hint="default"/>
                <w:b w:val="0"/>
                <w:bCs w:val="0"/>
                <w:vertAlign w:val="baseline"/>
                <w:lang w:val="en-US" w:eastAsia="zh-CN"/>
              </w:rPr>
            </w:pPr>
            <w:r>
              <w:rPr>
                <w:rFonts w:hint="eastAsia"/>
                <w:b w:val="0"/>
                <w:bCs w:val="0"/>
                <w:vertAlign w:val="baseline"/>
                <w:lang w:val="en-US" w:eastAsia="zh-CN"/>
              </w:rPr>
              <w:t>40</w:t>
            </w:r>
          </w:p>
        </w:tc>
        <w:tc>
          <w:tcPr>
            <w:tcW w:w="1454" w:type="dxa"/>
            <w:vAlign w:val="center"/>
          </w:tcPr>
          <w:p w14:paraId="6BE4B3EC">
            <w:pPr>
              <w:spacing w:line="360" w:lineRule="auto"/>
              <w:jc w:val="center"/>
              <w:rPr>
                <w:rFonts w:hint="default"/>
                <w:b w:val="0"/>
                <w:bCs w:val="0"/>
                <w:vertAlign w:val="baseline"/>
                <w:lang w:val="en-US" w:eastAsia="zh-CN"/>
              </w:rPr>
            </w:pPr>
            <w:r>
              <w:rPr>
                <w:rFonts w:hint="eastAsia"/>
                <w:b w:val="0"/>
                <w:bCs w:val="0"/>
                <w:vertAlign w:val="baseline"/>
                <w:lang w:val="en-US" w:eastAsia="zh-CN"/>
              </w:rPr>
              <w:t>41</w:t>
            </w:r>
          </w:p>
        </w:tc>
      </w:tr>
      <w:tr w14:paraId="2F84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7524DDE3">
            <w:pPr>
              <w:spacing w:line="360" w:lineRule="auto"/>
              <w:jc w:val="center"/>
              <w:rPr>
                <w:rFonts w:hint="default"/>
                <w:b/>
                <w:bCs/>
                <w:vertAlign w:val="baseline"/>
                <w:lang w:val="en-US" w:eastAsia="zh-CN"/>
              </w:rPr>
            </w:pPr>
          </w:p>
        </w:tc>
        <w:tc>
          <w:tcPr>
            <w:tcW w:w="1453" w:type="dxa"/>
            <w:vAlign w:val="center"/>
          </w:tcPr>
          <w:p w14:paraId="16558991">
            <w:pPr>
              <w:spacing w:line="360" w:lineRule="auto"/>
              <w:jc w:val="center"/>
              <w:rPr>
                <w:rFonts w:hint="default"/>
                <w:b w:val="0"/>
                <w:bCs w:val="0"/>
                <w:vertAlign w:val="baseline"/>
                <w:lang w:val="en-US" w:eastAsia="zh-CN"/>
              </w:rPr>
            </w:pPr>
            <w:r>
              <w:rPr>
                <w:rFonts w:hint="eastAsia"/>
                <w:b w:val="0"/>
                <w:bCs w:val="0"/>
                <w:vertAlign w:val="baseline"/>
                <w:lang w:val="en-US" w:eastAsia="zh-CN"/>
              </w:rPr>
              <w:t>南厂界1m</w:t>
            </w:r>
          </w:p>
        </w:tc>
        <w:tc>
          <w:tcPr>
            <w:tcW w:w="1453" w:type="dxa"/>
            <w:vMerge w:val="continue"/>
            <w:vAlign w:val="center"/>
          </w:tcPr>
          <w:p w14:paraId="7FC68BE0">
            <w:pPr>
              <w:spacing w:line="360" w:lineRule="auto"/>
              <w:jc w:val="center"/>
              <w:rPr>
                <w:rFonts w:hint="default"/>
                <w:b/>
                <w:bCs/>
                <w:vertAlign w:val="baseline"/>
                <w:lang w:val="en-US" w:eastAsia="zh-CN"/>
              </w:rPr>
            </w:pPr>
          </w:p>
        </w:tc>
        <w:tc>
          <w:tcPr>
            <w:tcW w:w="1453" w:type="dxa"/>
            <w:vMerge w:val="continue"/>
            <w:vAlign w:val="center"/>
          </w:tcPr>
          <w:p w14:paraId="6703E526">
            <w:pPr>
              <w:spacing w:line="360" w:lineRule="auto"/>
              <w:jc w:val="center"/>
              <w:rPr>
                <w:rFonts w:hint="default"/>
                <w:b/>
                <w:bCs/>
                <w:vertAlign w:val="baseline"/>
                <w:lang w:val="en-US" w:eastAsia="zh-CN"/>
              </w:rPr>
            </w:pPr>
          </w:p>
        </w:tc>
        <w:tc>
          <w:tcPr>
            <w:tcW w:w="1454" w:type="dxa"/>
            <w:vAlign w:val="center"/>
          </w:tcPr>
          <w:p w14:paraId="06C85028">
            <w:pPr>
              <w:spacing w:line="360" w:lineRule="auto"/>
              <w:jc w:val="center"/>
              <w:rPr>
                <w:rFonts w:hint="default"/>
                <w:b w:val="0"/>
                <w:bCs w:val="0"/>
                <w:vertAlign w:val="baseline"/>
                <w:lang w:val="en-US" w:eastAsia="zh-CN"/>
              </w:rPr>
            </w:pPr>
            <w:r>
              <w:rPr>
                <w:rFonts w:hint="eastAsia"/>
                <w:b w:val="0"/>
                <w:bCs w:val="0"/>
                <w:vertAlign w:val="baseline"/>
                <w:lang w:val="en-US" w:eastAsia="zh-CN"/>
              </w:rPr>
              <w:t>50</w:t>
            </w:r>
          </w:p>
        </w:tc>
        <w:tc>
          <w:tcPr>
            <w:tcW w:w="1454" w:type="dxa"/>
            <w:vAlign w:val="center"/>
          </w:tcPr>
          <w:p w14:paraId="2649FC83">
            <w:pPr>
              <w:spacing w:line="360" w:lineRule="auto"/>
              <w:jc w:val="center"/>
              <w:rPr>
                <w:rFonts w:hint="default"/>
                <w:b w:val="0"/>
                <w:bCs w:val="0"/>
                <w:vertAlign w:val="baseline"/>
                <w:lang w:val="en-US" w:eastAsia="zh-CN"/>
              </w:rPr>
            </w:pPr>
            <w:r>
              <w:rPr>
                <w:rFonts w:hint="eastAsia"/>
                <w:b w:val="0"/>
                <w:bCs w:val="0"/>
                <w:vertAlign w:val="baseline"/>
                <w:lang w:val="en-US" w:eastAsia="zh-CN"/>
              </w:rPr>
              <w:t>39</w:t>
            </w:r>
          </w:p>
        </w:tc>
      </w:tr>
      <w:tr w14:paraId="4016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728A2D6F">
            <w:pPr>
              <w:spacing w:line="360" w:lineRule="auto"/>
              <w:jc w:val="center"/>
              <w:rPr>
                <w:rFonts w:hint="default"/>
                <w:b/>
                <w:bCs/>
                <w:vertAlign w:val="baseline"/>
                <w:lang w:val="en-US" w:eastAsia="zh-CN"/>
              </w:rPr>
            </w:pPr>
          </w:p>
        </w:tc>
        <w:tc>
          <w:tcPr>
            <w:tcW w:w="1453" w:type="dxa"/>
            <w:vAlign w:val="center"/>
          </w:tcPr>
          <w:p w14:paraId="5E68E9B7">
            <w:pPr>
              <w:spacing w:line="360" w:lineRule="auto"/>
              <w:jc w:val="center"/>
              <w:rPr>
                <w:rFonts w:hint="default"/>
                <w:b w:val="0"/>
                <w:bCs w:val="0"/>
                <w:vertAlign w:val="baseline"/>
                <w:lang w:val="en-US" w:eastAsia="zh-CN"/>
              </w:rPr>
            </w:pPr>
            <w:r>
              <w:rPr>
                <w:rFonts w:hint="eastAsia"/>
                <w:b w:val="0"/>
                <w:bCs w:val="0"/>
                <w:vertAlign w:val="baseline"/>
                <w:lang w:val="en-US" w:eastAsia="zh-CN"/>
              </w:rPr>
              <w:t>西厂界1m</w:t>
            </w:r>
          </w:p>
        </w:tc>
        <w:tc>
          <w:tcPr>
            <w:tcW w:w="1453" w:type="dxa"/>
            <w:vMerge w:val="continue"/>
            <w:vAlign w:val="center"/>
          </w:tcPr>
          <w:p w14:paraId="0A045634">
            <w:pPr>
              <w:spacing w:line="360" w:lineRule="auto"/>
              <w:jc w:val="center"/>
              <w:rPr>
                <w:rFonts w:hint="default"/>
                <w:b/>
                <w:bCs/>
                <w:vertAlign w:val="baseline"/>
                <w:lang w:val="en-US" w:eastAsia="zh-CN"/>
              </w:rPr>
            </w:pPr>
          </w:p>
        </w:tc>
        <w:tc>
          <w:tcPr>
            <w:tcW w:w="1453" w:type="dxa"/>
            <w:vMerge w:val="continue"/>
            <w:vAlign w:val="center"/>
          </w:tcPr>
          <w:p w14:paraId="32DB7F11">
            <w:pPr>
              <w:spacing w:line="360" w:lineRule="auto"/>
              <w:jc w:val="center"/>
              <w:rPr>
                <w:rFonts w:hint="default"/>
                <w:b/>
                <w:bCs/>
                <w:vertAlign w:val="baseline"/>
                <w:lang w:val="en-US" w:eastAsia="zh-CN"/>
              </w:rPr>
            </w:pPr>
          </w:p>
        </w:tc>
        <w:tc>
          <w:tcPr>
            <w:tcW w:w="1454" w:type="dxa"/>
            <w:vAlign w:val="center"/>
          </w:tcPr>
          <w:p w14:paraId="62804833">
            <w:pPr>
              <w:spacing w:line="360" w:lineRule="auto"/>
              <w:jc w:val="center"/>
              <w:rPr>
                <w:rFonts w:hint="default"/>
                <w:b w:val="0"/>
                <w:bCs w:val="0"/>
                <w:vertAlign w:val="baseline"/>
                <w:lang w:val="en-US" w:eastAsia="zh-CN"/>
              </w:rPr>
            </w:pPr>
            <w:r>
              <w:rPr>
                <w:rFonts w:hint="eastAsia"/>
                <w:b w:val="0"/>
                <w:bCs w:val="0"/>
                <w:vertAlign w:val="baseline"/>
                <w:lang w:val="en-US" w:eastAsia="zh-CN"/>
              </w:rPr>
              <w:t>35</w:t>
            </w:r>
          </w:p>
        </w:tc>
        <w:tc>
          <w:tcPr>
            <w:tcW w:w="1454" w:type="dxa"/>
            <w:vAlign w:val="center"/>
          </w:tcPr>
          <w:p w14:paraId="5297420C">
            <w:pPr>
              <w:spacing w:line="360" w:lineRule="auto"/>
              <w:jc w:val="center"/>
              <w:rPr>
                <w:rFonts w:hint="default"/>
                <w:b w:val="0"/>
                <w:bCs w:val="0"/>
                <w:vertAlign w:val="baseline"/>
                <w:lang w:val="en-US" w:eastAsia="zh-CN"/>
              </w:rPr>
            </w:pPr>
            <w:r>
              <w:rPr>
                <w:rFonts w:hint="eastAsia"/>
                <w:b w:val="0"/>
                <w:bCs w:val="0"/>
                <w:vertAlign w:val="baseline"/>
                <w:lang w:val="en-US" w:eastAsia="zh-CN"/>
              </w:rPr>
              <w:t>42</w:t>
            </w:r>
          </w:p>
        </w:tc>
      </w:tr>
      <w:tr w14:paraId="673D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1066A23F">
            <w:pPr>
              <w:spacing w:line="360" w:lineRule="auto"/>
              <w:jc w:val="center"/>
              <w:rPr>
                <w:rFonts w:hint="default"/>
                <w:b/>
                <w:bCs/>
                <w:vertAlign w:val="baseline"/>
                <w:lang w:val="en-US" w:eastAsia="zh-CN"/>
              </w:rPr>
            </w:pPr>
          </w:p>
        </w:tc>
        <w:tc>
          <w:tcPr>
            <w:tcW w:w="1453" w:type="dxa"/>
            <w:vAlign w:val="center"/>
          </w:tcPr>
          <w:p w14:paraId="57634DD3">
            <w:pPr>
              <w:spacing w:line="360" w:lineRule="auto"/>
              <w:jc w:val="center"/>
              <w:rPr>
                <w:rFonts w:hint="default"/>
                <w:b w:val="0"/>
                <w:bCs w:val="0"/>
                <w:vertAlign w:val="baseline"/>
                <w:lang w:val="en-US" w:eastAsia="zh-CN"/>
              </w:rPr>
            </w:pPr>
            <w:r>
              <w:rPr>
                <w:rFonts w:hint="eastAsia"/>
                <w:b w:val="0"/>
                <w:bCs w:val="0"/>
                <w:vertAlign w:val="baseline"/>
                <w:lang w:val="en-US" w:eastAsia="zh-CN"/>
              </w:rPr>
              <w:t>北厂界1m</w:t>
            </w:r>
          </w:p>
        </w:tc>
        <w:tc>
          <w:tcPr>
            <w:tcW w:w="1453" w:type="dxa"/>
            <w:vMerge w:val="continue"/>
            <w:vAlign w:val="center"/>
          </w:tcPr>
          <w:p w14:paraId="0356412D">
            <w:pPr>
              <w:spacing w:line="360" w:lineRule="auto"/>
              <w:jc w:val="center"/>
              <w:rPr>
                <w:rFonts w:hint="default"/>
                <w:b/>
                <w:bCs/>
                <w:vertAlign w:val="baseline"/>
                <w:lang w:val="en-US" w:eastAsia="zh-CN"/>
              </w:rPr>
            </w:pPr>
          </w:p>
        </w:tc>
        <w:tc>
          <w:tcPr>
            <w:tcW w:w="1453" w:type="dxa"/>
            <w:vMerge w:val="continue"/>
            <w:vAlign w:val="center"/>
          </w:tcPr>
          <w:p w14:paraId="5E56B9B6">
            <w:pPr>
              <w:spacing w:line="360" w:lineRule="auto"/>
              <w:jc w:val="center"/>
              <w:rPr>
                <w:rFonts w:hint="default"/>
                <w:b/>
                <w:bCs/>
                <w:vertAlign w:val="baseline"/>
                <w:lang w:val="en-US" w:eastAsia="zh-CN"/>
              </w:rPr>
            </w:pPr>
          </w:p>
        </w:tc>
        <w:tc>
          <w:tcPr>
            <w:tcW w:w="1454" w:type="dxa"/>
            <w:vAlign w:val="center"/>
          </w:tcPr>
          <w:p w14:paraId="06D11D73">
            <w:pPr>
              <w:spacing w:line="360" w:lineRule="auto"/>
              <w:jc w:val="center"/>
              <w:rPr>
                <w:rFonts w:hint="default"/>
                <w:b w:val="0"/>
                <w:bCs w:val="0"/>
                <w:vertAlign w:val="baseline"/>
                <w:lang w:val="en-US" w:eastAsia="zh-CN"/>
              </w:rPr>
            </w:pPr>
            <w:r>
              <w:rPr>
                <w:rFonts w:hint="eastAsia"/>
                <w:b w:val="0"/>
                <w:bCs w:val="0"/>
                <w:vertAlign w:val="baseline"/>
                <w:lang w:val="en-US" w:eastAsia="zh-CN"/>
              </w:rPr>
              <w:t>20</w:t>
            </w:r>
          </w:p>
        </w:tc>
        <w:tc>
          <w:tcPr>
            <w:tcW w:w="1454" w:type="dxa"/>
            <w:vAlign w:val="center"/>
          </w:tcPr>
          <w:p w14:paraId="7930908D">
            <w:pPr>
              <w:spacing w:line="360" w:lineRule="auto"/>
              <w:jc w:val="center"/>
              <w:rPr>
                <w:rFonts w:hint="default"/>
                <w:b w:val="0"/>
                <w:bCs w:val="0"/>
                <w:vertAlign w:val="baseline"/>
                <w:lang w:val="en-US" w:eastAsia="zh-CN"/>
              </w:rPr>
            </w:pPr>
            <w:r>
              <w:rPr>
                <w:rFonts w:hint="eastAsia"/>
                <w:b w:val="0"/>
                <w:bCs w:val="0"/>
                <w:vertAlign w:val="baseline"/>
                <w:lang w:val="en-US" w:eastAsia="zh-CN"/>
              </w:rPr>
              <w:t>47</w:t>
            </w:r>
          </w:p>
        </w:tc>
      </w:tr>
      <w:tr w14:paraId="2E4B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restart"/>
            <w:vAlign w:val="center"/>
          </w:tcPr>
          <w:p w14:paraId="1935B8EF">
            <w:pPr>
              <w:spacing w:line="360" w:lineRule="auto"/>
              <w:jc w:val="center"/>
              <w:rPr>
                <w:rFonts w:hint="default"/>
                <w:b/>
                <w:bCs/>
                <w:vertAlign w:val="baseline"/>
                <w:lang w:val="en-US" w:eastAsia="zh-CN"/>
              </w:rPr>
            </w:pPr>
            <w:r>
              <w:rPr>
                <w:rFonts w:hint="eastAsia"/>
                <w:b w:val="0"/>
                <w:bCs w:val="0"/>
                <w:vertAlign w:val="baseline"/>
                <w:lang w:val="en-US" w:eastAsia="zh-CN"/>
              </w:rPr>
              <w:t>干排车间</w:t>
            </w:r>
          </w:p>
        </w:tc>
        <w:tc>
          <w:tcPr>
            <w:tcW w:w="1453" w:type="dxa"/>
            <w:vAlign w:val="center"/>
          </w:tcPr>
          <w:p w14:paraId="118DEB0E">
            <w:pPr>
              <w:spacing w:line="360" w:lineRule="auto"/>
              <w:jc w:val="center"/>
              <w:rPr>
                <w:rFonts w:hint="default"/>
                <w:b w:val="0"/>
                <w:bCs w:val="0"/>
                <w:vertAlign w:val="baseline"/>
                <w:lang w:val="en-US" w:eastAsia="zh-CN"/>
              </w:rPr>
            </w:pPr>
            <w:r>
              <w:rPr>
                <w:rFonts w:hint="eastAsia"/>
                <w:b w:val="0"/>
                <w:bCs w:val="0"/>
                <w:vertAlign w:val="baseline"/>
                <w:lang w:val="en-US" w:eastAsia="zh-CN"/>
              </w:rPr>
              <w:t>东厂界1m</w:t>
            </w:r>
          </w:p>
        </w:tc>
        <w:tc>
          <w:tcPr>
            <w:tcW w:w="1453" w:type="dxa"/>
            <w:vMerge w:val="restart"/>
            <w:vAlign w:val="center"/>
          </w:tcPr>
          <w:p w14:paraId="34F1B659">
            <w:pPr>
              <w:spacing w:line="360" w:lineRule="auto"/>
              <w:jc w:val="center"/>
              <w:rPr>
                <w:rFonts w:hint="default"/>
                <w:b/>
                <w:bCs/>
                <w:vertAlign w:val="baseline"/>
                <w:lang w:val="en-US" w:eastAsia="zh-CN"/>
              </w:rPr>
            </w:pPr>
            <w:r>
              <w:rPr>
                <w:rFonts w:hint="eastAsia"/>
                <w:b w:val="0"/>
                <w:bCs w:val="0"/>
                <w:vertAlign w:val="baseline"/>
                <w:lang w:val="en-US" w:eastAsia="zh-CN"/>
              </w:rPr>
              <w:t>压滤机（出尾矿）</w:t>
            </w:r>
          </w:p>
        </w:tc>
        <w:tc>
          <w:tcPr>
            <w:tcW w:w="1453" w:type="dxa"/>
            <w:vMerge w:val="restart"/>
            <w:vAlign w:val="center"/>
          </w:tcPr>
          <w:p w14:paraId="7D66B54D">
            <w:pPr>
              <w:spacing w:line="360" w:lineRule="auto"/>
              <w:jc w:val="center"/>
              <w:rPr>
                <w:rFonts w:hint="default"/>
                <w:b/>
                <w:bCs/>
                <w:vertAlign w:val="baseline"/>
                <w:lang w:val="en-US" w:eastAsia="zh-CN"/>
              </w:rPr>
            </w:pPr>
            <w:r>
              <w:rPr>
                <w:rFonts w:hint="eastAsia"/>
                <w:b w:val="0"/>
                <w:bCs w:val="0"/>
                <w:vertAlign w:val="baseline"/>
                <w:lang w:val="en-US" w:eastAsia="zh-CN"/>
              </w:rPr>
              <w:t>49</w:t>
            </w:r>
          </w:p>
        </w:tc>
        <w:tc>
          <w:tcPr>
            <w:tcW w:w="1454" w:type="dxa"/>
            <w:vAlign w:val="center"/>
          </w:tcPr>
          <w:p w14:paraId="24E2DDD6">
            <w:pPr>
              <w:spacing w:line="360" w:lineRule="auto"/>
              <w:jc w:val="center"/>
              <w:rPr>
                <w:rFonts w:hint="default"/>
                <w:b w:val="0"/>
                <w:bCs w:val="0"/>
                <w:vertAlign w:val="baseline"/>
                <w:lang w:val="en-US" w:eastAsia="zh-CN"/>
              </w:rPr>
            </w:pPr>
            <w:r>
              <w:rPr>
                <w:rFonts w:hint="eastAsia"/>
                <w:b w:val="0"/>
                <w:bCs w:val="0"/>
                <w:vertAlign w:val="baseline"/>
                <w:lang w:val="en-US" w:eastAsia="zh-CN"/>
              </w:rPr>
              <w:t>10</w:t>
            </w:r>
          </w:p>
        </w:tc>
        <w:tc>
          <w:tcPr>
            <w:tcW w:w="1454" w:type="dxa"/>
            <w:vAlign w:val="center"/>
          </w:tcPr>
          <w:p w14:paraId="33FC1677">
            <w:pPr>
              <w:spacing w:line="360" w:lineRule="auto"/>
              <w:jc w:val="center"/>
              <w:rPr>
                <w:rFonts w:hint="default"/>
                <w:b w:val="0"/>
                <w:bCs w:val="0"/>
                <w:vertAlign w:val="baseline"/>
                <w:lang w:val="en-US" w:eastAsia="zh-CN"/>
              </w:rPr>
            </w:pPr>
            <w:r>
              <w:rPr>
                <w:rFonts w:hint="eastAsia"/>
                <w:b w:val="0"/>
                <w:bCs w:val="0"/>
                <w:vertAlign w:val="baseline"/>
                <w:lang w:val="en-US" w:eastAsia="zh-CN"/>
              </w:rPr>
              <w:t>29</w:t>
            </w:r>
          </w:p>
        </w:tc>
      </w:tr>
      <w:tr w14:paraId="5D2CB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3C5B3687">
            <w:pPr>
              <w:spacing w:line="360" w:lineRule="auto"/>
              <w:jc w:val="center"/>
              <w:rPr>
                <w:rFonts w:hint="default"/>
                <w:b/>
                <w:bCs/>
                <w:vertAlign w:val="baseline"/>
                <w:lang w:val="en-US" w:eastAsia="zh-CN"/>
              </w:rPr>
            </w:pPr>
          </w:p>
        </w:tc>
        <w:tc>
          <w:tcPr>
            <w:tcW w:w="1453" w:type="dxa"/>
            <w:vAlign w:val="center"/>
          </w:tcPr>
          <w:p w14:paraId="075A7F39">
            <w:pPr>
              <w:spacing w:line="360" w:lineRule="auto"/>
              <w:jc w:val="center"/>
              <w:rPr>
                <w:rFonts w:hint="default"/>
                <w:b w:val="0"/>
                <w:bCs w:val="0"/>
                <w:vertAlign w:val="baseline"/>
                <w:lang w:val="en-US" w:eastAsia="zh-CN"/>
              </w:rPr>
            </w:pPr>
            <w:r>
              <w:rPr>
                <w:rFonts w:hint="eastAsia"/>
                <w:b w:val="0"/>
                <w:bCs w:val="0"/>
                <w:vertAlign w:val="baseline"/>
                <w:lang w:val="en-US" w:eastAsia="zh-CN"/>
              </w:rPr>
              <w:t>南厂界1m</w:t>
            </w:r>
          </w:p>
        </w:tc>
        <w:tc>
          <w:tcPr>
            <w:tcW w:w="1453" w:type="dxa"/>
            <w:vMerge w:val="continue"/>
            <w:vAlign w:val="center"/>
          </w:tcPr>
          <w:p w14:paraId="590A6178">
            <w:pPr>
              <w:spacing w:line="360" w:lineRule="auto"/>
              <w:jc w:val="center"/>
              <w:rPr>
                <w:rFonts w:hint="default"/>
                <w:b/>
                <w:bCs/>
                <w:vertAlign w:val="baseline"/>
                <w:lang w:val="en-US" w:eastAsia="zh-CN"/>
              </w:rPr>
            </w:pPr>
          </w:p>
        </w:tc>
        <w:tc>
          <w:tcPr>
            <w:tcW w:w="1453" w:type="dxa"/>
            <w:vMerge w:val="continue"/>
            <w:vAlign w:val="center"/>
          </w:tcPr>
          <w:p w14:paraId="17D4274E">
            <w:pPr>
              <w:spacing w:line="360" w:lineRule="auto"/>
              <w:jc w:val="center"/>
              <w:rPr>
                <w:rFonts w:hint="default"/>
                <w:b/>
                <w:bCs/>
                <w:vertAlign w:val="baseline"/>
                <w:lang w:val="en-US" w:eastAsia="zh-CN"/>
              </w:rPr>
            </w:pPr>
          </w:p>
        </w:tc>
        <w:tc>
          <w:tcPr>
            <w:tcW w:w="1454" w:type="dxa"/>
            <w:vAlign w:val="center"/>
          </w:tcPr>
          <w:p w14:paraId="0BEA16FB">
            <w:pPr>
              <w:spacing w:line="360" w:lineRule="auto"/>
              <w:jc w:val="center"/>
              <w:rPr>
                <w:rFonts w:hint="default"/>
                <w:b w:val="0"/>
                <w:bCs w:val="0"/>
                <w:vertAlign w:val="baseline"/>
                <w:lang w:val="en-US" w:eastAsia="zh-CN"/>
              </w:rPr>
            </w:pPr>
            <w:r>
              <w:rPr>
                <w:rFonts w:hint="eastAsia"/>
                <w:b w:val="0"/>
                <w:bCs w:val="0"/>
                <w:vertAlign w:val="baseline"/>
                <w:lang w:val="en-US" w:eastAsia="zh-CN"/>
              </w:rPr>
              <w:t>20</w:t>
            </w:r>
          </w:p>
        </w:tc>
        <w:tc>
          <w:tcPr>
            <w:tcW w:w="1454" w:type="dxa"/>
            <w:vAlign w:val="center"/>
          </w:tcPr>
          <w:p w14:paraId="12922222">
            <w:pPr>
              <w:spacing w:line="360" w:lineRule="auto"/>
              <w:jc w:val="center"/>
              <w:rPr>
                <w:rFonts w:hint="default"/>
                <w:b w:val="0"/>
                <w:bCs w:val="0"/>
                <w:vertAlign w:val="baseline"/>
                <w:lang w:val="en-US" w:eastAsia="zh-CN"/>
              </w:rPr>
            </w:pPr>
            <w:r>
              <w:rPr>
                <w:rFonts w:hint="eastAsia"/>
                <w:b w:val="0"/>
                <w:bCs w:val="0"/>
                <w:vertAlign w:val="baseline"/>
                <w:lang w:val="en-US" w:eastAsia="zh-CN"/>
              </w:rPr>
              <w:t>23</w:t>
            </w:r>
          </w:p>
        </w:tc>
      </w:tr>
      <w:tr w14:paraId="6779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7C0435B7">
            <w:pPr>
              <w:spacing w:line="360" w:lineRule="auto"/>
              <w:jc w:val="center"/>
              <w:rPr>
                <w:rFonts w:hint="default"/>
                <w:b/>
                <w:bCs/>
                <w:vertAlign w:val="baseline"/>
                <w:lang w:val="en-US" w:eastAsia="zh-CN"/>
              </w:rPr>
            </w:pPr>
          </w:p>
        </w:tc>
        <w:tc>
          <w:tcPr>
            <w:tcW w:w="1453" w:type="dxa"/>
            <w:vAlign w:val="center"/>
          </w:tcPr>
          <w:p w14:paraId="51FEEA8D">
            <w:pPr>
              <w:spacing w:line="360" w:lineRule="auto"/>
              <w:jc w:val="center"/>
              <w:rPr>
                <w:rFonts w:hint="default"/>
                <w:b w:val="0"/>
                <w:bCs w:val="0"/>
                <w:vertAlign w:val="baseline"/>
                <w:lang w:val="en-US" w:eastAsia="zh-CN"/>
              </w:rPr>
            </w:pPr>
            <w:r>
              <w:rPr>
                <w:rFonts w:hint="eastAsia"/>
                <w:b w:val="0"/>
                <w:bCs w:val="0"/>
                <w:vertAlign w:val="baseline"/>
                <w:lang w:val="en-US" w:eastAsia="zh-CN"/>
              </w:rPr>
              <w:t>西厂界1m</w:t>
            </w:r>
          </w:p>
        </w:tc>
        <w:tc>
          <w:tcPr>
            <w:tcW w:w="1453" w:type="dxa"/>
            <w:vMerge w:val="continue"/>
            <w:vAlign w:val="center"/>
          </w:tcPr>
          <w:p w14:paraId="48D9B83F">
            <w:pPr>
              <w:spacing w:line="360" w:lineRule="auto"/>
              <w:jc w:val="center"/>
              <w:rPr>
                <w:rFonts w:hint="default"/>
                <w:b/>
                <w:bCs/>
                <w:vertAlign w:val="baseline"/>
                <w:lang w:val="en-US" w:eastAsia="zh-CN"/>
              </w:rPr>
            </w:pPr>
          </w:p>
        </w:tc>
        <w:tc>
          <w:tcPr>
            <w:tcW w:w="1453" w:type="dxa"/>
            <w:vMerge w:val="continue"/>
            <w:vAlign w:val="center"/>
          </w:tcPr>
          <w:p w14:paraId="2B059CA0">
            <w:pPr>
              <w:spacing w:line="360" w:lineRule="auto"/>
              <w:jc w:val="center"/>
              <w:rPr>
                <w:rFonts w:hint="default"/>
                <w:b/>
                <w:bCs/>
                <w:vertAlign w:val="baseline"/>
                <w:lang w:val="en-US" w:eastAsia="zh-CN"/>
              </w:rPr>
            </w:pPr>
          </w:p>
        </w:tc>
        <w:tc>
          <w:tcPr>
            <w:tcW w:w="1454" w:type="dxa"/>
            <w:vAlign w:val="center"/>
          </w:tcPr>
          <w:p w14:paraId="10FA8D0B">
            <w:pPr>
              <w:spacing w:line="360" w:lineRule="auto"/>
              <w:jc w:val="center"/>
              <w:rPr>
                <w:rFonts w:hint="default"/>
                <w:b w:val="0"/>
                <w:bCs w:val="0"/>
                <w:vertAlign w:val="baseline"/>
                <w:lang w:val="en-US" w:eastAsia="zh-CN"/>
              </w:rPr>
            </w:pPr>
            <w:r>
              <w:rPr>
                <w:rFonts w:hint="eastAsia"/>
                <w:b w:val="0"/>
                <w:bCs w:val="0"/>
                <w:vertAlign w:val="baseline"/>
                <w:lang w:val="en-US" w:eastAsia="zh-CN"/>
              </w:rPr>
              <w:t>70</w:t>
            </w:r>
          </w:p>
        </w:tc>
        <w:tc>
          <w:tcPr>
            <w:tcW w:w="1454" w:type="dxa"/>
            <w:vAlign w:val="center"/>
          </w:tcPr>
          <w:p w14:paraId="298CFCDB">
            <w:pPr>
              <w:spacing w:line="360" w:lineRule="auto"/>
              <w:jc w:val="center"/>
              <w:rPr>
                <w:rFonts w:hint="default"/>
                <w:b w:val="0"/>
                <w:bCs w:val="0"/>
                <w:vertAlign w:val="baseline"/>
                <w:lang w:val="en-US" w:eastAsia="zh-CN"/>
              </w:rPr>
            </w:pPr>
            <w:r>
              <w:rPr>
                <w:rFonts w:hint="eastAsia"/>
                <w:b w:val="0"/>
                <w:bCs w:val="0"/>
                <w:vertAlign w:val="baseline"/>
                <w:lang w:val="en-US" w:eastAsia="zh-CN"/>
              </w:rPr>
              <w:t>12</w:t>
            </w:r>
          </w:p>
        </w:tc>
      </w:tr>
      <w:tr w14:paraId="27320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344CE29C">
            <w:pPr>
              <w:spacing w:line="360" w:lineRule="auto"/>
              <w:jc w:val="center"/>
              <w:rPr>
                <w:rFonts w:hint="default"/>
                <w:b/>
                <w:bCs/>
                <w:vertAlign w:val="baseline"/>
                <w:lang w:val="en-US" w:eastAsia="zh-CN"/>
              </w:rPr>
            </w:pPr>
          </w:p>
        </w:tc>
        <w:tc>
          <w:tcPr>
            <w:tcW w:w="1453" w:type="dxa"/>
            <w:vAlign w:val="center"/>
          </w:tcPr>
          <w:p w14:paraId="24D9EBB8">
            <w:pPr>
              <w:spacing w:line="360" w:lineRule="auto"/>
              <w:jc w:val="center"/>
              <w:rPr>
                <w:rFonts w:hint="default"/>
                <w:b w:val="0"/>
                <w:bCs w:val="0"/>
                <w:vertAlign w:val="baseline"/>
                <w:lang w:val="en-US" w:eastAsia="zh-CN"/>
              </w:rPr>
            </w:pPr>
            <w:r>
              <w:rPr>
                <w:rFonts w:hint="eastAsia"/>
                <w:b w:val="0"/>
                <w:bCs w:val="0"/>
                <w:vertAlign w:val="baseline"/>
                <w:lang w:val="en-US" w:eastAsia="zh-CN"/>
              </w:rPr>
              <w:t>北厂界1m</w:t>
            </w:r>
          </w:p>
        </w:tc>
        <w:tc>
          <w:tcPr>
            <w:tcW w:w="1453" w:type="dxa"/>
            <w:vMerge w:val="continue"/>
            <w:vAlign w:val="center"/>
          </w:tcPr>
          <w:p w14:paraId="43A23A8C">
            <w:pPr>
              <w:spacing w:line="360" w:lineRule="auto"/>
              <w:jc w:val="center"/>
              <w:rPr>
                <w:rFonts w:hint="default"/>
                <w:b/>
                <w:bCs/>
                <w:vertAlign w:val="baseline"/>
                <w:lang w:val="en-US" w:eastAsia="zh-CN"/>
              </w:rPr>
            </w:pPr>
          </w:p>
        </w:tc>
        <w:tc>
          <w:tcPr>
            <w:tcW w:w="1453" w:type="dxa"/>
            <w:vMerge w:val="continue"/>
            <w:vAlign w:val="center"/>
          </w:tcPr>
          <w:p w14:paraId="6AD60197">
            <w:pPr>
              <w:spacing w:line="360" w:lineRule="auto"/>
              <w:jc w:val="center"/>
              <w:rPr>
                <w:rFonts w:hint="default"/>
                <w:b/>
                <w:bCs/>
                <w:vertAlign w:val="baseline"/>
                <w:lang w:val="en-US" w:eastAsia="zh-CN"/>
              </w:rPr>
            </w:pPr>
          </w:p>
        </w:tc>
        <w:tc>
          <w:tcPr>
            <w:tcW w:w="1454" w:type="dxa"/>
            <w:vAlign w:val="center"/>
          </w:tcPr>
          <w:p w14:paraId="0B577A34">
            <w:pPr>
              <w:spacing w:line="360" w:lineRule="auto"/>
              <w:jc w:val="center"/>
              <w:rPr>
                <w:rFonts w:hint="default"/>
                <w:b w:val="0"/>
                <w:bCs w:val="0"/>
                <w:vertAlign w:val="baseline"/>
                <w:lang w:val="en-US" w:eastAsia="zh-CN"/>
              </w:rPr>
            </w:pPr>
            <w:r>
              <w:rPr>
                <w:rFonts w:hint="eastAsia"/>
                <w:b w:val="0"/>
                <w:bCs w:val="0"/>
                <w:vertAlign w:val="baseline"/>
                <w:lang w:val="en-US" w:eastAsia="zh-CN"/>
              </w:rPr>
              <w:t>70</w:t>
            </w:r>
          </w:p>
        </w:tc>
        <w:tc>
          <w:tcPr>
            <w:tcW w:w="1454" w:type="dxa"/>
            <w:vAlign w:val="center"/>
          </w:tcPr>
          <w:p w14:paraId="6FFDE552">
            <w:pPr>
              <w:spacing w:line="360" w:lineRule="auto"/>
              <w:jc w:val="center"/>
              <w:rPr>
                <w:rFonts w:hint="default"/>
                <w:b w:val="0"/>
                <w:bCs w:val="0"/>
                <w:vertAlign w:val="baseline"/>
                <w:lang w:val="en-US" w:eastAsia="zh-CN"/>
              </w:rPr>
            </w:pPr>
            <w:r>
              <w:rPr>
                <w:rFonts w:hint="eastAsia"/>
                <w:b w:val="0"/>
                <w:bCs w:val="0"/>
                <w:vertAlign w:val="baseline"/>
                <w:lang w:val="en-US" w:eastAsia="zh-CN"/>
              </w:rPr>
              <w:t>12</w:t>
            </w:r>
          </w:p>
        </w:tc>
      </w:tr>
      <w:tr w14:paraId="600A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restart"/>
            <w:vAlign w:val="center"/>
          </w:tcPr>
          <w:p w14:paraId="385DD447">
            <w:pPr>
              <w:spacing w:line="360" w:lineRule="auto"/>
              <w:jc w:val="center"/>
              <w:rPr>
                <w:rFonts w:hint="default"/>
                <w:b/>
                <w:bCs/>
                <w:vertAlign w:val="baseline"/>
                <w:lang w:val="en-US" w:eastAsia="zh-CN"/>
              </w:rPr>
            </w:pPr>
            <w:r>
              <w:rPr>
                <w:rFonts w:hint="eastAsia"/>
                <w:b w:val="0"/>
                <w:bCs w:val="0"/>
                <w:vertAlign w:val="baseline"/>
                <w:lang w:val="en-US" w:eastAsia="zh-CN"/>
              </w:rPr>
              <w:t>破碎区</w:t>
            </w:r>
          </w:p>
        </w:tc>
        <w:tc>
          <w:tcPr>
            <w:tcW w:w="1453" w:type="dxa"/>
            <w:vAlign w:val="center"/>
          </w:tcPr>
          <w:p w14:paraId="27F59DC3">
            <w:pPr>
              <w:spacing w:line="360" w:lineRule="auto"/>
              <w:jc w:val="center"/>
              <w:rPr>
                <w:rFonts w:hint="default"/>
                <w:b/>
                <w:bCs/>
                <w:vertAlign w:val="baseline"/>
                <w:lang w:val="en-US" w:eastAsia="zh-CN"/>
              </w:rPr>
            </w:pPr>
            <w:r>
              <w:rPr>
                <w:rFonts w:hint="eastAsia"/>
                <w:b w:val="0"/>
                <w:bCs w:val="0"/>
                <w:vertAlign w:val="baseline"/>
                <w:lang w:val="en-US" w:eastAsia="zh-CN"/>
              </w:rPr>
              <w:t>东厂界1m</w:t>
            </w:r>
          </w:p>
        </w:tc>
        <w:tc>
          <w:tcPr>
            <w:tcW w:w="1453" w:type="dxa"/>
            <w:vMerge w:val="restart"/>
            <w:vAlign w:val="center"/>
          </w:tcPr>
          <w:p w14:paraId="5AE647A3">
            <w:pPr>
              <w:spacing w:line="360" w:lineRule="auto"/>
              <w:jc w:val="center"/>
              <w:rPr>
                <w:rFonts w:hint="default"/>
                <w:b w:val="0"/>
                <w:bCs w:val="0"/>
                <w:vertAlign w:val="baseline"/>
                <w:lang w:val="en-US" w:eastAsia="zh-CN"/>
              </w:rPr>
            </w:pPr>
            <w:r>
              <w:rPr>
                <w:rFonts w:hint="eastAsia"/>
                <w:b w:val="0"/>
                <w:bCs w:val="0"/>
                <w:vertAlign w:val="baseline"/>
                <w:lang w:val="en-US" w:eastAsia="zh-CN"/>
              </w:rPr>
              <w:t>破碎机</w:t>
            </w:r>
          </w:p>
        </w:tc>
        <w:tc>
          <w:tcPr>
            <w:tcW w:w="1453" w:type="dxa"/>
            <w:vMerge w:val="restart"/>
            <w:vAlign w:val="center"/>
          </w:tcPr>
          <w:p w14:paraId="7EC15D16">
            <w:pPr>
              <w:spacing w:line="360" w:lineRule="auto"/>
              <w:jc w:val="center"/>
              <w:rPr>
                <w:rFonts w:hint="default"/>
                <w:b/>
                <w:bCs/>
                <w:vertAlign w:val="baseline"/>
                <w:lang w:val="en-US" w:eastAsia="zh-CN"/>
              </w:rPr>
            </w:pPr>
            <w:r>
              <w:rPr>
                <w:rFonts w:hint="eastAsia"/>
                <w:b/>
                <w:bCs/>
                <w:vertAlign w:val="baseline"/>
                <w:lang w:val="en-US" w:eastAsia="zh-CN"/>
              </w:rPr>
              <w:t>77</w:t>
            </w:r>
          </w:p>
        </w:tc>
        <w:tc>
          <w:tcPr>
            <w:tcW w:w="1454" w:type="dxa"/>
            <w:vAlign w:val="center"/>
          </w:tcPr>
          <w:p w14:paraId="5F2E22EA">
            <w:pPr>
              <w:spacing w:line="360" w:lineRule="auto"/>
              <w:jc w:val="center"/>
              <w:rPr>
                <w:rFonts w:hint="default"/>
                <w:b/>
                <w:bCs/>
                <w:vertAlign w:val="baseline"/>
                <w:lang w:val="en-US" w:eastAsia="zh-CN"/>
              </w:rPr>
            </w:pPr>
            <w:r>
              <w:rPr>
                <w:rFonts w:hint="eastAsia"/>
                <w:b w:val="0"/>
                <w:bCs w:val="0"/>
                <w:vertAlign w:val="baseline"/>
                <w:lang w:val="en-US" w:eastAsia="zh-CN"/>
              </w:rPr>
              <w:t>40</w:t>
            </w:r>
          </w:p>
        </w:tc>
        <w:tc>
          <w:tcPr>
            <w:tcW w:w="1454" w:type="dxa"/>
            <w:vAlign w:val="center"/>
          </w:tcPr>
          <w:p w14:paraId="36787867">
            <w:pPr>
              <w:spacing w:line="360" w:lineRule="auto"/>
              <w:jc w:val="center"/>
              <w:rPr>
                <w:rFonts w:hint="default"/>
                <w:b w:val="0"/>
                <w:bCs w:val="0"/>
                <w:vertAlign w:val="baseline"/>
                <w:lang w:val="en-US" w:eastAsia="zh-CN"/>
              </w:rPr>
            </w:pPr>
            <w:r>
              <w:rPr>
                <w:rFonts w:hint="eastAsia"/>
                <w:b w:val="0"/>
                <w:bCs w:val="0"/>
                <w:vertAlign w:val="baseline"/>
                <w:lang w:val="en-US" w:eastAsia="zh-CN"/>
              </w:rPr>
              <w:t>45</w:t>
            </w:r>
          </w:p>
        </w:tc>
      </w:tr>
      <w:tr w14:paraId="3D195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30EF3C15">
            <w:pPr>
              <w:spacing w:line="360" w:lineRule="auto"/>
              <w:jc w:val="center"/>
              <w:rPr>
                <w:rFonts w:hint="eastAsia"/>
                <w:b w:val="0"/>
                <w:bCs w:val="0"/>
                <w:vertAlign w:val="baseline"/>
                <w:lang w:val="en-US" w:eastAsia="zh-CN"/>
              </w:rPr>
            </w:pPr>
          </w:p>
        </w:tc>
        <w:tc>
          <w:tcPr>
            <w:tcW w:w="1453" w:type="dxa"/>
            <w:vAlign w:val="center"/>
          </w:tcPr>
          <w:p w14:paraId="6CF4163C">
            <w:pPr>
              <w:spacing w:line="360" w:lineRule="auto"/>
              <w:jc w:val="center"/>
              <w:rPr>
                <w:rFonts w:hint="eastAsia"/>
                <w:b w:val="0"/>
                <w:bCs w:val="0"/>
                <w:vertAlign w:val="baseline"/>
                <w:lang w:val="en-US" w:eastAsia="zh-CN"/>
              </w:rPr>
            </w:pPr>
            <w:r>
              <w:rPr>
                <w:rFonts w:hint="eastAsia"/>
                <w:b w:val="0"/>
                <w:bCs w:val="0"/>
                <w:vertAlign w:val="baseline"/>
                <w:lang w:val="en-US" w:eastAsia="zh-CN"/>
              </w:rPr>
              <w:t>南厂界1m</w:t>
            </w:r>
          </w:p>
        </w:tc>
        <w:tc>
          <w:tcPr>
            <w:tcW w:w="1453" w:type="dxa"/>
            <w:vMerge w:val="continue"/>
            <w:vAlign w:val="center"/>
          </w:tcPr>
          <w:p w14:paraId="2A825FF7">
            <w:pPr>
              <w:spacing w:line="360" w:lineRule="auto"/>
              <w:jc w:val="center"/>
              <w:rPr>
                <w:rFonts w:hint="eastAsia"/>
                <w:b w:val="0"/>
                <w:bCs w:val="0"/>
                <w:vertAlign w:val="baseline"/>
                <w:lang w:val="en-US" w:eastAsia="zh-CN"/>
              </w:rPr>
            </w:pPr>
          </w:p>
        </w:tc>
        <w:tc>
          <w:tcPr>
            <w:tcW w:w="1453" w:type="dxa"/>
            <w:vMerge w:val="continue"/>
            <w:vAlign w:val="center"/>
          </w:tcPr>
          <w:p w14:paraId="6E144B86">
            <w:pPr>
              <w:spacing w:line="360" w:lineRule="auto"/>
              <w:jc w:val="center"/>
              <w:rPr>
                <w:rFonts w:hint="default"/>
                <w:b/>
                <w:bCs/>
                <w:vertAlign w:val="baseline"/>
                <w:lang w:val="en-US" w:eastAsia="zh-CN"/>
              </w:rPr>
            </w:pPr>
          </w:p>
        </w:tc>
        <w:tc>
          <w:tcPr>
            <w:tcW w:w="1454" w:type="dxa"/>
            <w:vAlign w:val="center"/>
          </w:tcPr>
          <w:p w14:paraId="31A3FC1B">
            <w:pPr>
              <w:spacing w:line="360" w:lineRule="auto"/>
              <w:jc w:val="center"/>
              <w:rPr>
                <w:rFonts w:hint="default"/>
                <w:b/>
                <w:bCs/>
                <w:vertAlign w:val="baseline"/>
                <w:lang w:val="en-US" w:eastAsia="zh-CN"/>
              </w:rPr>
            </w:pPr>
            <w:r>
              <w:rPr>
                <w:rFonts w:hint="eastAsia"/>
                <w:b w:val="0"/>
                <w:bCs w:val="0"/>
                <w:vertAlign w:val="baseline"/>
                <w:lang w:val="en-US" w:eastAsia="zh-CN"/>
              </w:rPr>
              <w:t>25</w:t>
            </w:r>
          </w:p>
        </w:tc>
        <w:tc>
          <w:tcPr>
            <w:tcW w:w="1454" w:type="dxa"/>
            <w:vAlign w:val="center"/>
          </w:tcPr>
          <w:p w14:paraId="649DFC44">
            <w:pPr>
              <w:spacing w:line="360" w:lineRule="auto"/>
              <w:jc w:val="center"/>
              <w:rPr>
                <w:rFonts w:hint="default"/>
                <w:b w:val="0"/>
                <w:bCs w:val="0"/>
                <w:vertAlign w:val="baseline"/>
                <w:lang w:val="en-US" w:eastAsia="zh-CN"/>
              </w:rPr>
            </w:pPr>
            <w:r>
              <w:rPr>
                <w:rFonts w:hint="eastAsia"/>
                <w:b w:val="0"/>
                <w:bCs w:val="0"/>
                <w:vertAlign w:val="baseline"/>
                <w:lang w:val="en-US" w:eastAsia="zh-CN"/>
              </w:rPr>
              <w:t>49</w:t>
            </w:r>
          </w:p>
        </w:tc>
      </w:tr>
      <w:tr w14:paraId="4942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461D8226">
            <w:pPr>
              <w:spacing w:line="360" w:lineRule="auto"/>
              <w:jc w:val="center"/>
              <w:rPr>
                <w:rFonts w:hint="eastAsia"/>
                <w:b w:val="0"/>
                <w:bCs w:val="0"/>
                <w:vertAlign w:val="baseline"/>
                <w:lang w:val="en-US" w:eastAsia="zh-CN"/>
              </w:rPr>
            </w:pPr>
          </w:p>
        </w:tc>
        <w:tc>
          <w:tcPr>
            <w:tcW w:w="1453" w:type="dxa"/>
            <w:vAlign w:val="center"/>
          </w:tcPr>
          <w:p w14:paraId="61779C91">
            <w:pPr>
              <w:spacing w:line="360" w:lineRule="auto"/>
              <w:jc w:val="center"/>
              <w:rPr>
                <w:rFonts w:hint="eastAsia"/>
                <w:b w:val="0"/>
                <w:bCs w:val="0"/>
                <w:vertAlign w:val="baseline"/>
                <w:lang w:val="en-US" w:eastAsia="zh-CN"/>
              </w:rPr>
            </w:pPr>
            <w:r>
              <w:rPr>
                <w:rFonts w:hint="eastAsia"/>
                <w:b w:val="0"/>
                <w:bCs w:val="0"/>
                <w:vertAlign w:val="baseline"/>
                <w:lang w:val="en-US" w:eastAsia="zh-CN"/>
              </w:rPr>
              <w:t>西厂界1m</w:t>
            </w:r>
          </w:p>
        </w:tc>
        <w:tc>
          <w:tcPr>
            <w:tcW w:w="1453" w:type="dxa"/>
            <w:vMerge w:val="continue"/>
            <w:vAlign w:val="center"/>
          </w:tcPr>
          <w:p w14:paraId="0BC5AD86">
            <w:pPr>
              <w:spacing w:line="360" w:lineRule="auto"/>
              <w:jc w:val="center"/>
              <w:rPr>
                <w:rFonts w:hint="eastAsia"/>
                <w:b w:val="0"/>
                <w:bCs w:val="0"/>
                <w:vertAlign w:val="baseline"/>
                <w:lang w:val="en-US" w:eastAsia="zh-CN"/>
              </w:rPr>
            </w:pPr>
          </w:p>
        </w:tc>
        <w:tc>
          <w:tcPr>
            <w:tcW w:w="1453" w:type="dxa"/>
            <w:vMerge w:val="continue"/>
            <w:vAlign w:val="center"/>
          </w:tcPr>
          <w:p w14:paraId="3E7AF517">
            <w:pPr>
              <w:spacing w:line="360" w:lineRule="auto"/>
              <w:jc w:val="center"/>
              <w:rPr>
                <w:rFonts w:hint="default"/>
                <w:b/>
                <w:bCs/>
                <w:vertAlign w:val="baseline"/>
                <w:lang w:val="en-US" w:eastAsia="zh-CN"/>
              </w:rPr>
            </w:pPr>
          </w:p>
        </w:tc>
        <w:tc>
          <w:tcPr>
            <w:tcW w:w="1454" w:type="dxa"/>
            <w:vAlign w:val="center"/>
          </w:tcPr>
          <w:p w14:paraId="3B754673">
            <w:pPr>
              <w:spacing w:line="360" w:lineRule="auto"/>
              <w:jc w:val="center"/>
              <w:rPr>
                <w:rFonts w:hint="default"/>
                <w:b/>
                <w:bCs/>
                <w:vertAlign w:val="baseline"/>
                <w:lang w:val="en-US" w:eastAsia="zh-CN"/>
              </w:rPr>
            </w:pPr>
            <w:r>
              <w:rPr>
                <w:rFonts w:hint="eastAsia"/>
                <w:b w:val="0"/>
                <w:bCs w:val="0"/>
                <w:vertAlign w:val="baseline"/>
                <w:lang w:val="en-US" w:eastAsia="zh-CN"/>
              </w:rPr>
              <w:t>60</w:t>
            </w:r>
          </w:p>
        </w:tc>
        <w:tc>
          <w:tcPr>
            <w:tcW w:w="1454" w:type="dxa"/>
            <w:vAlign w:val="center"/>
          </w:tcPr>
          <w:p w14:paraId="592D4678">
            <w:pPr>
              <w:spacing w:line="360" w:lineRule="auto"/>
              <w:jc w:val="center"/>
              <w:rPr>
                <w:rFonts w:hint="default"/>
                <w:b w:val="0"/>
                <w:bCs w:val="0"/>
                <w:vertAlign w:val="baseline"/>
                <w:lang w:val="en-US" w:eastAsia="zh-CN"/>
              </w:rPr>
            </w:pPr>
            <w:r>
              <w:rPr>
                <w:rFonts w:hint="eastAsia"/>
                <w:b w:val="0"/>
                <w:bCs w:val="0"/>
                <w:vertAlign w:val="baseline"/>
                <w:lang w:val="en-US" w:eastAsia="zh-CN"/>
              </w:rPr>
              <w:t>41</w:t>
            </w:r>
          </w:p>
        </w:tc>
      </w:tr>
      <w:tr w14:paraId="26603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Merge w:val="continue"/>
            <w:vAlign w:val="center"/>
          </w:tcPr>
          <w:p w14:paraId="56D7AA0E">
            <w:pPr>
              <w:spacing w:line="360" w:lineRule="auto"/>
              <w:jc w:val="center"/>
              <w:rPr>
                <w:rFonts w:hint="eastAsia"/>
                <w:b w:val="0"/>
                <w:bCs w:val="0"/>
                <w:vertAlign w:val="baseline"/>
                <w:lang w:val="en-US" w:eastAsia="zh-CN"/>
              </w:rPr>
            </w:pPr>
          </w:p>
        </w:tc>
        <w:tc>
          <w:tcPr>
            <w:tcW w:w="1453" w:type="dxa"/>
            <w:vAlign w:val="center"/>
          </w:tcPr>
          <w:p w14:paraId="1899C83A">
            <w:pPr>
              <w:spacing w:line="360" w:lineRule="auto"/>
              <w:jc w:val="center"/>
              <w:rPr>
                <w:rFonts w:hint="eastAsia"/>
                <w:b w:val="0"/>
                <w:bCs w:val="0"/>
                <w:vertAlign w:val="baseline"/>
                <w:lang w:val="en-US" w:eastAsia="zh-CN"/>
              </w:rPr>
            </w:pPr>
            <w:r>
              <w:rPr>
                <w:rFonts w:hint="eastAsia"/>
                <w:b w:val="0"/>
                <w:bCs w:val="0"/>
                <w:vertAlign w:val="baseline"/>
                <w:lang w:val="en-US" w:eastAsia="zh-CN"/>
              </w:rPr>
              <w:t>北厂界1m</w:t>
            </w:r>
          </w:p>
        </w:tc>
        <w:tc>
          <w:tcPr>
            <w:tcW w:w="1453" w:type="dxa"/>
            <w:vMerge w:val="continue"/>
            <w:vAlign w:val="center"/>
          </w:tcPr>
          <w:p w14:paraId="0419FD43">
            <w:pPr>
              <w:spacing w:line="360" w:lineRule="auto"/>
              <w:jc w:val="center"/>
              <w:rPr>
                <w:rFonts w:hint="eastAsia"/>
                <w:b w:val="0"/>
                <w:bCs w:val="0"/>
                <w:vertAlign w:val="baseline"/>
                <w:lang w:val="en-US" w:eastAsia="zh-CN"/>
              </w:rPr>
            </w:pPr>
          </w:p>
        </w:tc>
        <w:tc>
          <w:tcPr>
            <w:tcW w:w="1453" w:type="dxa"/>
            <w:vMerge w:val="continue"/>
            <w:vAlign w:val="center"/>
          </w:tcPr>
          <w:p w14:paraId="346FA7FA">
            <w:pPr>
              <w:spacing w:line="360" w:lineRule="auto"/>
              <w:jc w:val="center"/>
              <w:rPr>
                <w:rFonts w:hint="default"/>
                <w:b/>
                <w:bCs/>
                <w:vertAlign w:val="baseline"/>
                <w:lang w:val="en-US" w:eastAsia="zh-CN"/>
              </w:rPr>
            </w:pPr>
          </w:p>
        </w:tc>
        <w:tc>
          <w:tcPr>
            <w:tcW w:w="1454" w:type="dxa"/>
            <w:vAlign w:val="center"/>
          </w:tcPr>
          <w:p w14:paraId="1B3AD382">
            <w:pPr>
              <w:spacing w:line="360" w:lineRule="auto"/>
              <w:jc w:val="center"/>
              <w:rPr>
                <w:rFonts w:hint="default"/>
                <w:b/>
                <w:bCs/>
                <w:vertAlign w:val="baseline"/>
                <w:lang w:val="en-US" w:eastAsia="zh-CN"/>
              </w:rPr>
            </w:pPr>
            <w:r>
              <w:rPr>
                <w:rFonts w:hint="eastAsia"/>
                <w:b w:val="0"/>
                <w:bCs w:val="0"/>
                <w:vertAlign w:val="baseline"/>
                <w:lang w:val="en-US" w:eastAsia="zh-CN"/>
              </w:rPr>
              <w:t>30</w:t>
            </w:r>
          </w:p>
        </w:tc>
        <w:tc>
          <w:tcPr>
            <w:tcW w:w="1454" w:type="dxa"/>
            <w:vAlign w:val="center"/>
          </w:tcPr>
          <w:p w14:paraId="76D7A6E4">
            <w:pPr>
              <w:spacing w:line="360" w:lineRule="auto"/>
              <w:jc w:val="center"/>
              <w:rPr>
                <w:rFonts w:hint="default"/>
                <w:b w:val="0"/>
                <w:bCs w:val="0"/>
                <w:vertAlign w:val="baseline"/>
                <w:lang w:val="en-US" w:eastAsia="zh-CN"/>
              </w:rPr>
            </w:pPr>
            <w:r>
              <w:rPr>
                <w:rFonts w:hint="eastAsia"/>
                <w:b w:val="0"/>
                <w:bCs w:val="0"/>
                <w:vertAlign w:val="baseline"/>
                <w:lang w:val="en-US" w:eastAsia="zh-CN"/>
              </w:rPr>
              <w:t>47</w:t>
            </w:r>
          </w:p>
        </w:tc>
      </w:tr>
    </w:tbl>
    <w:p w14:paraId="40F5E9F5">
      <w:pPr>
        <w:spacing w:line="360" w:lineRule="auto"/>
        <w:ind w:firstLine="480" w:firstLineChars="200"/>
        <w:rPr>
          <w:rFonts w:hint="default" w:eastAsia="宋体"/>
          <w:color w:val="auto"/>
          <w:sz w:val="24"/>
          <w:lang w:val="en-US" w:eastAsia="zh-CN"/>
        </w:rPr>
      </w:pPr>
      <w:r>
        <w:rPr>
          <w:color w:val="auto"/>
          <w:sz w:val="24"/>
        </w:rPr>
        <w:t>从预测结果可知，</w:t>
      </w:r>
      <w:r>
        <w:rPr>
          <w:rFonts w:hint="eastAsia"/>
          <w:color w:val="auto"/>
          <w:sz w:val="24"/>
        </w:rPr>
        <w:t>采取</w:t>
      </w:r>
      <w:r>
        <w:rPr>
          <w:color w:val="auto"/>
          <w:sz w:val="24"/>
        </w:rPr>
        <w:t>环评提出的噪声防治措施</w:t>
      </w:r>
      <w:r>
        <w:rPr>
          <w:rFonts w:hint="eastAsia"/>
          <w:color w:val="auto"/>
          <w:sz w:val="24"/>
        </w:rPr>
        <w:t>的</w:t>
      </w:r>
      <w:r>
        <w:rPr>
          <w:color w:val="auto"/>
          <w:sz w:val="24"/>
        </w:rPr>
        <w:t>条件下，项目运行后厂界四周</w:t>
      </w:r>
      <w:r>
        <w:rPr>
          <w:rFonts w:hint="eastAsia"/>
          <w:color w:val="auto"/>
          <w:sz w:val="24"/>
          <w:lang w:val="en-US" w:eastAsia="zh-CN"/>
        </w:rPr>
        <w:t>噪声贡献值</w:t>
      </w:r>
      <w:r>
        <w:rPr>
          <w:color w:val="auto"/>
          <w:sz w:val="24"/>
        </w:rPr>
        <w:t>满足《工业企业厂界环境噪声排放标准》（GB12348-2008）中</w:t>
      </w:r>
      <w:r>
        <w:rPr>
          <w:rFonts w:hint="eastAsia"/>
          <w:color w:val="auto"/>
          <w:sz w:val="24"/>
          <w:lang w:val="en-US" w:eastAsia="zh-CN"/>
        </w:rPr>
        <w:t>3</w:t>
      </w:r>
      <w:r>
        <w:rPr>
          <w:color w:val="auto"/>
          <w:sz w:val="24"/>
        </w:rPr>
        <w:t>类标准要求</w:t>
      </w:r>
      <w:r>
        <w:rPr>
          <w:rFonts w:hint="eastAsia"/>
          <w:color w:val="auto"/>
          <w:sz w:val="24"/>
          <w:lang w:eastAsia="zh-CN"/>
        </w:rPr>
        <w:t>，</w:t>
      </w:r>
      <w:r>
        <w:rPr>
          <w:rFonts w:hint="eastAsia"/>
          <w:color w:val="auto"/>
          <w:sz w:val="24"/>
          <w:lang w:val="en-US" w:eastAsia="zh-CN"/>
        </w:rPr>
        <w:t>即</w:t>
      </w:r>
      <w:r>
        <w:rPr>
          <w:rFonts w:hint="eastAsia"/>
          <w:color w:val="auto"/>
          <w:sz w:val="24"/>
        </w:rPr>
        <w:t>昼间</w:t>
      </w:r>
      <w:r>
        <w:rPr>
          <w:rFonts w:hint="eastAsia"/>
          <w:color w:val="auto"/>
          <w:sz w:val="24"/>
          <w:lang w:val="en-US" w:eastAsia="zh-CN"/>
        </w:rPr>
        <w:t>65</w:t>
      </w:r>
      <w:r>
        <w:rPr>
          <w:color w:val="auto"/>
          <w:sz w:val="24"/>
        </w:rPr>
        <w:t>dB(A)</w:t>
      </w:r>
      <w:r>
        <w:rPr>
          <w:rFonts w:hint="eastAsia"/>
          <w:color w:val="auto"/>
          <w:sz w:val="24"/>
        </w:rPr>
        <w:t>，夜间</w:t>
      </w:r>
      <w:r>
        <w:rPr>
          <w:rFonts w:hint="eastAsia"/>
          <w:color w:val="auto"/>
          <w:sz w:val="24"/>
          <w:lang w:val="en-US" w:eastAsia="zh-CN"/>
        </w:rPr>
        <w:t>55</w:t>
      </w:r>
      <w:r>
        <w:rPr>
          <w:color w:val="auto"/>
          <w:sz w:val="24"/>
        </w:rPr>
        <w:t>dB(A)</w:t>
      </w:r>
      <w:r>
        <w:rPr>
          <w:rFonts w:hint="eastAsia"/>
          <w:color w:val="auto"/>
          <w:sz w:val="24"/>
          <w:lang w:eastAsia="zh-CN"/>
        </w:rPr>
        <w:t>，</w:t>
      </w:r>
      <w:r>
        <w:rPr>
          <w:rFonts w:hint="eastAsia"/>
          <w:color w:val="auto"/>
          <w:sz w:val="24"/>
          <w:lang w:val="en-US" w:eastAsia="zh-CN"/>
        </w:rPr>
        <w:t>可实现</w:t>
      </w:r>
      <w:r>
        <w:rPr>
          <w:rFonts w:hint="eastAsia"/>
          <w:color w:val="auto"/>
          <w:sz w:val="24"/>
          <w:lang w:eastAsia="zh-CN"/>
        </w:rPr>
        <w:t>达标排放</w:t>
      </w:r>
      <w:r>
        <w:rPr>
          <w:color w:val="auto"/>
          <w:sz w:val="24"/>
        </w:rPr>
        <w:t>。</w:t>
      </w:r>
      <w:r>
        <w:rPr>
          <w:rFonts w:hint="eastAsia"/>
          <w:color w:val="auto"/>
          <w:sz w:val="24"/>
          <w:lang w:val="en-US" w:eastAsia="zh-CN"/>
        </w:rPr>
        <w:t>项目噪声评价范围内无环境敏感点，无需进行评价预测。</w:t>
      </w:r>
    </w:p>
    <w:p w14:paraId="280680C3">
      <w:pPr>
        <w:pStyle w:val="5"/>
        <w:bidi w:val="0"/>
        <w:rPr>
          <w:rFonts w:hint="eastAsia"/>
          <w:lang w:val="en-US" w:eastAsia="zh-CN"/>
        </w:rPr>
      </w:pPr>
      <w:r>
        <w:rPr>
          <w:rFonts w:hint="eastAsia"/>
          <w:lang w:val="en-US" w:eastAsia="zh-CN"/>
        </w:rPr>
        <w:t>5.2.4固体废物环境影响分析与评价</w:t>
      </w:r>
    </w:p>
    <w:p w14:paraId="45234FD7">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.1固体废物产生及处置情况</w:t>
      </w:r>
    </w:p>
    <w:p w14:paraId="15B3A1A1">
      <w:pPr>
        <w:autoSpaceDE w:val="0"/>
        <w:autoSpaceDN w:val="0"/>
        <w:adjustRightInd w:val="0"/>
        <w:spacing w:line="360" w:lineRule="auto"/>
        <w:jc w:val="center"/>
        <w:rPr>
          <w:b/>
          <w:color w:val="auto"/>
          <w:sz w:val="24"/>
          <w:szCs w:val="24"/>
        </w:rPr>
      </w:pPr>
      <w:r>
        <w:rPr>
          <w:b/>
          <w:color w:val="auto"/>
          <w:sz w:val="24"/>
          <w:szCs w:val="24"/>
        </w:rPr>
        <w:t>表</w:t>
      </w:r>
      <w:r>
        <w:rPr>
          <w:rFonts w:hint="eastAsia"/>
          <w:b/>
          <w:color w:val="auto"/>
          <w:sz w:val="24"/>
          <w:szCs w:val="24"/>
          <w:lang w:val="en-US" w:eastAsia="zh-CN"/>
        </w:rPr>
        <w:t xml:space="preserve">5.2-6 </w:t>
      </w:r>
      <w:r>
        <w:rPr>
          <w:b/>
          <w:color w:val="auto"/>
          <w:sz w:val="24"/>
          <w:szCs w:val="24"/>
        </w:rPr>
        <w:t xml:space="preserve">   </w:t>
      </w:r>
      <w:r>
        <w:rPr>
          <w:rFonts w:hint="eastAsia"/>
          <w:b/>
          <w:color w:val="auto"/>
          <w:sz w:val="24"/>
          <w:szCs w:val="24"/>
          <w:lang w:eastAsia="zh-CN"/>
        </w:rPr>
        <w:t>本次改扩建</w:t>
      </w:r>
      <w:r>
        <w:rPr>
          <w:rFonts w:hint="eastAsia"/>
          <w:b/>
          <w:color w:val="auto"/>
          <w:sz w:val="24"/>
          <w:szCs w:val="24"/>
          <w:lang w:val="en-US" w:eastAsia="zh-CN"/>
        </w:rPr>
        <w:t>新增</w:t>
      </w:r>
      <w:r>
        <w:rPr>
          <w:rFonts w:hint="eastAsia"/>
          <w:b/>
          <w:color w:val="auto"/>
          <w:sz w:val="24"/>
          <w:szCs w:val="24"/>
        </w:rPr>
        <w:t>一般</w:t>
      </w:r>
      <w:r>
        <w:rPr>
          <w:b/>
          <w:color w:val="auto"/>
          <w:sz w:val="24"/>
          <w:szCs w:val="24"/>
        </w:rPr>
        <w:t>固废物</w:t>
      </w:r>
      <w:r>
        <w:rPr>
          <w:rFonts w:hint="eastAsia"/>
          <w:b/>
          <w:color w:val="auto"/>
          <w:sz w:val="24"/>
          <w:szCs w:val="24"/>
          <w:lang w:val="en-US" w:eastAsia="zh-CN"/>
        </w:rPr>
        <w:t>及生活垃圾产排</w:t>
      </w:r>
      <w:r>
        <w:rPr>
          <w:b/>
          <w:color w:val="auto"/>
          <w:sz w:val="24"/>
          <w:szCs w:val="24"/>
        </w:rPr>
        <w:t>情况一览表</w:t>
      </w:r>
    </w:p>
    <w:tbl>
      <w:tblPr>
        <w:tblStyle w:val="7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744"/>
        <w:gridCol w:w="1444"/>
        <w:gridCol w:w="1410"/>
        <w:gridCol w:w="1328"/>
        <w:gridCol w:w="2804"/>
      </w:tblGrid>
      <w:tr w14:paraId="3E639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0A9C2200">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lang w:eastAsia="zh-CN"/>
              </w:rPr>
              <w:t>序号</w:t>
            </w:r>
          </w:p>
        </w:tc>
        <w:tc>
          <w:tcPr>
            <w:tcW w:w="922" w:type="pct"/>
            <w:tcBorders>
              <w:tl2br w:val="nil"/>
              <w:tr2bl w:val="nil"/>
            </w:tcBorders>
            <w:noWrap w:val="0"/>
            <w:vAlign w:val="center"/>
          </w:tcPr>
          <w:p w14:paraId="00B61DDA">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固体废物</w:t>
            </w:r>
            <w:r>
              <w:rPr>
                <w:rFonts w:hint="default" w:ascii="Times New Roman" w:hAnsi="Times New Roman" w:eastAsia="宋体" w:cs="Times New Roman"/>
                <w:b/>
                <w:bCs/>
                <w:color w:val="auto"/>
                <w:szCs w:val="21"/>
                <w:highlight w:val="none"/>
                <w:lang w:eastAsia="zh-CN"/>
              </w:rPr>
              <w:t>名称</w:t>
            </w:r>
          </w:p>
        </w:tc>
        <w:tc>
          <w:tcPr>
            <w:tcW w:w="763" w:type="pct"/>
            <w:tcBorders>
              <w:tl2br w:val="nil"/>
              <w:tr2bl w:val="nil"/>
            </w:tcBorders>
            <w:noWrap w:val="0"/>
            <w:vAlign w:val="center"/>
          </w:tcPr>
          <w:p w14:paraId="1CFFFA7E">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Cs w:val="21"/>
                <w:highlight w:val="none"/>
                <w:lang w:eastAsia="zh-CN"/>
              </w:rPr>
              <w:t>代码</w:t>
            </w:r>
          </w:p>
        </w:tc>
        <w:tc>
          <w:tcPr>
            <w:tcW w:w="745" w:type="pct"/>
            <w:tcBorders>
              <w:tl2br w:val="nil"/>
              <w:tr2bl w:val="nil"/>
            </w:tcBorders>
            <w:noWrap w:val="0"/>
            <w:vAlign w:val="center"/>
          </w:tcPr>
          <w:p w14:paraId="6CDA7B13">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产生量</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t/a</w:t>
            </w:r>
            <w:r>
              <w:rPr>
                <w:rFonts w:hint="default" w:ascii="Times New Roman" w:hAnsi="Times New Roman" w:eastAsia="宋体" w:cs="Times New Roman"/>
                <w:b/>
                <w:bCs/>
                <w:color w:val="auto"/>
                <w:szCs w:val="21"/>
                <w:highlight w:val="none"/>
                <w:lang w:eastAsia="zh-CN"/>
              </w:rPr>
              <w:t>)</w:t>
            </w:r>
          </w:p>
        </w:tc>
        <w:tc>
          <w:tcPr>
            <w:tcW w:w="702" w:type="pct"/>
            <w:tcBorders>
              <w:tl2br w:val="nil"/>
              <w:tr2bl w:val="nil"/>
            </w:tcBorders>
            <w:noWrap w:val="0"/>
            <w:vAlign w:val="center"/>
          </w:tcPr>
          <w:p w14:paraId="1013B943">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Cs w:val="21"/>
                <w:highlight w:val="none"/>
                <w:lang w:eastAsia="zh-CN"/>
              </w:rPr>
            </w:pPr>
            <w:r>
              <w:rPr>
                <w:rFonts w:hint="default" w:ascii="Times New Roman" w:hAnsi="Times New Roman" w:eastAsia="宋体" w:cs="Times New Roman"/>
                <w:b/>
                <w:bCs/>
                <w:color w:val="auto"/>
                <w:szCs w:val="21"/>
                <w:highlight w:val="none"/>
              </w:rPr>
              <w:t>排放量</w:t>
            </w:r>
            <w:r>
              <w:rPr>
                <w:rFonts w:hint="default" w:ascii="Times New Roman" w:hAnsi="Times New Roman" w:eastAsia="宋体" w:cs="Times New Roman"/>
                <w:b/>
                <w:bCs/>
                <w:color w:val="auto"/>
                <w:szCs w:val="21"/>
                <w:highlight w:val="none"/>
                <w:lang w:eastAsia="zh-CN"/>
              </w:rPr>
              <w:t>(</w:t>
            </w:r>
            <w:r>
              <w:rPr>
                <w:rFonts w:hint="default" w:ascii="Times New Roman" w:hAnsi="Times New Roman" w:eastAsia="宋体" w:cs="Times New Roman"/>
                <w:b/>
                <w:bCs/>
                <w:color w:val="auto"/>
                <w:szCs w:val="21"/>
                <w:highlight w:val="none"/>
              </w:rPr>
              <w:t>t/a</w:t>
            </w:r>
            <w:r>
              <w:rPr>
                <w:rFonts w:hint="default" w:ascii="Times New Roman" w:hAnsi="Times New Roman" w:eastAsia="宋体" w:cs="Times New Roman"/>
                <w:b/>
                <w:bCs/>
                <w:color w:val="auto"/>
                <w:szCs w:val="21"/>
                <w:highlight w:val="none"/>
                <w:lang w:eastAsia="zh-CN"/>
              </w:rPr>
              <w:t>)</w:t>
            </w:r>
          </w:p>
        </w:tc>
        <w:tc>
          <w:tcPr>
            <w:tcW w:w="1482" w:type="pct"/>
            <w:tcBorders>
              <w:tl2br w:val="nil"/>
              <w:tr2bl w:val="nil"/>
            </w:tcBorders>
            <w:noWrap w:val="0"/>
            <w:vAlign w:val="center"/>
          </w:tcPr>
          <w:p w14:paraId="3DFF8D19">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防治措施</w:t>
            </w:r>
          </w:p>
        </w:tc>
      </w:tr>
      <w:tr w14:paraId="00F9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550F734D">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1</w:t>
            </w:r>
          </w:p>
        </w:tc>
        <w:tc>
          <w:tcPr>
            <w:tcW w:w="922" w:type="pct"/>
            <w:tcBorders>
              <w:tl2br w:val="nil"/>
              <w:tr2bl w:val="nil"/>
            </w:tcBorders>
            <w:noWrap w:val="0"/>
            <w:vAlign w:val="center"/>
          </w:tcPr>
          <w:p w14:paraId="0281D2E4">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b w:val="0"/>
                <w:bCs w:val="0"/>
                <w:color w:val="auto"/>
                <w:szCs w:val="21"/>
                <w:highlight w:val="none"/>
                <w:lang w:eastAsia="zh-CN"/>
              </w:rPr>
            </w:pPr>
            <w:r>
              <w:rPr>
                <w:rFonts w:hint="eastAsia" w:eastAsia="宋体" w:cs="Times New Roman"/>
                <w:b w:val="0"/>
                <w:bCs w:val="0"/>
                <w:color w:val="auto"/>
                <w:szCs w:val="21"/>
                <w:highlight w:val="none"/>
                <w:lang w:eastAsia="zh-CN"/>
              </w:rPr>
              <w:t>尾矿</w:t>
            </w:r>
          </w:p>
        </w:tc>
        <w:tc>
          <w:tcPr>
            <w:tcW w:w="763" w:type="pct"/>
            <w:tcBorders>
              <w:tl2br w:val="nil"/>
              <w:tr2bl w:val="nil"/>
            </w:tcBorders>
            <w:noWrap w:val="0"/>
            <w:vAlign w:val="center"/>
          </w:tcPr>
          <w:p w14:paraId="6AB7D0D5">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092-001-S05</w:t>
            </w:r>
          </w:p>
        </w:tc>
        <w:tc>
          <w:tcPr>
            <w:tcW w:w="745" w:type="pct"/>
            <w:tcBorders>
              <w:tl2br w:val="nil"/>
              <w:tr2bl w:val="nil"/>
            </w:tcBorders>
            <w:noWrap w:val="0"/>
            <w:vAlign w:val="center"/>
          </w:tcPr>
          <w:p w14:paraId="7E77CA8F">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18</w:t>
            </w:r>
            <w:r>
              <w:rPr>
                <w:rFonts w:hint="eastAsia" w:cs="Times New Roman"/>
                <w:b w:val="0"/>
                <w:bCs w:val="0"/>
                <w:color w:val="auto"/>
                <w:szCs w:val="21"/>
                <w:highlight w:val="none"/>
                <w:lang w:val="en-US" w:eastAsia="zh-CN"/>
              </w:rPr>
              <w:t>.594万</w:t>
            </w:r>
          </w:p>
        </w:tc>
        <w:tc>
          <w:tcPr>
            <w:tcW w:w="702" w:type="pct"/>
            <w:tcBorders>
              <w:tl2br w:val="nil"/>
              <w:tr2bl w:val="nil"/>
            </w:tcBorders>
            <w:noWrap w:val="0"/>
            <w:vAlign w:val="center"/>
          </w:tcPr>
          <w:p w14:paraId="2109A5B6">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eastAsia="宋体" w:cs="Times New Roman"/>
                <w:b w:val="0"/>
                <w:bCs w:val="0"/>
                <w:color w:val="auto"/>
                <w:szCs w:val="21"/>
                <w:highlight w:val="none"/>
                <w:lang w:val="en-US" w:eastAsia="zh-CN"/>
              </w:rPr>
              <w:t>0</w:t>
            </w:r>
          </w:p>
        </w:tc>
        <w:tc>
          <w:tcPr>
            <w:tcW w:w="1482" w:type="pct"/>
            <w:tcBorders>
              <w:tl2br w:val="nil"/>
              <w:tr2bl w:val="nil"/>
            </w:tcBorders>
            <w:noWrap w:val="0"/>
            <w:vAlign w:val="center"/>
          </w:tcPr>
          <w:p w14:paraId="61317334">
            <w:pPr>
              <w:keepNext w:val="0"/>
              <w:keepLines w:val="0"/>
              <w:pageBreakBefore w:val="0"/>
              <w:widowControl w:val="0"/>
              <w:tabs>
                <w:tab w:val="left" w:pos="3240"/>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szCs w:val="21"/>
                <w:highlight w:val="none"/>
                <w:lang w:val="en-US"/>
              </w:rPr>
            </w:pPr>
            <w:r>
              <w:rPr>
                <w:rFonts w:hint="eastAsia" w:cs="Times New Roman"/>
                <w:b w:val="0"/>
                <w:bCs/>
                <w:color w:val="auto"/>
                <w:lang w:val="en-US" w:eastAsia="zh-CN"/>
              </w:rPr>
              <w:t>外运综合利用</w:t>
            </w:r>
          </w:p>
        </w:tc>
      </w:tr>
      <w:tr w14:paraId="1202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550B0008">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2</w:t>
            </w:r>
          </w:p>
        </w:tc>
        <w:tc>
          <w:tcPr>
            <w:tcW w:w="922" w:type="pct"/>
            <w:tcBorders>
              <w:tl2br w:val="nil"/>
              <w:tr2bl w:val="nil"/>
            </w:tcBorders>
            <w:noWrap w:val="0"/>
            <w:vAlign w:val="center"/>
          </w:tcPr>
          <w:p w14:paraId="0A7276C0">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除尘灰</w:t>
            </w:r>
          </w:p>
        </w:tc>
        <w:tc>
          <w:tcPr>
            <w:tcW w:w="763" w:type="pct"/>
            <w:tcBorders>
              <w:tl2br w:val="nil"/>
              <w:tr2bl w:val="nil"/>
            </w:tcBorders>
            <w:noWrap w:val="0"/>
            <w:vAlign w:val="center"/>
          </w:tcPr>
          <w:p w14:paraId="4775A132">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eastAsia"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900-099-S59</w:t>
            </w:r>
          </w:p>
        </w:tc>
        <w:tc>
          <w:tcPr>
            <w:tcW w:w="745" w:type="pct"/>
            <w:tcBorders>
              <w:tl2br w:val="nil"/>
              <w:tr2bl w:val="nil"/>
            </w:tcBorders>
            <w:noWrap w:val="0"/>
            <w:vAlign w:val="center"/>
          </w:tcPr>
          <w:p w14:paraId="38D79FED">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62.37</w:t>
            </w:r>
          </w:p>
        </w:tc>
        <w:tc>
          <w:tcPr>
            <w:tcW w:w="702" w:type="pct"/>
            <w:tcBorders>
              <w:tl2br w:val="nil"/>
              <w:tr2bl w:val="nil"/>
            </w:tcBorders>
            <w:noWrap w:val="0"/>
            <w:vAlign w:val="center"/>
          </w:tcPr>
          <w:p w14:paraId="4F0B812B">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c>
          <w:tcPr>
            <w:tcW w:w="1482" w:type="pct"/>
            <w:tcBorders>
              <w:tl2br w:val="nil"/>
              <w:tr2bl w:val="nil"/>
            </w:tcBorders>
            <w:noWrap w:val="0"/>
            <w:vAlign w:val="center"/>
          </w:tcPr>
          <w:p w14:paraId="16175E81">
            <w:pPr>
              <w:keepNext w:val="0"/>
              <w:keepLines w:val="0"/>
              <w:pageBreakBefore w:val="0"/>
              <w:widowControl w:val="0"/>
              <w:tabs>
                <w:tab w:val="left" w:pos="3240"/>
              </w:tabs>
              <w:kinsoku/>
              <w:wordWrap/>
              <w:overflowPunct/>
              <w:topLinePunct w:val="0"/>
              <w:autoSpaceDE/>
              <w:autoSpaceDN/>
              <w:bidi w:val="0"/>
              <w:adjustRightInd/>
              <w:snapToGrid/>
              <w:spacing w:line="360" w:lineRule="auto"/>
              <w:jc w:val="center"/>
              <w:textAlignment w:val="auto"/>
              <w:rPr>
                <w:rFonts w:hint="default" w:cs="Times New Roman"/>
                <w:b w:val="0"/>
                <w:bCs/>
                <w:color w:val="auto"/>
                <w:lang w:val="en-US" w:eastAsia="zh-CN"/>
              </w:rPr>
            </w:pPr>
            <w:r>
              <w:rPr>
                <w:rFonts w:hint="eastAsia" w:cs="Times New Roman"/>
                <w:b w:val="0"/>
                <w:bCs/>
                <w:color w:val="auto"/>
                <w:lang w:val="en-US" w:eastAsia="zh-CN"/>
              </w:rPr>
              <w:t>回用于生产线</w:t>
            </w:r>
          </w:p>
        </w:tc>
      </w:tr>
      <w:tr w14:paraId="5317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82" w:type="pct"/>
            <w:tcBorders>
              <w:tl2br w:val="nil"/>
              <w:tr2bl w:val="nil"/>
            </w:tcBorders>
            <w:noWrap w:val="0"/>
            <w:vAlign w:val="center"/>
          </w:tcPr>
          <w:p w14:paraId="064B9B33">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w:t>
            </w:r>
          </w:p>
        </w:tc>
        <w:tc>
          <w:tcPr>
            <w:tcW w:w="922" w:type="pct"/>
            <w:tcBorders>
              <w:tl2br w:val="nil"/>
              <w:tr2bl w:val="nil"/>
            </w:tcBorders>
            <w:noWrap w:val="0"/>
            <w:vAlign w:val="center"/>
          </w:tcPr>
          <w:p w14:paraId="2EE2868C">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生活垃圾</w:t>
            </w:r>
          </w:p>
        </w:tc>
        <w:tc>
          <w:tcPr>
            <w:tcW w:w="763" w:type="pct"/>
            <w:tcBorders>
              <w:tl2br w:val="nil"/>
              <w:tr2bl w:val="nil"/>
            </w:tcBorders>
            <w:noWrap w:val="0"/>
            <w:vAlign w:val="center"/>
          </w:tcPr>
          <w:p w14:paraId="4C67316D">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cs="Times New Roman"/>
                <w:b w:val="0"/>
                <w:bCs w:val="0"/>
                <w:color w:val="auto"/>
                <w:szCs w:val="21"/>
                <w:highlight w:val="none"/>
                <w:lang w:val="en-US" w:eastAsia="zh-CN"/>
              </w:rPr>
            </w:pPr>
            <w:r>
              <w:rPr>
                <w:rFonts w:hint="default" w:cs="Times New Roman"/>
                <w:b w:val="0"/>
                <w:bCs w:val="0"/>
                <w:color w:val="auto"/>
                <w:szCs w:val="21"/>
                <w:highlight w:val="none"/>
                <w:lang w:val="en-US" w:eastAsia="zh-CN"/>
              </w:rPr>
              <w:t>900-009-S64</w:t>
            </w:r>
          </w:p>
        </w:tc>
        <w:tc>
          <w:tcPr>
            <w:tcW w:w="745" w:type="pct"/>
            <w:tcBorders>
              <w:tl2br w:val="nil"/>
              <w:tr2bl w:val="nil"/>
            </w:tcBorders>
            <w:noWrap w:val="0"/>
            <w:vAlign w:val="center"/>
          </w:tcPr>
          <w:p w14:paraId="45AA40F9">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3</w:t>
            </w:r>
          </w:p>
        </w:tc>
        <w:tc>
          <w:tcPr>
            <w:tcW w:w="702" w:type="pct"/>
            <w:tcBorders>
              <w:tl2br w:val="nil"/>
              <w:tr2bl w:val="nil"/>
            </w:tcBorders>
            <w:noWrap w:val="0"/>
            <w:vAlign w:val="center"/>
          </w:tcPr>
          <w:p w14:paraId="1D985145">
            <w:pPr>
              <w:keepNext w:val="0"/>
              <w:keepLines w:val="0"/>
              <w:pageBreakBefore w:val="0"/>
              <w:widowControl w:val="0"/>
              <w:tabs>
                <w:tab w:val="left" w:pos="5295"/>
              </w:tabs>
              <w:kinsoku/>
              <w:wordWrap/>
              <w:overflowPunct/>
              <w:topLinePunct w:val="0"/>
              <w:autoSpaceDE/>
              <w:autoSpaceDN/>
              <w:bidi w:val="0"/>
              <w:adjustRightInd/>
              <w:snapToGrid/>
              <w:spacing w:line="360" w:lineRule="auto"/>
              <w:jc w:val="center"/>
              <w:textAlignment w:val="auto"/>
              <w:rPr>
                <w:rFonts w:hint="default" w:eastAsia="宋体" w:cs="Times New Roman"/>
                <w:b w:val="0"/>
                <w:bCs w:val="0"/>
                <w:color w:val="auto"/>
                <w:szCs w:val="21"/>
                <w:highlight w:val="none"/>
                <w:lang w:val="en-US" w:eastAsia="zh-CN"/>
              </w:rPr>
            </w:pPr>
            <w:r>
              <w:rPr>
                <w:rFonts w:hint="eastAsia" w:cs="Times New Roman"/>
                <w:b w:val="0"/>
                <w:bCs w:val="0"/>
                <w:color w:val="auto"/>
                <w:szCs w:val="21"/>
                <w:highlight w:val="none"/>
                <w:lang w:val="en-US" w:eastAsia="zh-CN"/>
              </w:rPr>
              <w:t>0</w:t>
            </w:r>
          </w:p>
        </w:tc>
        <w:tc>
          <w:tcPr>
            <w:tcW w:w="1482" w:type="pct"/>
            <w:tcBorders>
              <w:tl2br w:val="nil"/>
              <w:tr2bl w:val="nil"/>
            </w:tcBorders>
            <w:noWrap w:val="0"/>
            <w:vAlign w:val="center"/>
          </w:tcPr>
          <w:p w14:paraId="34324BDE">
            <w:pPr>
              <w:keepNext w:val="0"/>
              <w:keepLines w:val="0"/>
              <w:pageBreakBefore w:val="0"/>
              <w:widowControl w:val="0"/>
              <w:tabs>
                <w:tab w:val="left" w:pos="3240"/>
              </w:tabs>
              <w:kinsoku/>
              <w:wordWrap/>
              <w:overflowPunct/>
              <w:topLinePunct w:val="0"/>
              <w:autoSpaceDE/>
              <w:autoSpaceDN/>
              <w:bidi w:val="0"/>
              <w:adjustRightInd/>
              <w:snapToGrid/>
              <w:spacing w:line="360" w:lineRule="auto"/>
              <w:jc w:val="center"/>
              <w:textAlignment w:val="auto"/>
              <w:rPr>
                <w:rFonts w:hint="default" w:eastAsia="宋体" w:cs="Times New Roman"/>
                <w:b w:val="0"/>
                <w:bCs/>
                <w:color w:val="auto"/>
                <w:lang w:val="en-US" w:eastAsia="zh-CN"/>
              </w:rPr>
            </w:pPr>
            <w:r>
              <w:rPr>
                <w:rFonts w:hint="eastAsia" w:cs="Times New Roman"/>
                <w:b w:val="0"/>
                <w:bCs/>
                <w:color w:val="auto"/>
                <w:lang w:val="en-US" w:eastAsia="zh-CN"/>
              </w:rPr>
              <w:t>依托现有生活垃圾箱，由</w:t>
            </w:r>
            <w:r>
              <w:rPr>
                <w:rFonts w:hint="default" w:ascii="Times New Roman" w:hAnsi="Times New Roman" w:eastAsia="宋体" w:cs="Times New Roman"/>
                <w:color w:val="auto"/>
              </w:rPr>
              <w:t>环卫部门定期清运处理</w:t>
            </w:r>
          </w:p>
        </w:tc>
      </w:tr>
    </w:tbl>
    <w:p w14:paraId="3999199A">
      <w:pPr>
        <w:keepNext w:val="0"/>
        <w:keepLines w:val="0"/>
        <w:pageBreakBefore w:val="0"/>
        <w:widowControl w:val="0"/>
        <w:kinsoku/>
        <w:wordWrap/>
        <w:overflowPunct/>
        <w:topLinePunct w:val="0"/>
        <w:autoSpaceDE w:val="0"/>
        <w:autoSpaceDN w:val="0"/>
        <w:bidi w:val="0"/>
        <w:adjustRightInd w:val="0"/>
        <w:snapToGrid/>
        <w:spacing w:line="360" w:lineRule="auto"/>
        <w:ind w:firstLine="482" w:firstLineChars="200"/>
        <w:jc w:val="center"/>
        <w:textAlignment w:val="auto"/>
        <w:rPr>
          <w:b/>
          <w:color w:val="auto"/>
          <w:sz w:val="24"/>
          <w:szCs w:val="24"/>
        </w:rPr>
      </w:pPr>
      <w:r>
        <w:rPr>
          <w:b/>
          <w:color w:val="auto"/>
          <w:sz w:val="24"/>
          <w:szCs w:val="24"/>
        </w:rPr>
        <w:t>表</w:t>
      </w:r>
      <w:r>
        <w:rPr>
          <w:rFonts w:hint="eastAsia"/>
          <w:b/>
          <w:color w:val="auto"/>
          <w:sz w:val="24"/>
          <w:szCs w:val="24"/>
          <w:lang w:val="en-US" w:eastAsia="zh-CN"/>
        </w:rPr>
        <w:t xml:space="preserve">5.2-7 </w:t>
      </w:r>
      <w:r>
        <w:rPr>
          <w:b/>
          <w:color w:val="auto"/>
          <w:sz w:val="24"/>
          <w:szCs w:val="24"/>
        </w:rPr>
        <w:t xml:space="preserve">   </w:t>
      </w:r>
      <w:r>
        <w:rPr>
          <w:rFonts w:hint="eastAsia"/>
          <w:b/>
          <w:color w:val="auto"/>
          <w:sz w:val="24"/>
          <w:szCs w:val="24"/>
          <w:lang w:eastAsia="zh-CN"/>
        </w:rPr>
        <w:t>本次改扩建</w:t>
      </w:r>
      <w:r>
        <w:rPr>
          <w:rFonts w:hint="eastAsia"/>
          <w:b/>
          <w:color w:val="auto"/>
          <w:sz w:val="24"/>
          <w:szCs w:val="24"/>
          <w:lang w:val="en-US" w:eastAsia="zh-CN"/>
        </w:rPr>
        <w:t>新增</w:t>
      </w:r>
      <w:r>
        <w:rPr>
          <w:rFonts w:hint="eastAsia"/>
          <w:b/>
          <w:color w:val="auto"/>
          <w:sz w:val="24"/>
          <w:szCs w:val="24"/>
        </w:rPr>
        <w:t>危废</w:t>
      </w:r>
      <w:r>
        <w:rPr>
          <w:rFonts w:hint="eastAsia"/>
          <w:b/>
          <w:color w:val="auto"/>
          <w:sz w:val="24"/>
          <w:szCs w:val="24"/>
          <w:lang w:val="en-US" w:eastAsia="zh-CN"/>
        </w:rPr>
        <w:t>产排</w:t>
      </w:r>
      <w:r>
        <w:rPr>
          <w:b/>
          <w:color w:val="auto"/>
          <w:sz w:val="24"/>
          <w:szCs w:val="24"/>
        </w:rPr>
        <w:t>情况一览表</w:t>
      </w:r>
    </w:p>
    <w:tbl>
      <w:tblPr>
        <w:tblStyle w:val="7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1019"/>
        <w:gridCol w:w="1105"/>
        <w:gridCol w:w="1536"/>
        <w:gridCol w:w="721"/>
        <w:gridCol w:w="919"/>
        <w:gridCol w:w="874"/>
        <w:gridCol w:w="891"/>
        <w:gridCol w:w="1627"/>
      </w:tblGrid>
      <w:tr w14:paraId="51784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0" w:type="pct"/>
            <w:noWrap w:val="0"/>
            <w:vAlign w:val="center"/>
          </w:tcPr>
          <w:p w14:paraId="4B761FF1">
            <w:pPr>
              <w:tabs>
                <w:tab w:val="left" w:pos="5295"/>
              </w:tabs>
              <w:jc w:val="center"/>
              <w:rPr>
                <w:b/>
                <w:bCs/>
                <w:color w:val="auto"/>
                <w:szCs w:val="21"/>
              </w:rPr>
            </w:pPr>
            <w:r>
              <w:rPr>
                <w:b/>
                <w:bCs/>
                <w:color w:val="auto"/>
                <w:szCs w:val="21"/>
              </w:rPr>
              <w:t>排放源</w:t>
            </w:r>
          </w:p>
        </w:tc>
        <w:tc>
          <w:tcPr>
            <w:tcW w:w="539" w:type="pct"/>
            <w:noWrap w:val="0"/>
            <w:vAlign w:val="center"/>
          </w:tcPr>
          <w:p w14:paraId="553EA1C1">
            <w:pPr>
              <w:tabs>
                <w:tab w:val="left" w:pos="5295"/>
              </w:tabs>
              <w:jc w:val="center"/>
              <w:rPr>
                <w:b/>
                <w:bCs/>
                <w:color w:val="auto"/>
                <w:szCs w:val="21"/>
              </w:rPr>
            </w:pPr>
            <w:r>
              <w:rPr>
                <w:b/>
                <w:bCs/>
                <w:color w:val="auto"/>
                <w:szCs w:val="21"/>
              </w:rPr>
              <w:t>固体废物名称</w:t>
            </w:r>
          </w:p>
        </w:tc>
        <w:tc>
          <w:tcPr>
            <w:tcW w:w="584" w:type="pct"/>
            <w:noWrap w:val="0"/>
            <w:vAlign w:val="center"/>
          </w:tcPr>
          <w:p w14:paraId="20B22BA2">
            <w:pPr>
              <w:tabs>
                <w:tab w:val="left" w:pos="5295"/>
              </w:tabs>
              <w:jc w:val="center"/>
              <w:rPr>
                <w:b/>
                <w:bCs/>
                <w:color w:val="auto"/>
                <w:szCs w:val="21"/>
              </w:rPr>
            </w:pPr>
            <w:r>
              <w:rPr>
                <w:rFonts w:hint="default" w:ascii="Times New Roman" w:hAnsi="Times New Roman" w:eastAsia="宋体" w:cs="Times New Roman"/>
                <w:b/>
                <w:bCs/>
                <w:color w:val="auto"/>
                <w:kern w:val="0"/>
                <w:sz w:val="21"/>
                <w:szCs w:val="21"/>
                <w:highlight w:val="none"/>
                <w:lang w:val="en-US" w:eastAsia="zh-CN" w:bidi="ar"/>
              </w:rPr>
              <w:t>危险废物类别</w:t>
            </w:r>
          </w:p>
        </w:tc>
        <w:tc>
          <w:tcPr>
            <w:tcW w:w="812" w:type="pct"/>
            <w:noWrap w:val="0"/>
            <w:vAlign w:val="center"/>
          </w:tcPr>
          <w:p w14:paraId="431B145C">
            <w:pPr>
              <w:tabs>
                <w:tab w:val="left" w:pos="5295"/>
              </w:tabs>
              <w:jc w:val="center"/>
              <w:rPr>
                <w:b/>
                <w:bCs/>
                <w:color w:val="auto"/>
                <w:szCs w:val="21"/>
              </w:rPr>
            </w:pPr>
            <w:r>
              <w:rPr>
                <w:b/>
                <w:bCs/>
                <w:color w:val="auto"/>
                <w:szCs w:val="21"/>
              </w:rPr>
              <w:t>代码</w:t>
            </w:r>
          </w:p>
        </w:tc>
        <w:tc>
          <w:tcPr>
            <w:tcW w:w="381" w:type="pct"/>
            <w:noWrap w:val="0"/>
            <w:vAlign w:val="center"/>
          </w:tcPr>
          <w:p w14:paraId="04E034F8">
            <w:pPr>
              <w:tabs>
                <w:tab w:val="left" w:pos="5295"/>
              </w:tabs>
              <w:jc w:val="center"/>
              <w:rPr>
                <w:b/>
                <w:bCs/>
                <w:color w:val="auto"/>
                <w:szCs w:val="21"/>
              </w:rPr>
            </w:pPr>
            <w:r>
              <w:rPr>
                <w:b/>
                <w:bCs/>
                <w:color w:val="auto"/>
                <w:szCs w:val="21"/>
              </w:rPr>
              <w:t>形态</w:t>
            </w:r>
          </w:p>
        </w:tc>
        <w:tc>
          <w:tcPr>
            <w:tcW w:w="486" w:type="pct"/>
            <w:noWrap w:val="0"/>
            <w:vAlign w:val="center"/>
          </w:tcPr>
          <w:p w14:paraId="173A5970">
            <w:pPr>
              <w:tabs>
                <w:tab w:val="left" w:pos="5295"/>
              </w:tabs>
              <w:jc w:val="center"/>
              <w:rPr>
                <w:b/>
                <w:bCs/>
                <w:color w:val="auto"/>
                <w:szCs w:val="21"/>
              </w:rPr>
            </w:pPr>
            <w:r>
              <w:rPr>
                <w:b/>
                <w:bCs/>
                <w:color w:val="auto"/>
                <w:szCs w:val="21"/>
              </w:rPr>
              <w:t>产生量(t/a)</w:t>
            </w:r>
          </w:p>
        </w:tc>
        <w:tc>
          <w:tcPr>
            <w:tcW w:w="462" w:type="pct"/>
            <w:noWrap w:val="0"/>
            <w:vAlign w:val="center"/>
          </w:tcPr>
          <w:p w14:paraId="7A1F18A7">
            <w:pPr>
              <w:tabs>
                <w:tab w:val="left" w:pos="5295"/>
              </w:tabs>
              <w:jc w:val="center"/>
              <w:rPr>
                <w:b/>
                <w:bCs/>
                <w:color w:val="auto"/>
                <w:szCs w:val="21"/>
              </w:rPr>
            </w:pPr>
            <w:r>
              <w:rPr>
                <w:b/>
                <w:bCs/>
                <w:color w:val="auto"/>
                <w:szCs w:val="21"/>
              </w:rPr>
              <w:t>排放量(t/a)</w:t>
            </w:r>
          </w:p>
        </w:tc>
        <w:tc>
          <w:tcPr>
            <w:tcW w:w="471" w:type="pct"/>
            <w:noWrap w:val="0"/>
            <w:vAlign w:val="top"/>
          </w:tcPr>
          <w:p w14:paraId="5EBAC173">
            <w:pPr>
              <w:tabs>
                <w:tab w:val="left" w:pos="5295"/>
              </w:tabs>
              <w:jc w:val="center"/>
              <w:rPr>
                <w:b/>
                <w:bCs/>
                <w:color w:val="auto"/>
                <w:szCs w:val="21"/>
              </w:rPr>
            </w:pPr>
            <w:r>
              <w:rPr>
                <w:rFonts w:hint="eastAsia"/>
                <w:b/>
                <w:bCs/>
                <w:color w:val="auto"/>
                <w:szCs w:val="21"/>
              </w:rPr>
              <w:t>危险特性</w:t>
            </w:r>
          </w:p>
        </w:tc>
        <w:tc>
          <w:tcPr>
            <w:tcW w:w="860" w:type="pct"/>
            <w:noWrap w:val="0"/>
            <w:vAlign w:val="center"/>
          </w:tcPr>
          <w:p w14:paraId="4FF03D2F">
            <w:pPr>
              <w:tabs>
                <w:tab w:val="left" w:pos="5295"/>
              </w:tabs>
              <w:jc w:val="center"/>
              <w:rPr>
                <w:b/>
                <w:bCs/>
                <w:color w:val="auto"/>
                <w:szCs w:val="21"/>
              </w:rPr>
            </w:pPr>
            <w:r>
              <w:rPr>
                <w:b/>
                <w:bCs/>
                <w:color w:val="auto"/>
                <w:szCs w:val="21"/>
              </w:rPr>
              <w:t>防治措施</w:t>
            </w:r>
          </w:p>
        </w:tc>
      </w:tr>
      <w:tr w14:paraId="3EC62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 w:hRule="atLeast"/>
          <w:jc w:val="center"/>
        </w:trPr>
        <w:tc>
          <w:tcPr>
            <w:tcW w:w="400" w:type="pct"/>
            <w:vMerge w:val="restart"/>
            <w:noWrap w:val="0"/>
            <w:vAlign w:val="center"/>
          </w:tcPr>
          <w:p w14:paraId="7665FA51">
            <w:pPr>
              <w:tabs>
                <w:tab w:val="left" w:pos="5295"/>
              </w:tabs>
              <w:jc w:val="center"/>
              <w:rPr>
                <w:color w:val="auto"/>
                <w:szCs w:val="21"/>
              </w:rPr>
            </w:pPr>
            <w:r>
              <w:rPr>
                <w:color w:val="auto"/>
                <w:szCs w:val="21"/>
              </w:rPr>
              <w:t>生产</w:t>
            </w:r>
            <w:r>
              <w:rPr>
                <w:rFonts w:hint="eastAsia"/>
                <w:color w:val="auto"/>
                <w:szCs w:val="21"/>
              </w:rPr>
              <w:t>过程</w:t>
            </w:r>
          </w:p>
        </w:tc>
        <w:tc>
          <w:tcPr>
            <w:tcW w:w="997" w:type="dxa"/>
            <w:noWrap w:val="0"/>
            <w:vAlign w:val="center"/>
          </w:tcPr>
          <w:p w14:paraId="79067D38">
            <w:pPr>
              <w:tabs>
                <w:tab w:val="left" w:pos="5295"/>
              </w:tabs>
              <w:jc w:val="center"/>
              <w:rPr>
                <w:color w:val="auto"/>
                <w:szCs w:val="21"/>
              </w:rPr>
            </w:pPr>
            <w:r>
              <w:rPr>
                <w:rFonts w:hint="default" w:ascii="Times New Roman" w:hAnsi="Times New Roman" w:eastAsia="宋体" w:cs="Times New Roman"/>
                <w:color w:val="auto"/>
                <w:sz w:val="21"/>
                <w:szCs w:val="21"/>
                <w:highlight w:val="none"/>
                <w:lang w:eastAsia="zh-CN"/>
              </w:rPr>
              <w:t>废机油</w:t>
            </w:r>
          </w:p>
        </w:tc>
        <w:tc>
          <w:tcPr>
            <w:tcW w:w="1080" w:type="dxa"/>
            <w:noWrap w:val="0"/>
            <w:vAlign w:val="center"/>
          </w:tcPr>
          <w:p w14:paraId="1ECED99E">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default" w:ascii="Times New Roman" w:hAnsi="Times New Roman" w:eastAsia="宋体" w:cs="Times New Roman"/>
                <w:color w:val="auto"/>
                <w:kern w:val="0"/>
                <w:sz w:val="21"/>
                <w:szCs w:val="21"/>
                <w:highlight w:val="none"/>
                <w:lang w:val="en-US" w:eastAsia="zh-CN" w:bidi="ar"/>
              </w:rPr>
              <w:t>HW</w:t>
            </w:r>
            <w:r>
              <w:rPr>
                <w:rFonts w:hint="default" w:ascii="Times New Roman" w:hAnsi="Times New Roman" w:cs="Times New Roman"/>
                <w:color w:val="auto"/>
                <w:kern w:val="0"/>
                <w:sz w:val="21"/>
                <w:szCs w:val="21"/>
                <w:highlight w:val="none"/>
                <w:lang w:val="en-US" w:eastAsia="zh-CN" w:bidi="ar"/>
              </w:rPr>
              <w:t>08</w:t>
            </w:r>
          </w:p>
        </w:tc>
        <w:tc>
          <w:tcPr>
            <w:tcW w:w="1501" w:type="dxa"/>
            <w:noWrap w:val="0"/>
            <w:vAlign w:val="center"/>
          </w:tcPr>
          <w:p w14:paraId="55B40CD8">
            <w:pPr>
              <w:tabs>
                <w:tab w:val="left" w:pos="5295"/>
              </w:tabs>
              <w:jc w:val="center"/>
              <w:rPr>
                <w:color w:val="auto"/>
                <w:szCs w:val="21"/>
              </w:rPr>
            </w:pPr>
            <w:r>
              <w:rPr>
                <w:rFonts w:hint="default" w:ascii="Times New Roman" w:hAnsi="Times New Roman" w:eastAsia="宋体" w:cs="Times New Roman"/>
                <w:color w:val="auto"/>
                <w:sz w:val="21"/>
                <w:szCs w:val="21"/>
                <w:highlight w:val="none"/>
                <w:lang w:val="en-US" w:eastAsia="zh-CN"/>
              </w:rPr>
              <w:t>900-214-08</w:t>
            </w:r>
          </w:p>
        </w:tc>
        <w:tc>
          <w:tcPr>
            <w:tcW w:w="704" w:type="dxa"/>
            <w:noWrap w:val="0"/>
            <w:vAlign w:val="center"/>
          </w:tcPr>
          <w:p w14:paraId="279E51DE">
            <w:pPr>
              <w:tabs>
                <w:tab w:val="left" w:pos="5295"/>
              </w:tabs>
              <w:jc w:val="center"/>
              <w:rPr>
                <w:color w:val="auto"/>
                <w:szCs w:val="21"/>
              </w:rPr>
            </w:pPr>
            <w:r>
              <w:rPr>
                <w:rFonts w:hint="default" w:ascii="Times New Roman" w:hAnsi="Times New Roman" w:eastAsia="宋体" w:cs="Times New Roman"/>
                <w:color w:val="auto"/>
                <w:kern w:val="2"/>
                <w:sz w:val="21"/>
                <w:szCs w:val="21"/>
                <w:highlight w:val="none"/>
                <w:lang w:val="en-US" w:eastAsia="zh-CN" w:bidi="ar-SA"/>
              </w:rPr>
              <w:t>液态</w:t>
            </w:r>
          </w:p>
        </w:tc>
        <w:tc>
          <w:tcPr>
            <w:tcW w:w="899" w:type="dxa"/>
            <w:noWrap w:val="0"/>
            <w:vAlign w:val="center"/>
          </w:tcPr>
          <w:p w14:paraId="3A2BB32A">
            <w:pPr>
              <w:tabs>
                <w:tab w:val="left" w:pos="5295"/>
              </w:tabs>
              <w:jc w:val="center"/>
              <w:rPr>
                <w:color w:val="auto"/>
                <w:szCs w:val="21"/>
              </w:rPr>
            </w:pPr>
            <w:r>
              <w:rPr>
                <w:rFonts w:hint="eastAsia" w:cs="Times New Roman"/>
                <w:color w:val="auto"/>
                <w:kern w:val="2"/>
                <w:sz w:val="21"/>
                <w:szCs w:val="21"/>
                <w:highlight w:val="none"/>
                <w:lang w:val="en-US" w:eastAsia="zh-CN" w:bidi="ar-SA"/>
              </w:rPr>
              <w:t>0.5</w:t>
            </w:r>
          </w:p>
        </w:tc>
        <w:tc>
          <w:tcPr>
            <w:tcW w:w="462" w:type="pct"/>
            <w:noWrap w:val="0"/>
            <w:vAlign w:val="center"/>
          </w:tcPr>
          <w:p w14:paraId="2D0343DC">
            <w:pPr>
              <w:tabs>
                <w:tab w:val="left" w:pos="5295"/>
              </w:tabs>
              <w:jc w:val="center"/>
              <w:rPr>
                <w:color w:val="auto"/>
                <w:szCs w:val="21"/>
              </w:rPr>
            </w:pPr>
            <w:r>
              <w:rPr>
                <w:color w:val="auto"/>
                <w:szCs w:val="21"/>
              </w:rPr>
              <w:t>0</w:t>
            </w:r>
          </w:p>
        </w:tc>
        <w:tc>
          <w:tcPr>
            <w:tcW w:w="822" w:type="dxa"/>
            <w:noWrap w:val="0"/>
            <w:vAlign w:val="center"/>
          </w:tcPr>
          <w:p w14:paraId="45D2B166">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default" w:ascii="Times New Roman" w:hAnsi="Times New Roman" w:eastAsia="宋体" w:cs="Times New Roman"/>
                <w:color w:val="auto"/>
                <w:sz w:val="21"/>
                <w:szCs w:val="21"/>
              </w:rPr>
              <w:t>T，I</w:t>
            </w:r>
          </w:p>
        </w:tc>
        <w:tc>
          <w:tcPr>
            <w:tcW w:w="860" w:type="pct"/>
            <w:vMerge w:val="restart"/>
            <w:noWrap w:val="0"/>
            <w:vAlign w:val="center"/>
          </w:tcPr>
          <w:p w14:paraId="2B5AD266">
            <w:pPr>
              <w:tabs>
                <w:tab w:val="left" w:pos="5295"/>
              </w:tabs>
              <w:jc w:val="center"/>
              <w:rPr>
                <w:color w:val="auto"/>
                <w:szCs w:val="21"/>
              </w:rPr>
            </w:pPr>
            <w:r>
              <w:rPr>
                <w:rFonts w:hint="eastAsia"/>
                <w:color w:val="auto"/>
                <w:szCs w:val="21"/>
              </w:rPr>
              <w:t>暂存于</w:t>
            </w:r>
            <w:r>
              <w:rPr>
                <w:rFonts w:hint="eastAsia"/>
                <w:color w:val="auto"/>
                <w:szCs w:val="21"/>
                <w:lang w:val="en-US" w:eastAsia="zh-CN"/>
              </w:rPr>
              <w:t>危废贮存点</w:t>
            </w:r>
            <w:r>
              <w:rPr>
                <w:color w:val="auto"/>
                <w:szCs w:val="21"/>
              </w:rPr>
              <w:t>，</w:t>
            </w:r>
            <w:r>
              <w:rPr>
                <w:rFonts w:hint="eastAsia"/>
                <w:color w:val="auto"/>
                <w:szCs w:val="21"/>
              </w:rPr>
              <w:t>委托</w:t>
            </w:r>
            <w:r>
              <w:rPr>
                <w:rFonts w:hint="eastAsia"/>
                <w:color w:val="auto"/>
                <w:szCs w:val="21"/>
                <w:lang w:val="en-US" w:eastAsia="zh-CN"/>
              </w:rPr>
              <w:t>有资质单位定期</w:t>
            </w:r>
            <w:r>
              <w:rPr>
                <w:rFonts w:hint="eastAsia"/>
                <w:color w:val="auto"/>
                <w:szCs w:val="21"/>
              </w:rPr>
              <w:t>处理</w:t>
            </w:r>
            <w:r>
              <w:rPr>
                <w:color w:val="auto"/>
                <w:szCs w:val="21"/>
              </w:rPr>
              <w:t>。</w:t>
            </w:r>
          </w:p>
        </w:tc>
      </w:tr>
      <w:tr w14:paraId="53FD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00" w:type="pct"/>
            <w:vMerge w:val="continue"/>
            <w:noWrap w:val="0"/>
            <w:vAlign w:val="center"/>
          </w:tcPr>
          <w:p w14:paraId="7C1648D7">
            <w:pPr>
              <w:tabs>
                <w:tab w:val="left" w:pos="5295"/>
              </w:tabs>
              <w:jc w:val="center"/>
              <w:rPr>
                <w:color w:val="auto"/>
                <w:szCs w:val="21"/>
              </w:rPr>
            </w:pPr>
          </w:p>
        </w:tc>
        <w:tc>
          <w:tcPr>
            <w:tcW w:w="997" w:type="dxa"/>
            <w:noWrap w:val="0"/>
            <w:vAlign w:val="center"/>
          </w:tcPr>
          <w:p w14:paraId="7D6839A2">
            <w:pPr>
              <w:tabs>
                <w:tab w:val="left" w:pos="5295"/>
              </w:tabs>
              <w:jc w:val="center"/>
              <w:rPr>
                <w:color w:val="auto"/>
                <w:szCs w:val="21"/>
              </w:rPr>
            </w:pPr>
            <w:r>
              <w:rPr>
                <w:rFonts w:hint="default" w:ascii="Times New Roman" w:hAnsi="Times New Roman" w:cs="Times New Roman"/>
                <w:color w:val="auto"/>
                <w:sz w:val="21"/>
                <w:szCs w:val="21"/>
                <w:highlight w:val="none"/>
                <w:lang w:eastAsia="zh-CN"/>
              </w:rPr>
              <w:t>废油桶</w:t>
            </w:r>
          </w:p>
        </w:tc>
        <w:tc>
          <w:tcPr>
            <w:tcW w:w="1080" w:type="dxa"/>
            <w:noWrap w:val="0"/>
            <w:vAlign w:val="center"/>
          </w:tcPr>
          <w:p w14:paraId="578D7973">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default" w:ascii="Times New Roman" w:hAnsi="Times New Roman" w:eastAsia="宋体" w:cs="Times New Roman"/>
                <w:color w:val="auto"/>
                <w:kern w:val="0"/>
                <w:sz w:val="21"/>
                <w:szCs w:val="21"/>
                <w:highlight w:val="none"/>
                <w:lang w:val="en-US" w:eastAsia="zh-CN" w:bidi="ar"/>
              </w:rPr>
              <w:t>HW</w:t>
            </w:r>
            <w:r>
              <w:rPr>
                <w:rFonts w:hint="eastAsia" w:cs="Times New Roman"/>
                <w:color w:val="auto"/>
                <w:kern w:val="0"/>
                <w:sz w:val="21"/>
                <w:szCs w:val="21"/>
                <w:highlight w:val="none"/>
                <w:lang w:val="en-US" w:eastAsia="zh-CN" w:bidi="ar"/>
              </w:rPr>
              <w:t>08</w:t>
            </w:r>
          </w:p>
        </w:tc>
        <w:tc>
          <w:tcPr>
            <w:tcW w:w="1501" w:type="dxa"/>
            <w:noWrap w:val="0"/>
            <w:vAlign w:val="center"/>
          </w:tcPr>
          <w:p w14:paraId="399C07F0">
            <w:pPr>
              <w:keepNext w:val="0"/>
              <w:keepLines w:val="0"/>
              <w:widowControl/>
              <w:suppressLineNumbers w:val="0"/>
              <w:jc w:val="center"/>
              <w:rPr>
                <w:color w:val="auto"/>
                <w:szCs w:val="21"/>
              </w:rPr>
            </w:pPr>
            <w:r>
              <w:rPr>
                <w:rFonts w:hint="default" w:ascii="Times New Roman" w:hAnsi="Times New Roman" w:eastAsia="宋体" w:cs="Times New Roman"/>
                <w:color w:val="auto"/>
                <w:kern w:val="0"/>
                <w:sz w:val="21"/>
                <w:szCs w:val="21"/>
                <w:lang w:val="en-US" w:eastAsia="zh-CN" w:bidi="ar"/>
              </w:rPr>
              <w:t>900-</w:t>
            </w:r>
            <w:r>
              <w:rPr>
                <w:rFonts w:hint="eastAsia" w:cs="Times New Roman"/>
                <w:color w:val="auto"/>
                <w:kern w:val="0"/>
                <w:sz w:val="21"/>
                <w:szCs w:val="21"/>
                <w:lang w:val="en-US" w:eastAsia="zh-CN" w:bidi="ar"/>
              </w:rPr>
              <w:t>249-08</w:t>
            </w:r>
          </w:p>
        </w:tc>
        <w:tc>
          <w:tcPr>
            <w:tcW w:w="704" w:type="dxa"/>
            <w:noWrap w:val="0"/>
            <w:vAlign w:val="center"/>
          </w:tcPr>
          <w:p w14:paraId="6886D1A4">
            <w:pPr>
              <w:tabs>
                <w:tab w:val="left" w:pos="5295"/>
              </w:tabs>
              <w:jc w:val="center"/>
              <w:rPr>
                <w:color w:val="auto"/>
                <w:szCs w:val="21"/>
              </w:rPr>
            </w:pPr>
            <w:r>
              <w:rPr>
                <w:rFonts w:hint="default" w:ascii="Times New Roman" w:hAnsi="Times New Roman" w:eastAsia="宋体" w:cs="Times New Roman"/>
                <w:color w:val="auto"/>
                <w:kern w:val="2"/>
                <w:sz w:val="21"/>
                <w:szCs w:val="21"/>
                <w:highlight w:val="none"/>
                <w:vertAlign w:val="baseline"/>
                <w:lang w:val="en-US" w:eastAsia="zh-CN" w:bidi="ar-SA"/>
              </w:rPr>
              <w:t>固态</w:t>
            </w:r>
          </w:p>
        </w:tc>
        <w:tc>
          <w:tcPr>
            <w:tcW w:w="899" w:type="dxa"/>
            <w:noWrap w:val="0"/>
            <w:vAlign w:val="center"/>
          </w:tcPr>
          <w:p w14:paraId="7BFBF57E">
            <w:pPr>
              <w:tabs>
                <w:tab w:val="left" w:pos="5295"/>
              </w:tabs>
              <w:jc w:val="center"/>
              <w:rPr>
                <w:color w:val="auto"/>
                <w:szCs w:val="21"/>
              </w:rPr>
            </w:pPr>
            <w:r>
              <w:rPr>
                <w:rFonts w:hint="eastAsia" w:cs="Times New Roman"/>
                <w:color w:val="auto"/>
                <w:kern w:val="2"/>
                <w:sz w:val="21"/>
                <w:szCs w:val="21"/>
                <w:highlight w:val="none"/>
                <w:lang w:val="en-US" w:eastAsia="zh-CN" w:bidi="ar-SA"/>
              </w:rPr>
              <w:t>0.1</w:t>
            </w:r>
          </w:p>
        </w:tc>
        <w:tc>
          <w:tcPr>
            <w:tcW w:w="462" w:type="pct"/>
            <w:noWrap w:val="0"/>
            <w:vAlign w:val="center"/>
          </w:tcPr>
          <w:p w14:paraId="43EF4858">
            <w:pPr>
              <w:tabs>
                <w:tab w:val="left" w:pos="5295"/>
              </w:tabs>
              <w:jc w:val="center"/>
              <w:rPr>
                <w:color w:val="auto"/>
                <w:szCs w:val="21"/>
              </w:rPr>
            </w:pPr>
            <w:r>
              <w:rPr>
                <w:color w:val="auto"/>
                <w:szCs w:val="21"/>
              </w:rPr>
              <w:t>0</w:t>
            </w:r>
          </w:p>
        </w:tc>
        <w:tc>
          <w:tcPr>
            <w:tcW w:w="822" w:type="dxa"/>
            <w:noWrap w:val="0"/>
            <w:vAlign w:val="center"/>
          </w:tcPr>
          <w:p w14:paraId="13BC8DC0">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default" w:ascii="Times New Roman" w:hAnsi="Times New Roman" w:eastAsia="宋体" w:cs="Times New Roman"/>
                <w:color w:val="auto"/>
                <w:sz w:val="21"/>
                <w:szCs w:val="21"/>
              </w:rPr>
              <w:t>T，I</w:t>
            </w:r>
            <w:r>
              <w:rPr>
                <w:rFonts w:hint="default" w:ascii="Times New Roman" w:hAnsi="Times New Roman" w:cs="Times New Roman"/>
                <w:color w:val="auto"/>
                <w:sz w:val="21"/>
                <w:szCs w:val="21"/>
                <w:lang w:val="en-US" w:eastAsia="zh-CN"/>
              </w:rPr>
              <w:t>n</w:t>
            </w:r>
          </w:p>
        </w:tc>
        <w:tc>
          <w:tcPr>
            <w:tcW w:w="860" w:type="pct"/>
            <w:vMerge w:val="continue"/>
            <w:noWrap w:val="0"/>
            <w:vAlign w:val="center"/>
          </w:tcPr>
          <w:p w14:paraId="1BFD0AB9">
            <w:pPr>
              <w:tabs>
                <w:tab w:val="left" w:pos="5295"/>
              </w:tabs>
              <w:jc w:val="center"/>
              <w:rPr>
                <w:color w:val="auto"/>
                <w:szCs w:val="21"/>
              </w:rPr>
            </w:pPr>
          </w:p>
        </w:tc>
      </w:tr>
      <w:tr w14:paraId="452C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00" w:type="pct"/>
            <w:vMerge w:val="continue"/>
            <w:noWrap w:val="0"/>
            <w:vAlign w:val="center"/>
          </w:tcPr>
          <w:p w14:paraId="73EF05D5">
            <w:pPr>
              <w:tabs>
                <w:tab w:val="left" w:pos="5295"/>
              </w:tabs>
              <w:jc w:val="center"/>
              <w:rPr>
                <w:color w:val="auto"/>
                <w:szCs w:val="21"/>
              </w:rPr>
            </w:pPr>
          </w:p>
        </w:tc>
        <w:tc>
          <w:tcPr>
            <w:tcW w:w="997" w:type="dxa"/>
            <w:noWrap w:val="0"/>
            <w:vAlign w:val="center"/>
          </w:tcPr>
          <w:p w14:paraId="7F7C3C04">
            <w:pPr>
              <w:tabs>
                <w:tab w:val="left" w:pos="5295"/>
              </w:tabs>
              <w:jc w:val="center"/>
              <w:rPr>
                <w:color w:val="auto"/>
                <w:szCs w:val="21"/>
              </w:rPr>
            </w:pPr>
            <w:r>
              <w:rPr>
                <w:rFonts w:hint="eastAsia" w:cs="Times New Roman"/>
                <w:color w:val="auto"/>
                <w:sz w:val="21"/>
                <w:szCs w:val="21"/>
                <w:highlight w:val="none"/>
                <w:lang w:val="en-US" w:eastAsia="zh-CN"/>
              </w:rPr>
              <w:t>废浮选剂包装</w:t>
            </w:r>
          </w:p>
        </w:tc>
        <w:tc>
          <w:tcPr>
            <w:tcW w:w="1080" w:type="dxa"/>
            <w:noWrap w:val="0"/>
            <w:vAlign w:val="center"/>
          </w:tcPr>
          <w:p w14:paraId="28B10863">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eastAsia" w:cs="Times New Roman"/>
                <w:color w:val="auto"/>
                <w:kern w:val="0"/>
                <w:sz w:val="21"/>
                <w:szCs w:val="21"/>
                <w:highlight w:val="none"/>
                <w:lang w:val="en-US" w:eastAsia="zh-CN" w:bidi="ar"/>
              </w:rPr>
              <w:t>HW49</w:t>
            </w:r>
          </w:p>
        </w:tc>
        <w:tc>
          <w:tcPr>
            <w:tcW w:w="1501" w:type="dxa"/>
            <w:noWrap w:val="0"/>
            <w:vAlign w:val="center"/>
          </w:tcPr>
          <w:p w14:paraId="07BB071F">
            <w:pPr>
              <w:keepNext w:val="0"/>
              <w:keepLines w:val="0"/>
              <w:widowControl/>
              <w:suppressLineNumbers w:val="0"/>
              <w:jc w:val="center"/>
              <w:rPr>
                <w:color w:val="auto"/>
                <w:szCs w:val="21"/>
              </w:rPr>
            </w:pPr>
            <w:r>
              <w:rPr>
                <w:rFonts w:hint="eastAsia" w:cs="Times New Roman"/>
                <w:color w:val="auto"/>
                <w:kern w:val="0"/>
                <w:sz w:val="21"/>
                <w:szCs w:val="21"/>
                <w:lang w:val="en-US" w:eastAsia="zh-CN" w:bidi="ar"/>
              </w:rPr>
              <w:t>900-041-49</w:t>
            </w:r>
          </w:p>
        </w:tc>
        <w:tc>
          <w:tcPr>
            <w:tcW w:w="704" w:type="dxa"/>
            <w:noWrap w:val="0"/>
            <w:vAlign w:val="center"/>
          </w:tcPr>
          <w:p w14:paraId="410CD10F">
            <w:pPr>
              <w:tabs>
                <w:tab w:val="left" w:pos="5295"/>
              </w:tabs>
              <w:jc w:val="center"/>
              <w:rPr>
                <w:color w:val="auto"/>
                <w:szCs w:val="21"/>
              </w:rPr>
            </w:pPr>
            <w:r>
              <w:rPr>
                <w:rFonts w:hint="default" w:ascii="Times New Roman" w:hAnsi="Times New Roman" w:eastAsia="宋体" w:cs="Times New Roman"/>
                <w:color w:val="auto"/>
                <w:kern w:val="2"/>
                <w:sz w:val="21"/>
                <w:szCs w:val="21"/>
                <w:highlight w:val="none"/>
                <w:vertAlign w:val="baseline"/>
                <w:lang w:val="en-US" w:eastAsia="zh-CN" w:bidi="ar-SA"/>
              </w:rPr>
              <w:t>固态</w:t>
            </w:r>
          </w:p>
        </w:tc>
        <w:tc>
          <w:tcPr>
            <w:tcW w:w="899" w:type="dxa"/>
            <w:noWrap w:val="0"/>
            <w:vAlign w:val="center"/>
          </w:tcPr>
          <w:p w14:paraId="0C337ADE">
            <w:pPr>
              <w:tabs>
                <w:tab w:val="left" w:pos="5295"/>
              </w:tabs>
              <w:jc w:val="center"/>
              <w:rPr>
                <w:rFonts w:hint="default" w:eastAsia="宋体"/>
                <w:color w:val="auto"/>
                <w:lang w:val="en-US" w:eastAsia="zh-CN"/>
              </w:rPr>
            </w:pPr>
            <w:r>
              <w:rPr>
                <w:rFonts w:hint="eastAsia" w:cs="Times New Roman"/>
                <w:color w:val="auto"/>
                <w:sz w:val="21"/>
                <w:szCs w:val="21"/>
                <w:highlight w:val="none"/>
                <w:lang w:val="en-US" w:eastAsia="zh-CN"/>
              </w:rPr>
              <w:t>3</w:t>
            </w:r>
          </w:p>
        </w:tc>
        <w:tc>
          <w:tcPr>
            <w:tcW w:w="462" w:type="pct"/>
            <w:noWrap w:val="0"/>
            <w:vAlign w:val="center"/>
          </w:tcPr>
          <w:p w14:paraId="0CEF0304">
            <w:pPr>
              <w:tabs>
                <w:tab w:val="left" w:pos="5295"/>
              </w:tabs>
              <w:jc w:val="center"/>
              <w:rPr>
                <w:color w:val="auto"/>
                <w:szCs w:val="21"/>
              </w:rPr>
            </w:pPr>
            <w:r>
              <w:rPr>
                <w:color w:val="auto"/>
                <w:szCs w:val="21"/>
              </w:rPr>
              <w:t>0</w:t>
            </w:r>
          </w:p>
        </w:tc>
        <w:tc>
          <w:tcPr>
            <w:tcW w:w="822" w:type="dxa"/>
            <w:noWrap w:val="0"/>
            <w:vAlign w:val="center"/>
          </w:tcPr>
          <w:p w14:paraId="02E3AB85">
            <w:pPr>
              <w:keepNext w:val="0"/>
              <w:keepLines w:val="0"/>
              <w:pageBreakBefore w:val="0"/>
              <w:widowControl w:val="0"/>
              <w:kinsoku/>
              <w:wordWrap/>
              <w:overflowPunct/>
              <w:topLinePunct w:val="0"/>
              <w:autoSpaceDE/>
              <w:autoSpaceDN/>
              <w:bidi w:val="0"/>
              <w:adjustRightInd/>
              <w:snapToGrid/>
              <w:jc w:val="center"/>
              <w:textAlignment w:val="auto"/>
              <w:rPr>
                <w:color w:val="auto"/>
                <w:szCs w:val="21"/>
              </w:rPr>
            </w:pPr>
            <w:r>
              <w:rPr>
                <w:rFonts w:hint="default" w:ascii="Times New Roman" w:hAnsi="Times New Roman" w:eastAsia="宋体" w:cs="Times New Roman"/>
                <w:color w:val="auto"/>
                <w:sz w:val="21"/>
                <w:szCs w:val="21"/>
              </w:rPr>
              <w:t>T，I</w:t>
            </w:r>
            <w:r>
              <w:rPr>
                <w:rFonts w:hint="default" w:ascii="Times New Roman" w:hAnsi="Times New Roman" w:cs="Times New Roman"/>
                <w:color w:val="auto"/>
                <w:sz w:val="21"/>
                <w:szCs w:val="21"/>
                <w:lang w:val="en-US" w:eastAsia="zh-CN"/>
              </w:rPr>
              <w:t>n</w:t>
            </w:r>
          </w:p>
        </w:tc>
        <w:tc>
          <w:tcPr>
            <w:tcW w:w="860" w:type="pct"/>
            <w:vMerge w:val="continue"/>
            <w:noWrap w:val="0"/>
            <w:vAlign w:val="center"/>
          </w:tcPr>
          <w:p w14:paraId="1E4247F6">
            <w:pPr>
              <w:tabs>
                <w:tab w:val="left" w:pos="5295"/>
              </w:tabs>
              <w:jc w:val="center"/>
              <w:rPr>
                <w:color w:val="auto"/>
                <w:szCs w:val="21"/>
              </w:rPr>
            </w:pPr>
          </w:p>
        </w:tc>
      </w:tr>
    </w:tbl>
    <w:p w14:paraId="33DCC978">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.2固体废物环境影响分析</w:t>
      </w:r>
    </w:p>
    <w:p w14:paraId="0DA22866">
      <w:pPr>
        <w:pStyle w:val="217"/>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Times New Roman" w:hAnsi="Times New Roman" w:eastAsia="宋体" w:cs="Times New Roman"/>
          <w:b/>
          <w:bCs/>
          <w:color w:val="auto"/>
          <w:spacing w:val="0"/>
          <w:kern w:val="2"/>
          <w:position w:val="0"/>
          <w:sz w:val="24"/>
          <w:szCs w:val="24"/>
          <w:lang w:val="en-US" w:eastAsia="zh-CN"/>
        </w:rPr>
      </w:pPr>
      <w:r>
        <w:rPr>
          <w:rFonts w:hint="eastAsia" w:ascii="Times New Roman" w:cs="Times New Roman"/>
          <w:b/>
          <w:bCs/>
          <w:color w:val="auto"/>
          <w:spacing w:val="0"/>
          <w:kern w:val="2"/>
          <w:position w:val="0"/>
          <w:sz w:val="24"/>
          <w:szCs w:val="24"/>
          <w:lang w:val="en-US" w:eastAsia="zh-CN"/>
        </w:rPr>
        <w:t>（1）</w:t>
      </w:r>
      <w:r>
        <w:rPr>
          <w:rFonts w:hint="default" w:ascii="Times New Roman" w:hAnsi="Times New Roman" w:eastAsia="宋体" w:cs="Times New Roman"/>
          <w:b/>
          <w:bCs/>
          <w:color w:val="auto"/>
          <w:spacing w:val="0"/>
          <w:kern w:val="2"/>
          <w:position w:val="0"/>
          <w:sz w:val="24"/>
          <w:szCs w:val="24"/>
          <w:highlight w:val="none"/>
          <w:lang w:val="en-US" w:eastAsia="zh-CN"/>
        </w:rPr>
        <w:t>一般工业固废产</w:t>
      </w:r>
      <w:r>
        <w:rPr>
          <w:rFonts w:hint="default" w:ascii="Times New Roman" w:hAnsi="Times New Roman" w:eastAsia="宋体" w:cs="Times New Roman"/>
          <w:b/>
          <w:bCs/>
          <w:color w:val="auto"/>
          <w:spacing w:val="0"/>
          <w:kern w:val="2"/>
          <w:position w:val="0"/>
          <w:sz w:val="24"/>
          <w:szCs w:val="24"/>
          <w:lang w:val="en-US" w:eastAsia="zh-CN"/>
        </w:rPr>
        <w:t>生、收集、贮存管理要求</w:t>
      </w:r>
    </w:p>
    <w:p w14:paraId="23553087">
      <w:pPr>
        <w:pStyle w:val="217"/>
        <w:spacing w:line="360" w:lineRule="auto"/>
        <w:ind w:firstLine="480" w:firstLineChars="200"/>
        <w:jc w:val="both"/>
        <w:rPr>
          <w:rFonts w:hint="default" w:ascii="Times New Roman" w:hAnsi="Times New Roman" w:eastAsia="宋体" w:cs="Times New Roman"/>
          <w:b w:val="0"/>
          <w:bCs w:val="0"/>
          <w:color w:val="auto"/>
          <w:spacing w:val="0"/>
          <w:kern w:val="2"/>
          <w:position w:val="0"/>
          <w:sz w:val="24"/>
          <w:szCs w:val="24"/>
          <w:lang w:val="en-US" w:eastAsia="zh-CN"/>
        </w:rPr>
      </w:pPr>
      <w:r>
        <w:rPr>
          <w:rFonts w:hint="eastAsia" w:eastAsia="宋体"/>
          <w:caps w:val="0"/>
          <w:color w:val="auto"/>
          <w:sz w:val="24"/>
          <w:szCs w:val="24"/>
          <w:lang w:eastAsia="zh-CN"/>
        </w:rPr>
        <w:t>根据《辽宁省生态环境厅关于加强全省一般工业固体废物管理工作的通知》中相关要求，对厂区内一般固废进行管理，具体要求如下：</w:t>
      </w:r>
    </w:p>
    <w:p w14:paraId="7645D5E8">
      <w:pPr>
        <w:pStyle w:val="217"/>
        <w:spacing w:line="360" w:lineRule="auto"/>
        <w:ind w:firstLine="480" w:firstLineChars="200"/>
        <w:jc w:val="both"/>
        <w:rPr>
          <w:rFonts w:hint="default" w:ascii="Times New Roman" w:hAnsi="Times New Roman" w:eastAsia="宋体" w:cs="Times New Roman"/>
          <w:b w:val="0"/>
          <w:bCs w:val="0"/>
          <w:color w:val="auto"/>
          <w:spacing w:val="0"/>
          <w:kern w:val="2"/>
          <w:position w:val="0"/>
          <w:sz w:val="24"/>
          <w:szCs w:val="24"/>
          <w:lang w:val="en-US" w:eastAsia="zh-CN"/>
        </w:rPr>
      </w:pPr>
      <w:r>
        <w:rPr>
          <w:rFonts w:hint="default" w:ascii="Times New Roman" w:hAnsi="Times New Roman" w:eastAsia="宋体" w:cs="Times New Roman"/>
          <w:b w:val="0"/>
          <w:bCs w:val="0"/>
          <w:color w:val="auto"/>
          <w:spacing w:val="0"/>
          <w:kern w:val="2"/>
          <w:position w:val="0"/>
          <w:sz w:val="24"/>
          <w:szCs w:val="24"/>
          <w:lang w:val="en-US" w:eastAsia="zh-CN"/>
        </w:rPr>
        <w:t>1）</w:t>
      </w:r>
      <w:r>
        <w:rPr>
          <w:rFonts w:hint="eastAsia" w:ascii="Times New Roman" w:cs="Times New Roman"/>
          <w:b w:val="0"/>
          <w:bCs w:val="0"/>
          <w:color w:val="auto"/>
          <w:spacing w:val="0"/>
          <w:kern w:val="2"/>
          <w:position w:val="0"/>
          <w:sz w:val="24"/>
          <w:szCs w:val="24"/>
          <w:lang w:val="en-US" w:eastAsia="zh-CN"/>
        </w:rPr>
        <w:t>干排车间尾矿暂存处</w:t>
      </w:r>
      <w:r>
        <w:rPr>
          <w:rFonts w:hint="default" w:ascii="Times New Roman" w:hAnsi="Times New Roman" w:eastAsia="宋体" w:cs="Times New Roman"/>
          <w:b w:val="0"/>
          <w:bCs w:val="0"/>
          <w:color w:val="auto"/>
          <w:spacing w:val="0"/>
          <w:kern w:val="2"/>
          <w:position w:val="0"/>
          <w:sz w:val="24"/>
          <w:szCs w:val="24"/>
          <w:lang w:val="en-US" w:eastAsia="zh-CN"/>
        </w:rPr>
        <w:t>禁止</w:t>
      </w:r>
      <w:r>
        <w:rPr>
          <w:rFonts w:hint="eastAsia" w:ascii="Times New Roman" w:cs="Times New Roman"/>
          <w:b w:val="0"/>
          <w:bCs w:val="0"/>
          <w:color w:val="auto"/>
          <w:spacing w:val="0"/>
          <w:kern w:val="2"/>
          <w:position w:val="0"/>
          <w:sz w:val="24"/>
          <w:szCs w:val="24"/>
          <w:lang w:val="en-US" w:eastAsia="zh-CN"/>
        </w:rPr>
        <w:t>混入</w:t>
      </w:r>
      <w:r>
        <w:rPr>
          <w:rFonts w:hint="default" w:ascii="Times New Roman" w:hAnsi="Times New Roman" w:eastAsia="宋体" w:cs="Times New Roman"/>
          <w:b w:val="0"/>
          <w:bCs w:val="0"/>
          <w:color w:val="auto"/>
          <w:spacing w:val="0"/>
          <w:kern w:val="2"/>
          <w:position w:val="0"/>
          <w:sz w:val="24"/>
          <w:szCs w:val="24"/>
          <w:lang w:val="en-US" w:eastAsia="zh-CN"/>
        </w:rPr>
        <w:t>危险废物和生活垃圾，禁止向生活垃圾收集设施中投放工业固体废物；</w:t>
      </w:r>
    </w:p>
    <w:p w14:paraId="572BEA52">
      <w:pPr>
        <w:pStyle w:val="217"/>
        <w:spacing w:line="360" w:lineRule="auto"/>
        <w:ind w:firstLine="480" w:firstLineChars="200"/>
        <w:jc w:val="both"/>
        <w:rPr>
          <w:rFonts w:hint="default" w:ascii="Times New Roman" w:hAnsi="Times New Roman" w:eastAsia="宋体" w:cs="Times New Roman"/>
          <w:b w:val="0"/>
          <w:bCs w:val="0"/>
          <w:color w:val="auto"/>
          <w:spacing w:val="0"/>
          <w:kern w:val="2"/>
          <w:position w:val="0"/>
          <w:sz w:val="24"/>
          <w:szCs w:val="24"/>
          <w:lang w:val="en-US" w:eastAsia="zh-CN"/>
        </w:rPr>
      </w:pPr>
      <w:r>
        <w:rPr>
          <w:rFonts w:hint="default" w:ascii="Times New Roman" w:hAnsi="Times New Roman" w:eastAsia="宋体" w:cs="Times New Roman"/>
          <w:b w:val="0"/>
          <w:bCs w:val="0"/>
          <w:color w:val="auto"/>
          <w:spacing w:val="0"/>
          <w:kern w:val="2"/>
          <w:position w:val="0"/>
          <w:sz w:val="24"/>
          <w:szCs w:val="24"/>
          <w:lang w:val="en-US" w:eastAsia="zh-CN"/>
        </w:rPr>
        <w:t>2）</w:t>
      </w:r>
      <w:r>
        <w:rPr>
          <w:rFonts w:hint="eastAsia" w:ascii="Times New Roman" w:hAnsi="Times New Roman" w:eastAsia="宋体" w:cs="Times New Roman"/>
          <w:b w:val="0"/>
          <w:bCs w:val="0"/>
          <w:color w:val="auto"/>
          <w:spacing w:val="0"/>
          <w:kern w:val="2"/>
          <w:position w:val="0"/>
          <w:sz w:val="24"/>
          <w:szCs w:val="24"/>
          <w:lang w:val="en-US" w:eastAsia="zh-CN"/>
        </w:rPr>
        <w:t>本项目</w:t>
      </w:r>
      <w:r>
        <w:rPr>
          <w:rFonts w:hint="eastAsia" w:ascii="Times New Roman" w:cs="Times New Roman"/>
          <w:b w:val="0"/>
          <w:bCs w:val="0"/>
          <w:color w:val="auto"/>
          <w:spacing w:val="0"/>
          <w:kern w:val="2"/>
          <w:position w:val="0"/>
          <w:sz w:val="24"/>
          <w:szCs w:val="24"/>
          <w:lang w:val="en-US" w:eastAsia="zh-CN"/>
        </w:rPr>
        <w:t>干排尾矿依托现有</w:t>
      </w:r>
      <w:r>
        <w:rPr>
          <w:rFonts w:hint="eastAsia" w:ascii="Times New Roman" w:hAnsi="Times New Roman" w:eastAsia="宋体" w:cs="Times New Roman"/>
          <w:b w:val="0"/>
          <w:bCs w:val="0"/>
          <w:color w:val="auto"/>
          <w:spacing w:val="0"/>
          <w:kern w:val="2"/>
          <w:position w:val="0"/>
          <w:sz w:val="24"/>
          <w:szCs w:val="24"/>
          <w:lang w:val="en-US" w:eastAsia="zh-CN"/>
        </w:rPr>
        <w:t>干排</w:t>
      </w:r>
      <w:r>
        <w:rPr>
          <w:rFonts w:hint="eastAsia" w:ascii="Times New Roman" w:cs="Times New Roman"/>
          <w:b w:val="0"/>
          <w:bCs w:val="0"/>
          <w:color w:val="auto"/>
          <w:spacing w:val="0"/>
          <w:kern w:val="2"/>
          <w:position w:val="0"/>
          <w:sz w:val="24"/>
          <w:szCs w:val="24"/>
          <w:lang w:val="en-US" w:eastAsia="zh-CN"/>
        </w:rPr>
        <w:t>车间</w:t>
      </w:r>
      <w:r>
        <w:rPr>
          <w:rFonts w:hint="eastAsia" w:ascii="Times New Roman" w:hAnsi="Times New Roman" w:eastAsia="宋体" w:cs="Times New Roman"/>
          <w:b w:val="0"/>
          <w:bCs w:val="0"/>
          <w:color w:val="auto"/>
          <w:spacing w:val="0"/>
          <w:kern w:val="2"/>
          <w:position w:val="0"/>
          <w:sz w:val="24"/>
          <w:szCs w:val="24"/>
          <w:lang w:val="en-US" w:eastAsia="zh-CN"/>
        </w:rPr>
        <w:t>，</w:t>
      </w:r>
      <w:r>
        <w:rPr>
          <w:rFonts w:hint="eastAsia" w:ascii="Times New Roman" w:hAnsi="Times New Roman" w:eastAsia="宋体" w:cs="Times New Roman"/>
          <w:b w:val="0"/>
          <w:bCs w:val="0"/>
          <w:color w:val="auto"/>
          <w:spacing w:val="0"/>
          <w:kern w:val="2"/>
          <w:position w:val="0"/>
          <w:sz w:val="24"/>
          <w:szCs w:val="24"/>
          <w:highlight w:val="none"/>
          <w:lang w:val="en-US" w:eastAsia="zh-CN"/>
        </w:rPr>
        <w:t>建筑面积</w:t>
      </w:r>
      <w:r>
        <w:rPr>
          <w:rFonts w:hint="eastAsia" w:ascii="Times New Roman" w:cs="Times New Roman"/>
          <w:b w:val="0"/>
          <w:bCs w:val="0"/>
          <w:color w:val="auto"/>
          <w:spacing w:val="0"/>
          <w:kern w:val="2"/>
          <w:position w:val="0"/>
          <w:sz w:val="24"/>
          <w:szCs w:val="24"/>
          <w:highlight w:val="none"/>
          <w:lang w:val="en-US" w:eastAsia="zh-CN"/>
        </w:rPr>
        <w:t>240</w:t>
      </w:r>
      <w:r>
        <w:rPr>
          <w:rFonts w:hint="eastAsia" w:ascii="Times New Roman" w:hAnsi="Times New Roman" w:eastAsia="宋体" w:cs="Times New Roman"/>
          <w:b w:val="0"/>
          <w:bCs w:val="0"/>
          <w:color w:val="auto"/>
          <w:spacing w:val="0"/>
          <w:kern w:val="2"/>
          <w:position w:val="0"/>
          <w:sz w:val="24"/>
          <w:szCs w:val="24"/>
          <w:highlight w:val="none"/>
          <w:lang w:val="en-US" w:eastAsia="zh-CN"/>
        </w:rPr>
        <w:t>m</w:t>
      </w:r>
      <w:r>
        <w:rPr>
          <w:rFonts w:hint="eastAsia" w:ascii="Times New Roman" w:hAnsi="Times New Roman" w:eastAsia="宋体" w:cs="Times New Roman"/>
          <w:b w:val="0"/>
          <w:bCs w:val="0"/>
          <w:color w:val="auto"/>
          <w:spacing w:val="0"/>
          <w:kern w:val="2"/>
          <w:position w:val="0"/>
          <w:sz w:val="24"/>
          <w:szCs w:val="24"/>
          <w:highlight w:val="none"/>
          <w:vertAlign w:val="superscript"/>
          <w:lang w:val="en-US" w:eastAsia="zh-CN"/>
        </w:rPr>
        <w:t>2</w:t>
      </w:r>
      <w:r>
        <w:rPr>
          <w:rFonts w:hint="eastAsia" w:ascii="Times New Roman" w:hAnsi="Times New Roman" w:eastAsia="宋体" w:cs="Times New Roman"/>
          <w:b w:val="0"/>
          <w:bCs w:val="0"/>
          <w:color w:val="auto"/>
          <w:spacing w:val="0"/>
          <w:kern w:val="2"/>
          <w:position w:val="0"/>
          <w:sz w:val="24"/>
          <w:szCs w:val="24"/>
          <w:highlight w:val="none"/>
          <w:lang w:val="en-US" w:eastAsia="zh-CN"/>
        </w:rPr>
        <w:t>，设置</w:t>
      </w:r>
      <w:r>
        <w:rPr>
          <w:rFonts w:hint="default" w:ascii="Times New Roman" w:hAnsi="Times New Roman" w:eastAsia="宋体" w:cs="Times New Roman"/>
          <w:b w:val="0"/>
          <w:bCs w:val="0"/>
          <w:color w:val="auto"/>
          <w:spacing w:val="0"/>
          <w:kern w:val="2"/>
          <w:position w:val="0"/>
          <w:sz w:val="24"/>
          <w:szCs w:val="24"/>
          <w:lang w:val="en-US" w:eastAsia="zh-CN"/>
        </w:rPr>
        <w:t>防雨淋、防扬散、防流失等措施</w:t>
      </w:r>
      <w:r>
        <w:rPr>
          <w:rFonts w:hint="eastAsia" w:ascii="Times New Roman" w:hAnsi="Times New Roman" w:eastAsia="宋体" w:cs="Times New Roman"/>
          <w:b w:val="0"/>
          <w:bCs w:val="0"/>
          <w:color w:val="auto"/>
          <w:spacing w:val="0"/>
          <w:kern w:val="2"/>
          <w:position w:val="0"/>
          <w:sz w:val="24"/>
          <w:szCs w:val="24"/>
          <w:lang w:val="en-US" w:eastAsia="zh-CN"/>
        </w:rPr>
        <w:t>；</w:t>
      </w:r>
    </w:p>
    <w:p w14:paraId="481CC8A2">
      <w:pPr>
        <w:pStyle w:val="217"/>
        <w:spacing w:line="360" w:lineRule="auto"/>
        <w:ind w:firstLine="480" w:firstLineChars="200"/>
        <w:jc w:val="both"/>
        <w:rPr>
          <w:rFonts w:hint="default" w:ascii="Times New Roman" w:hAnsi="Times New Roman" w:eastAsia="宋体" w:cs="Times New Roman"/>
          <w:b w:val="0"/>
          <w:bCs w:val="0"/>
          <w:color w:val="auto"/>
          <w:spacing w:val="0"/>
          <w:kern w:val="2"/>
          <w:position w:val="0"/>
          <w:sz w:val="24"/>
          <w:szCs w:val="24"/>
          <w:lang w:val="en-US" w:eastAsia="zh-CN"/>
        </w:rPr>
      </w:pPr>
      <w:r>
        <w:rPr>
          <w:rFonts w:hint="default" w:ascii="Times New Roman" w:hAnsi="Times New Roman" w:eastAsia="宋体" w:cs="Times New Roman"/>
          <w:b w:val="0"/>
          <w:bCs w:val="0"/>
          <w:color w:val="auto"/>
          <w:spacing w:val="0"/>
          <w:kern w:val="2"/>
          <w:position w:val="0"/>
          <w:sz w:val="24"/>
          <w:szCs w:val="24"/>
          <w:lang w:val="en-US" w:eastAsia="zh-CN"/>
        </w:rPr>
        <w:t>3）</w:t>
      </w:r>
      <w:r>
        <w:rPr>
          <w:rFonts w:hint="eastAsia" w:ascii="Times New Roman" w:hAnsi="Times New Roman" w:eastAsia="宋体" w:cs="Times New Roman"/>
          <w:b w:val="0"/>
          <w:bCs w:val="0"/>
          <w:color w:val="auto"/>
          <w:spacing w:val="0"/>
          <w:kern w:val="2"/>
          <w:position w:val="0"/>
          <w:sz w:val="24"/>
          <w:szCs w:val="24"/>
          <w:lang w:val="en-US" w:eastAsia="zh-CN"/>
        </w:rPr>
        <w:t>建立完整的</w:t>
      </w:r>
      <w:r>
        <w:rPr>
          <w:rFonts w:hint="default" w:ascii="Times New Roman" w:hAnsi="Times New Roman" w:eastAsia="宋体" w:cs="Times New Roman"/>
          <w:b w:val="0"/>
          <w:bCs w:val="0"/>
          <w:color w:val="auto"/>
          <w:spacing w:val="0"/>
          <w:kern w:val="2"/>
          <w:position w:val="0"/>
          <w:sz w:val="24"/>
          <w:szCs w:val="24"/>
          <w:lang w:val="en-US" w:eastAsia="zh-CN"/>
        </w:rPr>
        <w:t>一般固体废物产生、收集、贮存的污染环境防治责任制度，建立</w:t>
      </w:r>
      <w:r>
        <w:rPr>
          <w:rFonts w:hint="eastAsia" w:ascii="Times New Roman" w:hAnsi="Times New Roman" w:eastAsia="宋体" w:cs="Times New Roman"/>
          <w:b w:val="0"/>
          <w:bCs w:val="0"/>
          <w:color w:val="auto"/>
          <w:spacing w:val="0"/>
          <w:kern w:val="2"/>
          <w:position w:val="0"/>
          <w:sz w:val="24"/>
          <w:szCs w:val="24"/>
          <w:lang w:val="en-US" w:eastAsia="zh-CN"/>
        </w:rPr>
        <w:t>了</w:t>
      </w:r>
      <w:r>
        <w:rPr>
          <w:rFonts w:hint="default" w:ascii="Times New Roman" w:hAnsi="Times New Roman" w:eastAsia="宋体" w:cs="Times New Roman"/>
          <w:b w:val="0"/>
          <w:bCs w:val="0"/>
          <w:color w:val="auto"/>
          <w:spacing w:val="0"/>
          <w:kern w:val="2"/>
          <w:position w:val="0"/>
          <w:sz w:val="24"/>
          <w:szCs w:val="24"/>
          <w:lang w:val="en-US" w:eastAsia="zh-CN"/>
        </w:rPr>
        <w:t>一般固体废物管理台账，如实记录</w:t>
      </w:r>
      <w:r>
        <w:rPr>
          <w:rFonts w:hint="eastAsia" w:ascii="Times New Roman" w:hAnsi="Times New Roman" w:eastAsia="宋体" w:cs="Times New Roman"/>
          <w:b w:val="0"/>
          <w:bCs w:val="0"/>
          <w:color w:val="auto"/>
          <w:spacing w:val="0"/>
          <w:kern w:val="2"/>
          <w:position w:val="0"/>
          <w:sz w:val="24"/>
          <w:szCs w:val="24"/>
          <w:lang w:val="en-US" w:eastAsia="zh-CN"/>
        </w:rPr>
        <w:t>了</w:t>
      </w:r>
      <w:r>
        <w:rPr>
          <w:rFonts w:hint="default" w:ascii="Times New Roman" w:hAnsi="Times New Roman" w:eastAsia="宋体" w:cs="Times New Roman"/>
          <w:b w:val="0"/>
          <w:bCs w:val="0"/>
          <w:color w:val="auto"/>
          <w:spacing w:val="0"/>
          <w:kern w:val="2"/>
          <w:position w:val="0"/>
          <w:sz w:val="24"/>
          <w:szCs w:val="24"/>
          <w:lang w:val="en-US" w:eastAsia="zh-CN"/>
        </w:rPr>
        <w:t>产生固体废物的种类、数量、流向、贮存等信息。</w:t>
      </w:r>
    </w:p>
    <w:p w14:paraId="62E443C5">
      <w:pPr>
        <w:pStyle w:val="217"/>
        <w:spacing w:line="360" w:lineRule="auto"/>
        <w:ind w:firstLine="482" w:firstLineChars="200"/>
        <w:jc w:val="both"/>
        <w:rPr>
          <w:rFonts w:hint="default" w:ascii="Times New Roman" w:hAnsi="Times New Roman" w:eastAsia="宋体" w:cs="Times New Roman"/>
          <w:b/>
          <w:bCs/>
          <w:color w:val="auto"/>
          <w:spacing w:val="0"/>
          <w:kern w:val="2"/>
          <w:position w:val="0"/>
          <w:sz w:val="24"/>
          <w:szCs w:val="24"/>
          <w:lang w:val="en-US" w:eastAsia="zh-CN"/>
        </w:rPr>
      </w:pPr>
      <w:r>
        <w:rPr>
          <w:rFonts w:hint="eastAsia" w:ascii="Times New Roman" w:cs="Times New Roman"/>
          <w:b/>
          <w:bCs/>
          <w:color w:val="auto"/>
          <w:spacing w:val="0"/>
          <w:kern w:val="2"/>
          <w:position w:val="0"/>
          <w:sz w:val="24"/>
          <w:szCs w:val="24"/>
          <w:lang w:val="en-US" w:eastAsia="zh-CN"/>
        </w:rPr>
        <w:t>（2）</w:t>
      </w:r>
      <w:r>
        <w:rPr>
          <w:rFonts w:hint="default" w:ascii="Times New Roman" w:hAnsi="Times New Roman" w:eastAsia="宋体" w:cs="Times New Roman"/>
          <w:b/>
          <w:bCs/>
          <w:color w:val="auto"/>
          <w:spacing w:val="0"/>
          <w:kern w:val="2"/>
          <w:position w:val="0"/>
          <w:sz w:val="24"/>
          <w:szCs w:val="24"/>
          <w:lang w:val="en-US" w:eastAsia="zh-CN"/>
        </w:rPr>
        <w:t>危废收集、暂存、转移等管理要求</w:t>
      </w:r>
    </w:p>
    <w:p w14:paraId="668E24E8">
      <w:pPr>
        <w:pStyle w:val="93"/>
        <w:keepNext w:val="0"/>
        <w:keepLines w:val="0"/>
        <w:pageBreakBefore w:val="0"/>
        <w:tabs>
          <w:tab w:val="left" w:pos="4665"/>
          <w:tab w:val="left" w:pos="8970"/>
        </w:tabs>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bCs/>
          <w:color w:val="auto"/>
          <w:spacing w:val="0"/>
          <w:position w:val="0"/>
          <w:sz w:val="24"/>
          <w:szCs w:val="24"/>
          <w:lang w:val="en-US" w:eastAsia="zh-CN"/>
        </w:rPr>
      </w:pPr>
      <w:r>
        <w:rPr>
          <w:rFonts w:hint="eastAsia" w:ascii="Times New Roman" w:hAnsi="Times New Roman" w:eastAsia="宋体" w:cs="Times New Roman"/>
          <w:b/>
          <w:bCs/>
          <w:color w:val="auto"/>
          <w:spacing w:val="0"/>
          <w:position w:val="0"/>
          <w:sz w:val="24"/>
          <w:szCs w:val="24"/>
          <w:lang w:val="en-US" w:eastAsia="zh-CN"/>
        </w:rPr>
        <w:t>1</w:t>
      </w:r>
      <w:r>
        <w:rPr>
          <w:rFonts w:hint="default" w:ascii="Times New Roman" w:hAnsi="Times New Roman" w:eastAsia="宋体" w:cs="Times New Roman"/>
          <w:b/>
          <w:bCs/>
          <w:color w:val="auto"/>
          <w:spacing w:val="0"/>
          <w:position w:val="0"/>
          <w:sz w:val="24"/>
          <w:szCs w:val="24"/>
          <w:lang w:val="en-US" w:eastAsia="zh-CN"/>
        </w:rPr>
        <w:t>）</w:t>
      </w:r>
      <w:r>
        <w:rPr>
          <w:rFonts w:hint="eastAsia" w:ascii="Times New Roman" w:hAnsi="Times New Roman" w:eastAsia="宋体" w:cs="Times New Roman"/>
          <w:b/>
          <w:bCs/>
          <w:color w:val="auto"/>
          <w:spacing w:val="0"/>
          <w:position w:val="0"/>
          <w:sz w:val="24"/>
          <w:szCs w:val="24"/>
          <w:lang w:val="en-US" w:eastAsia="zh-CN"/>
        </w:rPr>
        <w:t>危废贮存点</w:t>
      </w:r>
      <w:r>
        <w:rPr>
          <w:rFonts w:hint="default" w:ascii="Times New Roman" w:hAnsi="Times New Roman" w:eastAsia="宋体" w:cs="Times New Roman"/>
          <w:b/>
          <w:bCs/>
          <w:color w:val="auto"/>
          <w:spacing w:val="0"/>
          <w:position w:val="0"/>
          <w:sz w:val="24"/>
          <w:szCs w:val="24"/>
          <w:lang w:val="en-US" w:eastAsia="zh-CN"/>
        </w:rPr>
        <w:t>建设情况</w:t>
      </w:r>
    </w:p>
    <w:p w14:paraId="00C2D733">
      <w:pPr>
        <w:pStyle w:val="217"/>
        <w:spacing w:line="360" w:lineRule="auto"/>
        <w:ind w:firstLine="480" w:firstLineChars="200"/>
        <w:jc w:val="both"/>
        <w:rPr>
          <w:rFonts w:hint="default" w:ascii="Times New Roman" w:hAnsi="Times New Roman" w:eastAsia="宋体" w:cs="Times New Roman"/>
          <w:b w:val="0"/>
          <w:bCs w:val="0"/>
          <w:color w:val="auto"/>
          <w:spacing w:val="0"/>
          <w:kern w:val="2"/>
          <w:position w:val="0"/>
          <w:sz w:val="24"/>
          <w:szCs w:val="24"/>
          <w:lang w:val="en-US" w:eastAsia="zh-CN"/>
        </w:rPr>
      </w:pPr>
      <w:r>
        <w:rPr>
          <w:rFonts w:hint="eastAsia" w:ascii="Times New Roman" w:cs="Times New Roman"/>
          <w:b w:val="0"/>
          <w:bCs w:val="0"/>
          <w:color w:val="auto"/>
          <w:spacing w:val="0"/>
          <w:kern w:val="2"/>
          <w:position w:val="0"/>
          <w:sz w:val="24"/>
          <w:szCs w:val="24"/>
          <w:lang w:val="en-US" w:eastAsia="zh-CN"/>
        </w:rPr>
        <w:t>本次改扩建</w:t>
      </w:r>
      <w:r>
        <w:rPr>
          <w:rFonts w:hint="eastAsia" w:ascii="Times New Roman" w:hAnsi="Times New Roman" w:eastAsia="宋体" w:cs="Times New Roman"/>
          <w:b w:val="0"/>
          <w:bCs w:val="0"/>
          <w:color w:val="auto"/>
          <w:spacing w:val="0"/>
          <w:kern w:val="2"/>
          <w:position w:val="0"/>
          <w:sz w:val="24"/>
          <w:szCs w:val="24"/>
          <w:lang w:val="en-US" w:eastAsia="zh-CN"/>
        </w:rPr>
        <w:t>项目</w:t>
      </w:r>
      <w:r>
        <w:rPr>
          <w:rFonts w:hint="eastAsia" w:ascii="Times New Roman" w:cs="Times New Roman"/>
          <w:b w:val="0"/>
          <w:bCs w:val="0"/>
          <w:color w:val="auto"/>
          <w:spacing w:val="0"/>
          <w:kern w:val="2"/>
          <w:position w:val="0"/>
          <w:sz w:val="24"/>
          <w:szCs w:val="24"/>
          <w:lang w:val="en-US" w:eastAsia="zh-CN"/>
        </w:rPr>
        <w:t>依托现有</w:t>
      </w:r>
      <w:r>
        <w:rPr>
          <w:rFonts w:hint="eastAsia" w:ascii="Times New Roman" w:hAnsi="Times New Roman" w:eastAsia="宋体" w:cs="Times New Roman"/>
          <w:b w:val="0"/>
          <w:bCs w:val="0"/>
          <w:color w:val="auto"/>
          <w:spacing w:val="0"/>
          <w:kern w:val="2"/>
          <w:position w:val="0"/>
          <w:sz w:val="24"/>
          <w:szCs w:val="24"/>
          <w:lang w:val="en-US" w:eastAsia="zh-CN"/>
        </w:rPr>
        <w:t>危废贮存点</w:t>
      </w:r>
      <w:r>
        <w:rPr>
          <w:rFonts w:hint="default" w:ascii="Times New Roman" w:hAnsi="Times New Roman" w:eastAsia="宋体" w:cs="Times New Roman"/>
          <w:b w:val="0"/>
          <w:bCs w:val="0"/>
          <w:color w:val="auto"/>
          <w:spacing w:val="0"/>
          <w:kern w:val="2"/>
          <w:position w:val="0"/>
          <w:sz w:val="24"/>
          <w:szCs w:val="24"/>
          <w:highlight w:val="none"/>
          <w:lang w:val="en-US" w:eastAsia="zh-CN"/>
        </w:rPr>
        <w:t>，占地面积</w:t>
      </w:r>
      <w:r>
        <w:rPr>
          <w:rFonts w:hint="eastAsia" w:ascii="Times New Roman" w:cs="Times New Roman"/>
          <w:b w:val="0"/>
          <w:bCs w:val="0"/>
          <w:color w:val="auto"/>
          <w:spacing w:val="0"/>
          <w:kern w:val="2"/>
          <w:position w:val="0"/>
          <w:sz w:val="24"/>
          <w:szCs w:val="24"/>
          <w:highlight w:val="none"/>
          <w:lang w:val="en-US" w:eastAsia="zh-CN"/>
        </w:rPr>
        <w:t>为25</w:t>
      </w:r>
      <w:r>
        <w:rPr>
          <w:rFonts w:hint="default" w:ascii="Times New Roman" w:hAnsi="Times New Roman" w:eastAsia="宋体" w:cs="Times New Roman"/>
          <w:b w:val="0"/>
          <w:bCs w:val="0"/>
          <w:color w:val="auto"/>
          <w:spacing w:val="0"/>
          <w:kern w:val="2"/>
          <w:position w:val="0"/>
          <w:sz w:val="24"/>
          <w:szCs w:val="24"/>
          <w:highlight w:val="none"/>
          <w:lang w:val="en-US" w:eastAsia="zh-CN"/>
        </w:rPr>
        <w:t>m</w:t>
      </w:r>
      <w:r>
        <w:rPr>
          <w:rFonts w:hint="default" w:ascii="Times New Roman" w:hAnsi="Times New Roman" w:eastAsia="宋体" w:cs="Times New Roman"/>
          <w:b w:val="0"/>
          <w:bCs w:val="0"/>
          <w:color w:val="auto"/>
          <w:spacing w:val="0"/>
          <w:kern w:val="2"/>
          <w:position w:val="0"/>
          <w:sz w:val="24"/>
          <w:szCs w:val="24"/>
          <w:highlight w:val="none"/>
          <w:vertAlign w:val="superscript"/>
          <w:lang w:val="en-US" w:eastAsia="zh-CN"/>
        </w:rPr>
        <w:t>2</w:t>
      </w:r>
      <w:r>
        <w:rPr>
          <w:rFonts w:hint="default" w:ascii="Times New Roman" w:hAnsi="Times New Roman" w:eastAsia="宋体" w:cs="Times New Roman"/>
          <w:b w:val="0"/>
          <w:bCs w:val="0"/>
          <w:color w:val="auto"/>
          <w:spacing w:val="0"/>
          <w:kern w:val="2"/>
          <w:position w:val="0"/>
          <w:sz w:val="24"/>
          <w:szCs w:val="24"/>
          <w:highlight w:val="none"/>
          <w:lang w:val="en-US" w:eastAsia="zh-CN"/>
        </w:rPr>
        <w:t>，</w:t>
      </w:r>
      <w:r>
        <w:rPr>
          <w:rFonts w:hint="eastAsia" w:ascii="Times New Roman" w:hAnsi="Times New Roman" w:eastAsia="宋体" w:cs="Times New Roman"/>
          <w:b w:val="0"/>
          <w:bCs w:val="0"/>
          <w:color w:val="auto"/>
          <w:spacing w:val="0"/>
          <w:kern w:val="2"/>
          <w:position w:val="0"/>
          <w:sz w:val="24"/>
          <w:szCs w:val="24"/>
          <w:highlight w:val="none"/>
          <w:lang w:val="en-US" w:eastAsia="zh-CN"/>
        </w:rPr>
        <w:t>危废贮存点应按照</w:t>
      </w:r>
      <w:r>
        <w:rPr>
          <w:rFonts w:hint="default" w:ascii="Times New Roman" w:hAnsi="Times New Roman" w:eastAsia="宋体" w:cs="Times New Roman"/>
          <w:b w:val="0"/>
          <w:bCs w:val="0"/>
          <w:color w:val="auto"/>
          <w:spacing w:val="0"/>
          <w:kern w:val="2"/>
          <w:position w:val="0"/>
          <w:sz w:val="24"/>
          <w:szCs w:val="24"/>
          <w:lang w:val="en-US" w:eastAsia="zh-CN"/>
        </w:rPr>
        <w:t>《危险废物贮存污染控制标准》（GB18597-20</w:t>
      </w:r>
      <w:r>
        <w:rPr>
          <w:rFonts w:hint="eastAsia" w:ascii="Times New Roman" w:hAnsi="Times New Roman" w:eastAsia="宋体" w:cs="Times New Roman"/>
          <w:b w:val="0"/>
          <w:bCs w:val="0"/>
          <w:color w:val="auto"/>
          <w:spacing w:val="0"/>
          <w:kern w:val="2"/>
          <w:position w:val="0"/>
          <w:sz w:val="24"/>
          <w:szCs w:val="24"/>
          <w:lang w:val="en-US" w:eastAsia="zh-CN"/>
        </w:rPr>
        <w:t>23</w:t>
      </w:r>
      <w:r>
        <w:rPr>
          <w:rFonts w:hint="default" w:ascii="Times New Roman" w:hAnsi="Times New Roman" w:eastAsia="宋体" w:cs="Times New Roman"/>
          <w:b w:val="0"/>
          <w:bCs w:val="0"/>
          <w:color w:val="auto"/>
          <w:spacing w:val="0"/>
          <w:kern w:val="2"/>
          <w:position w:val="0"/>
          <w:sz w:val="24"/>
          <w:szCs w:val="24"/>
          <w:lang w:val="en-US" w:eastAsia="zh-CN"/>
        </w:rPr>
        <w:t>）</w:t>
      </w:r>
      <w:r>
        <w:rPr>
          <w:rFonts w:hint="eastAsia" w:ascii="Times New Roman" w:hAnsi="Times New Roman" w:eastAsia="宋体" w:cs="Times New Roman"/>
          <w:b w:val="0"/>
          <w:bCs w:val="0"/>
          <w:color w:val="auto"/>
          <w:spacing w:val="0"/>
          <w:kern w:val="2"/>
          <w:position w:val="0"/>
          <w:sz w:val="24"/>
          <w:szCs w:val="24"/>
          <w:lang w:val="en-US" w:eastAsia="zh-CN"/>
        </w:rPr>
        <w:t>中相关要求</w:t>
      </w:r>
      <w:r>
        <w:rPr>
          <w:rFonts w:hint="eastAsia" w:ascii="Times New Roman" w:cs="Times New Roman"/>
          <w:b w:val="0"/>
          <w:bCs w:val="0"/>
          <w:color w:val="auto"/>
          <w:spacing w:val="0"/>
          <w:kern w:val="2"/>
          <w:position w:val="0"/>
          <w:sz w:val="24"/>
          <w:szCs w:val="24"/>
          <w:lang w:val="en-US" w:eastAsia="zh-CN"/>
        </w:rPr>
        <w:t>进行建设</w:t>
      </w:r>
      <w:r>
        <w:rPr>
          <w:rFonts w:hint="eastAsia" w:ascii="Times New Roman" w:hAnsi="Times New Roman" w:eastAsia="宋体" w:cs="Times New Roman"/>
          <w:b w:val="0"/>
          <w:bCs w:val="0"/>
          <w:color w:val="auto"/>
          <w:spacing w:val="0"/>
          <w:kern w:val="2"/>
          <w:position w:val="0"/>
          <w:sz w:val="24"/>
          <w:szCs w:val="24"/>
          <w:lang w:val="en-US" w:eastAsia="zh-CN"/>
        </w:rPr>
        <w:t>，贮存点内地面、墙面裙脚、堵截泄漏的围堰、接触危险废物的隔板和墙体等应采用坚固的材料建造，表面无裂缝。地面与裙脚应采取表面防渗措施；表面防渗材料应与所接触的物料或污染物相容，可采用抗渗混凝土、高密度聚乙烯膜、钠基膨润土防水毯或其他防渗性能等效的材料。采取技术和管理措施防止无关人员进入</w:t>
      </w:r>
      <w:r>
        <w:rPr>
          <w:rFonts w:hint="default" w:ascii="Times New Roman" w:hAnsi="Times New Roman" w:eastAsia="宋体" w:cs="Times New Roman"/>
          <w:b w:val="0"/>
          <w:bCs w:val="0"/>
          <w:color w:val="auto"/>
          <w:spacing w:val="0"/>
          <w:kern w:val="2"/>
          <w:position w:val="0"/>
          <w:sz w:val="24"/>
          <w:szCs w:val="24"/>
          <w:lang w:val="en-US" w:eastAsia="zh-CN"/>
        </w:rPr>
        <w:t>。</w:t>
      </w:r>
    </w:p>
    <w:p w14:paraId="17F1358C">
      <w:pPr>
        <w:pStyle w:val="93"/>
        <w:keepNext w:val="0"/>
        <w:keepLines w:val="0"/>
        <w:pageBreakBefore w:val="0"/>
        <w:tabs>
          <w:tab w:val="left" w:pos="4665"/>
          <w:tab w:val="left" w:pos="897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color w:val="auto"/>
          <w:spacing w:val="0"/>
          <w:position w:val="0"/>
          <w:sz w:val="24"/>
          <w:szCs w:val="24"/>
          <w:highlight w:val="none"/>
          <w:lang w:eastAsia="zh-CN"/>
        </w:rPr>
        <w:t>项目</w:t>
      </w:r>
      <w:r>
        <w:rPr>
          <w:rFonts w:hint="eastAsia" w:ascii="Times New Roman" w:hAnsi="Times New Roman" w:eastAsia="宋体" w:cs="Times New Roman"/>
          <w:color w:val="auto"/>
          <w:spacing w:val="0"/>
          <w:position w:val="0"/>
          <w:sz w:val="24"/>
          <w:szCs w:val="24"/>
          <w:highlight w:val="none"/>
          <w:lang w:eastAsia="zh-CN"/>
        </w:rPr>
        <w:t>危废贮存点</w:t>
      </w:r>
      <w:r>
        <w:rPr>
          <w:rFonts w:hint="default" w:ascii="Times New Roman" w:hAnsi="Times New Roman" w:eastAsia="宋体" w:cs="Times New Roman"/>
          <w:color w:val="auto"/>
          <w:spacing w:val="0"/>
          <w:position w:val="0"/>
          <w:sz w:val="24"/>
          <w:szCs w:val="24"/>
          <w:highlight w:val="none"/>
        </w:rPr>
        <w:t>设置情况见下表</w:t>
      </w:r>
      <w:r>
        <w:rPr>
          <w:rFonts w:hint="eastAsia" w:ascii="Times New Roman" w:hAnsi="Times New Roman" w:eastAsia="宋体" w:cs="Times New Roman"/>
          <w:color w:val="auto"/>
          <w:spacing w:val="0"/>
          <w:position w:val="0"/>
          <w:sz w:val="24"/>
          <w:szCs w:val="24"/>
          <w:highlight w:val="none"/>
          <w:lang w:val="en-US" w:eastAsia="zh-CN"/>
        </w:rPr>
        <w:t>5.2-8</w:t>
      </w:r>
      <w:r>
        <w:rPr>
          <w:rFonts w:hint="default" w:ascii="Times New Roman" w:hAnsi="Times New Roman" w:eastAsia="宋体" w:cs="Times New Roman"/>
          <w:color w:val="auto"/>
          <w:spacing w:val="0"/>
          <w:position w:val="0"/>
          <w:sz w:val="24"/>
          <w:szCs w:val="24"/>
          <w:highlight w:val="none"/>
        </w:rPr>
        <w:t>。</w:t>
      </w:r>
    </w:p>
    <w:p w14:paraId="456FC2F7">
      <w:pPr>
        <w:spacing w:line="360" w:lineRule="auto"/>
        <w:jc w:val="center"/>
        <w:rPr>
          <w:rFonts w:hint="default" w:ascii="Times New Roman" w:hAnsi="Times New Roman" w:eastAsia="宋体" w:cs="Times New Roman"/>
          <w:b/>
          <w:bCs/>
          <w:color w:val="auto"/>
          <w:spacing w:val="0"/>
          <w:position w:val="0"/>
          <w:sz w:val="24"/>
          <w:szCs w:val="32"/>
          <w:highlight w:val="none"/>
        </w:rPr>
      </w:pPr>
      <w:r>
        <w:rPr>
          <w:rFonts w:hint="default" w:ascii="Times New Roman" w:hAnsi="Times New Roman" w:eastAsia="宋体" w:cs="Times New Roman"/>
          <w:b/>
          <w:bCs/>
          <w:color w:val="auto"/>
          <w:spacing w:val="0"/>
          <w:position w:val="0"/>
          <w:sz w:val="24"/>
          <w:szCs w:val="32"/>
          <w:highlight w:val="none"/>
          <w:lang w:val="en-US" w:eastAsia="zh-CN"/>
        </w:rPr>
        <w:t>表</w:t>
      </w:r>
      <w:r>
        <w:rPr>
          <w:rFonts w:hint="eastAsia" w:ascii="Times New Roman" w:hAnsi="Times New Roman" w:eastAsia="宋体" w:cs="Times New Roman"/>
          <w:b/>
          <w:bCs/>
          <w:color w:val="auto"/>
          <w:spacing w:val="0"/>
          <w:position w:val="0"/>
          <w:sz w:val="24"/>
          <w:szCs w:val="32"/>
          <w:highlight w:val="none"/>
          <w:lang w:val="en-US" w:eastAsia="zh-CN"/>
        </w:rPr>
        <w:t>5.2-</w:t>
      </w:r>
      <w:r>
        <w:rPr>
          <w:rFonts w:hint="eastAsia" w:cs="Times New Roman"/>
          <w:b/>
          <w:bCs/>
          <w:color w:val="auto"/>
          <w:spacing w:val="0"/>
          <w:position w:val="0"/>
          <w:sz w:val="24"/>
          <w:szCs w:val="32"/>
          <w:highlight w:val="none"/>
          <w:lang w:val="en-US" w:eastAsia="zh-CN"/>
        </w:rPr>
        <w:t>8</w:t>
      </w:r>
      <w:r>
        <w:rPr>
          <w:rFonts w:hint="eastAsia" w:ascii="Times New Roman" w:hAnsi="Times New Roman" w:eastAsia="宋体" w:cs="Times New Roman"/>
          <w:b/>
          <w:bCs/>
          <w:color w:val="auto"/>
          <w:spacing w:val="0"/>
          <w:position w:val="0"/>
          <w:sz w:val="24"/>
          <w:szCs w:val="32"/>
          <w:highlight w:val="none"/>
          <w:lang w:val="en-US" w:eastAsia="zh-CN"/>
        </w:rPr>
        <w:t xml:space="preserve">  </w:t>
      </w:r>
      <w:r>
        <w:rPr>
          <w:rFonts w:hint="eastAsia" w:ascii="Times New Roman" w:hAnsi="Times New Roman" w:cs="Times New Roman"/>
          <w:b/>
          <w:bCs/>
          <w:color w:val="auto"/>
          <w:spacing w:val="0"/>
          <w:position w:val="0"/>
          <w:sz w:val="24"/>
          <w:szCs w:val="32"/>
          <w:highlight w:val="none"/>
          <w:lang w:val="en-US" w:eastAsia="zh-CN"/>
        </w:rPr>
        <w:t xml:space="preserve">   </w:t>
      </w:r>
      <w:r>
        <w:rPr>
          <w:rFonts w:hint="default" w:ascii="Times New Roman" w:hAnsi="Times New Roman" w:eastAsia="宋体" w:cs="Times New Roman"/>
          <w:b/>
          <w:bCs/>
          <w:color w:val="auto"/>
          <w:spacing w:val="0"/>
          <w:position w:val="0"/>
          <w:sz w:val="24"/>
          <w:szCs w:val="32"/>
          <w:highlight w:val="none"/>
          <w:lang w:val="en-US" w:eastAsia="zh-CN"/>
        </w:rPr>
        <w:t>危险废物贮存场所(设施)基本情况表</w:t>
      </w:r>
    </w:p>
    <w:tbl>
      <w:tblPr>
        <w:tblStyle w:val="76"/>
        <w:tblW w:w="48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659"/>
        <w:gridCol w:w="1510"/>
        <w:gridCol w:w="1186"/>
        <w:gridCol w:w="1089"/>
        <w:gridCol w:w="1258"/>
        <w:gridCol w:w="903"/>
        <w:gridCol w:w="860"/>
      </w:tblGrid>
      <w:tr w14:paraId="6C9F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tcBorders>
              <w:tl2br w:val="nil"/>
              <w:tr2bl w:val="nil"/>
            </w:tcBorders>
            <w:noWrap w:val="0"/>
            <w:vAlign w:val="center"/>
          </w:tcPr>
          <w:p w14:paraId="316941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pacing w:val="0"/>
                <w:kern w:val="2"/>
                <w:position w:val="0"/>
                <w:sz w:val="21"/>
                <w:szCs w:val="21"/>
                <w:highlight w:val="none"/>
                <w:vertAlign w:val="baseline"/>
                <w:lang w:val="en-US" w:eastAsia="zh-CN" w:bidi="ar-SA"/>
              </w:rPr>
              <w:t>序号</w:t>
            </w:r>
          </w:p>
        </w:tc>
        <w:tc>
          <w:tcPr>
            <w:tcW w:w="897" w:type="pct"/>
            <w:tcBorders>
              <w:tl2br w:val="nil"/>
              <w:tr2bl w:val="nil"/>
            </w:tcBorders>
            <w:noWrap w:val="0"/>
            <w:vAlign w:val="center"/>
          </w:tcPr>
          <w:p w14:paraId="5C30A1E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rPr>
            </w:pPr>
            <w:r>
              <w:rPr>
                <w:rFonts w:hint="default" w:ascii="Times New Roman" w:hAnsi="Times New Roman" w:eastAsia="宋体" w:cs="Times New Roman"/>
                <w:color w:val="auto"/>
                <w:spacing w:val="0"/>
                <w:kern w:val="0"/>
                <w:position w:val="0"/>
                <w:sz w:val="21"/>
                <w:szCs w:val="21"/>
                <w:highlight w:val="none"/>
                <w:lang w:val="en-US" w:eastAsia="zh-CN" w:bidi="ar"/>
              </w:rPr>
              <w:t>贮存设施名称</w:t>
            </w:r>
          </w:p>
        </w:tc>
        <w:tc>
          <w:tcPr>
            <w:tcW w:w="817" w:type="pct"/>
            <w:tcBorders>
              <w:tl2br w:val="nil"/>
              <w:tr2bl w:val="nil"/>
            </w:tcBorders>
            <w:noWrap w:val="0"/>
            <w:vAlign w:val="center"/>
          </w:tcPr>
          <w:p w14:paraId="6F42C54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rPr>
            </w:pPr>
            <w:r>
              <w:rPr>
                <w:rFonts w:hint="default" w:ascii="Times New Roman" w:hAnsi="Times New Roman" w:eastAsia="宋体" w:cs="Times New Roman"/>
                <w:color w:val="auto"/>
                <w:spacing w:val="0"/>
                <w:kern w:val="0"/>
                <w:position w:val="0"/>
                <w:sz w:val="21"/>
                <w:szCs w:val="21"/>
                <w:highlight w:val="none"/>
                <w:lang w:val="en-US" w:eastAsia="zh-CN" w:bidi="ar"/>
              </w:rPr>
              <w:t>危险废物名称</w:t>
            </w:r>
          </w:p>
        </w:tc>
        <w:tc>
          <w:tcPr>
            <w:tcW w:w="641" w:type="pct"/>
            <w:tcBorders>
              <w:tl2br w:val="nil"/>
              <w:tr2bl w:val="nil"/>
            </w:tcBorders>
            <w:noWrap w:val="0"/>
            <w:vAlign w:val="center"/>
          </w:tcPr>
          <w:p w14:paraId="3B1CBD5C">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rPr>
            </w:pPr>
            <w:r>
              <w:rPr>
                <w:rFonts w:hint="default" w:ascii="Times New Roman" w:hAnsi="Times New Roman" w:eastAsia="宋体" w:cs="Times New Roman"/>
                <w:color w:val="auto"/>
                <w:spacing w:val="0"/>
                <w:kern w:val="0"/>
                <w:position w:val="0"/>
                <w:sz w:val="21"/>
                <w:szCs w:val="21"/>
                <w:highlight w:val="none"/>
                <w:lang w:val="en-US" w:eastAsia="zh-CN" w:bidi="ar"/>
              </w:rPr>
              <w:t>位置</w:t>
            </w:r>
          </w:p>
        </w:tc>
        <w:tc>
          <w:tcPr>
            <w:tcW w:w="588" w:type="pct"/>
            <w:tcBorders>
              <w:tl2br w:val="nil"/>
              <w:tr2bl w:val="nil"/>
            </w:tcBorders>
            <w:noWrap w:val="0"/>
            <w:vAlign w:val="center"/>
          </w:tcPr>
          <w:p w14:paraId="660B31E6">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eastAsia="zh-CN"/>
              </w:rPr>
            </w:pPr>
            <w:r>
              <w:rPr>
                <w:rFonts w:hint="default" w:ascii="Times New Roman" w:hAnsi="Times New Roman" w:eastAsia="宋体" w:cs="Times New Roman"/>
                <w:color w:val="auto"/>
                <w:spacing w:val="0"/>
                <w:position w:val="0"/>
                <w:sz w:val="21"/>
                <w:szCs w:val="21"/>
                <w:highlight w:val="none"/>
                <w:vertAlign w:val="baseline"/>
                <w:lang w:eastAsia="zh-CN"/>
              </w:rPr>
              <w:t>占地面积</w:t>
            </w:r>
          </w:p>
        </w:tc>
        <w:tc>
          <w:tcPr>
            <w:tcW w:w="680" w:type="pct"/>
            <w:tcBorders>
              <w:tl2br w:val="nil"/>
              <w:tr2bl w:val="nil"/>
            </w:tcBorders>
            <w:noWrap w:val="0"/>
            <w:vAlign w:val="center"/>
          </w:tcPr>
          <w:p w14:paraId="2AE3F0C3">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eastAsia="zh-CN"/>
              </w:rPr>
            </w:pPr>
            <w:r>
              <w:rPr>
                <w:rFonts w:hint="default" w:ascii="Times New Roman" w:hAnsi="Times New Roman" w:eastAsia="宋体" w:cs="Times New Roman"/>
                <w:color w:val="auto"/>
                <w:spacing w:val="0"/>
                <w:position w:val="0"/>
                <w:sz w:val="21"/>
                <w:szCs w:val="21"/>
                <w:highlight w:val="none"/>
                <w:vertAlign w:val="baseline"/>
                <w:lang w:eastAsia="zh-CN"/>
              </w:rPr>
              <w:t>贮存方式</w:t>
            </w:r>
          </w:p>
        </w:tc>
        <w:tc>
          <w:tcPr>
            <w:tcW w:w="488" w:type="pct"/>
            <w:tcBorders>
              <w:tl2br w:val="nil"/>
              <w:tr2bl w:val="nil"/>
            </w:tcBorders>
            <w:noWrap w:val="0"/>
            <w:vAlign w:val="center"/>
          </w:tcPr>
          <w:p w14:paraId="187688C7">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eastAsia="zh-CN"/>
              </w:rPr>
            </w:pPr>
            <w:r>
              <w:rPr>
                <w:rFonts w:hint="default" w:ascii="Times New Roman" w:hAnsi="Times New Roman" w:eastAsia="宋体" w:cs="Times New Roman"/>
                <w:color w:val="auto"/>
                <w:spacing w:val="0"/>
                <w:position w:val="0"/>
                <w:sz w:val="21"/>
                <w:szCs w:val="21"/>
                <w:highlight w:val="none"/>
                <w:vertAlign w:val="baseline"/>
                <w:lang w:eastAsia="zh-CN"/>
              </w:rPr>
              <w:t>贮存能力</w:t>
            </w:r>
          </w:p>
        </w:tc>
        <w:tc>
          <w:tcPr>
            <w:tcW w:w="465" w:type="pct"/>
            <w:tcBorders>
              <w:tl2br w:val="nil"/>
              <w:tr2bl w:val="nil"/>
            </w:tcBorders>
            <w:noWrap w:val="0"/>
            <w:vAlign w:val="center"/>
          </w:tcPr>
          <w:p w14:paraId="083FDA31">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eastAsia="zh-CN"/>
              </w:rPr>
            </w:pPr>
            <w:r>
              <w:rPr>
                <w:rFonts w:hint="default" w:ascii="Times New Roman" w:hAnsi="Times New Roman" w:eastAsia="宋体" w:cs="Times New Roman"/>
                <w:color w:val="auto"/>
                <w:spacing w:val="0"/>
                <w:position w:val="0"/>
                <w:sz w:val="21"/>
                <w:szCs w:val="21"/>
                <w:highlight w:val="none"/>
                <w:vertAlign w:val="baseline"/>
                <w:lang w:eastAsia="zh-CN"/>
              </w:rPr>
              <w:t>贮存</w:t>
            </w:r>
          </w:p>
          <w:p w14:paraId="1C0D8669">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eastAsia="zh-CN"/>
              </w:rPr>
            </w:pPr>
            <w:r>
              <w:rPr>
                <w:rFonts w:hint="default" w:ascii="Times New Roman" w:hAnsi="Times New Roman" w:eastAsia="宋体" w:cs="Times New Roman"/>
                <w:color w:val="auto"/>
                <w:spacing w:val="0"/>
                <w:position w:val="0"/>
                <w:sz w:val="21"/>
                <w:szCs w:val="21"/>
                <w:highlight w:val="none"/>
                <w:vertAlign w:val="baseline"/>
                <w:lang w:eastAsia="zh-CN"/>
              </w:rPr>
              <w:t>周期</w:t>
            </w:r>
          </w:p>
        </w:tc>
      </w:tr>
      <w:tr w14:paraId="1BECE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0" w:type="pct"/>
            <w:tcBorders>
              <w:tl2br w:val="nil"/>
              <w:tr2bl w:val="nil"/>
            </w:tcBorders>
            <w:noWrap w:val="0"/>
            <w:vAlign w:val="center"/>
          </w:tcPr>
          <w:p w14:paraId="6420A2E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pacing w:val="0"/>
                <w:kern w:val="0"/>
                <w:position w:val="0"/>
                <w:sz w:val="21"/>
                <w:szCs w:val="21"/>
                <w:highlight w:val="none"/>
                <w:lang w:val="en-US" w:eastAsia="zh-CN" w:bidi="ar"/>
              </w:rPr>
              <w:t>1</w:t>
            </w:r>
          </w:p>
        </w:tc>
        <w:tc>
          <w:tcPr>
            <w:tcW w:w="897" w:type="pct"/>
            <w:tcBorders>
              <w:tl2br w:val="nil"/>
              <w:tr2bl w:val="nil"/>
            </w:tcBorders>
            <w:noWrap w:val="0"/>
            <w:vAlign w:val="center"/>
          </w:tcPr>
          <w:p w14:paraId="5B1218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ascii="Times New Roman" w:hAnsi="Times New Roman" w:eastAsia="宋体" w:cs="Times New Roman"/>
                <w:color w:val="auto"/>
                <w:spacing w:val="0"/>
                <w:kern w:val="0"/>
                <w:position w:val="0"/>
                <w:sz w:val="21"/>
                <w:szCs w:val="21"/>
                <w:highlight w:val="none"/>
                <w:lang w:val="en-US" w:eastAsia="zh-CN" w:bidi="ar"/>
              </w:rPr>
              <w:t>危废贮存点</w:t>
            </w:r>
          </w:p>
        </w:tc>
        <w:tc>
          <w:tcPr>
            <w:tcW w:w="817" w:type="pct"/>
            <w:tcBorders>
              <w:tl2br w:val="nil"/>
              <w:tr2bl w:val="nil"/>
            </w:tcBorders>
            <w:noWrap w:val="0"/>
            <w:vAlign w:val="center"/>
          </w:tcPr>
          <w:p w14:paraId="3D4D27A5">
            <w:pPr>
              <w:jc w:val="center"/>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default" w:ascii="Times New Roman" w:hAnsi="Times New Roman" w:eastAsia="宋体" w:cs="Times New Roman"/>
                <w:color w:val="auto"/>
                <w:spacing w:val="0"/>
                <w:position w:val="0"/>
                <w:szCs w:val="21"/>
                <w:highlight w:val="none"/>
                <w:lang w:eastAsia="zh-CN"/>
              </w:rPr>
              <w:t>废</w:t>
            </w:r>
            <w:r>
              <w:rPr>
                <w:rFonts w:hint="eastAsia" w:ascii="Times New Roman" w:hAnsi="Times New Roman" w:eastAsia="宋体" w:cs="Times New Roman"/>
                <w:color w:val="auto"/>
                <w:spacing w:val="0"/>
                <w:position w:val="0"/>
                <w:szCs w:val="21"/>
                <w:highlight w:val="none"/>
                <w:lang w:eastAsia="zh-CN"/>
              </w:rPr>
              <w:t>机油</w:t>
            </w:r>
            <w:r>
              <w:rPr>
                <w:rFonts w:hint="eastAsia" w:ascii="Times New Roman" w:hAnsi="Times New Roman" w:cs="Times New Roman"/>
                <w:color w:val="auto"/>
                <w:spacing w:val="0"/>
                <w:position w:val="0"/>
                <w:szCs w:val="21"/>
                <w:highlight w:val="none"/>
                <w:lang w:eastAsia="zh-CN"/>
              </w:rPr>
              <w:t>、废油桶、</w:t>
            </w:r>
            <w:r>
              <w:rPr>
                <w:rFonts w:hint="eastAsia" w:ascii="Times New Roman" w:hAnsi="Times New Roman" w:cs="Times New Roman"/>
                <w:color w:val="auto"/>
                <w:spacing w:val="0"/>
                <w:position w:val="0"/>
                <w:szCs w:val="21"/>
                <w:highlight w:val="none"/>
                <w:lang w:val="en-US" w:eastAsia="zh-CN"/>
              </w:rPr>
              <w:t>废浮选剂包装</w:t>
            </w:r>
          </w:p>
        </w:tc>
        <w:tc>
          <w:tcPr>
            <w:tcW w:w="641" w:type="pct"/>
            <w:tcBorders>
              <w:tl2br w:val="nil"/>
              <w:tr2bl w:val="nil"/>
            </w:tcBorders>
            <w:noWrap w:val="0"/>
            <w:vAlign w:val="center"/>
          </w:tcPr>
          <w:p w14:paraId="0DD0A0B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cs="Times New Roman"/>
                <w:color w:val="auto"/>
                <w:spacing w:val="0"/>
                <w:kern w:val="2"/>
                <w:position w:val="0"/>
                <w:sz w:val="21"/>
                <w:szCs w:val="21"/>
                <w:highlight w:val="none"/>
                <w:vertAlign w:val="baseline"/>
                <w:lang w:val="en-US" w:eastAsia="zh-CN" w:bidi="ar-SA"/>
              </w:rPr>
              <w:t>机修车间旁</w:t>
            </w:r>
          </w:p>
        </w:tc>
        <w:tc>
          <w:tcPr>
            <w:tcW w:w="588" w:type="pct"/>
            <w:tcBorders>
              <w:tl2br w:val="nil"/>
              <w:tr2bl w:val="nil"/>
            </w:tcBorders>
            <w:noWrap w:val="0"/>
            <w:vAlign w:val="center"/>
          </w:tcPr>
          <w:p w14:paraId="136AE812">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cs="Times New Roman"/>
                <w:color w:val="auto"/>
                <w:spacing w:val="0"/>
                <w:position w:val="0"/>
                <w:sz w:val="21"/>
                <w:szCs w:val="21"/>
                <w:highlight w:val="none"/>
                <w:vertAlign w:val="baseline"/>
                <w:lang w:val="en-US" w:eastAsia="zh-CN"/>
              </w:rPr>
              <w:t>25m</w:t>
            </w:r>
            <w:r>
              <w:rPr>
                <w:rFonts w:hint="eastAsia" w:cs="Times New Roman"/>
                <w:color w:val="auto"/>
                <w:spacing w:val="0"/>
                <w:position w:val="0"/>
                <w:sz w:val="21"/>
                <w:szCs w:val="21"/>
                <w:highlight w:val="none"/>
                <w:vertAlign w:val="superscript"/>
                <w:lang w:val="en-US" w:eastAsia="zh-CN"/>
              </w:rPr>
              <w:t>2</w:t>
            </w:r>
          </w:p>
        </w:tc>
        <w:tc>
          <w:tcPr>
            <w:tcW w:w="680" w:type="pct"/>
            <w:tcBorders>
              <w:tl2br w:val="nil"/>
              <w:tr2bl w:val="nil"/>
            </w:tcBorders>
            <w:noWrap w:val="0"/>
            <w:vAlign w:val="center"/>
          </w:tcPr>
          <w:p w14:paraId="78F87970">
            <w:pPr>
              <w:keepNext w:val="0"/>
              <w:keepLines w:val="0"/>
              <w:pageBreakBefore w:val="0"/>
              <w:widowControl/>
              <w:suppressLineNumbers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position w:val="0"/>
                <w:sz w:val="21"/>
                <w:szCs w:val="21"/>
                <w:highlight w:val="none"/>
                <w:vertAlign w:val="baseline"/>
                <w:lang w:val="en-US" w:eastAsia="zh-CN"/>
              </w:rPr>
            </w:pPr>
            <w:r>
              <w:rPr>
                <w:rFonts w:hint="eastAsia" w:ascii="Times New Roman" w:hAnsi="Times New Roman" w:eastAsia="宋体" w:cs="Times New Roman"/>
                <w:color w:val="auto"/>
                <w:spacing w:val="0"/>
                <w:position w:val="0"/>
                <w:sz w:val="21"/>
                <w:szCs w:val="21"/>
                <w:highlight w:val="none"/>
                <w:vertAlign w:val="baseline"/>
                <w:lang w:val="en-US" w:eastAsia="zh-CN"/>
              </w:rPr>
              <w:t>密封桶装</w:t>
            </w:r>
          </w:p>
        </w:tc>
        <w:tc>
          <w:tcPr>
            <w:tcW w:w="488" w:type="pct"/>
            <w:tcBorders>
              <w:tl2br w:val="nil"/>
              <w:tr2bl w:val="nil"/>
            </w:tcBorders>
            <w:noWrap w:val="0"/>
            <w:vAlign w:val="center"/>
          </w:tcPr>
          <w:p w14:paraId="2F4570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cs="Times New Roman"/>
                <w:color w:val="auto"/>
                <w:spacing w:val="0"/>
                <w:kern w:val="2"/>
                <w:position w:val="0"/>
                <w:sz w:val="21"/>
                <w:szCs w:val="21"/>
                <w:highlight w:val="none"/>
                <w:vertAlign w:val="baseline"/>
                <w:lang w:val="en-US" w:eastAsia="zh-CN" w:bidi="ar-SA"/>
              </w:rPr>
              <w:t>3t</w:t>
            </w:r>
          </w:p>
        </w:tc>
        <w:tc>
          <w:tcPr>
            <w:tcW w:w="465" w:type="pct"/>
            <w:tcBorders>
              <w:tl2br w:val="nil"/>
              <w:tr2bl w:val="nil"/>
            </w:tcBorders>
            <w:noWrap w:val="0"/>
            <w:vAlign w:val="center"/>
          </w:tcPr>
          <w:p w14:paraId="42C243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2"/>
                <w:position w:val="0"/>
                <w:sz w:val="21"/>
                <w:szCs w:val="21"/>
                <w:highlight w:val="none"/>
                <w:vertAlign w:val="baseline"/>
                <w:lang w:val="en-US" w:eastAsia="zh-CN" w:bidi="ar-SA"/>
              </w:rPr>
            </w:pPr>
            <w:r>
              <w:rPr>
                <w:rFonts w:hint="eastAsia" w:cs="Times New Roman"/>
                <w:color w:val="auto"/>
                <w:spacing w:val="0"/>
                <w:kern w:val="2"/>
                <w:position w:val="0"/>
                <w:sz w:val="21"/>
                <w:szCs w:val="21"/>
                <w:highlight w:val="none"/>
                <w:vertAlign w:val="baseline"/>
                <w:lang w:val="en-US" w:eastAsia="zh-CN" w:bidi="ar-SA"/>
              </w:rPr>
              <w:t>季度</w:t>
            </w:r>
          </w:p>
        </w:tc>
      </w:tr>
    </w:tbl>
    <w:p w14:paraId="124A6FA2">
      <w:pPr>
        <w:pStyle w:val="217"/>
        <w:spacing w:line="360" w:lineRule="auto"/>
        <w:ind w:firstLine="482" w:firstLineChars="200"/>
        <w:jc w:val="both"/>
        <w:rPr>
          <w:rFonts w:hint="default" w:ascii="Times New Roman" w:hAnsi="Times New Roman" w:eastAsia="宋体" w:cs="Times New Roman"/>
          <w:b/>
          <w:bCs/>
          <w:color w:val="auto"/>
          <w:spacing w:val="0"/>
          <w:kern w:val="2"/>
          <w:position w:val="0"/>
          <w:sz w:val="24"/>
          <w:szCs w:val="24"/>
          <w:lang w:val="en-US" w:eastAsia="zh-CN"/>
        </w:rPr>
      </w:pPr>
      <w:r>
        <w:rPr>
          <w:rFonts w:hint="eastAsia" w:ascii="Times New Roman" w:hAnsi="Times New Roman" w:eastAsia="宋体" w:cs="Times New Roman"/>
          <w:b/>
          <w:bCs/>
          <w:color w:val="auto"/>
          <w:spacing w:val="0"/>
          <w:kern w:val="2"/>
          <w:position w:val="0"/>
          <w:sz w:val="24"/>
          <w:szCs w:val="24"/>
          <w:lang w:val="en-US" w:eastAsia="zh-CN"/>
        </w:rPr>
        <w:t>2</w:t>
      </w:r>
      <w:r>
        <w:rPr>
          <w:rFonts w:hint="default" w:ascii="Times New Roman" w:hAnsi="Times New Roman" w:eastAsia="宋体" w:cs="Times New Roman"/>
          <w:b/>
          <w:bCs/>
          <w:color w:val="auto"/>
          <w:spacing w:val="0"/>
          <w:kern w:val="2"/>
          <w:position w:val="0"/>
          <w:sz w:val="24"/>
          <w:szCs w:val="24"/>
          <w:lang w:val="en-US" w:eastAsia="zh-CN"/>
        </w:rPr>
        <w:t>）</w:t>
      </w:r>
      <w:r>
        <w:rPr>
          <w:rFonts w:hint="eastAsia" w:ascii="Times New Roman" w:hAnsi="Times New Roman" w:eastAsia="宋体" w:cs="Times New Roman"/>
          <w:b/>
          <w:bCs/>
          <w:color w:val="auto"/>
          <w:spacing w:val="0"/>
          <w:kern w:val="2"/>
          <w:position w:val="0"/>
          <w:sz w:val="24"/>
          <w:szCs w:val="24"/>
          <w:lang w:val="en-US" w:eastAsia="zh-CN"/>
        </w:rPr>
        <w:t>危废贮存点污染控制</w:t>
      </w:r>
      <w:r>
        <w:rPr>
          <w:rFonts w:hint="default" w:ascii="Times New Roman" w:hAnsi="Times New Roman" w:eastAsia="宋体" w:cs="Times New Roman"/>
          <w:b/>
          <w:bCs/>
          <w:color w:val="auto"/>
          <w:spacing w:val="0"/>
          <w:kern w:val="2"/>
          <w:position w:val="0"/>
          <w:sz w:val="24"/>
          <w:szCs w:val="24"/>
          <w:lang w:val="en-US" w:eastAsia="zh-CN"/>
        </w:rPr>
        <w:t>要求</w:t>
      </w:r>
    </w:p>
    <w:p w14:paraId="74606513">
      <w:pPr>
        <w:pStyle w:val="217"/>
        <w:spacing w:line="360" w:lineRule="auto"/>
        <w:ind w:firstLine="480" w:firstLineChars="200"/>
        <w:jc w:val="both"/>
        <w:rPr>
          <w:rFonts w:hint="default" w:ascii="Times New Roman" w:hAnsi="Times New Roman" w:eastAsia="宋体" w:cs="Times New Roman"/>
          <w:color w:val="auto"/>
          <w:spacing w:val="0"/>
          <w:kern w:val="2"/>
          <w:position w:val="0"/>
          <w:sz w:val="24"/>
          <w:szCs w:val="24"/>
          <w:lang w:eastAsia="zh-CN"/>
        </w:rPr>
      </w:pPr>
      <w:r>
        <w:rPr>
          <w:rFonts w:hint="default" w:ascii="Times New Roman" w:hAnsi="Times New Roman" w:eastAsia="宋体" w:cs="Times New Roman"/>
          <w:color w:val="auto"/>
          <w:spacing w:val="0"/>
          <w:kern w:val="2"/>
          <w:position w:val="0"/>
          <w:sz w:val="24"/>
          <w:szCs w:val="24"/>
        </w:rPr>
        <w:t>根据《建设项目危险废物环境影响评价指南》，</w:t>
      </w:r>
      <w:r>
        <w:rPr>
          <w:rFonts w:hint="default" w:ascii="Times New Roman" w:hAnsi="Times New Roman" w:eastAsia="宋体" w:cs="Times New Roman"/>
          <w:color w:val="auto"/>
          <w:spacing w:val="0"/>
          <w:kern w:val="2"/>
          <w:position w:val="0"/>
          <w:sz w:val="24"/>
          <w:szCs w:val="24"/>
          <w:lang w:eastAsia="zh-CN"/>
        </w:rPr>
        <w:t>项目</w:t>
      </w:r>
      <w:r>
        <w:rPr>
          <w:rFonts w:hint="eastAsia" w:ascii="Times New Roman" w:hAnsi="Times New Roman" w:eastAsia="宋体" w:cs="Times New Roman"/>
          <w:color w:val="auto"/>
          <w:spacing w:val="0"/>
          <w:kern w:val="2"/>
          <w:position w:val="0"/>
          <w:sz w:val="24"/>
          <w:szCs w:val="24"/>
          <w:lang w:eastAsia="zh-CN"/>
        </w:rPr>
        <w:t>危废贮存点</w:t>
      </w:r>
      <w:r>
        <w:rPr>
          <w:rFonts w:hint="eastAsia" w:ascii="Times New Roman" w:hAnsi="Times New Roman" w:eastAsia="宋体" w:cs="Times New Roman"/>
          <w:color w:val="auto"/>
          <w:spacing w:val="0"/>
          <w:kern w:val="2"/>
          <w:position w:val="0"/>
          <w:sz w:val="24"/>
          <w:szCs w:val="24"/>
          <w:lang w:val="en-US" w:eastAsia="zh-CN"/>
        </w:rPr>
        <w:t>应</w:t>
      </w:r>
      <w:r>
        <w:rPr>
          <w:rFonts w:hint="default" w:ascii="Times New Roman" w:hAnsi="Times New Roman" w:eastAsia="宋体" w:cs="Times New Roman"/>
          <w:color w:val="auto"/>
          <w:spacing w:val="0"/>
          <w:kern w:val="2"/>
          <w:position w:val="0"/>
          <w:sz w:val="24"/>
          <w:szCs w:val="24"/>
        </w:rPr>
        <w:t>按照《危险废物贮存污染控制标准》（GB18597-20</w:t>
      </w:r>
      <w:r>
        <w:rPr>
          <w:rFonts w:hint="eastAsia" w:ascii="Times New Roman" w:hAnsi="Times New Roman" w:eastAsia="宋体" w:cs="Times New Roman"/>
          <w:color w:val="auto"/>
          <w:spacing w:val="0"/>
          <w:kern w:val="2"/>
          <w:position w:val="0"/>
          <w:sz w:val="24"/>
          <w:szCs w:val="24"/>
          <w:lang w:val="en-US" w:eastAsia="zh-CN"/>
        </w:rPr>
        <w:t>23</w:t>
      </w:r>
      <w:r>
        <w:rPr>
          <w:rFonts w:hint="default" w:ascii="Times New Roman" w:hAnsi="Times New Roman" w:eastAsia="宋体" w:cs="Times New Roman"/>
          <w:color w:val="auto"/>
          <w:spacing w:val="0"/>
          <w:kern w:val="2"/>
          <w:position w:val="0"/>
          <w:sz w:val="24"/>
          <w:szCs w:val="24"/>
        </w:rPr>
        <w:t>）的要求进行建设和管理，具体要求如下：</w:t>
      </w:r>
    </w:p>
    <w:p w14:paraId="2A767307">
      <w:pPr>
        <w:pStyle w:val="93"/>
        <w:keepNext w:val="0"/>
        <w:keepLines w:val="0"/>
        <w:pageBreakBefore w:val="0"/>
        <w:tabs>
          <w:tab w:val="left" w:pos="4665"/>
          <w:tab w:val="left" w:pos="897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①</w:t>
      </w:r>
      <w:r>
        <w:rPr>
          <w:rFonts w:hint="eastAsia" w:ascii="宋体" w:hAnsi="宋体" w:eastAsia="宋体" w:cs="宋体"/>
          <w:color w:val="auto"/>
          <w:sz w:val="24"/>
          <w:szCs w:val="24"/>
          <w:lang w:eastAsia="zh-CN"/>
        </w:rPr>
        <w:t>危废贮存点</w:t>
      </w:r>
      <w:r>
        <w:rPr>
          <w:rFonts w:hint="default" w:ascii="Times New Roman" w:hAnsi="Times New Roman" w:eastAsia="宋体" w:cs="Times New Roman"/>
          <w:color w:val="auto"/>
          <w:sz w:val="24"/>
          <w:szCs w:val="24"/>
          <w:lang w:val="en-US" w:eastAsia="zh-CN"/>
        </w:rPr>
        <w:t>应</w:t>
      </w:r>
      <w:r>
        <w:rPr>
          <w:rFonts w:hint="default" w:ascii="Times New Roman" w:hAnsi="Times New Roman" w:eastAsia="宋体" w:cs="Times New Roman"/>
          <w:color w:val="auto"/>
          <w:sz w:val="24"/>
          <w:szCs w:val="24"/>
          <w:lang w:eastAsia="zh-CN"/>
        </w:rPr>
        <w:t>按要求</w:t>
      </w:r>
      <w:r>
        <w:rPr>
          <w:rFonts w:hint="default" w:ascii="Times New Roman" w:hAnsi="Times New Roman" w:eastAsia="宋体" w:cs="Times New Roman"/>
          <w:color w:val="auto"/>
          <w:sz w:val="24"/>
          <w:szCs w:val="24"/>
        </w:rPr>
        <w:t>采取防风、防晒、防雨、防漏、防渗、防腐以及其他环境污染防治措施，不露天堆放危险废物</w:t>
      </w:r>
      <w:r>
        <w:rPr>
          <w:rFonts w:hint="default"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lang w:val="en-US" w:eastAsia="zh-CN"/>
        </w:rPr>
        <w:t>本次改扩建项目危险废物种类均为不易挥发的废机油和废油桶，因此不需设置VOCs治理设施。</w:t>
      </w:r>
    </w:p>
    <w:p w14:paraId="286835AE">
      <w:pPr>
        <w:pStyle w:val="93"/>
        <w:keepNext w:val="0"/>
        <w:keepLines w:val="0"/>
        <w:pageBreakBefore w:val="0"/>
        <w:tabs>
          <w:tab w:val="left" w:pos="4665"/>
          <w:tab w:val="left" w:pos="897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②</w:t>
      </w:r>
      <w:r>
        <w:rPr>
          <w:rFonts w:hint="default" w:ascii="Times New Roman" w:hAnsi="Times New Roman" w:eastAsia="宋体" w:cs="Times New Roman"/>
          <w:color w:val="auto"/>
          <w:sz w:val="24"/>
          <w:szCs w:val="24"/>
          <w:lang w:eastAsia="zh-CN"/>
        </w:rPr>
        <w:t>危废贮存点已</w:t>
      </w:r>
      <w:r>
        <w:rPr>
          <w:rFonts w:hint="default" w:ascii="Times New Roman" w:hAnsi="Times New Roman" w:eastAsia="宋体" w:cs="Times New Roman"/>
          <w:color w:val="auto"/>
          <w:sz w:val="24"/>
          <w:szCs w:val="24"/>
        </w:rPr>
        <w:t>设置贮存分区，避免不相容的危险废物接触、混合</w:t>
      </w:r>
      <w:r>
        <w:rPr>
          <w:rFonts w:hint="default" w:ascii="Times New Roman" w:hAnsi="Times New Roman" w:eastAsia="宋体" w:cs="Times New Roman"/>
          <w:color w:val="auto"/>
          <w:sz w:val="24"/>
          <w:szCs w:val="24"/>
          <w:lang w:eastAsia="zh-CN"/>
        </w:rPr>
        <w:t>，禁止混合收集、贮存性质不相容而未经安全性处置的危险废物</w:t>
      </w:r>
      <w:r>
        <w:rPr>
          <w:rFonts w:hint="default" w:ascii="Times New Roman" w:hAnsi="Times New Roman" w:eastAsia="宋体" w:cs="Times New Roman"/>
          <w:color w:val="auto"/>
          <w:spacing w:val="0"/>
          <w:position w:val="0"/>
          <w:sz w:val="24"/>
          <w:szCs w:val="24"/>
          <w:lang w:eastAsia="zh-CN"/>
        </w:rPr>
        <w:t>。</w:t>
      </w:r>
    </w:p>
    <w:p w14:paraId="795BF47D">
      <w:pPr>
        <w:pStyle w:val="93"/>
        <w:keepNext w:val="0"/>
        <w:keepLines w:val="0"/>
        <w:pageBreakBefore w:val="0"/>
        <w:tabs>
          <w:tab w:val="left" w:pos="4665"/>
          <w:tab w:val="left" w:pos="897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③</w:t>
      </w:r>
      <w:r>
        <w:rPr>
          <w:rFonts w:hint="default" w:ascii="Times New Roman" w:hAnsi="Times New Roman" w:eastAsia="宋体" w:cs="Times New Roman"/>
          <w:color w:val="auto"/>
          <w:sz w:val="24"/>
          <w:szCs w:val="24"/>
          <w:lang w:eastAsia="zh-CN"/>
        </w:rPr>
        <w:t>危废贮存点</w:t>
      </w:r>
      <w:r>
        <w:rPr>
          <w:rFonts w:hint="default" w:ascii="Times New Roman" w:hAnsi="Times New Roman" w:eastAsia="宋体" w:cs="Times New Roman"/>
          <w:color w:val="auto"/>
          <w:sz w:val="24"/>
          <w:szCs w:val="24"/>
        </w:rPr>
        <w:t>地面、墙面裙脚、堵截泄漏的围堰、接触危险废物的隔板和墙体等</w:t>
      </w:r>
      <w:r>
        <w:rPr>
          <w:rFonts w:hint="default" w:ascii="Times New Roman" w:hAnsi="Times New Roman" w:eastAsia="宋体" w:cs="Times New Roman"/>
          <w:color w:val="auto"/>
          <w:sz w:val="24"/>
          <w:szCs w:val="24"/>
          <w:lang w:eastAsia="zh-CN"/>
        </w:rPr>
        <w:t>均</w:t>
      </w:r>
      <w:r>
        <w:rPr>
          <w:rFonts w:hint="default" w:ascii="Times New Roman" w:hAnsi="Times New Roman" w:eastAsia="宋体" w:cs="Times New Roman"/>
          <w:color w:val="auto"/>
          <w:sz w:val="24"/>
          <w:szCs w:val="24"/>
        </w:rPr>
        <w:t>采用坚固的材料建造，表面无裂缝。</w:t>
      </w:r>
    </w:p>
    <w:p w14:paraId="4EC0ACAF">
      <w:pPr>
        <w:pStyle w:val="93"/>
        <w:keepNext w:val="0"/>
        <w:keepLines w:val="0"/>
        <w:pageBreakBefore w:val="0"/>
        <w:tabs>
          <w:tab w:val="left" w:pos="4665"/>
          <w:tab w:val="left" w:pos="897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pacing w:val="0"/>
          <w:position w:val="0"/>
          <w:sz w:val="24"/>
          <w:szCs w:val="24"/>
          <w:lang w:eastAsia="zh-CN"/>
        </w:rPr>
      </w:pPr>
      <w:r>
        <w:rPr>
          <w:rFonts w:hint="default" w:ascii="Times New Roman" w:hAnsi="Times New Roman" w:eastAsia="宋体" w:cs="Times New Roman"/>
          <w:color w:val="auto"/>
          <w:spacing w:val="0"/>
          <w:position w:val="0"/>
          <w:sz w:val="24"/>
          <w:szCs w:val="24"/>
          <w:lang w:eastAsia="zh-CN"/>
        </w:rPr>
        <w:t>④</w:t>
      </w:r>
      <w:r>
        <w:rPr>
          <w:rFonts w:hint="default" w:ascii="Times New Roman" w:hAnsi="Times New Roman" w:eastAsia="宋体" w:cs="Times New Roman"/>
          <w:color w:val="auto"/>
          <w:sz w:val="24"/>
          <w:szCs w:val="24"/>
          <w:lang w:eastAsia="zh-CN"/>
        </w:rPr>
        <w:t>危废贮存点</w:t>
      </w:r>
      <w:r>
        <w:rPr>
          <w:rFonts w:hint="default" w:ascii="Times New Roman" w:hAnsi="Times New Roman" w:eastAsia="宋体" w:cs="Times New Roman"/>
          <w:color w:val="auto"/>
          <w:sz w:val="24"/>
          <w:szCs w:val="24"/>
        </w:rPr>
        <w:t>地面与裙脚采取表面防渗措施；表面防渗材料与所接触的物料或污染物相容，采用抗渗混凝土</w:t>
      </w:r>
      <w:r>
        <w:rPr>
          <w:rFonts w:hint="default" w:ascii="Times New Roman" w:hAnsi="Times New Roman" w:eastAsia="宋体" w:cs="Times New Roman"/>
          <w:color w:val="auto"/>
          <w:sz w:val="24"/>
          <w:szCs w:val="24"/>
          <w:lang w:eastAsia="zh-CN"/>
        </w:rPr>
        <w:t>和</w:t>
      </w:r>
      <w:r>
        <w:rPr>
          <w:rFonts w:hint="default" w:ascii="Times New Roman" w:hAnsi="Times New Roman" w:eastAsia="宋体" w:cs="Times New Roman"/>
          <w:color w:val="auto"/>
          <w:sz w:val="24"/>
          <w:szCs w:val="24"/>
        </w:rPr>
        <w:t>高密度聚乙烯膜材料。贮存的危险废物直接接触地面的，</w:t>
      </w:r>
      <w:r>
        <w:rPr>
          <w:rFonts w:hint="default" w:ascii="Times New Roman" w:hAnsi="Times New Roman" w:eastAsia="宋体" w:cs="Times New Roman"/>
          <w:color w:val="auto"/>
          <w:sz w:val="24"/>
          <w:szCs w:val="24"/>
          <w:lang w:eastAsia="zh-CN"/>
        </w:rPr>
        <w:t>并</w:t>
      </w:r>
      <w:r>
        <w:rPr>
          <w:rFonts w:hint="default" w:ascii="Times New Roman" w:hAnsi="Times New Roman" w:eastAsia="宋体" w:cs="Times New Roman"/>
          <w:color w:val="auto"/>
          <w:sz w:val="24"/>
          <w:szCs w:val="24"/>
        </w:rPr>
        <w:t>进行基础防渗，防渗层为2mm厚高密度聚乙烯膜等人工防渗材料（渗透系数不大于10</w:t>
      </w:r>
      <w:r>
        <w:rPr>
          <w:rFonts w:hint="default" w:ascii="Times New Roman" w:hAnsi="Times New Roman" w:eastAsia="宋体" w:cs="Times New Roman"/>
          <w:color w:val="auto"/>
          <w:sz w:val="24"/>
          <w:szCs w:val="24"/>
          <w:vertAlign w:val="superscript"/>
        </w:rPr>
        <w:t>-10</w:t>
      </w:r>
      <w:r>
        <w:rPr>
          <w:rFonts w:hint="default" w:ascii="Times New Roman" w:hAnsi="Times New Roman" w:eastAsia="宋体" w:cs="Times New Roman"/>
          <w:color w:val="auto"/>
          <w:sz w:val="24"/>
          <w:szCs w:val="24"/>
        </w:rPr>
        <w:t>cm/s）</w:t>
      </w:r>
      <w:r>
        <w:rPr>
          <w:rFonts w:hint="default" w:ascii="Times New Roman" w:hAnsi="Times New Roman" w:eastAsia="宋体" w:cs="Times New Roman"/>
          <w:color w:val="auto"/>
          <w:spacing w:val="0"/>
          <w:position w:val="0"/>
          <w:sz w:val="24"/>
          <w:szCs w:val="24"/>
          <w:lang w:eastAsia="zh-CN"/>
        </w:rPr>
        <w:t>。</w:t>
      </w:r>
    </w:p>
    <w:p w14:paraId="15DCF070">
      <w:pPr>
        <w:keepNext w:val="0"/>
        <w:keepLines w:val="0"/>
        <w:pageBreakBefore w:val="0"/>
        <w:widowControl w:val="0"/>
        <w:tabs>
          <w:tab w:val="left" w:pos="480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eastAsia="zh-CN"/>
        </w:rPr>
        <w:t>⑤</w:t>
      </w:r>
      <w:r>
        <w:rPr>
          <w:rFonts w:hint="default" w:ascii="Times New Roman" w:hAnsi="Times New Roman" w:eastAsia="宋体" w:cs="Times New Roman"/>
          <w:color w:val="auto"/>
          <w:sz w:val="24"/>
          <w:szCs w:val="24"/>
          <w:lang w:eastAsia="zh-CN"/>
        </w:rPr>
        <w:t>危废贮存点</w:t>
      </w:r>
      <w:r>
        <w:rPr>
          <w:rFonts w:hint="default" w:ascii="Times New Roman" w:hAnsi="Times New Roman" w:eastAsia="宋体" w:cs="Times New Roman"/>
          <w:color w:val="auto"/>
          <w:sz w:val="24"/>
          <w:szCs w:val="24"/>
        </w:rPr>
        <w:t>具有液体泄漏堵截设施，堵截设施最小容积</w:t>
      </w:r>
      <w:r>
        <w:rPr>
          <w:rFonts w:hint="default" w:ascii="Times New Roman" w:hAnsi="Times New Roman" w:eastAsia="宋体" w:cs="Times New Roman"/>
          <w:color w:val="auto"/>
          <w:sz w:val="24"/>
          <w:szCs w:val="24"/>
          <w:lang w:eastAsia="zh-CN"/>
        </w:rPr>
        <w:t>为</w:t>
      </w:r>
      <w:r>
        <w:rPr>
          <w:rFonts w:hint="default" w:ascii="Times New Roman" w:hAnsi="Times New Roman" w:eastAsia="宋体" w:cs="Times New Roman"/>
          <w:color w:val="auto"/>
          <w:sz w:val="24"/>
          <w:szCs w:val="24"/>
          <w:lang w:val="en-US" w:eastAsia="zh-CN"/>
        </w:rPr>
        <w:t>10m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，符合</w:t>
      </w:r>
      <w:r>
        <w:rPr>
          <w:rFonts w:hint="default" w:ascii="Times New Roman" w:hAnsi="Times New Roman" w:eastAsia="宋体" w:cs="Times New Roman"/>
          <w:color w:val="auto"/>
          <w:sz w:val="24"/>
          <w:szCs w:val="24"/>
        </w:rPr>
        <w:t>不低于对应贮存区域最大液态废物容器容积1/10</w:t>
      </w:r>
      <w:r>
        <w:rPr>
          <w:rFonts w:hint="default" w:ascii="Times New Roman" w:hAnsi="Times New Roman" w:eastAsia="宋体" w:cs="Times New Roman"/>
          <w:color w:val="auto"/>
          <w:sz w:val="24"/>
          <w:szCs w:val="24"/>
          <w:lang w:eastAsia="zh-CN"/>
        </w:rPr>
        <w:t>的要求</w:t>
      </w:r>
      <w:r>
        <w:rPr>
          <w:rFonts w:hint="default" w:ascii="Times New Roman" w:hAnsi="Times New Roman" w:eastAsia="宋体" w:cs="Times New Roman"/>
          <w:color w:val="auto"/>
          <w:spacing w:val="0"/>
          <w:position w:val="0"/>
          <w:sz w:val="24"/>
          <w:szCs w:val="24"/>
        </w:rPr>
        <w:t>。</w:t>
      </w:r>
    </w:p>
    <w:p w14:paraId="333BBD44">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3）危废转移管理要求</w:t>
      </w:r>
    </w:p>
    <w:p w14:paraId="67AAC8E8">
      <w:pPr>
        <w:pStyle w:val="1507"/>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position w:val="0"/>
          <w:sz w:val="24"/>
          <w:szCs w:val="24"/>
          <w:lang w:val="en-US" w:eastAsia="zh-CN"/>
        </w:rPr>
        <w:t>根据</w:t>
      </w:r>
      <w:r>
        <w:rPr>
          <w:rFonts w:hint="default" w:ascii="Times New Roman" w:hAnsi="Times New Roman" w:eastAsia="宋体" w:cs="Times New Roman"/>
          <w:color w:val="auto"/>
          <w:spacing w:val="0"/>
          <w:kern w:val="0"/>
          <w:position w:val="0"/>
          <w:sz w:val="24"/>
          <w:szCs w:val="24"/>
          <w:lang w:val="en-US" w:eastAsia="zh-CN" w:bidi="ar"/>
        </w:rPr>
        <w:t>《危险废物转移管理办法》（2022年1月1日起施行），危险废物移出人应按照以下规定进行：</w:t>
      </w:r>
    </w:p>
    <w:p w14:paraId="646F4B37">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转移危险废物的，应当执行危险废物转移联单制度；转移危险废物的，应当通过国家危险废物信息管理系统（以下简称信息系统）填写、运行危险废物电子转移联单，并依照国家有关规定公开危险废物转移相关污染环境防治信息。</w:t>
      </w:r>
    </w:p>
    <w:p w14:paraId="14602160">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危险废物移出人、危险废物承运人、危险废物接受人（以下分别简称移出人、承运人和接受人）在危险废物转移过程中应当采取防扬散、防流失、防渗漏或者其他防止污染环境的措施，不得擅自倾倒、堆放、丢弃、遗撒危险废物，并对所造成的环境污染及生态破坏依法承担责任。</w:t>
      </w:r>
    </w:p>
    <w:p w14:paraId="35ABCE52">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移出人、承运人、接受人应当依法制定突发环境事件的防范措施和应急预案，并报有关部门备案；发生危险废物突发环境事件时，应当立即采取有效措施消除或者减轻对环境的污染危害，并按相关规定向事故发生地有关部门报告，接受调查处理。</w:t>
      </w:r>
    </w:p>
    <w:p w14:paraId="0F4640EA">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移出人（建设单位）对承运人或者接受人的主体资格和技术能力进行核实，依法签订书面合同，并在合同中约定运输、贮存、利用、处置危险废物的污染防治要求及相关责任；</w:t>
      </w:r>
    </w:p>
    <w:p w14:paraId="68263DAB">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制定危险废物管理计划，明确拟转移危险废物的种类、重量（数量）和流向等信息；</w:t>
      </w:r>
    </w:p>
    <w:p w14:paraId="6F1465DA">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建立危险废物管理台账，对转移的危险废物进行计量称重，如实记录、妥善保管转移危险废物的种类、重量（数量）和接受人等相关信息；</w:t>
      </w:r>
    </w:p>
    <w:p w14:paraId="068ABD62">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填写、运行危险废物转移联单，在危险废物转移联单中如实填写移出人、承运人、接受人信息，转移危险废物的种类、重量（数量）、危险特性等信息，以及突发环境事件的防范措施等；</w:t>
      </w:r>
    </w:p>
    <w:p w14:paraId="68935E4D">
      <w:pPr>
        <w:pStyle w:val="1507"/>
        <w:keepNext w:val="0"/>
        <w:keepLines w:val="0"/>
        <w:pageBreakBefore w:val="0"/>
        <w:numPr>
          <w:ilvl w:val="0"/>
          <w:numId w:val="9"/>
        </w:numPr>
        <w:kinsoku/>
        <w:wordWrap/>
        <w:overflowPunct/>
        <w:topLinePunct w:val="0"/>
        <w:autoSpaceDE/>
        <w:autoSpaceDN/>
        <w:bidi w:val="0"/>
        <w:adjustRightInd w:val="0"/>
        <w:spacing w:line="360" w:lineRule="auto"/>
        <w:ind w:left="0" w:leftChars="0" w:firstLine="480" w:firstLineChars="200"/>
        <w:textAlignment w:val="auto"/>
        <w:rPr>
          <w:rFonts w:hint="default" w:ascii="Times New Roman" w:hAnsi="Times New Roman" w:eastAsia="宋体" w:cs="Times New Roman"/>
          <w:color w:val="auto"/>
          <w:spacing w:val="0"/>
          <w:kern w:val="0"/>
          <w:position w:val="0"/>
          <w:sz w:val="24"/>
          <w:szCs w:val="24"/>
          <w:lang w:val="en-US" w:eastAsia="zh-CN" w:bidi="ar"/>
        </w:rPr>
      </w:pPr>
      <w:r>
        <w:rPr>
          <w:rFonts w:hint="default" w:ascii="Times New Roman" w:hAnsi="Times New Roman" w:eastAsia="宋体" w:cs="Times New Roman"/>
          <w:color w:val="auto"/>
          <w:spacing w:val="0"/>
          <w:kern w:val="0"/>
          <w:position w:val="0"/>
          <w:sz w:val="24"/>
          <w:szCs w:val="24"/>
          <w:lang w:val="en-US" w:eastAsia="zh-CN" w:bidi="ar"/>
        </w:rPr>
        <w:t>及时核实接受人贮存、利用或者处置相关危险废物情况。</w:t>
      </w:r>
    </w:p>
    <w:p w14:paraId="34FDD258">
      <w:pPr>
        <w:keepNext w:val="0"/>
        <w:keepLines w:val="0"/>
        <w:pageBreakBefore w:val="0"/>
        <w:widowControl/>
        <w:suppressLineNumbers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lang w:val="en-US" w:eastAsia="zh-CN"/>
        </w:rPr>
        <w:t>项目产生的危险废物</w:t>
      </w:r>
      <w:r>
        <w:rPr>
          <w:rFonts w:hint="eastAsia" w:cs="Times New Roman"/>
          <w:color w:val="auto"/>
          <w:spacing w:val="0"/>
          <w:position w:val="0"/>
          <w:sz w:val="24"/>
          <w:szCs w:val="24"/>
          <w:lang w:val="en-US" w:eastAsia="zh-CN"/>
        </w:rPr>
        <w:t>委托有资质的单位</w:t>
      </w:r>
      <w:r>
        <w:rPr>
          <w:rFonts w:hint="eastAsia"/>
          <w:color w:val="auto"/>
          <w:kern w:val="0"/>
          <w:sz w:val="24"/>
          <w:lang w:bidi="ar"/>
        </w:rPr>
        <w:t>统一处理</w:t>
      </w:r>
      <w:r>
        <w:rPr>
          <w:rFonts w:hint="eastAsia"/>
          <w:color w:val="auto"/>
          <w:kern w:val="0"/>
          <w:sz w:val="24"/>
          <w:lang w:eastAsia="zh-CN" w:bidi="ar"/>
        </w:rPr>
        <w:t>，</w:t>
      </w:r>
      <w:r>
        <w:rPr>
          <w:rFonts w:hint="default" w:ascii="Times New Roman" w:hAnsi="Times New Roman" w:eastAsia="宋体" w:cs="Times New Roman"/>
          <w:color w:val="auto"/>
          <w:spacing w:val="0"/>
          <w:position w:val="0"/>
          <w:sz w:val="24"/>
          <w:szCs w:val="24"/>
          <w:lang w:val="en-US" w:eastAsia="zh-CN"/>
        </w:rPr>
        <w:t>严格按照上述移出人管理要求进行，危险废物的运输与处置责任均由承运人、接受人承担。</w:t>
      </w:r>
    </w:p>
    <w:p w14:paraId="7ABD6638">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.3固体废物影响评价结论</w:t>
      </w:r>
    </w:p>
    <w:p w14:paraId="3DC60C4C">
      <w:pPr>
        <w:spacing w:line="360" w:lineRule="auto"/>
        <w:ind w:firstLine="480" w:firstLineChars="200"/>
        <w:rPr>
          <w:color w:val="auto"/>
          <w:sz w:val="24"/>
          <w:highlight w:val="none"/>
        </w:rPr>
      </w:pPr>
      <w:r>
        <w:rPr>
          <w:color w:val="auto"/>
          <w:sz w:val="24"/>
        </w:rPr>
        <w:t>本项目产生的固体废物均得到有效的利用及妥善的处理，不向外界环境排放，对周边环境影响很</w:t>
      </w:r>
      <w:r>
        <w:rPr>
          <w:color w:val="auto"/>
          <w:sz w:val="24"/>
          <w:highlight w:val="none"/>
        </w:rPr>
        <w:t>小。</w:t>
      </w:r>
    </w:p>
    <w:p w14:paraId="6983A61C">
      <w:pPr>
        <w:pStyle w:val="5"/>
        <w:bidi w:val="0"/>
        <w:rPr>
          <w:rFonts w:hint="eastAsia"/>
          <w:lang w:val="en-US" w:eastAsia="zh-CN"/>
        </w:rPr>
      </w:pPr>
      <w:bookmarkStart w:id="87" w:name="_Toc438040303"/>
      <w:bookmarkEnd w:id="87"/>
      <w:r>
        <w:rPr>
          <w:rFonts w:hint="eastAsia"/>
          <w:lang w:val="en-US" w:eastAsia="zh-CN"/>
        </w:rPr>
        <w:t>5.2.5土壤环境影响预测分析与评价</w:t>
      </w:r>
    </w:p>
    <w:p w14:paraId="7B1621DA">
      <w:pPr>
        <w:bidi w:val="0"/>
        <w:spacing w:line="360" w:lineRule="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.1土壤环境</w:t>
      </w:r>
      <w:r>
        <w:rPr>
          <w:rFonts w:hint="eastAsia" w:cs="Times New Roman"/>
          <w:b/>
          <w:bCs/>
          <w:color w:val="auto"/>
          <w:sz w:val="24"/>
          <w:szCs w:val="24"/>
          <w:lang w:val="en-US" w:eastAsia="zh-CN"/>
        </w:rPr>
        <w:t>影响类型与途径</w:t>
      </w:r>
    </w:p>
    <w:p w14:paraId="4F5AD268">
      <w:pPr>
        <w:keepNext w:val="0"/>
        <w:keepLines w:val="0"/>
        <w:pageBreakBefore w:val="0"/>
        <w:widowControl w:val="0"/>
        <w:kinsoku/>
        <w:wordWrap/>
        <w:overflowPunct/>
        <w:topLinePunct w:val="0"/>
        <w:autoSpaceDE/>
        <w:autoSpaceDN/>
        <w:bidi w:val="0"/>
        <w:adjustRightInd/>
        <w:snapToGrid/>
        <w:spacing w:line="360" w:lineRule="auto"/>
        <w:ind w:left="181" w:right="159" w:firstLine="482"/>
        <w:textAlignment w:val="auto"/>
        <w:rPr>
          <w:rFonts w:hint="default" w:ascii="Times New Roman" w:hAnsi="Times New Roman" w:eastAsia="宋体" w:cs="Times New Roman"/>
          <w:spacing w:val="-4"/>
          <w:sz w:val="24"/>
          <w:szCs w:val="24"/>
          <w:lang w:val="en-US" w:eastAsia="zh-CN"/>
        </w:rPr>
      </w:pPr>
      <w:r>
        <w:rPr>
          <w:rFonts w:hint="eastAsia" w:ascii="宋体" w:hAnsi="宋体" w:eastAsia="宋体" w:cs="宋体"/>
          <w:spacing w:val="-4"/>
          <w:sz w:val="24"/>
          <w:szCs w:val="24"/>
          <w:lang w:val="en-US" w:eastAsia="zh-CN"/>
        </w:rPr>
        <w:t>根据《环境影响评价技术导则土壤环境》</w:t>
      </w:r>
      <w:r>
        <w:rPr>
          <w:rFonts w:hint="default" w:ascii="Times New Roman" w:hAnsi="Times New Roman" w:eastAsia="宋体" w:cs="Times New Roman"/>
          <w:spacing w:val="-4"/>
          <w:sz w:val="24"/>
          <w:szCs w:val="24"/>
          <w:lang w:val="en-US" w:eastAsia="zh-CN"/>
        </w:rPr>
        <w:t>（HJ964-2018）中附录 A 土壤环境影响评价项目类别，本项目</w:t>
      </w:r>
      <w:r>
        <w:rPr>
          <w:rFonts w:hint="default" w:ascii="Times New Roman" w:hAnsi="Times New Roman" w:eastAsia="宋体" w:cs="Times New Roman"/>
          <w:color w:val="auto"/>
          <w:sz w:val="24"/>
          <w:lang w:val="en-US" w:eastAsia="zh-CN"/>
        </w:rPr>
        <w:t>属于“采矿业”中“</w:t>
      </w:r>
      <w:r>
        <w:rPr>
          <w:rFonts w:hint="default" w:ascii="Times New Roman" w:hAnsi="Times New Roman" w:cs="Times New Roman"/>
          <w:color w:val="auto"/>
          <w:sz w:val="24"/>
          <w:lang w:val="en-US" w:eastAsia="zh-CN"/>
        </w:rPr>
        <w:t>金属矿采选</w:t>
      </w:r>
      <w:r>
        <w:rPr>
          <w:rFonts w:hint="default"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szCs w:val="24"/>
          <w:lang w:val="en-US" w:eastAsia="zh-CN"/>
        </w:rPr>
        <w:t>为</w:t>
      </w: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ROMAN \* MERGEFORMAT </w:instrText>
      </w:r>
      <w:r>
        <w:rPr>
          <w:rFonts w:hint="default" w:ascii="Times New Roman" w:hAnsi="Times New Roman" w:eastAsia="宋体" w:cs="Times New Roman"/>
          <w:color w:val="auto"/>
          <w:sz w:val="24"/>
          <w:szCs w:val="24"/>
          <w:lang w:val="en-US" w:eastAsia="zh-CN"/>
        </w:rPr>
        <w:fldChar w:fldCharType="separate"/>
      </w:r>
      <w:r>
        <w:rPr>
          <w:rFonts w:hint="default" w:ascii="Times New Roman" w:hAnsi="Times New Roman" w:cs="Times New Roman"/>
          <w:sz w:val="24"/>
          <w:szCs w:val="24"/>
        </w:rPr>
        <w:t>I</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类建设项目</w:t>
      </w:r>
      <w:r>
        <w:rPr>
          <w:rFonts w:hint="default" w:ascii="Times New Roman" w:hAnsi="Times New Roman" w:eastAsia="宋体" w:cs="Times New Roman"/>
          <w:spacing w:val="-4"/>
          <w:sz w:val="24"/>
          <w:szCs w:val="24"/>
          <w:lang w:val="en-US" w:eastAsia="zh-CN"/>
        </w:rPr>
        <w:t>。项目对土壤环境可能造成影响的区域主要包括选矿车间。</w:t>
      </w:r>
    </w:p>
    <w:p w14:paraId="0725C2CD">
      <w:pPr>
        <w:keepNext w:val="0"/>
        <w:keepLines w:val="0"/>
        <w:pageBreakBefore w:val="0"/>
        <w:widowControl w:val="0"/>
        <w:kinsoku/>
        <w:wordWrap/>
        <w:overflowPunct/>
        <w:topLinePunct w:val="0"/>
        <w:autoSpaceDE/>
        <w:autoSpaceDN/>
        <w:bidi w:val="0"/>
        <w:adjustRightInd/>
        <w:snapToGrid/>
        <w:spacing w:line="360" w:lineRule="auto"/>
        <w:ind w:left="181" w:right="159" w:firstLine="482"/>
        <w:textAlignment w:val="auto"/>
        <w:rPr>
          <w:rFonts w:hint="default" w:ascii="Times New Roman" w:hAnsi="Times New Roman" w:eastAsia="宋体" w:cs="Times New Roman"/>
          <w:spacing w:val="-4"/>
          <w:sz w:val="24"/>
          <w:szCs w:val="24"/>
          <w:lang w:val="en-US" w:eastAsia="zh-CN"/>
        </w:rPr>
      </w:pPr>
      <w:r>
        <w:rPr>
          <w:rFonts w:hint="eastAsia" w:ascii="Times New Roman" w:hAnsi="Times New Roman" w:eastAsia="宋体" w:cs="Times New Roman"/>
          <w:spacing w:val="-4"/>
          <w:sz w:val="24"/>
          <w:szCs w:val="24"/>
          <w:lang w:val="en-US" w:eastAsia="zh-CN"/>
        </w:rPr>
        <w:t>项目</w:t>
      </w:r>
      <w:r>
        <w:rPr>
          <w:rFonts w:hint="default" w:ascii="Times New Roman" w:hAnsi="Times New Roman" w:eastAsia="宋体" w:cs="Times New Roman"/>
          <w:spacing w:val="-4"/>
          <w:sz w:val="24"/>
          <w:szCs w:val="24"/>
          <w:lang w:val="en-US" w:eastAsia="zh-CN"/>
        </w:rPr>
        <w:t>运营过程中产生的废水、废气和</w:t>
      </w:r>
      <w:r>
        <w:rPr>
          <w:rFonts w:hint="eastAsia" w:ascii="Times New Roman" w:hAnsi="Times New Roman" w:eastAsia="宋体" w:cs="Times New Roman"/>
          <w:spacing w:val="-4"/>
          <w:sz w:val="24"/>
          <w:szCs w:val="24"/>
          <w:lang w:val="en-US" w:eastAsia="zh-CN"/>
        </w:rPr>
        <w:t>固废</w:t>
      </w:r>
      <w:r>
        <w:rPr>
          <w:rFonts w:hint="default" w:ascii="Times New Roman" w:hAnsi="Times New Roman" w:eastAsia="宋体" w:cs="Times New Roman"/>
          <w:spacing w:val="-4"/>
          <w:sz w:val="24"/>
          <w:szCs w:val="24"/>
          <w:lang w:val="en-US" w:eastAsia="zh-CN"/>
        </w:rPr>
        <w:t>等典型污染物质，会对土壤产生负面影响</w:t>
      </w:r>
      <w:r>
        <w:rPr>
          <w:rFonts w:hint="eastAsia" w:ascii="Times New Roman" w:hAnsi="Times New Roman" w:eastAsia="宋体" w:cs="Times New Roman"/>
          <w:spacing w:val="-4"/>
          <w:sz w:val="24"/>
          <w:szCs w:val="24"/>
          <w:lang w:val="en-US" w:eastAsia="zh-CN"/>
        </w:rPr>
        <w:t>，</w:t>
      </w:r>
      <w:r>
        <w:rPr>
          <w:rFonts w:hint="default" w:ascii="Times New Roman" w:hAnsi="Times New Roman" w:eastAsia="宋体" w:cs="Times New Roman"/>
          <w:spacing w:val="-4"/>
          <w:sz w:val="24"/>
          <w:szCs w:val="24"/>
          <w:lang w:val="en-US" w:eastAsia="zh-CN"/>
        </w:rPr>
        <w:t>主要以占用和污染两种方式污损土壤。考虑到项目本身的特性，</w:t>
      </w:r>
      <w:r>
        <w:rPr>
          <w:rFonts w:hint="eastAsia" w:ascii="Times New Roman" w:hAnsi="Times New Roman" w:eastAsia="宋体" w:cs="Times New Roman"/>
          <w:spacing w:val="-4"/>
          <w:sz w:val="24"/>
          <w:szCs w:val="24"/>
          <w:lang w:val="en-US" w:eastAsia="zh-CN"/>
        </w:rPr>
        <w:t>厂区内</w:t>
      </w:r>
      <w:r>
        <w:rPr>
          <w:rFonts w:hint="default" w:ascii="Times New Roman" w:hAnsi="Times New Roman" w:eastAsia="宋体" w:cs="Times New Roman"/>
          <w:spacing w:val="-4"/>
          <w:sz w:val="24"/>
          <w:szCs w:val="24"/>
          <w:lang w:val="en-US" w:eastAsia="zh-CN"/>
        </w:rPr>
        <w:t>大气沉降会导致土壤中重金属增加。</w:t>
      </w:r>
      <w:r>
        <w:rPr>
          <w:rFonts w:ascii="宋体" w:hAnsi="宋体" w:eastAsia="宋体" w:cs="宋体"/>
          <w:spacing w:val="-8"/>
          <w:sz w:val="24"/>
          <w:szCs w:val="24"/>
        </w:rPr>
        <w:t>根据组分分析可知矿石中重金属成分较高的有以下因</w:t>
      </w:r>
      <w:r>
        <w:rPr>
          <w:rFonts w:ascii="宋体" w:hAnsi="宋体" w:eastAsia="宋体" w:cs="宋体"/>
          <w:spacing w:val="-9"/>
          <w:sz w:val="24"/>
          <w:szCs w:val="24"/>
        </w:rPr>
        <w:t>子：铅、锌、</w:t>
      </w:r>
      <w:r>
        <w:rPr>
          <w:rFonts w:ascii="宋体" w:hAnsi="宋体" w:eastAsia="宋体" w:cs="宋体"/>
          <w:spacing w:val="-5"/>
          <w:sz w:val="24"/>
          <w:szCs w:val="24"/>
        </w:rPr>
        <w:t>铬、砷、镍、钴。</w:t>
      </w:r>
      <w:r>
        <w:rPr>
          <w:rFonts w:hint="default" w:ascii="Times New Roman" w:hAnsi="Times New Roman" w:eastAsia="宋体" w:cs="Times New Roman"/>
          <w:spacing w:val="-4"/>
          <w:sz w:val="24"/>
          <w:szCs w:val="24"/>
          <w:lang w:val="en-US" w:eastAsia="zh-CN"/>
        </w:rPr>
        <w:t>本项目营运期土壤环境影响类型与影响途径见下表。</w:t>
      </w:r>
    </w:p>
    <w:p w14:paraId="168F1BA3">
      <w:pPr>
        <w:spacing w:before="1" w:line="361" w:lineRule="auto"/>
        <w:ind w:right="77"/>
        <w:jc w:val="center"/>
        <w:rPr>
          <w:rFonts w:hint="default" w:ascii="宋体" w:hAnsi="宋体" w:eastAsia="宋体" w:cs="宋体"/>
          <w:b/>
          <w:bCs/>
          <w:spacing w:val="-5"/>
          <w:sz w:val="24"/>
          <w:szCs w:val="24"/>
          <w:lang w:val="en-US" w:eastAsia="zh-CN"/>
        </w:rPr>
      </w:pPr>
      <w:r>
        <w:rPr>
          <w:rFonts w:hint="eastAsia" w:ascii="宋体" w:hAnsi="宋体" w:eastAsia="宋体" w:cs="宋体"/>
          <w:b/>
          <w:bCs/>
          <w:spacing w:val="-5"/>
          <w:sz w:val="24"/>
          <w:szCs w:val="24"/>
          <w:lang w:val="en-US" w:eastAsia="zh-CN"/>
        </w:rPr>
        <w:t>表</w:t>
      </w:r>
      <w:r>
        <w:rPr>
          <w:rFonts w:hint="default" w:ascii="Times New Roman" w:hAnsi="Times New Roman" w:cs="Times New Roman"/>
          <w:b/>
          <w:bCs/>
          <w:spacing w:val="-5"/>
          <w:sz w:val="24"/>
          <w:szCs w:val="24"/>
          <w:lang w:val="en-US" w:eastAsia="zh-CN"/>
        </w:rPr>
        <w:t>5.2-9</w:t>
      </w:r>
      <w:r>
        <w:rPr>
          <w:rFonts w:hint="default" w:ascii="Times New Roman" w:hAnsi="Times New Roman" w:eastAsia="宋体" w:cs="Times New Roman"/>
          <w:b/>
          <w:bCs/>
          <w:spacing w:val="-5"/>
          <w:sz w:val="24"/>
          <w:szCs w:val="24"/>
          <w:lang w:val="en-US" w:eastAsia="zh-CN"/>
        </w:rPr>
        <w:t xml:space="preserve"> </w:t>
      </w:r>
      <w:r>
        <w:rPr>
          <w:rFonts w:hint="eastAsia" w:ascii="宋体" w:hAnsi="宋体" w:eastAsia="宋体" w:cs="宋体"/>
          <w:b/>
          <w:bCs/>
          <w:spacing w:val="-5"/>
          <w:sz w:val="24"/>
          <w:szCs w:val="24"/>
          <w:lang w:val="en-US" w:eastAsia="zh-CN"/>
        </w:rPr>
        <w:t>土壤环境影响类型与影响途径表</w:t>
      </w:r>
    </w:p>
    <w:tbl>
      <w:tblPr>
        <w:tblStyle w:val="297"/>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444"/>
        <w:gridCol w:w="1939"/>
        <w:gridCol w:w="1937"/>
        <w:gridCol w:w="1937"/>
        <w:gridCol w:w="981"/>
      </w:tblGrid>
      <w:tr w14:paraId="7FCBA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323" w:type="pct"/>
            <w:vMerge w:val="restart"/>
            <w:tcBorders>
              <w:top w:val="single" w:color="000000" w:sz="10" w:space="0"/>
              <w:left w:val="nil"/>
              <w:bottom w:val="nil"/>
            </w:tcBorders>
            <w:vAlign w:val="top"/>
          </w:tcPr>
          <w:p w14:paraId="7D685DB2">
            <w:pPr>
              <w:spacing w:before="227" w:line="222" w:lineRule="auto"/>
              <w:ind w:left="760"/>
              <w:rPr>
                <w:rFonts w:ascii="宋体" w:hAnsi="宋体" w:eastAsia="宋体" w:cs="宋体"/>
                <w:sz w:val="21"/>
                <w:szCs w:val="21"/>
              </w:rPr>
            </w:pPr>
            <w:r>
              <w:rPr>
                <w:rFonts w:ascii="宋体" w:hAnsi="宋体" w:eastAsia="宋体" w:cs="宋体"/>
                <w:spacing w:val="-3"/>
                <w:sz w:val="21"/>
                <w:szCs w:val="21"/>
              </w:rPr>
              <w:t>不同时段</w:t>
            </w:r>
          </w:p>
        </w:tc>
        <w:tc>
          <w:tcPr>
            <w:tcW w:w="3676" w:type="pct"/>
            <w:gridSpan w:val="4"/>
            <w:tcBorders>
              <w:top w:val="single" w:color="000000" w:sz="10" w:space="0"/>
              <w:right w:val="nil"/>
            </w:tcBorders>
            <w:vAlign w:val="top"/>
          </w:tcPr>
          <w:p w14:paraId="5EF9A9C3">
            <w:pPr>
              <w:spacing w:before="65" w:line="221" w:lineRule="auto"/>
              <w:ind w:left="2701"/>
              <w:rPr>
                <w:rFonts w:ascii="宋体" w:hAnsi="宋体" w:eastAsia="宋体" w:cs="宋体"/>
                <w:sz w:val="21"/>
                <w:szCs w:val="21"/>
              </w:rPr>
            </w:pPr>
            <w:r>
              <w:rPr>
                <w:rFonts w:ascii="宋体" w:hAnsi="宋体" w:eastAsia="宋体" w:cs="宋体"/>
                <w:spacing w:val="-2"/>
                <w:sz w:val="21"/>
                <w:szCs w:val="21"/>
              </w:rPr>
              <w:t>污染影响型</w:t>
            </w:r>
          </w:p>
        </w:tc>
      </w:tr>
      <w:tr w14:paraId="29CBCC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323" w:type="pct"/>
            <w:vMerge w:val="continue"/>
            <w:tcBorders>
              <w:top w:val="nil"/>
              <w:left w:val="nil"/>
            </w:tcBorders>
            <w:vAlign w:val="top"/>
          </w:tcPr>
          <w:p w14:paraId="473A473C">
            <w:pPr>
              <w:pStyle w:val="1517"/>
            </w:pPr>
          </w:p>
        </w:tc>
        <w:tc>
          <w:tcPr>
            <w:tcW w:w="1049" w:type="pct"/>
            <w:vAlign w:val="top"/>
          </w:tcPr>
          <w:p w14:paraId="7D7580A2">
            <w:pPr>
              <w:spacing w:before="54" w:line="216" w:lineRule="auto"/>
              <w:ind w:left="505"/>
              <w:rPr>
                <w:rFonts w:ascii="宋体" w:hAnsi="宋体" w:eastAsia="宋体" w:cs="宋体"/>
                <w:sz w:val="21"/>
                <w:szCs w:val="21"/>
              </w:rPr>
            </w:pPr>
            <w:r>
              <w:rPr>
                <w:rFonts w:ascii="宋体" w:hAnsi="宋体" w:eastAsia="宋体" w:cs="宋体"/>
                <w:spacing w:val="-2"/>
                <w:sz w:val="21"/>
                <w:szCs w:val="21"/>
              </w:rPr>
              <w:t>大气沉降</w:t>
            </w:r>
          </w:p>
        </w:tc>
        <w:tc>
          <w:tcPr>
            <w:tcW w:w="1048" w:type="pct"/>
            <w:vAlign w:val="top"/>
          </w:tcPr>
          <w:p w14:paraId="275DC6DA">
            <w:pPr>
              <w:spacing w:before="54" w:line="216" w:lineRule="auto"/>
              <w:ind w:left="502"/>
              <w:rPr>
                <w:rFonts w:ascii="宋体" w:hAnsi="宋体" w:eastAsia="宋体" w:cs="宋体"/>
                <w:sz w:val="21"/>
                <w:szCs w:val="21"/>
              </w:rPr>
            </w:pPr>
            <w:r>
              <w:rPr>
                <w:rFonts w:ascii="宋体" w:hAnsi="宋体" w:eastAsia="宋体" w:cs="宋体"/>
                <w:spacing w:val="-2"/>
                <w:sz w:val="21"/>
                <w:szCs w:val="21"/>
              </w:rPr>
              <w:t>地面漫流</w:t>
            </w:r>
          </w:p>
        </w:tc>
        <w:tc>
          <w:tcPr>
            <w:tcW w:w="1048" w:type="pct"/>
            <w:vAlign w:val="top"/>
          </w:tcPr>
          <w:p w14:paraId="712241B4">
            <w:pPr>
              <w:spacing w:before="54" w:line="216" w:lineRule="auto"/>
              <w:ind w:left="503"/>
              <w:rPr>
                <w:rFonts w:ascii="宋体" w:hAnsi="宋体" w:eastAsia="宋体" w:cs="宋体"/>
                <w:sz w:val="21"/>
                <w:szCs w:val="21"/>
              </w:rPr>
            </w:pPr>
            <w:r>
              <w:rPr>
                <w:rFonts w:ascii="宋体" w:hAnsi="宋体" w:eastAsia="宋体" w:cs="宋体"/>
                <w:spacing w:val="-2"/>
                <w:sz w:val="21"/>
                <w:szCs w:val="21"/>
              </w:rPr>
              <w:t>垂直入渗</w:t>
            </w:r>
          </w:p>
        </w:tc>
        <w:tc>
          <w:tcPr>
            <w:tcW w:w="530" w:type="pct"/>
            <w:tcBorders>
              <w:right w:val="nil"/>
            </w:tcBorders>
            <w:vAlign w:val="top"/>
          </w:tcPr>
          <w:p w14:paraId="152DE5EE">
            <w:pPr>
              <w:spacing w:before="54" w:line="216" w:lineRule="auto"/>
              <w:ind w:left="256"/>
              <w:rPr>
                <w:rFonts w:ascii="宋体" w:hAnsi="宋体" w:eastAsia="宋体" w:cs="宋体"/>
                <w:sz w:val="21"/>
                <w:szCs w:val="21"/>
              </w:rPr>
            </w:pPr>
            <w:r>
              <w:rPr>
                <w:rFonts w:ascii="宋体" w:hAnsi="宋体" w:eastAsia="宋体" w:cs="宋体"/>
                <w:spacing w:val="-2"/>
                <w:sz w:val="21"/>
                <w:szCs w:val="21"/>
              </w:rPr>
              <w:t>其他</w:t>
            </w:r>
          </w:p>
        </w:tc>
      </w:tr>
      <w:tr w14:paraId="15184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323" w:type="pct"/>
            <w:tcBorders>
              <w:left w:val="nil"/>
            </w:tcBorders>
            <w:vAlign w:val="top"/>
          </w:tcPr>
          <w:p w14:paraId="063B479B">
            <w:pPr>
              <w:spacing w:before="61" w:line="210" w:lineRule="auto"/>
              <w:ind w:left="862"/>
              <w:rPr>
                <w:rFonts w:ascii="宋体" w:hAnsi="宋体" w:eastAsia="宋体" w:cs="宋体"/>
                <w:sz w:val="21"/>
                <w:szCs w:val="21"/>
              </w:rPr>
            </w:pPr>
            <w:r>
              <w:rPr>
                <w:rFonts w:ascii="宋体" w:hAnsi="宋体" w:eastAsia="宋体" w:cs="宋体"/>
                <w:spacing w:val="-2"/>
                <w:sz w:val="21"/>
                <w:szCs w:val="21"/>
              </w:rPr>
              <w:t>建设期</w:t>
            </w:r>
          </w:p>
        </w:tc>
        <w:tc>
          <w:tcPr>
            <w:tcW w:w="3676" w:type="pct"/>
            <w:gridSpan w:val="4"/>
            <w:tcBorders>
              <w:right w:val="nil"/>
            </w:tcBorders>
            <w:vAlign w:val="top"/>
          </w:tcPr>
          <w:p w14:paraId="7295AE3A">
            <w:pPr>
              <w:spacing w:before="95" w:line="203" w:lineRule="auto"/>
              <w:rPr>
                <w:rFonts w:ascii="Times New Roman" w:hAnsi="Times New Roman" w:eastAsia="Times New Roman" w:cs="Times New Roman"/>
                <w:sz w:val="21"/>
                <w:szCs w:val="21"/>
              </w:rPr>
            </w:pPr>
            <w:r>
              <w:rPr>
                <w:rFonts w:hint="eastAsia" w:ascii="Times New Roman" w:hAnsi="Times New Roman" w:eastAsia="Times New Roman" w:cs="Times New Roman"/>
                <w:sz w:val="21"/>
                <w:szCs w:val="21"/>
                <w:lang w:val="en-US" w:eastAsia="zh-CN"/>
              </w:rPr>
              <w:t>本次改扩建项目在现有工程基础上进行改扩建，本项目建设期不新增占地，环境影响不再考虑</w:t>
            </w:r>
            <w:r>
              <w:rPr>
                <w:rFonts w:hint="eastAsia" w:eastAsia="Times New Roman" w:cs="Times New Roman"/>
                <w:sz w:val="21"/>
                <w:szCs w:val="21"/>
                <w:lang w:val="en-US" w:eastAsia="zh-CN"/>
              </w:rPr>
              <w:t>。</w:t>
            </w:r>
          </w:p>
        </w:tc>
      </w:tr>
      <w:tr w14:paraId="2340E0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323" w:type="pct"/>
            <w:tcBorders>
              <w:left w:val="nil"/>
              <w:bottom w:val="single" w:color="000000" w:sz="10" w:space="0"/>
            </w:tcBorders>
            <w:vAlign w:val="top"/>
          </w:tcPr>
          <w:p w14:paraId="75AB943D">
            <w:pPr>
              <w:spacing w:before="67" w:line="221" w:lineRule="auto"/>
              <w:ind w:left="860"/>
              <w:rPr>
                <w:rFonts w:ascii="宋体" w:hAnsi="宋体" w:eastAsia="宋体" w:cs="宋体"/>
                <w:sz w:val="21"/>
                <w:szCs w:val="21"/>
              </w:rPr>
            </w:pPr>
            <w:r>
              <w:rPr>
                <w:rFonts w:ascii="宋体" w:hAnsi="宋体" w:eastAsia="宋体" w:cs="宋体"/>
                <w:spacing w:val="-2"/>
                <w:sz w:val="21"/>
                <w:szCs w:val="21"/>
              </w:rPr>
              <w:t>运营期</w:t>
            </w:r>
          </w:p>
        </w:tc>
        <w:tc>
          <w:tcPr>
            <w:tcW w:w="1049" w:type="pct"/>
            <w:tcBorders>
              <w:bottom w:val="single" w:color="000000" w:sz="10" w:space="0"/>
            </w:tcBorders>
            <w:vAlign w:val="top"/>
          </w:tcPr>
          <w:p w14:paraId="3C5D43C2">
            <w:pPr>
              <w:spacing w:before="52"/>
              <w:ind w:left="86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48" w:type="pct"/>
            <w:tcBorders>
              <w:bottom w:val="single" w:color="000000" w:sz="10" w:space="0"/>
            </w:tcBorders>
            <w:vAlign w:val="top"/>
          </w:tcPr>
          <w:p w14:paraId="5716D90C">
            <w:pPr>
              <w:spacing w:before="102" w:line="220" w:lineRule="auto"/>
              <w:ind w:left="886"/>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048" w:type="pct"/>
            <w:tcBorders>
              <w:bottom w:val="single" w:color="000000" w:sz="10" w:space="0"/>
            </w:tcBorders>
            <w:vAlign w:val="top"/>
          </w:tcPr>
          <w:p w14:paraId="1CCAA317">
            <w:pPr>
              <w:spacing w:before="52"/>
              <w:ind w:left="865"/>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530" w:type="pct"/>
            <w:tcBorders>
              <w:bottom w:val="single" w:color="000000" w:sz="10" w:space="0"/>
              <w:right w:val="nil"/>
            </w:tcBorders>
            <w:vAlign w:val="top"/>
          </w:tcPr>
          <w:p w14:paraId="4D8B4922">
            <w:pPr>
              <w:spacing w:before="102" w:line="220" w:lineRule="auto"/>
              <w:ind w:left="427"/>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14:paraId="080927C1">
      <w:pPr>
        <w:spacing w:before="164" w:line="360" w:lineRule="auto"/>
        <w:ind w:right="161"/>
        <w:rPr>
          <w:rFonts w:hint="default" w:ascii="Times New Roman" w:hAnsi="Times New Roman" w:eastAsia="宋体" w:cs="Times New Roman"/>
          <w:spacing w:val="-4"/>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spacing w:val="-4"/>
          <w:sz w:val="24"/>
          <w:szCs w:val="24"/>
          <w:lang w:val="en-US" w:eastAsia="zh-CN"/>
        </w:rPr>
        <w:t>土壤环境影响源与影响因子识别</w:t>
      </w:r>
    </w:p>
    <w:p w14:paraId="4379F02F">
      <w:pPr>
        <w:spacing w:before="164" w:line="360" w:lineRule="auto"/>
        <w:ind w:left="183" w:right="161" w:firstLine="481"/>
        <w:rPr>
          <w:rFonts w:hint="eastAsia" w:ascii="Times New Roman" w:hAnsi="Times New Roman" w:eastAsia="宋体" w:cs="Times New Roman"/>
          <w:spacing w:val="-4"/>
          <w:sz w:val="24"/>
          <w:szCs w:val="24"/>
          <w:lang w:val="en-US" w:eastAsia="zh-CN"/>
        </w:rPr>
      </w:pPr>
      <w:r>
        <w:rPr>
          <w:rFonts w:hint="default" w:ascii="Times New Roman" w:hAnsi="Times New Roman" w:eastAsia="宋体" w:cs="Times New Roman"/>
          <w:spacing w:val="-4"/>
          <w:sz w:val="24"/>
          <w:szCs w:val="24"/>
          <w:lang w:val="en-US" w:eastAsia="zh-CN"/>
        </w:rPr>
        <w:t>本次评价根据</w:t>
      </w:r>
      <w:r>
        <w:rPr>
          <w:rFonts w:hint="eastAsia" w:ascii="Times New Roman" w:hAnsi="Times New Roman" w:eastAsia="宋体" w:cs="Times New Roman"/>
          <w:spacing w:val="-4"/>
          <w:sz w:val="24"/>
          <w:szCs w:val="24"/>
          <w:lang w:val="en-US" w:eastAsia="zh-CN"/>
        </w:rPr>
        <w:t>项目</w:t>
      </w:r>
      <w:r>
        <w:rPr>
          <w:rFonts w:hint="default" w:ascii="Times New Roman" w:hAnsi="Times New Roman" w:eastAsia="宋体" w:cs="Times New Roman"/>
          <w:spacing w:val="-4"/>
          <w:sz w:val="24"/>
          <w:szCs w:val="24"/>
          <w:lang w:val="en-US" w:eastAsia="zh-CN"/>
        </w:rPr>
        <w:t>污染特点，对土壤污染源及影响因子进行识别，识别结果见</w:t>
      </w:r>
      <w:r>
        <w:rPr>
          <w:rFonts w:hint="eastAsia" w:ascii="Times New Roman" w:hAnsi="Times New Roman" w:eastAsia="宋体" w:cs="Times New Roman"/>
          <w:spacing w:val="-4"/>
          <w:sz w:val="24"/>
          <w:szCs w:val="24"/>
          <w:lang w:val="en-US" w:eastAsia="zh-CN"/>
        </w:rPr>
        <w:t>下表。</w:t>
      </w:r>
    </w:p>
    <w:p w14:paraId="50A40ABE">
      <w:pPr>
        <w:keepNext w:val="0"/>
        <w:keepLines w:val="0"/>
        <w:widowControl/>
        <w:suppressLineNumbers w:val="0"/>
        <w:spacing w:line="360" w:lineRule="auto"/>
        <w:jc w:val="center"/>
        <w:rPr>
          <w:rFonts w:hint="default" w:ascii="Times New Roman" w:hAnsi="Times New Roman" w:cs="Times New Roman" w:eastAsiaTheme="minorEastAsia"/>
          <w:b/>
          <w:bCs/>
          <w:sz w:val="24"/>
          <w:szCs w:val="24"/>
        </w:rPr>
      </w:pPr>
      <w:r>
        <w:rPr>
          <w:rFonts w:hint="default" w:ascii="Times New Roman" w:hAnsi="Times New Roman" w:cs="Times New Roman" w:eastAsiaTheme="minorEastAsia"/>
          <w:b/>
          <w:bCs/>
          <w:color w:val="000000"/>
          <w:kern w:val="0"/>
          <w:sz w:val="24"/>
          <w:szCs w:val="24"/>
          <w:lang w:val="en-US" w:eastAsia="zh-CN" w:bidi="ar"/>
        </w:rPr>
        <w:t>表 5</w:t>
      </w:r>
      <w:r>
        <w:rPr>
          <w:rFonts w:hint="eastAsia" w:cs="Times New Roman" w:eastAsiaTheme="minorEastAsia"/>
          <w:b/>
          <w:bCs/>
          <w:color w:val="000000"/>
          <w:kern w:val="0"/>
          <w:sz w:val="24"/>
          <w:szCs w:val="24"/>
          <w:lang w:val="en-US" w:eastAsia="zh-CN" w:bidi="ar"/>
        </w:rPr>
        <w:t>.2</w:t>
      </w:r>
      <w:r>
        <w:rPr>
          <w:rFonts w:hint="default" w:ascii="Times New Roman" w:hAnsi="Times New Roman" w:cs="Times New Roman" w:eastAsiaTheme="minorEastAsia"/>
          <w:b/>
          <w:bCs/>
          <w:color w:val="000000"/>
          <w:kern w:val="0"/>
          <w:sz w:val="24"/>
          <w:szCs w:val="24"/>
          <w:lang w:val="en-US" w:eastAsia="zh-CN" w:bidi="ar"/>
        </w:rPr>
        <w:t>-</w:t>
      </w:r>
      <w:r>
        <w:rPr>
          <w:rFonts w:hint="eastAsia" w:cs="Times New Roman" w:eastAsiaTheme="minorEastAsia"/>
          <w:b/>
          <w:bCs/>
          <w:color w:val="000000"/>
          <w:kern w:val="0"/>
          <w:sz w:val="24"/>
          <w:szCs w:val="24"/>
          <w:lang w:val="en-US" w:eastAsia="zh-CN" w:bidi="ar"/>
        </w:rPr>
        <w:t>10</w:t>
      </w:r>
      <w:r>
        <w:rPr>
          <w:rFonts w:hint="default" w:ascii="Times New Roman" w:hAnsi="Times New Roman" w:cs="Times New Roman" w:eastAsiaTheme="minorEastAsia"/>
          <w:b/>
          <w:bCs/>
          <w:color w:val="000000"/>
          <w:kern w:val="0"/>
          <w:sz w:val="24"/>
          <w:szCs w:val="24"/>
          <w:lang w:val="en-US" w:eastAsia="zh-CN" w:bidi="ar"/>
        </w:rPr>
        <w:t xml:space="preserve"> 土壤环境影响途径及因子识别表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1197"/>
        <w:gridCol w:w="2389"/>
        <w:gridCol w:w="2273"/>
        <w:gridCol w:w="1117"/>
      </w:tblGrid>
      <w:tr w14:paraId="2DAE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vAlign w:val="center"/>
          </w:tcPr>
          <w:p w14:paraId="7079E7DE">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污染源</w:t>
            </w:r>
          </w:p>
        </w:tc>
        <w:tc>
          <w:tcPr>
            <w:tcW w:w="1197" w:type="dxa"/>
            <w:vAlign w:val="center"/>
          </w:tcPr>
          <w:p w14:paraId="6E9D73BC">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污染途径</w:t>
            </w:r>
          </w:p>
        </w:tc>
        <w:tc>
          <w:tcPr>
            <w:tcW w:w="2389" w:type="dxa"/>
            <w:vAlign w:val="center"/>
          </w:tcPr>
          <w:p w14:paraId="06FAE901">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全部污染物指标</w:t>
            </w:r>
          </w:p>
        </w:tc>
        <w:tc>
          <w:tcPr>
            <w:tcW w:w="2273" w:type="dxa"/>
            <w:vAlign w:val="center"/>
          </w:tcPr>
          <w:p w14:paraId="5394F851">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特征因子</w:t>
            </w:r>
          </w:p>
        </w:tc>
        <w:tc>
          <w:tcPr>
            <w:tcW w:w="1117" w:type="dxa"/>
            <w:vAlign w:val="center"/>
          </w:tcPr>
          <w:p w14:paraId="0A23D0AF">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备注</w:t>
            </w:r>
          </w:p>
        </w:tc>
      </w:tr>
      <w:tr w14:paraId="2BCB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4" w:type="dxa"/>
            <w:vAlign w:val="center"/>
          </w:tcPr>
          <w:p w14:paraId="55160FE6">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cs="Times New Roman"/>
                <w:spacing w:val="-4"/>
                <w:sz w:val="21"/>
                <w:szCs w:val="21"/>
                <w:vertAlign w:val="baseline"/>
                <w:lang w:val="en-US" w:eastAsia="zh-CN"/>
              </w:rPr>
              <w:t>破碎区、</w:t>
            </w:r>
            <w:r>
              <w:rPr>
                <w:rFonts w:hint="eastAsia" w:ascii="Times New Roman" w:hAnsi="Times New Roman" w:eastAsia="宋体" w:cs="Times New Roman"/>
                <w:spacing w:val="-4"/>
                <w:sz w:val="21"/>
                <w:szCs w:val="21"/>
                <w:vertAlign w:val="baseline"/>
                <w:lang w:val="en-US" w:eastAsia="zh-CN"/>
              </w:rPr>
              <w:t>选矿车间</w:t>
            </w:r>
          </w:p>
        </w:tc>
        <w:tc>
          <w:tcPr>
            <w:tcW w:w="1197" w:type="dxa"/>
            <w:vAlign w:val="center"/>
          </w:tcPr>
          <w:p w14:paraId="40CA877C">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大气沉降</w:t>
            </w:r>
          </w:p>
        </w:tc>
        <w:tc>
          <w:tcPr>
            <w:tcW w:w="2389" w:type="dxa"/>
            <w:vAlign w:val="center"/>
          </w:tcPr>
          <w:p w14:paraId="3CB3BCDC">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default" w:ascii="Times New Roman" w:hAnsi="Times New Roman" w:eastAsia="宋体" w:cs="Times New Roman"/>
                <w:spacing w:val="-4"/>
                <w:sz w:val="21"/>
                <w:szCs w:val="21"/>
                <w:vertAlign w:val="baseline"/>
                <w:lang w:val="en-US" w:eastAsia="zh-CN"/>
              </w:rPr>
              <w:t>TSP(含镉、汞、砷、铅、六价铬、铜、镍、锌)</w:t>
            </w:r>
          </w:p>
        </w:tc>
        <w:tc>
          <w:tcPr>
            <w:tcW w:w="2273" w:type="dxa"/>
            <w:vAlign w:val="center"/>
          </w:tcPr>
          <w:p w14:paraId="34485BB3">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default" w:ascii="Times New Roman" w:hAnsi="Times New Roman" w:eastAsia="宋体" w:cs="Times New Roman"/>
                <w:spacing w:val="-4"/>
                <w:sz w:val="21"/>
                <w:szCs w:val="21"/>
                <w:vertAlign w:val="baseline"/>
                <w:lang w:val="en-US" w:eastAsia="zh-CN"/>
              </w:rPr>
              <w:t>镉、汞、砷、铅、六价铬、铜、镍、锌</w:t>
            </w:r>
          </w:p>
        </w:tc>
        <w:tc>
          <w:tcPr>
            <w:tcW w:w="1117" w:type="dxa"/>
            <w:vAlign w:val="center"/>
          </w:tcPr>
          <w:p w14:paraId="7B24F644">
            <w:pPr>
              <w:keepNext w:val="0"/>
              <w:keepLines w:val="0"/>
              <w:pageBreakBefore w:val="0"/>
              <w:widowControl w:val="0"/>
              <w:kinsoku/>
              <w:wordWrap/>
              <w:overflowPunct/>
              <w:topLinePunct w:val="0"/>
              <w:autoSpaceDE/>
              <w:autoSpaceDN/>
              <w:bidi w:val="0"/>
              <w:adjustRightInd/>
              <w:snapToGrid/>
              <w:spacing w:line="360" w:lineRule="auto"/>
              <w:ind w:right="159"/>
              <w:jc w:val="center"/>
              <w:textAlignment w:val="auto"/>
              <w:rPr>
                <w:rFonts w:hint="default" w:ascii="Times New Roman" w:hAnsi="Times New Roman" w:eastAsia="宋体" w:cs="Times New Roman"/>
                <w:spacing w:val="-4"/>
                <w:sz w:val="21"/>
                <w:szCs w:val="21"/>
                <w:vertAlign w:val="baseline"/>
                <w:lang w:val="en-US" w:eastAsia="zh-CN"/>
              </w:rPr>
            </w:pPr>
            <w:r>
              <w:rPr>
                <w:rFonts w:hint="eastAsia" w:ascii="Times New Roman" w:hAnsi="Times New Roman" w:eastAsia="宋体" w:cs="Times New Roman"/>
                <w:spacing w:val="-4"/>
                <w:sz w:val="21"/>
                <w:szCs w:val="21"/>
                <w:vertAlign w:val="baseline"/>
                <w:lang w:val="en-US" w:eastAsia="zh-CN"/>
              </w:rPr>
              <w:t>连续</w:t>
            </w:r>
          </w:p>
        </w:tc>
      </w:tr>
    </w:tbl>
    <w:p w14:paraId="61E4E688">
      <w:pPr>
        <w:pStyle w:val="50"/>
        <w:rPr>
          <w:rFonts w:hint="eastAsia"/>
          <w:lang w:val="en-US" w:eastAsia="zh-CN"/>
        </w:rPr>
      </w:pPr>
    </w:p>
    <w:p w14:paraId="4057277E">
      <w:pPr>
        <w:spacing w:line="360" w:lineRule="auto"/>
        <w:rPr>
          <w:rFonts w:hint="eastAsia"/>
          <w:b/>
          <w:bCs/>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.1</w:t>
      </w:r>
      <w:r>
        <w:rPr>
          <w:rFonts w:hint="eastAsia"/>
          <w:b/>
          <w:bCs/>
          <w:sz w:val="24"/>
          <w:szCs w:val="24"/>
          <w:lang w:val="en-US" w:eastAsia="zh-CN"/>
        </w:rPr>
        <w:t>土壤污染影响预测与评价</w:t>
      </w:r>
    </w:p>
    <w:p w14:paraId="16DEC11B">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本项目主要污染源为</w:t>
      </w:r>
      <w:r>
        <w:rPr>
          <w:rFonts w:hint="eastAsia" w:ascii="宋体" w:hAnsi="宋体" w:cs="宋体"/>
          <w:color w:val="000000"/>
          <w:kern w:val="0"/>
          <w:sz w:val="24"/>
          <w:szCs w:val="24"/>
          <w:lang w:val="en-US" w:eastAsia="zh-CN" w:bidi="ar"/>
        </w:rPr>
        <w:t>破碎区和</w:t>
      </w:r>
      <w:r>
        <w:rPr>
          <w:rFonts w:hint="eastAsia" w:ascii="宋体" w:hAnsi="宋体" w:eastAsia="宋体" w:cs="宋体"/>
          <w:color w:val="000000"/>
          <w:kern w:val="0"/>
          <w:sz w:val="24"/>
          <w:szCs w:val="24"/>
          <w:lang w:val="en-US" w:eastAsia="zh-CN" w:bidi="ar"/>
        </w:rPr>
        <w:t>选矿车间。</w:t>
      </w:r>
    </w:p>
    <w:p w14:paraId="129596D4">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企业设置的危废贮存点已按照</w:t>
      </w:r>
      <w:r>
        <w:rPr>
          <w:rFonts w:hint="default" w:ascii="Times New Roman" w:hAnsi="Times New Roman" w:eastAsia="宋体" w:cs="Times New Roman"/>
          <w:color w:val="000000"/>
          <w:kern w:val="0"/>
          <w:sz w:val="24"/>
          <w:szCs w:val="24"/>
          <w:lang w:val="en-US" w:eastAsia="zh-CN" w:bidi="ar"/>
        </w:rPr>
        <w:t>GB18597</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GB18598</w:t>
      </w:r>
      <w:r>
        <w:rPr>
          <w:rFonts w:hint="eastAsia" w:ascii="宋体" w:hAnsi="宋体" w:eastAsia="宋体" w:cs="宋体"/>
          <w:color w:val="000000"/>
          <w:kern w:val="0"/>
          <w:sz w:val="24"/>
          <w:szCs w:val="24"/>
          <w:lang w:val="en-US" w:eastAsia="zh-CN" w:bidi="ar"/>
        </w:rPr>
        <w:t>的建设标准要求进行建设，采取了基础防渗、留设堵截泄漏的裙角等一系列措施，危险废物定期交由有资质单位处理；同时加强危废暂存间管理、巡检措施，一般情况下不会发生泄漏事件，即使个别储存容器发生破裂，采取及时堵漏收集措施，也不会泄露厂区外环境，不至于下渗进入土壤环境，基本不会对土壤环境产生污染影响。</w:t>
      </w:r>
    </w:p>
    <w:p w14:paraId="10798C16">
      <w:pPr>
        <w:keepNext w:val="0"/>
        <w:keepLines w:val="0"/>
        <w:pageBreakBefore w:val="0"/>
        <w:widowControl/>
        <w:suppressLineNumbers w:val="0"/>
        <w:kinsoku/>
        <w:wordWrap/>
        <w:overflowPunct/>
        <w:topLinePunct w:val="0"/>
        <w:autoSpaceDE/>
        <w:autoSpaceDN/>
        <w:bidi w:val="0"/>
        <w:adjustRightInd/>
        <w:snapToGrid/>
        <w:spacing w:line="360" w:lineRule="auto"/>
        <w:ind w:left="0" w:right="0" w:firstLine="480" w:firstLineChars="200"/>
        <w:jc w:val="left"/>
        <w:textAlignment w:val="auto"/>
        <w:rPr>
          <w:rFonts w:hint="eastAsia"/>
          <w:sz w:val="24"/>
          <w:szCs w:val="24"/>
          <w:lang w:val="en-US" w:eastAsia="zh-CN"/>
        </w:rPr>
      </w:pPr>
      <w:r>
        <w:rPr>
          <w:rFonts w:hint="eastAsia" w:ascii="宋体" w:hAnsi="宋体" w:eastAsia="宋体" w:cs="宋体"/>
          <w:color w:val="000000"/>
          <w:kern w:val="0"/>
          <w:sz w:val="24"/>
          <w:szCs w:val="24"/>
          <w:lang w:val="en-US" w:eastAsia="zh-CN" w:bidi="ar"/>
        </w:rPr>
        <w:t>循环水池等各池体建设时评价要求采取防渗措施，严防出现防范跑冒滴漏现象，项目废水不会通过垂直下渗途径对周围土壤环境产生污染影响。本次评价主要分析</w:t>
      </w:r>
      <w:r>
        <w:rPr>
          <w:rFonts w:hint="eastAsia" w:ascii="宋体" w:hAnsi="宋体" w:cs="宋体"/>
          <w:color w:val="000000"/>
          <w:kern w:val="0"/>
          <w:sz w:val="24"/>
          <w:szCs w:val="24"/>
          <w:lang w:val="en-US" w:eastAsia="zh-CN" w:bidi="ar"/>
        </w:rPr>
        <w:t>破碎和球磨过程中产生的含重金属粉尘</w:t>
      </w:r>
      <w:r>
        <w:rPr>
          <w:rFonts w:hint="eastAsia" w:ascii="宋体" w:hAnsi="宋体" w:eastAsia="宋体" w:cs="宋体"/>
          <w:color w:val="000000"/>
          <w:kern w:val="0"/>
          <w:sz w:val="24"/>
          <w:szCs w:val="24"/>
          <w:lang w:val="en-US" w:eastAsia="zh-CN" w:bidi="ar"/>
        </w:rPr>
        <w:t>沉降对土壤环境的影响。</w:t>
      </w:r>
    </w:p>
    <w:p w14:paraId="5AF8A63C">
      <w:pPr>
        <w:pStyle w:val="31"/>
        <w:keepNext w:val="0"/>
        <w:keepLines w:val="0"/>
        <w:pageBreakBefore w:val="0"/>
        <w:kinsoku/>
        <w:wordWrap/>
        <w:overflowPunct/>
        <w:topLinePunct w:val="0"/>
        <w:autoSpaceDE/>
        <w:autoSpaceDN/>
        <w:bidi w:val="0"/>
        <w:adjustRightInd/>
        <w:snapToGrid/>
        <w:spacing w:after="0" w:line="360" w:lineRule="auto"/>
        <w:ind w:left="0" w:right="0" w:firstLine="481"/>
        <w:jc w:val="left"/>
        <w:textAlignment w:val="auto"/>
        <w:rPr>
          <w:rFonts w:ascii="宋体" w:hAnsi="宋体" w:eastAsia="宋体" w:cs="宋体"/>
          <w:sz w:val="24"/>
          <w:szCs w:val="24"/>
        </w:rPr>
      </w:pPr>
      <w:r>
        <w:rPr>
          <w:rFonts w:ascii="宋体" w:hAnsi="宋体" w:eastAsia="宋体" w:cs="宋体"/>
          <w:spacing w:val="-5"/>
          <w:sz w:val="24"/>
          <w:szCs w:val="24"/>
        </w:rPr>
        <w:t>大气沉降对土壤造成影响的</w:t>
      </w:r>
      <w:r>
        <w:rPr>
          <w:rFonts w:ascii="宋体" w:hAnsi="宋体" w:eastAsia="宋体" w:cs="宋体"/>
          <w:spacing w:val="-6"/>
          <w:sz w:val="24"/>
          <w:szCs w:val="24"/>
        </w:rPr>
        <w:t>主要污染物为铅、锌、铬、镉、砷、镍、钴，本项目</w:t>
      </w:r>
      <w:r>
        <w:rPr>
          <w:rFonts w:hint="eastAsia" w:ascii="宋体" w:hAnsi="宋体" w:eastAsia="宋体" w:cs="宋体"/>
          <w:spacing w:val="-6"/>
          <w:sz w:val="24"/>
          <w:szCs w:val="24"/>
          <w:lang w:val="en-US" w:eastAsia="zh-CN"/>
        </w:rPr>
        <w:t>生产过程中粉尘</w:t>
      </w:r>
      <w:r>
        <w:rPr>
          <w:rFonts w:ascii="宋体" w:hAnsi="宋体" w:eastAsia="宋体" w:cs="宋体"/>
          <w:spacing w:val="-6"/>
          <w:sz w:val="24"/>
          <w:szCs w:val="24"/>
        </w:rPr>
        <w:t>总排放量为</w:t>
      </w:r>
      <w:r>
        <w:rPr>
          <w:rFonts w:ascii="宋体" w:hAnsi="宋体" w:eastAsia="宋体" w:cs="宋体"/>
          <w:spacing w:val="-31"/>
          <w:sz w:val="24"/>
          <w:szCs w:val="24"/>
        </w:rPr>
        <w:t xml:space="preserve"> </w:t>
      </w:r>
      <w:r>
        <w:rPr>
          <w:spacing w:val="-6"/>
          <w:sz w:val="24"/>
          <w:szCs w:val="24"/>
        </w:rPr>
        <w:t>1.465t/a</w:t>
      </w:r>
      <w:r>
        <w:rPr>
          <w:rFonts w:ascii="宋体" w:hAnsi="宋体" w:eastAsia="宋体" w:cs="宋体"/>
          <w:spacing w:val="-6"/>
          <w:sz w:val="24"/>
          <w:szCs w:val="24"/>
        </w:rPr>
        <w:t>，</w:t>
      </w:r>
      <w:r>
        <w:rPr>
          <w:rFonts w:hint="eastAsia" w:ascii="宋体" w:hAnsi="宋体" w:eastAsia="宋体" w:cs="宋体"/>
          <w:spacing w:val="-6"/>
          <w:sz w:val="24"/>
          <w:szCs w:val="24"/>
          <w:lang w:val="en-US" w:eastAsia="zh-CN"/>
        </w:rPr>
        <w:t>按最不利情况考虑，</w:t>
      </w:r>
      <w:r>
        <w:rPr>
          <w:rFonts w:ascii="宋体" w:hAnsi="宋体" w:eastAsia="宋体" w:cs="宋体"/>
          <w:spacing w:val="-6"/>
          <w:sz w:val="24"/>
          <w:szCs w:val="24"/>
        </w:rPr>
        <w:t>排放污染物全部</w:t>
      </w:r>
      <w:r>
        <w:rPr>
          <w:rFonts w:ascii="宋体" w:hAnsi="宋体" w:eastAsia="宋体" w:cs="宋体"/>
          <w:sz w:val="24"/>
          <w:szCs w:val="24"/>
        </w:rPr>
        <w:t>排放在评价区区域，不考虑淋溶排出（</w:t>
      </w:r>
      <w:r>
        <w:rPr>
          <w:sz w:val="24"/>
          <w:szCs w:val="24"/>
        </w:rPr>
        <w:t>Ls=0</w:t>
      </w:r>
      <w:r>
        <w:rPr>
          <w:rFonts w:ascii="宋体" w:hAnsi="宋体" w:eastAsia="宋体" w:cs="宋体"/>
          <w:spacing w:val="-1"/>
          <w:sz w:val="24"/>
          <w:szCs w:val="24"/>
        </w:rPr>
        <w:t>）</w:t>
      </w:r>
      <w:r>
        <w:rPr>
          <w:rFonts w:ascii="宋体" w:hAnsi="宋体" w:eastAsia="宋体" w:cs="宋体"/>
          <w:sz w:val="24"/>
          <w:szCs w:val="24"/>
        </w:rPr>
        <w:t>及径流排出（</w:t>
      </w:r>
      <w:r>
        <w:rPr>
          <w:sz w:val="24"/>
          <w:szCs w:val="24"/>
        </w:rPr>
        <w:t>Rs=0</w:t>
      </w:r>
      <w:r>
        <w:rPr>
          <w:rFonts w:ascii="宋体" w:hAnsi="宋体" w:eastAsia="宋体" w:cs="宋体"/>
          <w:spacing w:val="-1"/>
          <w:sz w:val="24"/>
          <w:szCs w:val="24"/>
        </w:rPr>
        <w:t>）</w:t>
      </w:r>
      <w:r>
        <w:rPr>
          <w:rFonts w:hint="eastAsia" w:ascii="宋体" w:hAnsi="宋体" w:eastAsia="宋体" w:cs="宋体"/>
          <w:spacing w:val="-1"/>
          <w:sz w:val="24"/>
          <w:szCs w:val="24"/>
          <w:lang w:eastAsia="zh-CN"/>
        </w:rPr>
        <w:t>，</w:t>
      </w:r>
      <w:r>
        <w:rPr>
          <w:rFonts w:ascii="宋体" w:hAnsi="宋体" w:eastAsia="宋体" w:cs="宋体"/>
          <w:spacing w:val="-1"/>
          <w:sz w:val="24"/>
          <w:szCs w:val="24"/>
        </w:rPr>
        <w:t>评价区域土表层土壤中污染物预测因子源强</w:t>
      </w:r>
      <w:r>
        <w:rPr>
          <w:rFonts w:ascii="宋体" w:hAnsi="宋体" w:eastAsia="宋体" w:cs="宋体"/>
          <w:spacing w:val="-51"/>
          <w:sz w:val="24"/>
          <w:szCs w:val="24"/>
        </w:rPr>
        <w:t xml:space="preserve"> </w:t>
      </w:r>
      <w:r>
        <w:rPr>
          <w:spacing w:val="-1"/>
          <w:sz w:val="24"/>
          <w:szCs w:val="24"/>
        </w:rPr>
        <w:t xml:space="preserve">Pb </w:t>
      </w:r>
      <w:r>
        <w:rPr>
          <w:rFonts w:ascii="宋体" w:hAnsi="宋体" w:eastAsia="宋体" w:cs="宋体"/>
          <w:spacing w:val="-1"/>
          <w:sz w:val="24"/>
          <w:szCs w:val="24"/>
        </w:rPr>
        <w:t>增量（</w:t>
      </w:r>
      <w:r>
        <w:rPr>
          <w:spacing w:val="-1"/>
          <w:sz w:val="24"/>
          <w:szCs w:val="24"/>
        </w:rPr>
        <w:t>Is</w:t>
      </w:r>
      <w:r>
        <w:rPr>
          <w:rFonts w:ascii="宋体" w:hAnsi="宋体" w:eastAsia="宋体" w:cs="宋体"/>
          <w:spacing w:val="-1"/>
          <w:sz w:val="24"/>
          <w:szCs w:val="24"/>
        </w:rPr>
        <w:t>）见</w:t>
      </w:r>
      <w:r>
        <w:rPr>
          <w:rFonts w:hint="eastAsia" w:ascii="宋体" w:hAnsi="宋体" w:eastAsia="宋体" w:cs="宋体"/>
          <w:spacing w:val="-1"/>
          <w:sz w:val="24"/>
          <w:szCs w:val="24"/>
          <w:lang w:val="en-US" w:eastAsia="zh-CN"/>
        </w:rPr>
        <w:t>下表</w:t>
      </w:r>
      <w:r>
        <w:rPr>
          <w:rFonts w:ascii="宋体" w:hAnsi="宋体" w:eastAsia="宋体" w:cs="宋体"/>
          <w:spacing w:val="-1"/>
          <w:sz w:val="24"/>
          <w:szCs w:val="24"/>
        </w:rPr>
        <w:t>。</w:t>
      </w:r>
    </w:p>
    <w:p w14:paraId="0A903641">
      <w:pPr>
        <w:pStyle w:val="31"/>
        <w:spacing w:before="1" w:line="229" w:lineRule="auto"/>
        <w:ind w:left="163" w:firstLine="2168" w:firstLineChars="900"/>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spacing w:val="-44"/>
          <w:sz w:val="24"/>
          <w:szCs w:val="24"/>
        </w:rPr>
        <w:t xml:space="preserve"> </w:t>
      </w:r>
      <w:r>
        <w:rPr>
          <w:rFonts w:hint="eastAsia"/>
          <w:b/>
          <w:bCs/>
          <w:sz w:val="24"/>
          <w:szCs w:val="24"/>
          <w:lang w:val="en-US" w:eastAsia="zh-CN"/>
        </w:rPr>
        <w:t>5</w:t>
      </w:r>
      <w:r>
        <w:rPr>
          <w:b/>
          <w:bCs/>
          <w:sz w:val="24"/>
          <w:szCs w:val="24"/>
        </w:rPr>
        <w:t>.2-</w:t>
      </w:r>
      <w:r>
        <w:rPr>
          <w:rFonts w:hint="eastAsia"/>
          <w:b/>
          <w:bCs/>
          <w:sz w:val="24"/>
          <w:szCs w:val="24"/>
          <w:lang w:val="en-US" w:eastAsia="zh-CN"/>
        </w:rPr>
        <w:t>11</w:t>
      </w:r>
      <w:r>
        <w:rPr>
          <w:b/>
          <w:bCs/>
          <w:sz w:val="24"/>
          <w:szCs w:val="24"/>
        </w:rPr>
        <w:t xml:space="preserve">     </w:t>
      </w:r>
      <w:r>
        <w:rPr>
          <w:b/>
          <w:bCs/>
          <w:spacing w:val="-1"/>
          <w:sz w:val="24"/>
          <w:szCs w:val="24"/>
        </w:rPr>
        <w:t xml:space="preserve"> </w:t>
      </w:r>
      <w:r>
        <w:rPr>
          <w:rFonts w:ascii="宋体" w:hAnsi="宋体" w:eastAsia="宋体" w:cs="宋体"/>
          <w:b/>
          <w:bCs/>
          <w:spacing w:val="-1"/>
          <w:sz w:val="24"/>
          <w:szCs w:val="24"/>
        </w:rPr>
        <w:t>预测因子源强</w:t>
      </w:r>
    </w:p>
    <w:tbl>
      <w:tblPr>
        <w:tblStyle w:val="29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3026"/>
        <w:gridCol w:w="3106"/>
        <w:gridCol w:w="3104"/>
      </w:tblGrid>
      <w:tr w14:paraId="37FE54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jc w:val="center"/>
        </w:trPr>
        <w:tc>
          <w:tcPr>
            <w:tcW w:w="1638" w:type="pct"/>
            <w:tcBorders>
              <w:top w:val="single" w:color="000000" w:sz="10" w:space="0"/>
              <w:left w:val="nil"/>
            </w:tcBorders>
            <w:vAlign w:val="center"/>
          </w:tcPr>
          <w:p w14:paraId="785EA0DB">
            <w:pPr>
              <w:keepNext w:val="0"/>
              <w:keepLines w:val="0"/>
              <w:pageBreakBefore w:val="0"/>
              <w:widowControl w:val="0"/>
              <w:kinsoku/>
              <w:wordWrap/>
              <w:overflowPunct/>
              <w:topLinePunct w:val="0"/>
              <w:autoSpaceDE/>
              <w:autoSpaceDN/>
              <w:bidi w:val="0"/>
              <w:adjustRightInd/>
              <w:snapToGrid/>
              <w:spacing w:before="66" w:line="221" w:lineRule="auto"/>
              <w:ind w:left="0"/>
              <w:jc w:val="center"/>
              <w:textAlignment w:val="auto"/>
              <w:rPr>
                <w:rFonts w:ascii="宋体" w:hAnsi="宋体" w:eastAsia="宋体" w:cs="宋体"/>
                <w:sz w:val="21"/>
                <w:szCs w:val="21"/>
              </w:rPr>
            </w:pPr>
            <w:r>
              <w:rPr>
                <w:rFonts w:ascii="宋体" w:hAnsi="宋体" w:eastAsia="宋体" w:cs="宋体"/>
                <w:spacing w:val="-2"/>
                <w:sz w:val="21"/>
                <w:szCs w:val="21"/>
              </w:rPr>
              <w:t>预测参数</w:t>
            </w:r>
          </w:p>
        </w:tc>
        <w:tc>
          <w:tcPr>
            <w:tcW w:w="1681" w:type="pct"/>
            <w:tcBorders>
              <w:top w:val="single" w:color="000000" w:sz="10" w:space="0"/>
            </w:tcBorders>
            <w:vAlign w:val="center"/>
          </w:tcPr>
          <w:p w14:paraId="551AB5B4">
            <w:pPr>
              <w:keepNext w:val="0"/>
              <w:keepLines w:val="0"/>
              <w:pageBreakBefore w:val="0"/>
              <w:widowControl w:val="0"/>
              <w:kinsoku/>
              <w:wordWrap/>
              <w:overflowPunct/>
              <w:topLinePunct w:val="0"/>
              <w:autoSpaceDE/>
              <w:autoSpaceDN/>
              <w:bidi w:val="0"/>
              <w:adjustRightInd/>
              <w:snapToGrid/>
              <w:spacing w:before="66" w:line="221" w:lineRule="auto"/>
              <w:ind w:left="0"/>
              <w:jc w:val="center"/>
              <w:textAlignment w:val="auto"/>
              <w:rPr>
                <w:rFonts w:hint="default" w:ascii="宋体" w:hAnsi="宋体" w:eastAsia="宋体" w:cs="宋体"/>
                <w:sz w:val="21"/>
                <w:szCs w:val="21"/>
                <w:highlight w:val="none"/>
                <w:lang w:val="en-US" w:eastAsia="zh-CN"/>
              </w:rPr>
            </w:pPr>
            <w:r>
              <w:rPr>
                <w:rFonts w:ascii="宋体" w:hAnsi="宋体" w:eastAsia="宋体" w:cs="宋体"/>
                <w:spacing w:val="-2"/>
                <w:sz w:val="21"/>
                <w:szCs w:val="21"/>
                <w:highlight w:val="none"/>
              </w:rPr>
              <w:t>含量</w:t>
            </w:r>
          </w:p>
        </w:tc>
        <w:tc>
          <w:tcPr>
            <w:tcW w:w="1680" w:type="pct"/>
            <w:tcBorders>
              <w:top w:val="single" w:color="000000" w:sz="10" w:space="0"/>
              <w:right w:val="nil"/>
            </w:tcBorders>
            <w:vAlign w:val="center"/>
          </w:tcPr>
          <w:p w14:paraId="1F7C3E79">
            <w:pPr>
              <w:keepNext w:val="0"/>
              <w:keepLines w:val="0"/>
              <w:pageBreakBefore w:val="0"/>
              <w:widowControl w:val="0"/>
              <w:kinsoku/>
              <w:wordWrap/>
              <w:overflowPunct/>
              <w:topLinePunct w:val="0"/>
              <w:autoSpaceDE/>
              <w:autoSpaceDN/>
              <w:bidi w:val="0"/>
              <w:adjustRightInd/>
              <w:snapToGrid/>
              <w:spacing w:before="58" w:line="213" w:lineRule="auto"/>
              <w:ind w:left="0"/>
              <w:jc w:val="center"/>
              <w:textAlignment w:val="auto"/>
              <w:rPr>
                <w:rFonts w:ascii="宋体" w:hAnsi="宋体" w:eastAsia="宋体" w:cs="宋体"/>
                <w:sz w:val="21"/>
                <w:szCs w:val="21"/>
              </w:rPr>
            </w:pPr>
            <w:r>
              <w:rPr>
                <w:rFonts w:ascii="Times New Roman" w:hAnsi="Times New Roman" w:eastAsia="Times New Roman" w:cs="Times New Roman"/>
                <w:spacing w:val="-1"/>
                <w:sz w:val="21"/>
                <w:szCs w:val="21"/>
              </w:rPr>
              <w:t>Is</w:t>
            </w:r>
            <w:r>
              <w:rPr>
                <w:rFonts w:ascii="宋体" w:hAnsi="宋体" w:eastAsia="宋体" w:cs="宋体"/>
                <w:spacing w:val="-1"/>
                <w:sz w:val="21"/>
                <w:szCs w:val="21"/>
              </w:rPr>
              <w:t>（</w:t>
            </w:r>
            <w:r>
              <w:rPr>
                <w:rFonts w:ascii="Times New Roman" w:hAnsi="Times New Roman" w:eastAsia="Times New Roman" w:cs="Times New Roman"/>
                <w:spacing w:val="-1"/>
                <w:sz w:val="21"/>
                <w:szCs w:val="21"/>
              </w:rPr>
              <w:t>g/a</w:t>
            </w:r>
            <w:r>
              <w:rPr>
                <w:rFonts w:ascii="宋体" w:hAnsi="宋体" w:eastAsia="宋体" w:cs="宋体"/>
                <w:spacing w:val="-1"/>
                <w:sz w:val="21"/>
                <w:szCs w:val="21"/>
              </w:rPr>
              <w:t>）</w:t>
            </w:r>
          </w:p>
        </w:tc>
      </w:tr>
      <w:tr w14:paraId="39695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638" w:type="pct"/>
            <w:tcBorders>
              <w:left w:val="nil"/>
            </w:tcBorders>
            <w:vAlign w:val="center"/>
          </w:tcPr>
          <w:p w14:paraId="2760AE9A">
            <w:pPr>
              <w:keepNext w:val="0"/>
              <w:keepLines w:val="0"/>
              <w:pageBreakBefore w:val="0"/>
              <w:widowControl w:val="0"/>
              <w:kinsoku/>
              <w:wordWrap/>
              <w:overflowPunct/>
              <w:topLinePunct w:val="0"/>
              <w:autoSpaceDE/>
              <w:autoSpaceDN/>
              <w:bidi w:val="0"/>
              <w:adjustRightInd/>
              <w:snapToGrid/>
              <w:spacing w:before="61" w:line="225" w:lineRule="auto"/>
              <w:ind w:left="0"/>
              <w:jc w:val="center"/>
              <w:textAlignment w:val="auto"/>
              <w:rPr>
                <w:rFonts w:ascii="宋体" w:hAnsi="宋体" w:eastAsia="宋体" w:cs="宋体"/>
                <w:sz w:val="21"/>
                <w:szCs w:val="21"/>
              </w:rPr>
            </w:pPr>
            <w:r>
              <w:rPr>
                <w:rFonts w:ascii="宋体" w:hAnsi="宋体" w:eastAsia="宋体" w:cs="宋体"/>
                <w:sz w:val="21"/>
                <w:szCs w:val="21"/>
              </w:rPr>
              <w:t>铅</w:t>
            </w:r>
          </w:p>
        </w:tc>
        <w:tc>
          <w:tcPr>
            <w:tcW w:w="1681" w:type="pct"/>
            <w:vAlign w:val="center"/>
          </w:tcPr>
          <w:p w14:paraId="3993B724">
            <w:pPr>
              <w:keepNext w:val="0"/>
              <w:keepLines w:val="0"/>
              <w:pageBreakBefore w:val="0"/>
              <w:widowControl w:val="0"/>
              <w:kinsoku/>
              <w:wordWrap/>
              <w:overflowPunct/>
              <w:topLinePunct w:val="0"/>
              <w:autoSpaceDE/>
              <w:autoSpaceDN/>
              <w:bidi w:val="0"/>
              <w:adjustRightInd/>
              <w:snapToGrid/>
              <w:spacing w:before="96" w:line="224"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0.000026</w:t>
            </w:r>
          </w:p>
        </w:tc>
        <w:tc>
          <w:tcPr>
            <w:tcW w:w="1680" w:type="pct"/>
            <w:tcBorders>
              <w:right w:val="nil"/>
            </w:tcBorders>
            <w:vAlign w:val="center"/>
          </w:tcPr>
          <w:p w14:paraId="6883B430">
            <w:pPr>
              <w:keepNext w:val="0"/>
              <w:keepLines w:val="0"/>
              <w:pageBreakBefore w:val="0"/>
              <w:widowControl w:val="0"/>
              <w:kinsoku/>
              <w:wordWrap/>
              <w:overflowPunct/>
              <w:topLinePunct w:val="0"/>
              <w:autoSpaceDE/>
              <w:autoSpaceDN/>
              <w:bidi w:val="0"/>
              <w:adjustRightInd/>
              <w:snapToGrid/>
              <w:spacing w:before="96" w:line="224"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38.09</w:t>
            </w:r>
          </w:p>
        </w:tc>
      </w:tr>
      <w:tr w14:paraId="1E8A6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638" w:type="pct"/>
            <w:tcBorders>
              <w:left w:val="nil"/>
            </w:tcBorders>
            <w:vAlign w:val="center"/>
          </w:tcPr>
          <w:p w14:paraId="7D9562D4">
            <w:pPr>
              <w:keepNext w:val="0"/>
              <w:keepLines w:val="0"/>
              <w:pageBreakBefore w:val="0"/>
              <w:widowControl w:val="0"/>
              <w:kinsoku/>
              <w:wordWrap/>
              <w:overflowPunct/>
              <w:topLinePunct w:val="0"/>
              <w:autoSpaceDE/>
              <w:autoSpaceDN/>
              <w:bidi w:val="0"/>
              <w:adjustRightInd/>
              <w:snapToGrid/>
              <w:spacing w:before="65" w:line="221" w:lineRule="auto"/>
              <w:ind w:left="0"/>
              <w:jc w:val="center"/>
              <w:textAlignment w:val="auto"/>
              <w:rPr>
                <w:rFonts w:ascii="宋体" w:hAnsi="宋体" w:eastAsia="宋体" w:cs="宋体"/>
                <w:sz w:val="21"/>
                <w:szCs w:val="21"/>
              </w:rPr>
            </w:pPr>
            <w:r>
              <w:rPr>
                <w:rFonts w:ascii="宋体" w:hAnsi="宋体" w:eastAsia="宋体" w:cs="宋体"/>
                <w:sz w:val="21"/>
                <w:szCs w:val="21"/>
              </w:rPr>
              <w:t>锌</w:t>
            </w:r>
          </w:p>
        </w:tc>
        <w:tc>
          <w:tcPr>
            <w:tcW w:w="1681" w:type="pct"/>
            <w:vAlign w:val="center"/>
          </w:tcPr>
          <w:p w14:paraId="709F9B95">
            <w:pPr>
              <w:keepNext w:val="0"/>
              <w:keepLines w:val="0"/>
              <w:pageBreakBefore w:val="0"/>
              <w:widowControl w:val="0"/>
              <w:kinsoku/>
              <w:wordWrap/>
              <w:overflowPunct/>
              <w:topLinePunct w:val="0"/>
              <w:autoSpaceDE/>
              <w:autoSpaceDN/>
              <w:bidi w:val="0"/>
              <w:adjustRightInd/>
              <w:snapToGrid/>
              <w:spacing w:before="100" w:line="221"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0.000067</w:t>
            </w:r>
          </w:p>
        </w:tc>
        <w:tc>
          <w:tcPr>
            <w:tcW w:w="1680" w:type="pct"/>
            <w:tcBorders>
              <w:right w:val="nil"/>
            </w:tcBorders>
            <w:vAlign w:val="center"/>
          </w:tcPr>
          <w:p w14:paraId="3E30710B">
            <w:pPr>
              <w:keepNext w:val="0"/>
              <w:keepLines w:val="0"/>
              <w:pageBreakBefore w:val="0"/>
              <w:widowControl w:val="0"/>
              <w:kinsoku/>
              <w:wordWrap/>
              <w:overflowPunct/>
              <w:topLinePunct w:val="0"/>
              <w:autoSpaceDE/>
              <w:autoSpaceDN/>
              <w:bidi w:val="0"/>
              <w:adjustRightInd/>
              <w:snapToGrid/>
              <w:spacing w:before="100" w:line="221"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98.155</w:t>
            </w:r>
          </w:p>
        </w:tc>
      </w:tr>
      <w:tr w14:paraId="34F8E0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jc w:val="center"/>
        </w:trPr>
        <w:tc>
          <w:tcPr>
            <w:tcW w:w="1638" w:type="pct"/>
            <w:tcBorders>
              <w:left w:val="nil"/>
            </w:tcBorders>
            <w:vAlign w:val="center"/>
          </w:tcPr>
          <w:p w14:paraId="2C43675B">
            <w:pPr>
              <w:keepNext w:val="0"/>
              <w:keepLines w:val="0"/>
              <w:pageBreakBefore w:val="0"/>
              <w:widowControl w:val="0"/>
              <w:kinsoku/>
              <w:wordWrap/>
              <w:overflowPunct/>
              <w:topLinePunct w:val="0"/>
              <w:autoSpaceDE/>
              <w:autoSpaceDN/>
              <w:bidi w:val="0"/>
              <w:adjustRightInd/>
              <w:snapToGrid/>
              <w:spacing w:before="67" w:line="223" w:lineRule="auto"/>
              <w:ind w:left="0"/>
              <w:jc w:val="center"/>
              <w:textAlignment w:val="auto"/>
              <w:rPr>
                <w:rFonts w:ascii="宋体" w:hAnsi="宋体" w:eastAsia="宋体" w:cs="宋体"/>
                <w:sz w:val="21"/>
                <w:szCs w:val="21"/>
              </w:rPr>
            </w:pPr>
            <w:r>
              <w:rPr>
                <w:rFonts w:ascii="宋体" w:hAnsi="宋体" w:eastAsia="宋体" w:cs="宋体"/>
                <w:sz w:val="21"/>
                <w:szCs w:val="21"/>
              </w:rPr>
              <w:t>铬</w:t>
            </w:r>
          </w:p>
        </w:tc>
        <w:tc>
          <w:tcPr>
            <w:tcW w:w="1681" w:type="pct"/>
            <w:vAlign w:val="center"/>
          </w:tcPr>
          <w:p w14:paraId="407D6EDC">
            <w:pPr>
              <w:keepNext w:val="0"/>
              <w:keepLines w:val="0"/>
              <w:pageBreakBefore w:val="0"/>
              <w:widowControl w:val="0"/>
              <w:kinsoku/>
              <w:wordWrap/>
              <w:overflowPunct/>
              <w:topLinePunct w:val="0"/>
              <w:autoSpaceDE/>
              <w:autoSpaceDN/>
              <w:bidi w:val="0"/>
              <w:adjustRightInd/>
              <w:snapToGrid/>
              <w:spacing w:before="102" w:line="218"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0.000032</w:t>
            </w:r>
          </w:p>
        </w:tc>
        <w:tc>
          <w:tcPr>
            <w:tcW w:w="1680" w:type="pct"/>
            <w:tcBorders>
              <w:right w:val="nil"/>
            </w:tcBorders>
            <w:vAlign w:val="center"/>
          </w:tcPr>
          <w:p w14:paraId="54578FFF">
            <w:pPr>
              <w:keepNext w:val="0"/>
              <w:keepLines w:val="0"/>
              <w:pageBreakBefore w:val="0"/>
              <w:widowControl w:val="0"/>
              <w:kinsoku/>
              <w:wordWrap/>
              <w:overflowPunct/>
              <w:topLinePunct w:val="0"/>
              <w:autoSpaceDE/>
              <w:autoSpaceDN/>
              <w:bidi w:val="0"/>
              <w:adjustRightInd/>
              <w:snapToGrid/>
              <w:spacing w:before="102" w:line="218"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46.88</w:t>
            </w:r>
          </w:p>
        </w:tc>
      </w:tr>
      <w:tr w14:paraId="719D1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638" w:type="pct"/>
            <w:tcBorders>
              <w:left w:val="nil"/>
            </w:tcBorders>
            <w:vAlign w:val="center"/>
          </w:tcPr>
          <w:p w14:paraId="6B9694F0">
            <w:pPr>
              <w:keepNext w:val="0"/>
              <w:keepLines w:val="0"/>
              <w:pageBreakBefore w:val="0"/>
              <w:widowControl w:val="0"/>
              <w:kinsoku/>
              <w:wordWrap/>
              <w:overflowPunct/>
              <w:topLinePunct w:val="0"/>
              <w:autoSpaceDE/>
              <w:autoSpaceDN/>
              <w:bidi w:val="0"/>
              <w:adjustRightInd/>
              <w:snapToGrid/>
              <w:spacing w:before="71" w:line="221" w:lineRule="auto"/>
              <w:ind w:left="0"/>
              <w:jc w:val="center"/>
              <w:textAlignment w:val="auto"/>
              <w:rPr>
                <w:rFonts w:ascii="宋体" w:hAnsi="宋体" w:eastAsia="宋体" w:cs="宋体"/>
                <w:sz w:val="21"/>
                <w:szCs w:val="21"/>
              </w:rPr>
            </w:pPr>
            <w:r>
              <w:rPr>
                <w:rFonts w:ascii="宋体" w:hAnsi="宋体" w:eastAsia="宋体" w:cs="宋体"/>
                <w:sz w:val="21"/>
                <w:szCs w:val="21"/>
              </w:rPr>
              <w:t>镉</w:t>
            </w:r>
          </w:p>
        </w:tc>
        <w:tc>
          <w:tcPr>
            <w:tcW w:w="1681" w:type="pct"/>
            <w:vAlign w:val="center"/>
          </w:tcPr>
          <w:p w14:paraId="3A6C36E5">
            <w:pPr>
              <w:keepNext w:val="0"/>
              <w:keepLines w:val="0"/>
              <w:pageBreakBefore w:val="0"/>
              <w:widowControl w:val="0"/>
              <w:kinsoku/>
              <w:wordWrap/>
              <w:overflowPunct/>
              <w:topLinePunct w:val="0"/>
              <w:autoSpaceDE/>
              <w:autoSpaceDN/>
              <w:bidi w:val="0"/>
              <w:adjustRightInd/>
              <w:snapToGrid/>
              <w:spacing w:before="106" w:line="215"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0.00000035</w:t>
            </w:r>
          </w:p>
        </w:tc>
        <w:tc>
          <w:tcPr>
            <w:tcW w:w="1680" w:type="pct"/>
            <w:tcBorders>
              <w:right w:val="nil"/>
            </w:tcBorders>
            <w:vAlign w:val="center"/>
          </w:tcPr>
          <w:p w14:paraId="0C87D735">
            <w:pPr>
              <w:keepNext w:val="0"/>
              <w:keepLines w:val="0"/>
              <w:pageBreakBefore w:val="0"/>
              <w:widowControl w:val="0"/>
              <w:kinsoku/>
              <w:wordWrap/>
              <w:overflowPunct/>
              <w:topLinePunct w:val="0"/>
              <w:autoSpaceDE/>
              <w:autoSpaceDN/>
              <w:bidi w:val="0"/>
              <w:adjustRightInd/>
              <w:snapToGrid/>
              <w:spacing w:before="106" w:line="215"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0.513</w:t>
            </w:r>
          </w:p>
        </w:tc>
      </w:tr>
      <w:tr w14:paraId="6FADFC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1638" w:type="pct"/>
            <w:tcBorders>
              <w:left w:val="nil"/>
            </w:tcBorders>
            <w:vAlign w:val="center"/>
          </w:tcPr>
          <w:p w14:paraId="54839968">
            <w:pPr>
              <w:keepNext w:val="0"/>
              <w:keepLines w:val="0"/>
              <w:pageBreakBefore w:val="0"/>
              <w:widowControl w:val="0"/>
              <w:kinsoku/>
              <w:wordWrap/>
              <w:overflowPunct/>
              <w:topLinePunct w:val="0"/>
              <w:autoSpaceDE/>
              <w:autoSpaceDN/>
              <w:bidi w:val="0"/>
              <w:adjustRightInd/>
              <w:snapToGrid/>
              <w:spacing w:before="73" w:line="219" w:lineRule="auto"/>
              <w:ind w:left="0"/>
              <w:jc w:val="center"/>
              <w:textAlignment w:val="auto"/>
              <w:rPr>
                <w:rFonts w:ascii="宋体" w:hAnsi="宋体" w:eastAsia="宋体" w:cs="宋体"/>
                <w:sz w:val="21"/>
                <w:szCs w:val="21"/>
              </w:rPr>
            </w:pPr>
            <w:r>
              <w:rPr>
                <w:rFonts w:ascii="宋体" w:hAnsi="宋体" w:eastAsia="宋体" w:cs="宋体"/>
                <w:sz w:val="21"/>
                <w:szCs w:val="21"/>
              </w:rPr>
              <w:t>砷</w:t>
            </w:r>
          </w:p>
        </w:tc>
        <w:tc>
          <w:tcPr>
            <w:tcW w:w="1681" w:type="pct"/>
            <w:vAlign w:val="center"/>
          </w:tcPr>
          <w:p w14:paraId="04CED1EF">
            <w:pPr>
              <w:keepNext w:val="0"/>
              <w:keepLines w:val="0"/>
              <w:pageBreakBefore w:val="0"/>
              <w:widowControl w:val="0"/>
              <w:kinsoku/>
              <w:wordWrap/>
              <w:overflowPunct/>
              <w:topLinePunct w:val="0"/>
              <w:autoSpaceDE/>
              <w:autoSpaceDN/>
              <w:bidi w:val="0"/>
              <w:adjustRightInd/>
              <w:snapToGrid/>
              <w:spacing w:before="109" w:line="212"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0.0000127</w:t>
            </w:r>
          </w:p>
        </w:tc>
        <w:tc>
          <w:tcPr>
            <w:tcW w:w="1680" w:type="pct"/>
            <w:tcBorders>
              <w:right w:val="nil"/>
            </w:tcBorders>
            <w:vAlign w:val="center"/>
          </w:tcPr>
          <w:p w14:paraId="477238F2">
            <w:pPr>
              <w:keepNext w:val="0"/>
              <w:keepLines w:val="0"/>
              <w:pageBreakBefore w:val="0"/>
              <w:widowControl w:val="0"/>
              <w:kinsoku/>
              <w:wordWrap/>
              <w:overflowPunct/>
              <w:topLinePunct w:val="0"/>
              <w:autoSpaceDE/>
              <w:autoSpaceDN/>
              <w:bidi w:val="0"/>
              <w:adjustRightInd/>
              <w:snapToGrid/>
              <w:spacing w:before="109" w:line="212"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18.606</w:t>
            </w:r>
          </w:p>
        </w:tc>
      </w:tr>
      <w:tr w14:paraId="0BF140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1638" w:type="pct"/>
            <w:tcBorders>
              <w:left w:val="nil"/>
            </w:tcBorders>
            <w:vAlign w:val="center"/>
          </w:tcPr>
          <w:p w14:paraId="49A607F4">
            <w:pPr>
              <w:keepNext w:val="0"/>
              <w:keepLines w:val="0"/>
              <w:pageBreakBefore w:val="0"/>
              <w:widowControl w:val="0"/>
              <w:kinsoku/>
              <w:wordWrap/>
              <w:overflowPunct/>
              <w:topLinePunct w:val="0"/>
              <w:autoSpaceDE/>
              <w:autoSpaceDN/>
              <w:bidi w:val="0"/>
              <w:adjustRightInd/>
              <w:snapToGrid/>
              <w:spacing w:before="86" w:line="221" w:lineRule="auto"/>
              <w:ind w:left="0"/>
              <w:jc w:val="center"/>
              <w:textAlignment w:val="auto"/>
              <w:rPr>
                <w:rFonts w:ascii="宋体" w:hAnsi="宋体" w:eastAsia="宋体" w:cs="宋体"/>
                <w:sz w:val="21"/>
                <w:szCs w:val="21"/>
              </w:rPr>
            </w:pPr>
            <w:r>
              <w:rPr>
                <w:rFonts w:ascii="宋体" w:hAnsi="宋体" w:eastAsia="宋体" w:cs="宋体"/>
                <w:sz w:val="21"/>
                <w:szCs w:val="21"/>
              </w:rPr>
              <w:t>镍</w:t>
            </w:r>
          </w:p>
        </w:tc>
        <w:tc>
          <w:tcPr>
            <w:tcW w:w="1681" w:type="pct"/>
            <w:vAlign w:val="center"/>
          </w:tcPr>
          <w:p w14:paraId="10A99EB6">
            <w:pPr>
              <w:keepNext w:val="0"/>
              <w:keepLines w:val="0"/>
              <w:pageBreakBefore w:val="0"/>
              <w:widowControl w:val="0"/>
              <w:kinsoku/>
              <w:wordWrap/>
              <w:overflowPunct/>
              <w:topLinePunct w:val="0"/>
              <w:autoSpaceDE/>
              <w:autoSpaceDN/>
              <w:bidi w:val="0"/>
              <w:adjustRightInd/>
              <w:snapToGrid/>
              <w:spacing w:before="121" w:line="216"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0.0000194</w:t>
            </w:r>
          </w:p>
        </w:tc>
        <w:tc>
          <w:tcPr>
            <w:tcW w:w="1680" w:type="pct"/>
            <w:tcBorders>
              <w:right w:val="nil"/>
            </w:tcBorders>
            <w:vAlign w:val="center"/>
          </w:tcPr>
          <w:p w14:paraId="3F7B0DDF">
            <w:pPr>
              <w:keepNext w:val="0"/>
              <w:keepLines w:val="0"/>
              <w:pageBreakBefore w:val="0"/>
              <w:widowControl w:val="0"/>
              <w:kinsoku/>
              <w:wordWrap/>
              <w:overflowPunct/>
              <w:topLinePunct w:val="0"/>
              <w:autoSpaceDE/>
              <w:autoSpaceDN/>
              <w:bidi w:val="0"/>
              <w:adjustRightInd/>
              <w:snapToGrid/>
              <w:spacing w:before="121" w:line="216"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28.421</w:t>
            </w:r>
          </w:p>
        </w:tc>
      </w:tr>
      <w:tr w14:paraId="58872A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jc w:val="center"/>
        </w:trPr>
        <w:tc>
          <w:tcPr>
            <w:tcW w:w="1638" w:type="pct"/>
            <w:tcBorders>
              <w:left w:val="nil"/>
              <w:bottom w:val="single" w:color="000000" w:sz="10" w:space="0"/>
            </w:tcBorders>
            <w:vAlign w:val="center"/>
          </w:tcPr>
          <w:p w14:paraId="3FABB971">
            <w:pPr>
              <w:keepNext w:val="0"/>
              <w:keepLines w:val="0"/>
              <w:pageBreakBefore w:val="0"/>
              <w:widowControl w:val="0"/>
              <w:kinsoku/>
              <w:wordWrap/>
              <w:overflowPunct/>
              <w:topLinePunct w:val="0"/>
              <w:autoSpaceDE/>
              <w:autoSpaceDN/>
              <w:bidi w:val="0"/>
              <w:adjustRightInd/>
              <w:snapToGrid/>
              <w:spacing w:before="79" w:line="223" w:lineRule="auto"/>
              <w:ind w:left="0"/>
              <w:jc w:val="center"/>
              <w:textAlignment w:val="auto"/>
              <w:rPr>
                <w:rFonts w:ascii="宋体" w:hAnsi="宋体" w:eastAsia="宋体" w:cs="宋体"/>
                <w:sz w:val="21"/>
                <w:szCs w:val="21"/>
              </w:rPr>
            </w:pPr>
            <w:r>
              <w:rPr>
                <w:rFonts w:ascii="宋体" w:hAnsi="宋体" w:eastAsia="宋体" w:cs="宋体"/>
                <w:sz w:val="21"/>
                <w:szCs w:val="21"/>
              </w:rPr>
              <w:t>钴</w:t>
            </w:r>
          </w:p>
        </w:tc>
        <w:tc>
          <w:tcPr>
            <w:tcW w:w="1681" w:type="pct"/>
            <w:tcBorders>
              <w:bottom w:val="single" w:color="000000" w:sz="10" w:space="0"/>
            </w:tcBorders>
            <w:vAlign w:val="center"/>
          </w:tcPr>
          <w:p w14:paraId="370574A2">
            <w:pPr>
              <w:keepNext w:val="0"/>
              <w:keepLines w:val="0"/>
              <w:pageBreakBefore w:val="0"/>
              <w:widowControl w:val="0"/>
              <w:kinsoku/>
              <w:wordWrap/>
              <w:overflowPunct/>
              <w:topLinePunct w:val="0"/>
              <w:autoSpaceDE/>
              <w:autoSpaceDN/>
              <w:bidi w:val="0"/>
              <w:adjustRightInd/>
              <w:snapToGrid/>
              <w:spacing w:before="115" w:line="229"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0.00000098</w:t>
            </w:r>
          </w:p>
        </w:tc>
        <w:tc>
          <w:tcPr>
            <w:tcW w:w="1680" w:type="pct"/>
            <w:tcBorders>
              <w:bottom w:val="single" w:color="000000" w:sz="10" w:space="0"/>
              <w:right w:val="nil"/>
            </w:tcBorders>
            <w:vAlign w:val="center"/>
          </w:tcPr>
          <w:p w14:paraId="360AF211">
            <w:pPr>
              <w:keepNext w:val="0"/>
              <w:keepLines w:val="0"/>
              <w:pageBreakBefore w:val="0"/>
              <w:widowControl w:val="0"/>
              <w:kinsoku/>
              <w:wordWrap/>
              <w:overflowPunct/>
              <w:topLinePunct w:val="0"/>
              <w:autoSpaceDE/>
              <w:autoSpaceDN/>
              <w:bidi w:val="0"/>
              <w:adjustRightInd/>
              <w:snapToGrid/>
              <w:spacing w:before="115" w:line="229" w:lineRule="auto"/>
              <w:ind w:left="0"/>
              <w:jc w:val="center"/>
              <w:textAlignment w:val="auto"/>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1.436</w:t>
            </w:r>
          </w:p>
        </w:tc>
      </w:tr>
    </w:tbl>
    <w:p w14:paraId="1C9D1A1C">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ascii="宋体" w:hAnsi="宋体" w:eastAsia="宋体" w:cs="宋体"/>
          <w:sz w:val="24"/>
          <w:szCs w:val="24"/>
        </w:rPr>
      </w:pPr>
      <w:r>
        <w:rPr>
          <w:rFonts w:ascii="宋体" w:hAnsi="宋体" w:eastAsia="宋体" w:cs="宋体"/>
          <w:spacing w:val="2"/>
          <w:sz w:val="24"/>
          <w:szCs w:val="24"/>
        </w:rPr>
        <w:t>针对本项目污染类型特征，</w:t>
      </w:r>
      <w:r>
        <w:rPr>
          <w:rFonts w:hint="eastAsia" w:ascii="宋体" w:hAnsi="宋体" w:eastAsia="宋体" w:cs="宋体"/>
          <w:spacing w:val="2"/>
          <w:sz w:val="24"/>
          <w:szCs w:val="24"/>
          <w:lang w:val="en-US" w:eastAsia="zh-CN"/>
        </w:rPr>
        <w:t>本次评价</w:t>
      </w:r>
      <w:r>
        <w:rPr>
          <w:rFonts w:ascii="宋体" w:hAnsi="宋体" w:eastAsia="宋体" w:cs="宋体"/>
          <w:spacing w:val="2"/>
          <w:sz w:val="24"/>
          <w:szCs w:val="24"/>
        </w:rPr>
        <w:t>选取《环境影响评</w:t>
      </w:r>
      <w:r>
        <w:rPr>
          <w:rFonts w:ascii="宋体" w:hAnsi="宋体" w:eastAsia="宋体" w:cs="宋体"/>
          <w:spacing w:val="1"/>
          <w:sz w:val="24"/>
          <w:szCs w:val="24"/>
        </w:rPr>
        <w:t>价技术导则 土壤环境</w:t>
      </w:r>
      <w:r>
        <w:rPr>
          <w:spacing w:val="1"/>
          <w:sz w:val="24"/>
          <w:szCs w:val="24"/>
        </w:rPr>
        <w:t>(</w:t>
      </w:r>
      <w:r>
        <w:rPr>
          <w:rFonts w:ascii="宋体" w:hAnsi="宋体" w:eastAsia="宋体" w:cs="宋体"/>
          <w:spacing w:val="1"/>
          <w:sz w:val="24"/>
          <w:szCs w:val="24"/>
        </w:rPr>
        <w:t>试行</w:t>
      </w:r>
      <w:r>
        <w:rPr>
          <w:spacing w:val="1"/>
          <w:sz w:val="24"/>
          <w:szCs w:val="24"/>
        </w:rPr>
        <w:t>)</w:t>
      </w:r>
      <w:r>
        <w:rPr>
          <w:rFonts w:ascii="宋体" w:hAnsi="宋体" w:eastAsia="宋体" w:cs="宋体"/>
          <w:spacing w:val="1"/>
          <w:sz w:val="24"/>
          <w:szCs w:val="24"/>
        </w:rPr>
        <w:t>》</w:t>
      </w:r>
    </w:p>
    <w:p w14:paraId="6C65FD10">
      <w:pPr>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ascii="宋体" w:hAnsi="宋体" w:eastAsia="宋体" w:cs="宋体"/>
          <w:sz w:val="24"/>
          <w:szCs w:val="24"/>
        </w:rPr>
        <w:sectPr>
          <w:headerReference r:id="rId12" w:type="default"/>
          <w:footerReference r:id="rId13" w:type="default"/>
          <w:pgSz w:w="11907" w:h="16839"/>
          <w:pgMar w:top="1531" w:right="1121" w:bottom="1387" w:left="1546" w:header="1227" w:footer="1018" w:gutter="0"/>
          <w:pgNumType w:fmt="decimal"/>
          <w:cols w:space="720" w:num="1"/>
        </w:sectPr>
      </w:pPr>
    </w:p>
    <w:p w14:paraId="4CF2E894">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3"/>
          <w:sz w:val="24"/>
          <w:szCs w:val="24"/>
        </w:rPr>
        <w:t>(HJ964-2018)</w:t>
      </w:r>
      <w:r>
        <w:rPr>
          <w:rFonts w:ascii="宋体" w:hAnsi="宋体" w:eastAsia="宋体" w:cs="宋体"/>
          <w:spacing w:val="-3"/>
          <w:sz w:val="24"/>
          <w:szCs w:val="24"/>
        </w:rPr>
        <w:t>中附录</w:t>
      </w:r>
      <w:r>
        <w:rPr>
          <w:rFonts w:ascii="宋体" w:hAnsi="宋体" w:eastAsia="宋体" w:cs="宋体"/>
          <w:spacing w:val="-54"/>
          <w:sz w:val="24"/>
          <w:szCs w:val="24"/>
        </w:rPr>
        <w:t xml:space="preserve"> </w:t>
      </w:r>
      <w:r>
        <w:rPr>
          <w:spacing w:val="-3"/>
          <w:sz w:val="24"/>
          <w:szCs w:val="24"/>
        </w:rPr>
        <w:t>E</w:t>
      </w:r>
      <w:r>
        <w:rPr>
          <w:rFonts w:ascii="宋体" w:hAnsi="宋体" w:eastAsia="宋体" w:cs="宋体"/>
          <w:spacing w:val="-3"/>
          <w:sz w:val="24"/>
          <w:szCs w:val="24"/>
        </w:rPr>
        <w:t>的方法一进行预测分析评价，预测方法</w:t>
      </w:r>
      <w:r>
        <w:rPr>
          <w:rFonts w:ascii="宋体" w:hAnsi="宋体" w:eastAsia="宋体" w:cs="宋体"/>
          <w:spacing w:val="-4"/>
          <w:sz w:val="24"/>
          <w:szCs w:val="24"/>
        </w:rPr>
        <w:t>如下。</w:t>
      </w:r>
    </w:p>
    <w:p w14:paraId="31C66CFC">
      <w:pPr>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ascii="宋体" w:hAnsi="宋体" w:eastAsia="宋体" w:cs="宋体"/>
          <w:sz w:val="24"/>
          <w:szCs w:val="24"/>
        </w:rPr>
      </w:pPr>
      <w:r>
        <w:rPr>
          <w:rFonts w:ascii="宋体" w:hAnsi="宋体" w:eastAsia="宋体" w:cs="宋体"/>
          <w:spacing w:val="-3"/>
          <w:sz w:val="24"/>
          <w:szCs w:val="24"/>
        </w:rPr>
        <w:t>单位质量土壤中某种物质的增量可用下式进行计算：</w:t>
      </w:r>
    </w:p>
    <w:p w14:paraId="0641CAE6">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sz w:val="24"/>
          <w:szCs w:val="24"/>
        </w:rPr>
      </w:pPr>
      <w:r>
        <w:rPr>
          <w:spacing w:val="-1"/>
          <w:sz w:val="24"/>
          <w:szCs w:val="24"/>
        </w:rPr>
        <w:t>ΔS=n(Is-Ls-Rs)/(ρb*A*D)</w:t>
      </w:r>
    </w:p>
    <w:p w14:paraId="33A83A49">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rFonts w:ascii="宋体" w:hAnsi="宋体" w:eastAsia="宋体" w:cs="宋体"/>
          <w:spacing w:val="-1"/>
          <w:sz w:val="24"/>
          <w:szCs w:val="24"/>
        </w:rPr>
        <w:t>式中：</w:t>
      </w:r>
      <w:r>
        <w:rPr>
          <w:spacing w:val="-1"/>
          <w:sz w:val="24"/>
          <w:szCs w:val="24"/>
        </w:rPr>
        <w:t>ΔS——</w:t>
      </w:r>
      <w:r>
        <w:rPr>
          <w:rFonts w:ascii="宋体" w:hAnsi="宋体" w:eastAsia="宋体" w:cs="宋体"/>
          <w:spacing w:val="-1"/>
          <w:sz w:val="24"/>
          <w:szCs w:val="24"/>
        </w:rPr>
        <w:t>单位质量表层土壤中某种物质的增量，</w:t>
      </w:r>
      <w:r>
        <w:rPr>
          <w:spacing w:val="-1"/>
          <w:sz w:val="24"/>
          <w:szCs w:val="24"/>
        </w:rPr>
        <w:t>g/kg</w:t>
      </w:r>
      <w:r>
        <w:rPr>
          <w:rFonts w:ascii="宋体" w:hAnsi="宋体" w:eastAsia="宋体" w:cs="宋体"/>
          <w:spacing w:val="-1"/>
          <w:sz w:val="24"/>
          <w:szCs w:val="24"/>
        </w:rPr>
        <w:t>；</w:t>
      </w:r>
    </w:p>
    <w:p w14:paraId="2ECE2034">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z w:val="24"/>
          <w:szCs w:val="24"/>
        </w:rPr>
        <w:t>Is——</w:t>
      </w:r>
      <w:r>
        <w:rPr>
          <w:rFonts w:ascii="宋体" w:hAnsi="宋体" w:eastAsia="宋体" w:cs="宋体"/>
          <w:sz w:val="24"/>
          <w:szCs w:val="24"/>
        </w:rPr>
        <w:t>预测评价范围内单位年份表层土壤中某种物质的</w:t>
      </w:r>
      <w:r>
        <w:rPr>
          <w:rFonts w:ascii="宋体" w:hAnsi="宋体" w:eastAsia="宋体" w:cs="宋体"/>
          <w:spacing w:val="-1"/>
          <w:sz w:val="24"/>
          <w:szCs w:val="24"/>
        </w:rPr>
        <w:t>输入量，</w:t>
      </w:r>
      <w:r>
        <w:rPr>
          <w:spacing w:val="-1"/>
          <w:sz w:val="24"/>
          <w:szCs w:val="24"/>
        </w:rPr>
        <w:t>g</w:t>
      </w:r>
      <w:r>
        <w:rPr>
          <w:rFonts w:ascii="宋体" w:hAnsi="宋体" w:eastAsia="宋体" w:cs="宋体"/>
          <w:spacing w:val="-1"/>
          <w:sz w:val="24"/>
          <w:szCs w:val="24"/>
        </w:rPr>
        <w:t>；</w:t>
      </w:r>
    </w:p>
    <w:p w14:paraId="23C27E1C">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z w:val="24"/>
          <w:szCs w:val="24"/>
        </w:rPr>
        <w:t>Ls——</w:t>
      </w:r>
      <w:r>
        <w:rPr>
          <w:rFonts w:ascii="宋体" w:hAnsi="宋体" w:eastAsia="宋体" w:cs="宋体"/>
          <w:sz w:val="24"/>
          <w:szCs w:val="24"/>
        </w:rPr>
        <w:t>预测评价范围内单位年份表层土壤中某种物质</w:t>
      </w:r>
      <w:r>
        <w:rPr>
          <w:rFonts w:ascii="宋体" w:hAnsi="宋体" w:eastAsia="宋体" w:cs="宋体"/>
          <w:spacing w:val="-1"/>
          <w:sz w:val="24"/>
          <w:szCs w:val="24"/>
        </w:rPr>
        <w:t>经淋溶排出的</w:t>
      </w:r>
      <w:r>
        <w:rPr>
          <w:rFonts w:ascii="宋体" w:hAnsi="宋体" w:eastAsia="宋体" w:cs="宋体"/>
          <w:spacing w:val="-3"/>
          <w:sz w:val="24"/>
          <w:szCs w:val="24"/>
        </w:rPr>
        <w:t>量，</w:t>
      </w:r>
      <w:r>
        <w:rPr>
          <w:spacing w:val="-3"/>
          <w:sz w:val="24"/>
          <w:szCs w:val="24"/>
        </w:rPr>
        <w:t>g</w:t>
      </w:r>
      <w:r>
        <w:rPr>
          <w:rFonts w:ascii="宋体" w:hAnsi="宋体" w:eastAsia="宋体" w:cs="宋体"/>
          <w:spacing w:val="-3"/>
          <w:sz w:val="24"/>
          <w:szCs w:val="24"/>
        </w:rPr>
        <w:t>；</w:t>
      </w:r>
    </w:p>
    <w:p w14:paraId="13D33814">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z w:val="24"/>
          <w:szCs w:val="24"/>
        </w:rPr>
        <w:t>Rs——</w:t>
      </w:r>
      <w:r>
        <w:rPr>
          <w:rFonts w:ascii="宋体" w:hAnsi="宋体" w:eastAsia="宋体" w:cs="宋体"/>
          <w:sz w:val="24"/>
          <w:szCs w:val="24"/>
        </w:rPr>
        <w:t>预测评价范围内单位年份表层土壤中某种物质经</w:t>
      </w:r>
      <w:r>
        <w:rPr>
          <w:rFonts w:ascii="宋体" w:hAnsi="宋体" w:eastAsia="宋体" w:cs="宋体"/>
          <w:spacing w:val="-1"/>
          <w:sz w:val="24"/>
          <w:szCs w:val="24"/>
        </w:rPr>
        <w:t>径流排出的</w:t>
      </w:r>
      <w:r>
        <w:rPr>
          <w:rFonts w:ascii="宋体" w:hAnsi="宋体" w:eastAsia="宋体" w:cs="宋体"/>
          <w:spacing w:val="-3"/>
          <w:sz w:val="24"/>
          <w:szCs w:val="24"/>
        </w:rPr>
        <w:t>量，</w:t>
      </w:r>
      <w:r>
        <w:rPr>
          <w:spacing w:val="-3"/>
          <w:sz w:val="24"/>
          <w:szCs w:val="24"/>
        </w:rPr>
        <w:t>g</w:t>
      </w:r>
      <w:r>
        <w:rPr>
          <w:rFonts w:ascii="宋体" w:hAnsi="宋体" w:eastAsia="宋体" w:cs="宋体"/>
          <w:spacing w:val="-3"/>
          <w:sz w:val="24"/>
          <w:szCs w:val="24"/>
        </w:rPr>
        <w:t>；</w:t>
      </w:r>
    </w:p>
    <w:p w14:paraId="213FC129">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1"/>
          <w:sz w:val="24"/>
          <w:szCs w:val="24"/>
        </w:rPr>
        <w:t>ρb——</w:t>
      </w:r>
      <w:r>
        <w:rPr>
          <w:rFonts w:ascii="宋体" w:hAnsi="宋体" w:eastAsia="宋体" w:cs="宋体"/>
          <w:spacing w:val="-1"/>
          <w:sz w:val="24"/>
          <w:szCs w:val="24"/>
        </w:rPr>
        <w:t>表层土壤容重，</w:t>
      </w:r>
      <w:r>
        <w:rPr>
          <w:spacing w:val="-1"/>
          <w:sz w:val="24"/>
          <w:szCs w:val="24"/>
        </w:rPr>
        <w:t>kg/m</w:t>
      </w:r>
      <w:r>
        <w:rPr>
          <w:rFonts w:hint="eastAsia"/>
          <w:spacing w:val="-1"/>
          <w:sz w:val="24"/>
          <w:szCs w:val="24"/>
          <w:vertAlign w:val="superscript"/>
          <w:lang w:val="en-US" w:eastAsia="zh-CN"/>
        </w:rPr>
        <w:t>3</w:t>
      </w:r>
      <w:r>
        <w:rPr>
          <w:rFonts w:ascii="宋体" w:hAnsi="宋体" w:eastAsia="宋体" w:cs="宋体"/>
          <w:spacing w:val="-1"/>
          <w:sz w:val="24"/>
          <w:szCs w:val="24"/>
        </w:rPr>
        <w:t>；</w:t>
      </w:r>
    </w:p>
    <w:p w14:paraId="5F3286B1">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1"/>
          <w:sz w:val="24"/>
          <w:szCs w:val="24"/>
        </w:rPr>
        <w:t>A——</w:t>
      </w:r>
      <w:r>
        <w:rPr>
          <w:rFonts w:ascii="宋体" w:hAnsi="宋体" w:eastAsia="宋体" w:cs="宋体"/>
          <w:spacing w:val="-1"/>
          <w:sz w:val="24"/>
          <w:szCs w:val="24"/>
        </w:rPr>
        <w:t>预测评价范围，</w:t>
      </w:r>
      <w:r>
        <w:rPr>
          <w:spacing w:val="-1"/>
          <w:sz w:val="24"/>
          <w:szCs w:val="24"/>
        </w:rPr>
        <w:t>m</w:t>
      </w:r>
      <w:r>
        <w:rPr>
          <w:rFonts w:hint="eastAsia"/>
          <w:spacing w:val="-1"/>
          <w:sz w:val="24"/>
          <w:szCs w:val="24"/>
          <w:vertAlign w:val="superscript"/>
          <w:lang w:val="en-US" w:eastAsia="zh-CN"/>
        </w:rPr>
        <w:t>2</w:t>
      </w:r>
      <w:r>
        <w:rPr>
          <w:rFonts w:ascii="宋体" w:hAnsi="宋体" w:eastAsia="宋体" w:cs="宋体"/>
          <w:spacing w:val="-1"/>
          <w:sz w:val="24"/>
          <w:szCs w:val="24"/>
        </w:rPr>
        <w:t>；</w:t>
      </w:r>
    </w:p>
    <w:p w14:paraId="61E277DC">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1"/>
          <w:sz w:val="24"/>
          <w:szCs w:val="24"/>
        </w:rPr>
        <w:t>D——</w:t>
      </w:r>
      <w:r>
        <w:rPr>
          <w:rFonts w:ascii="宋体" w:hAnsi="宋体" w:eastAsia="宋体" w:cs="宋体"/>
          <w:spacing w:val="-1"/>
          <w:sz w:val="24"/>
          <w:szCs w:val="24"/>
        </w:rPr>
        <w:t>表层土壤深度，一般取</w:t>
      </w:r>
      <w:r>
        <w:rPr>
          <w:rFonts w:ascii="宋体" w:hAnsi="宋体" w:eastAsia="宋体" w:cs="宋体"/>
          <w:spacing w:val="-47"/>
          <w:sz w:val="24"/>
          <w:szCs w:val="24"/>
        </w:rPr>
        <w:t xml:space="preserve"> </w:t>
      </w:r>
      <w:r>
        <w:rPr>
          <w:spacing w:val="-1"/>
          <w:sz w:val="24"/>
          <w:szCs w:val="24"/>
        </w:rPr>
        <w:t>0.2m</w:t>
      </w:r>
      <w:r>
        <w:rPr>
          <w:rFonts w:ascii="宋体" w:hAnsi="宋体" w:eastAsia="宋体" w:cs="宋体"/>
          <w:spacing w:val="-1"/>
          <w:sz w:val="24"/>
          <w:szCs w:val="24"/>
        </w:rPr>
        <w:t>；</w:t>
      </w:r>
    </w:p>
    <w:p w14:paraId="5A90420E">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1"/>
          <w:sz w:val="24"/>
          <w:szCs w:val="24"/>
        </w:rPr>
        <w:t>n——</w:t>
      </w:r>
      <w:r>
        <w:rPr>
          <w:rFonts w:ascii="宋体" w:hAnsi="宋体" w:eastAsia="宋体" w:cs="宋体"/>
          <w:spacing w:val="-1"/>
          <w:sz w:val="24"/>
          <w:szCs w:val="24"/>
        </w:rPr>
        <w:t>持续年份，</w:t>
      </w:r>
      <w:r>
        <w:rPr>
          <w:spacing w:val="-1"/>
          <w:sz w:val="24"/>
          <w:szCs w:val="24"/>
        </w:rPr>
        <w:t>a</w:t>
      </w:r>
      <w:r>
        <w:rPr>
          <w:rFonts w:ascii="宋体" w:hAnsi="宋体" w:eastAsia="宋体" w:cs="宋体"/>
          <w:spacing w:val="-1"/>
          <w:sz w:val="24"/>
          <w:szCs w:val="24"/>
        </w:rPr>
        <w:t>。</w:t>
      </w:r>
    </w:p>
    <w:p w14:paraId="48F5E373">
      <w:pPr>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ascii="宋体" w:hAnsi="宋体" w:eastAsia="宋体" w:cs="宋体"/>
          <w:kern w:val="2"/>
          <w:sz w:val="24"/>
          <w:szCs w:val="24"/>
          <w:lang w:val="en-US" w:eastAsia="zh-CN" w:bidi="ar-SA"/>
        </w:rPr>
      </w:pPr>
      <w:r>
        <w:rPr>
          <w:rFonts w:ascii="宋体" w:hAnsi="宋体" w:eastAsia="宋体" w:cs="宋体"/>
          <w:kern w:val="2"/>
          <w:sz w:val="24"/>
          <w:szCs w:val="24"/>
          <w:lang w:val="en-US" w:eastAsia="zh-CN" w:bidi="ar-SA"/>
        </w:rPr>
        <w:t>本项目选取的特征污染物质为铅、锌、铬、镉、砷、镍、钴，各参数选取如下：</w:t>
      </w:r>
    </w:p>
    <w:p w14:paraId="7B8BDF9D">
      <w:pPr>
        <w:pStyle w:val="31"/>
        <w:spacing w:before="175" w:line="223" w:lineRule="auto"/>
        <w:ind w:left="36"/>
        <w:jc w:val="center"/>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spacing w:val="-45"/>
          <w:sz w:val="24"/>
          <w:szCs w:val="24"/>
        </w:rPr>
        <w:t xml:space="preserve"> </w:t>
      </w:r>
      <w:r>
        <w:rPr>
          <w:rFonts w:hint="eastAsia"/>
          <w:b/>
          <w:bCs/>
          <w:sz w:val="24"/>
          <w:szCs w:val="24"/>
          <w:lang w:val="en-US" w:eastAsia="zh-CN"/>
        </w:rPr>
        <w:t>5</w:t>
      </w:r>
      <w:r>
        <w:rPr>
          <w:b/>
          <w:bCs/>
          <w:sz w:val="24"/>
          <w:szCs w:val="24"/>
        </w:rPr>
        <w:t>.2-1</w:t>
      </w:r>
      <w:r>
        <w:rPr>
          <w:rFonts w:hint="eastAsia"/>
          <w:b/>
          <w:bCs/>
          <w:sz w:val="24"/>
          <w:szCs w:val="24"/>
          <w:lang w:val="en-US" w:eastAsia="zh-CN"/>
        </w:rPr>
        <w:t>2</w:t>
      </w:r>
      <w:r>
        <w:rPr>
          <w:b/>
          <w:bCs/>
          <w:sz w:val="24"/>
          <w:szCs w:val="24"/>
        </w:rPr>
        <w:t xml:space="preserve">    </w:t>
      </w:r>
      <w:r>
        <w:rPr>
          <w:rFonts w:ascii="宋体" w:hAnsi="宋体" w:eastAsia="宋体" w:cs="宋体"/>
          <w:b/>
          <w:bCs/>
          <w:spacing w:val="-1"/>
          <w:sz w:val="24"/>
          <w:szCs w:val="24"/>
        </w:rPr>
        <w:t>预测参数选取</w:t>
      </w:r>
    </w:p>
    <w:tbl>
      <w:tblPr>
        <w:tblStyle w:val="297"/>
        <w:tblW w:w="8499" w:type="dxa"/>
        <w:tblInd w:w="2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64"/>
        <w:gridCol w:w="1097"/>
        <w:gridCol w:w="739"/>
        <w:gridCol w:w="741"/>
        <w:gridCol w:w="1306"/>
        <w:gridCol w:w="1241"/>
        <w:gridCol w:w="920"/>
        <w:gridCol w:w="1291"/>
      </w:tblGrid>
      <w:tr w14:paraId="612B43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164" w:type="dxa"/>
            <w:tcBorders>
              <w:top w:val="single" w:color="000000" w:sz="10" w:space="0"/>
              <w:left w:val="nil"/>
            </w:tcBorders>
            <w:vAlign w:val="top"/>
          </w:tcPr>
          <w:p w14:paraId="0D14D983">
            <w:pPr>
              <w:spacing w:before="210" w:line="221" w:lineRule="auto"/>
              <w:ind w:left="170"/>
              <w:rPr>
                <w:rFonts w:ascii="宋体" w:hAnsi="宋体" w:eastAsia="宋体" w:cs="宋体"/>
                <w:sz w:val="21"/>
                <w:szCs w:val="21"/>
                <w:highlight w:val="none"/>
              </w:rPr>
            </w:pPr>
            <w:r>
              <w:rPr>
                <w:rFonts w:ascii="宋体" w:hAnsi="宋体" w:eastAsia="宋体" w:cs="宋体"/>
                <w:spacing w:val="-2"/>
                <w:sz w:val="21"/>
                <w:szCs w:val="21"/>
                <w:highlight w:val="none"/>
              </w:rPr>
              <w:t>预测参数</w:t>
            </w:r>
          </w:p>
        </w:tc>
        <w:tc>
          <w:tcPr>
            <w:tcW w:w="1097" w:type="dxa"/>
            <w:tcBorders>
              <w:top w:val="single" w:color="000000" w:sz="10" w:space="0"/>
            </w:tcBorders>
            <w:vAlign w:val="top"/>
          </w:tcPr>
          <w:p w14:paraId="53303615">
            <w:pPr>
              <w:spacing w:before="211" w:line="213" w:lineRule="auto"/>
              <w:ind w:left="208"/>
              <w:rPr>
                <w:rFonts w:ascii="宋体" w:hAnsi="宋体" w:eastAsia="宋体" w:cs="宋体"/>
                <w:sz w:val="21"/>
                <w:szCs w:val="21"/>
                <w:highlight w:val="none"/>
              </w:rPr>
            </w:pPr>
            <w:r>
              <w:rPr>
                <w:rFonts w:ascii="Times New Roman" w:hAnsi="Times New Roman" w:eastAsia="Times New Roman" w:cs="Times New Roman"/>
                <w:spacing w:val="-1"/>
                <w:sz w:val="21"/>
                <w:szCs w:val="21"/>
                <w:highlight w:val="none"/>
              </w:rPr>
              <w:t>Is</w:t>
            </w:r>
            <w:r>
              <w:rPr>
                <w:rFonts w:ascii="宋体" w:hAnsi="宋体" w:eastAsia="宋体" w:cs="宋体"/>
                <w:spacing w:val="-1"/>
                <w:sz w:val="21"/>
                <w:szCs w:val="21"/>
                <w:highlight w:val="none"/>
              </w:rPr>
              <w:t>（</w:t>
            </w:r>
            <w:r>
              <w:rPr>
                <w:rFonts w:ascii="Times New Roman" w:hAnsi="Times New Roman" w:eastAsia="Times New Roman" w:cs="Times New Roman"/>
                <w:spacing w:val="-1"/>
                <w:sz w:val="21"/>
                <w:szCs w:val="21"/>
                <w:highlight w:val="none"/>
              </w:rPr>
              <w:t>g</w:t>
            </w:r>
            <w:r>
              <w:rPr>
                <w:rFonts w:ascii="宋体" w:hAnsi="宋体" w:eastAsia="宋体" w:cs="宋体"/>
                <w:spacing w:val="-1"/>
                <w:sz w:val="21"/>
                <w:szCs w:val="21"/>
                <w:highlight w:val="none"/>
              </w:rPr>
              <w:t>）</w:t>
            </w:r>
          </w:p>
        </w:tc>
        <w:tc>
          <w:tcPr>
            <w:tcW w:w="739" w:type="dxa"/>
            <w:tcBorders>
              <w:top w:val="single" w:color="000000" w:sz="10" w:space="0"/>
            </w:tcBorders>
            <w:vAlign w:val="top"/>
          </w:tcPr>
          <w:p w14:paraId="7E9C7C7F">
            <w:pPr>
              <w:spacing w:before="96" w:line="184" w:lineRule="auto"/>
              <w:ind w:left="261"/>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Ls</w:t>
            </w:r>
          </w:p>
          <w:p w14:paraId="2D4BF29F">
            <w:pPr>
              <w:spacing w:before="85" w:line="213" w:lineRule="auto"/>
              <w:ind w:left="115"/>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g</w:t>
            </w:r>
            <w:r>
              <w:rPr>
                <w:rFonts w:ascii="宋体" w:hAnsi="宋体" w:eastAsia="宋体" w:cs="宋体"/>
                <w:spacing w:val="-5"/>
                <w:sz w:val="21"/>
                <w:szCs w:val="21"/>
                <w:highlight w:val="none"/>
              </w:rPr>
              <w:t>）</w:t>
            </w:r>
          </w:p>
        </w:tc>
        <w:tc>
          <w:tcPr>
            <w:tcW w:w="741" w:type="dxa"/>
            <w:tcBorders>
              <w:top w:val="single" w:color="000000" w:sz="10" w:space="0"/>
            </w:tcBorders>
            <w:vAlign w:val="top"/>
          </w:tcPr>
          <w:p w14:paraId="15B4EB91">
            <w:pPr>
              <w:spacing w:before="96" w:line="184" w:lineRule="auto"/>
              <w:ind w:left="25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Rs</w:t>
            </w:r>
          </w:p>
          <w:p w14:paraId="5EC98A9C">
            <w:pPr>
              <w:spacing w:before="85" w:line="213" w:lineRule="auto"/>
              <w:ind w:left="118"/>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g</w:t>
            </w:r>
            <w:r>
              <w:rPr>
                <w:rFonts w:ascii="宋体" w:hAnsi="宋体" w:eastAsia="宋体" w:cs="宋体"/>
                <w:spacing w:val="-5"/>
                <w:sz w:val="21"/>
                <w:szCs w:val="21"/>
                <w:highlight w:val="none"/>
              </w:rPr>
              <w:t>）</w:t>
            </w:r>
          </w:p>
        </w:tc>
        <w:tc>
          <w:tcPr>
            <w:tcW w:w="1306" w:type="dxa"/>
            <w:tcBorders>
              <w:top w:val="single" w:color="000000" w:sz="10" w:space="0"/>
            </w:tcBorders>
            <w:vAlign w:val="top"/>
          </w:tcPr>
          <w:p w14:paraId="3012FAC9">
            <w:pPr>
              <w:spacing w:before="85" w:line="213" w:lineRule="auto"/>
              <w:ind w:left="200"/>
              <w:rPr>
                <w:rFonts w:ascii="宋体" w:hAnsi="宋体" w:eastAsia="宋体" w:cs="宋体"/>
                <w:sz w:val="21"/>
                <w:szCs w:val="21"/>
                <w:highlight w:val="none"/>
              </w:rPr>
            </w:pPr>
            <w:r>
              <w:rPr>
                <w:spacing w:val="-1"/>
                <w:sz w:val="21"/>
                <w:szCs w:val="21"/>
                <w:highlight w:val="none"/>
              </w:rPr>
              <w:t>ρb</w:t>
            </w: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kg/m</w:t>
            </w:r>
            <w:r>
              <w:rPr>
                <w:rFonts w:ascii="Times New Roman" w:hAnsi="Times New Roman" w:eastAsia="Times New Roman" w:cs="Times New Roman"/>
                <w:spacing w:val="-2"/>
                <w:position w:val="6"/>
                <w:sz w:val="13"/>
                <w:szCs w:val="13"/>
                <w:highlight w:val="none"/>
              </w:rPr>
              <w:t>3</w:t>
            </w:r>
            <w:r>
              <w:rPr>
                <w:rFonts w:ascii="宋体" w:hAnsi="宋体" w:eastAsia="宋体" w:cs="宋体"/>
                <w:spacing w:val="-2"/>
                <w:sz w:val="21"/>
                <w:szCs w:val="21"/>
                <w:highlight w:val="none"/>
              </w:rPr>
              <w:t>）</w:t>
            </w:r>
          </w:p>
        </w:tc>
        <w:tc>
          <w:tcPr>
            <w:tcW w:w="1241" w:type="dxa"/>
            <w:tcBorders>
              <w:top w:val="single" w:color="000000" w:sz="10" w:space="0"/>
            </w:tcBorders>
            <w:vAlign w:val="top"/>
          </w:tcPr>
          <w:p w14:paraId="7C266BAA">
            <w:pPr>
              <w:spacing w:before="211" w:line="280" w:lineRule="exact"/>
              <w:ind w:left="213"/>
              <w:rPr>
                <w:rFonts w:ascii="宋体" w:hAnsi="宋体" w:eastAsia="宋体" w:cs="宋体"/>
                <w:sz w:val="21"/>
                <w:szCs w:val="21"/>
                <w:highlight w:val="none"/>
              </w:rPr>
            </w:pPr>
            <w:r>
              <w:rPr>
                <w:rFonts w:ascii="Times New Roman" w:hAnsi="Times New Roman" w:eastAsia="Times New Roman" w:cs="Times New Roman"/>
                <w:spacing w:val="1"/>
                <w:position w:val="1"/>
                <w:sz w:val="21"/>
                <w:szCs w:val="21"/>
                <w:highlight w:val="none"/>
              </w:rPr>
              <w:t>A</w:t>
            </w:r>
            <w:r>
              <w:rPr>
                <w:rFonts w:ascii="宋体" w:hAnsi="宋体" w:eastAsia="宋体" w:cs="宋体"/>
                <w:spacing w:val="1"/>
                <w:position w:val="1"/>
                <w:sz w:val="21"/>
                <w:szCs w:val="21"/>
                <w:highlight w:val="none"/>
              </w:rPr>
              <w:t>（</w:t>
            </w:r>
            <w:r>
              <w:rPr>
                <w:rFonts w:ascii="Times New Roman" w:hAnsi="Times New Roman" w:eastAsia="Times New Roman" w:cs="Times New Roman"/>
                <w:spacing w:val="1"/>
                <w:position w:val="1"/>
                <w:sz w:val="21"/>
                <w:szCs w:val="21"/>
                <w:highlight w:val="none"/>
              </w:rPr>
              <w:t>m</w:t>
            </w:r>
            <w:r>
              <w:rPr>
                <w:rFonts w:ascii="Times New Roman" w:hAnsi="Times New Roman" w:eastAsia="Times New Roman" w:cs="Times New Roman"/>
                <w:spacing w:val="1"/>
                <w:position w:val="7"/>
                <w:sz w:val="13"/>
                <w:szCs w:val="13"/>
                <w:highlight w:val="none"/>
              </w:rPr>
              <w:t>2</w:t>
            </w:r>
            <w:r>
              <w:rPr>
                <w:rFonts w:ascii="宋体" w:hAnsi="宋体" w:eastAsia="宋体" w:cs="宋体"/>
                <w:spacing w:val="1"/>
                <w:position w:val="1"/>
                <w:sz w:val="21"/>
                <w:szCs w:val="21"/>
                <w:highlight w:val="none"/>
              </w:rPr>
              <w:t>）</w:t>
            </w:r>
          </w:p>
        </w:tc>
        <w:tc>
          <w:tcPr>
            <w:tcW w:w="920" w:type="dxa"/>
            <w:tcBorders>
              <w:top w:val="single" w:color="000000" w:sz="10" w:space="0"/>
            </w:tcBorders>
            <w:vAlign w:val="top"/>
          </w:tcPr>
          <w:p w14:paraId="15458171">
            <w:pPr>
              <w:spacing w:before="96" w:line="184" w:lineRule="auto"/>
              <w:ind w:left="381"/>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D</w:t>
            </w:r>
          </w:p>
          <w:p w14:paraId="445C4BA9">
            <w:pPr>
              <w:spacing w:before="85" w:line="221" w:lineRule="auto"/>
              <w:ind w:left="176"/>
              <w:rPr>
                <w:rFonts w:ascii="宋体" w:hAnsi="宋体" w:eastAsia="宋体" w:cs="宋体"/>
                <w:sz w:val="21"/>
                <w:szCs w:val="21"/>
                <w:highlight w:val="none"/>
              </w:rPr>
            </w:pPr>
            <w:r>
              <w:rPr>
                <w:rFonts w:ascii="宋体" w:hAnsi="宋体" w:eastAsia="宋体" w:cs="宋体"/>
                <w:spacing w:val="-5"/>
                <w:sz w:val="21"/>
                <w:szCs w:val="21"/>
                <w:highlight w:val="none"/>
              </w:rPr>
              <w:t>（</w:t>
            </w:r>
            <w:r>
              <w:rPr>
                <w:rFonts w:ascii="Times New Roman" w:hAnsi="Times New Roman" w:eastAsia="Times New Roman" w:cs="Times New Roman"/>
                <w:spacing w:val="-5"/>
                <w:sz w:val="21"/>
                <w:szCs w:val="21"/>
                <w:highlight w:val="none"/>
              </w:rPr>
              <w:t>m</w:t>
            </w:r>
            <w:r>
              <w:rPr>
                <w:rFonts w:ascii="宋体" w:hAnsi="宋体" w:eastAsia="宋体" w:cs="宋体"/>
                <w:spacing w:val="-5"/>
                <w:sz w:val="21"/>
                <w:szCs w:val="21"/>
                <w:highlight w:val="none"/>
              </w:rPr>
              <w:t>）</w:t>
            </w:r>
          </w:p>
        </w:tc>
        <w:tc>
          <w:tcPr>
            <w:tcW w:w="1291" w:type="dxa"/>
            <w:tcBorders>
              <w:top w:val="single" w:color="000000" w:sz="10" w:space="0"/>
              <w:right w:val="nil"/>
            </w:tcBorders>
            <w:vAlign w:val="top"/>
          </w:tcPr>
          <w:p w14:paraId="15E818ED">
            <w:pPr>
              <w:spacing w:before="246" w:line="236" w:lineRule="auto"/>
              <w:ind w:left="58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n</w:t>
            </w:r>
          </w:p>
        </w:tc>
      </w:tr>
      <w:tr w14:paraId="0C99A3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64" w:type="dxa"/>
            <w:tcBorders>
              <w:left w:val="nil"/>
            </w:tcBorders>
            <w:vAlign w:val="top"/>
          </w:tcPr>
          <w:p w14:paraId="1BAB755B">
            <w:pPr>
              <w:spacing w:before="55" w:line="218" w:lineRule="auto"/>
              <w:ind w:left="483"/>
              <w:rPr>
                <w:rFonts w:ascii="宋体" w:hAnsi="宋体" w:eastAsia="宋体" w:cs="宋体"/>
                <w:sz w:val="21"/>
                <w:szCs w:val="21"/>
                <w:highlight w:val="none"/>
              </w:rPr>
            </w:pPr>
            <w:r>
              <w:rPr>
                <w:rFonts w:ascii="宋体" w:hAnsi="宋体" w:eastAsia="宋体" w:cs="宋体"/>
                <w:sz w:val="21"/>
                <w:szCs w:val="21"/>
                <w:highlight w:val="none"/>
              </w:rPr>
              <w:t>铅</w:t>
            </w:r>
          </w:p>
        </w:tc>
        <w:tc>
          <w:tcPr>
            <w:tcW w:w="1097" w:type="dxa"/>
            <w:vAlign w:val="top"/>
          </w:tcPr>
          <w:p w14:paraId="2F963C7D">
            <w:pPr>
              <w:spacing w:before="89" w:line="212" w:lineRule="auto"/>
              <w:ind w:left="315"/>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38.09</w:t>
            </w:r>
          </w:p>
        </w:tc>
        <w:tc>
          <w:tcPr>
            <w:tcW w:w="739" w:type="dxa"/>
            <w:vAlign w:val="top"/>
          </w:tcPr>
          <w:p w14:paraId="5454C9DE">
            <w:pPr>
              <w:spacing w:before="89" w:line="212" w:lineRule="auto"/>
              <w:ind w:left="31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741" w:type="dxa"/>
            <w:vAlign w:val="top"/>
          </w:tcPr>
          <w:p w14:paraId="58A51B36">
            <w:pPr>
              <w:spacing w:before="89" w:line="212"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1306" w:type="dxa"/>
            <w:vAlign w:val="top"/>
          </w:tcPr>
          <w:p w14:paraId="21FB05C1">
            <w:pPr>
              <w:spacing w:before="89" w:line="212" w:lineRule="auto"/>
              <w:ind w:left="462"/>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1220</w:t>
            </w:r>
          </w:p>
        </w:tc>
        <w:tc>
          <w:tcPr>
            <w:tcW w:w="1241" w:type="dxa"/>
            <w:vAlign w:val="top"/>
          </w:tcPr>
          <w:p w14:paraId="5CEF486F">
            <w:pPr>
              <w:spacing w:before="89" w:line="212" w:lineRule="auto"/>
              <w:ind w:left="25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3623548</w:t>
            </w:r>
          </w:p>
        </w:tc>
        <w:tc>
          <w:tcPr>
            <w:tcW w:w="920" w:type="dxa"/>
            <w:vAlign w:val="top"/>
          </w:tcPr>
          <w:p w14:paraId="5A297765">
            <w:pPr>
              <w:spacing w:before="89" w:line="212" w:lineRule="auto"/>
              <w:ind w:left="329"/>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0.2</w:t>
            </w:r>
          </w:p>
        </w:tc>
        <w:tc>
          <w:tcPr>
            <w:tcW w:w="1291" w:type="dxa"/>
            <w:vMerge w:val="restart"/>
            <w:tcBorders>
              <w:bottom w:val="nil"/>
              <w:right w:val="nil"/>
            </w:tcBorders>
            <w:vAlign w:val="top"/>
          </w:tcPr>
          <w:p w14:paraId="7E791EEF">
            <w:pPr>
              <w:pStyle w:val="1517"/>
              <w:spacing w:line="322" w:lineRule="auto"/>
              <w:rPr>
                <w:highlight w:val="none"/>
              </w:rPr>
            </w:pPr>
          </w:p>
          <w:p w14:paraId="59A340E5">
            <w:pPr>
              <w:pStyle w:val="1517"/>
              <w:spacing w:line="322" w:lineRule="auto"/>
              <w:rPr>
                <w:highlight w:val="none"/>
              </w:rPr>
            </w:pPr>
          </w:p>
          <w:p w14:paraId="36522A08">
            <w:pPr>
              <w:spacing w:before="68" w:line="221" w:lineRule="auto"/>
              <w:ind w:left="228"/>
              <w:rPr>
                <w:rFonts w:ascii="宋体" w:hAnsi="宋体" w:eastAsia="宋体" w:cs="宋体"/>
                <w:sz w:val="21"/>
                <w:szCs w:val="21"/>
                <w:highlight w:val="none"/>
              </w:rPr>
            </w:pPr>
            <w:r>
              <w:rPr>
                <w:rFonts w:ascii="宋体" w:hAnsi="宋体" w:eastAsia="宋体" w:cs="宋体"/>
                <w:spacing w:val="-1"/>
                <w:sz w:val="21"/>
                <w:szCs w:val="21"/>
                <w:highlight w:val="none"/>
              </w:rPr>
              <w:t>选矿厂按</w:t>
            </w:r>
          </w:p>
          <w:p w14:paraId="211EE1E7">
            <w:pPr>
              <w:spacing w:before="61" w:line="234" w:lineRule="auto"/>
              <w:ind w:left="304"/>
              <w:rPr>
                <w:rFonts w:ascii="宋体" w:hAnsi="宋体" w:eastAsia="宋体" w:cs="宋体"/>
                <w:sz w:val="21"/>
                <w:szCs w:val="21"/>
                <w:highlight w:val="none"/>
              </w:rPr>
            </w:pPr>
            <w:r>
              <w:rPr>
                <w:rFonts w:ascii="Times New Roman" w:hAnsi="Times New Roman" w:eastAsia="Times New Roman" w:cs="Times New Roman"/>
                <w:spacing w:val="-2"/>
                <w:sz w:val="21"/>
                <w:szCs w:val="21"/>
                <w:highlight w:val="none"/>
              </w:rPr>
              <w:t>20</w:t>
            </w:r>
            <w:r>
              <w:rPr>
                <w:rFonts w:ascii="Times New Roman" w:hAnsi="Times New Roman" w:eastAsia="Times New Roman" w:cs="Times New Roman"/>
                <w:spacing w:val="9"/>
                <w:sz w:val="21"/>
                <w:szCs w:val="21"/>
                <w:highlight w:val="none"/>
              </w:rPr>
              <w:t xml:space="preserve"> </w:t>
            </w:r>
            <w:r>
              <w:rPr>
                <w:rFonts w:ascii="宋体" w:hAnsi="宋体" w:eastAsia="宋体" w:cs="宋体"/>
                <w:spacing w:val="-2"/>
                <w:sz w:val="21"/>
                <w:szCs w:val="21"/>
                <w:highlight w:val="none"/>
              </w:rPr>
              <w:t>年计</w:t>
            </w:r>
          </w:p>
        </w:tc>
      </w:tr>
      <w:tr w14:paraId="0A8DD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164" w:type="dxa"/>
            <w:tcBorders>
              <w:left w:val="nil"/>
            </w:tcBorders>
            <w:vAlign w:val="top"/>
          </w:tcPr>
          <w:p w14:paraId="49522424">
            <w:pPr>
              <w:spacing w:before="60" w:line="216" w:lineRule="auto"/>
              <w:ind w:left="482"/>
              <w:rPr>
                <w:rFonts w:ascii="宋体" w:hAnsi="宋体" w:eastAsia="宋体" w:cs="宋体"/>
                <w:sz w:val="21"/>
                <w:szCs w:val="21"/>
                <w:highlight w:val="none"/>
              </w:rPr>
            </w:pPr>
            <w:r>
              <w:rPr>
                <w:rFonts w:ascii="宋体" w:hAnsi="宋体" w:eastAsia="宋体" w:cs="宋体"/>
                <w:sz w:val="21"/>
                <w:szCs w:val="21"/>
                <w:highlight w:val="none"/>
              </w:rPr>
              <w:t>锌</w:t>
            </w:r>
          </w:p>
        </w:tc>
        <w:tc>
          <w:tcPr>
            <w:tcW w:w="1097" w:type="dxa"/>
            <w:vAlign w:val="top"/>
          </w:tcPr>
          <w:p w14:paraId="5B3AB554">
            <w:pPr>
              <w:spacing w:before="95" w:line="209" w:lineRule="auto"/>
              <w:ind w:left="262"/>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98.155</w:t>
            </w:r>
          </w:p>
        </w:tc>
        <w:tc>
          <w:tcPr>
            <w:tcW w:w="739" w:type="dxa"/>
            <w:vAlign w:val="top"/>
          </w:tcPr>
          <w:p w14:paraId="52E9A2FF">
            <w:pPr>
              <w:spacing w:before="95" w:line="209" w:lineRule="auto"/>
              <w:ind w:left="31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741" w:type="dxa"/>
            <w:vAlign w:val="top"/>
          </w:tcPr>
          <w:p w14:paraId="422D2C1A">
            <w:pPr>
              <w:spacing w:before="95" w:line="209"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1306" w:type="dxa"/>
            <w:vAlign w:val="top"/>
          </w:tcPr>
          <w:p w14:paraId="74647767">
            <w:pPr>
              <w:spacing w:before="95" w:line="209" w:lineRule="auto"/>
              <w:ind w:left="462"/>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1220</w:t>
            </w:r>
          </w:p>
        </w:tc>
        <w:tc>
          <w:tcPr>
            <w:tcW w:w="1241" w:type="dxa"/>
            <w:vAlign w:val="top"/>
          </w:tcPr>
          <w:p w14:paraId="41AF58FE">
            <w:pPr>
              <w:spacing w:before="95" w:line="209" w:lineRule="auto"/>
              <w:ind w:left="25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3623548</w:t>
            </w:r>
          </w:p>
        </w:tc>
        <w:tc>
          <w:tcPr>
            <w:tcW w:w="920" w:type="dxa"/>
            <w:vAlign w:val="top"/>
          </w:tcPr>
          <w:p w14:paraId="1F3A64AD">
            <w:pPr>
              <w:spacing w:before="95" w:line="209" w:lineRule="auto"/>
              <w:ind w:left="329"/>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0.2</w:t>
            </w:r>
          </w:p>
        </w:tc>
        <w:tc>
          <w:tcPr>
            <w:tcW w:w="1291" w:type="dxa"/>
            <w:vMerge w:val="continue"/>
            <w:tcBorders>
              <w:top w:val="nil"/>
              <w:bottom w:val="nil"/>
              <w:right w:val="nil"/>
            </w:tcBorders>
            <w:vAlign w:val="top"/>
          </w:tcPr>
          <w:p w14:paraId="4FEBBDC1">
            <w:pPr>
              <w:pStyle w:val="1517"/>
              <w:rPr>
                <w:highlight w:val="none"/>
              </w:rPr>
            </w:pPr>
          </w:p>
        </w:tc>
      </w:tr>
      <w:tr w14:paraId="378E21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64" w:type="dxa"/>
            <w:tcBorders>
              <w:left w:val="nil"/>
            </w:tcBorders>
            <w:vAlign w:val="top"/>
          </w:tcPr>
          <w:p w14:paraId="2D9AFF85">
            <w:pPr>
              <w:spacing w:before="60" w:line="213" w:lineRule="auto"/>
              <w:ind w:left="482"/>
              <w:rPr>
                <w:rFonts w:ascii="宋体" w:hAnsi="宋体" w:eastAsia="宋体" w:cs="宋体"/>
                <w:sz w:val="21"/>
                <w:szCs w:val="21"/>
                <w:highlight w:val="none"/>
              </w:rPr>
            </w:pPr>
            <w:r>
              <w:rPr>
                <w:rFonts w:ascii="宋体" w:hAnsi="宋体" w:eastAsia="宋体" w:cs="宋体"/>
                <w:sz w:val="21"/>
                <w:szCs w:val="21"/>
                <w:highlight w:val="none"/>
              </w:rPr>
              <w:t>铬</w:t>
            </w:r>
          </w:p>
        </w:tc>
        <w:tc>
          <w:tcPr>
            <w:tcW w:w="1097" w:type="dxa"/>
            <w:vAlign w:val="top"/>
          </w:tcPr>
          <w:p w14:paraId="55DC9821">
            <w:pPr>
              <w:spacing w:before="95" w:line="206" w:lineRule="auto"/>
              <w:ind w:left="31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46.88</w:t>
            </w:r>
          </w:p>
        </w:tc>
        <w:tc>
          <w:tcPr>
            <w:tcW w:w="739" w:type="dxa"/>
            <w:vAlign w:val="top"/>
          </w:tcPr>
          <w:p w14:paraId="6BC038CA">
            <w:pPr>
              <w:spacing w:before="95" w:line="206" w:lineRule="auto"/>
              <w:ind w:left="31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741" w:type="dxa"/>
            <w:vAlign w:val="top"/>
          </w:tcPr>
          <w:p w14:paraId="2B637A12">
            <w:pPr>
              <w:spacing w:before="95" w:line="206"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1306" w:type="dxa"/>
            <w:vAlign w:val="top"/>
          </w:tcPr>
          <w:p w14:paraId="654B3E5D">
            <w:pPr>
              <w:spacing w:before="95" w:line="206" w:lineRule="auto"/>
              <w:ind w:left="462"/>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1220</w:t>
            </w:r>
          </w:p>
        </w:tc>
        <w:tc>
          <w:tcPr>
            <w:tcW w:w="1241" w:type="dxa"/>
            <w:vAlign w:val="top"/>
          </w:tcPr>
          <w:p w14:paraId="7D12D00A">
            <w:pPr>
              <w:spacing w:before="95" w:line="206" w:lineRule="auto"/>
              <w:ind w:left="25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3623548</w:t>
            </w:r>
          </w:p>
        </w:tc>
        <w:tc>
          <w:tcPr>
            <w:tcW w:w="920" w:type="dxa"/>
            <w:vAlign w:val="top"/>
          </w:tcPr>
          <w:p w14:paraId="4599CCAB">
            <w:pPr>
              <w:spacing w:before="95" w:line="206" w:lineRule="auto"/>
              <w:ind w:left="329"/>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0.2</w:t>
            </w:r>
          </w:p>
        </w:tc>
        <w:tc>
          <w:tcPr>
            <w:tcW w:w="1291" w:type="dxa"/>
            <w:vMerge w:val="continue"/>
            <w:tcBorders>
              <w:top w:val="nil"/>
              <w:bottom w:val="nil"/>
              <w:right w:val="nil"/>
            </w:tcBorders>
            <w:vAlign w:val="top"/>
          </w:tcPr>
          <w:p w14:paraId="66396ECB">
            <w:pPr>
              <w:pStyle w:val="1517"/>
              <w:rPr>
                <w:highlight w:val="none"/>
              </w:rPr>
            </w:pPr>
          </w:p>
        </w:tc>
      </w:tr>
      <w:tr w14:paraId="02E2E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64" w:type="dxa"/>
            <w:tcBorders>
              <w:left w:val="nil"/>
            </w:tcBorders>
            <w:vAlign w:val="top"/>
          </w:tcPr>
          <w:p w14:paraId="16985B77">
            <w:pPr>
              <w:spacing w:before="64" w:line="210" w:lineRule="auto"/>
              <w:ind w:left="482"/>
              <w:rPr>
                <w:rFonts w:ascii="宋体" w:hAnsi="宋体" w:eastAsia="宋体" w:cs="宋体"/>
                <w:sz w:val="21"/>
                <w:szCs w:val="21"/>
                <w:highlight w:val="none"/>
              </w:rPr>
            </w:pPr>
            <w:r>
              <w:rPr>
                <w:rFonts w:ascii="宋体" w:hAnsi="宋体" w:eastAsia="宋体" w:cs="宋体"/>
                <w:sz w:val="21"/>
                <w:szCs w:val="21"/>
                <w:highlight w:val="none"/>
              </w:rPr>
              <w:t>砷</w:t>
            </w:r>
          </w:p>
        </w:tc>
        <w:tc>
          <w:tcPr>
            <w:tcW w:w="1097" w:type="dxa"/>
            <w:vAlign w:val="top"/>
          </w:tcPr>
          <w:p w14:paraId="0312F967">
            <w:pPr>
              <w:spacing w:before="98" w:line="203" w:lineRule="auto"/>
              <w:ind w:left="31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0.513</w:t>
            </w:r>
          </w:p>
        </w:tc>
        <w:tc>
          <w:tcPr>
            <w:tcW w:w="739" w:type="dxa"/>
            <w:vAlign w:val="top"/>
          </w:tcPr>
          <w:p w14:paraId="4A1237F4">
            <w:pPr>
              <w:spacing w:before="98" w:line="203" w:lineRule="auto"/>
              <w:ind w:left="31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741" w:type="dxa"/>
            <w:vAlign w:val="top"/>
          </w:tcPr>
          <w:p w14:paraId="0AA2B496">
            <w:pPr>
              <w:spacing w:before="98" w:line="203"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1306" w:type="dxa"/>
            <w:vAlign w:val="top"/>
          </w:tcPr>
          <w:p w14:paraId="0931514C">
            <w:pPr>
              <w:spacing w:before="98" w:line="203" w:lineRule="auto"/>
              <w:ind w:left="462"/>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1220</w:t>
            </w:r>
          </w:p>
        </w:tc>
        <w:tc>
          <w:tcPr>
            <w:tcW w:w="1241" w:type="dxa"/>
            <w:vAlign w:val="top"/>
          </w:tcPr>
          <w:p w14:paraId="05930EB9">
            <w:pPr>
              <w:spacing w:before="98" w:line="203" w:lineRule="auto"/>
              <w:ind w:left="25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3623548</w:t>
            </w:r>
          </w:p>
        </w:tc>
        <w:tc>
          <w:tcPr>
            <w:tcW w:w="920" w:type="dxa"/>
            <w:vAlign w:val="top"/>
          </w:tcPr>
          <w:p w14:paraId="0F922F0A">
            <w:pPr>
              <w:spacing w:before="98" w:line="203" w:lineRule="auto"/>
              <w:ind w:left="329"/>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0.2</w:t>
            </w:r>
          </w:p>
        </w:tc>
        <w:tc>
          <w:tcPr>
            <w:tcW w:w="1291" w:type="dxa"/>
            <w:vMerge w:val="continue"/>
            <w:tcBorders>
              <w:top w:val="nil"/>
              <w:bottom w:val="nil"/>
              <w:right w:val="nil"/>
            </w:tcBorders>
            <w:vAlign w:val="top"/>
          </w:tcPr>
          <w:p w14:paraId="059652FA">
            <w:pPr>
              <w:pStyle w:val="1517"/>
              <w:rPr>
                <w:highlight w:val="none"/>
              </w:rPr>
            </w:pPr>
          </w:p>
        </w:tc>
      </w:tr>
      <w:tr w14:paraId="15D529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64" w:type="dxa"/>
            <w:tcBorders>
              <w:left w:val="nil"/>
            </w:tcBorders>
            <w:vAlign w:val="top"/>
          </w:tcPr>
          <w:p w14:paraId="3E1424C2">
            <w:pPr>
              <w:spacing w:before="67" w:line="207" w:lineRule="auto"/>
              <w:ind w:left="482"/>
              <w:rPr>
                <w:rFonts w:ascii="宋体" w:hAnsi="宋体" w:eastAsia="宋体" w:cs="宋体"/>
                <w:sz w:val="21"/>
                <w:szCs w:val="21"/>
                <w:highlight w:val="none"/>
              </w:rPr>
            </w:pPr>
            <w:r>
              <w:rPr>
                <w:rFonts w:ascii="宋体" w:hAnsi="宋体" w:eastAsia="宋体" w:cs="宋体"/>
                <w:sz w:val="21"/>
                <w:szCs w:val="21"/>
                <w:highlight w:val="none"/>
              </w:rPr>
              <w:t>镍</w:t>
            </w:r>
          </w:p>
        </w:tc>
        <w:tc>
          <w:tcPr>
            <w:tcW w:w="1097" w:type="dxa"/>
            <w:vAlign w:val="top"/>
          </w:tcPr>
          <w:p w14:paraId="0075ECEC">
            <w:pPr>
              <w:spacing w:before="102" w:line="199" w:lineRule="auto"/>
              <w:ind w:left="278"/>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18.606</w:t>
            </w:r>
          </w:p>
        </w:tc>
        <w:tc>
          <w:tcPr>
            <w:tcW w:w="739" w:type="dxa"/>
            <w:vAlign w:val="top"/>
          </w:tcPr>
          <w:p w14:paraId="4D7D6EEC">
            <w:pPr>
              <w:spacing w:before="102" w:line="199" w:lineRule="auto"/>
              <w:ind w:left="31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741" w:type="dxa"/>
            <w:vAlign w:val="top"/>
          </w:tcPr>
          <w:p w14:paraId="368169DC">
            <w:pPr>
              <w:spacing w:before="102" w:line="199"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1306" w:type="dxa"/>
            <w:vAlign w:val="top"/>
          </w:tcPr>
          <w:p w14:paraId="7F1B47F9">
            <w:pPr>
              <w:spacing w:before="102" w:line="199" w:lineRule="auto"/>
              <w:ind w:left="462"/>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1220</w:t>
            </w:r>
          </w:p>
        </w:tc>
        <w:tc>
          <w:tcPr>
            <w:tcW w:w="1241" w:type="dxa"/>
            <w:vAlign w:val="top"/>
          </w:tcPr>
          <w:p w14:paraId="2B1B89C0">
            <w:pPr>
              <w:spacing w:before="102" w:line="199" w:lineRule="auto"/>
              <w:ind w:left="25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3623548</w:t>
            </w:r>
          </w:p>
        </w:tc>
        <w:tc>
          <w:tcPr>
            <w:tcW w:w="920" w:type="dxa"/>
            <w:vAlign w:val="top"/>
          </w:tcPr>
          <w:p w14:paraId="4577C46C">
            <w:pPr>
              <w:spacing w:before="102" w:line="199" w:lineRule="auto"/>
              <w:ind w:left="329"/>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0.2</w:t>
            </w:r>
          </w:p>
        </w:tc>
        <w:tc>
          <w:tcPr>
            <w:tcW w:w="1291" w:type="dxa"/>
            <w:vMerge w:val="continue"/>
            <w:tcBorders>
              <w:top w:val="nil"/>
              <w:bottom w:val="nil"/>
              <w:right w:val="nil"/>
            </w:tcBorders>
            <w:vAlign w:val="top"/>
          </w:tcPr>
          <w:p w14:paraId="44C87DA6">
            <w:pPr>
              <w:pStyle w:val="1517"/>
              <w:rPr>
                <w:highlight w:val="none"/>
              </w:rPr>
            </w:pPr>
          </w:p>
        </w:tc>
      </w:tr>
      <w:tr w14:paraId="5C12D0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1164" w:type="dxa"/>
            <w:tcBorders>
              <w:left w:val="nil"/>
              <w:bottom w:val="single" w:color="000000" w:sz="10" w:space="0"/>
            </w:tcBorders>
            <w:vAlign w:val="top"/>
          </w:tcPr>
          <w:p w14:paraId="23887480">
            <w:pPr>
              <w:spacing w:before="73" w:line="223" w:lineRule="auto"/>
              <w:ind w:left="483"/>
              <w:rPr>
                <w:rFonts w:ascii="宋体" w:hAnsi="宋体" w:eastAsia="宋体" w:cs="宋体"/>
                <w:sz w:val="21"/>
                <w:szCs w:val="21"/>
                <w:highlight w:val="none"/>
              </w:rPr>
            </w:pPr>
            <w:r>
              <w:rPr>
                <w:rFonts w:ascii="宋体" w:hAnsi="宋体" w:eastAsia="宋体" w:cs="宋体"/>
                <w:sz w:val="21"/>
                <w:szCs w:val="21"/>
                <w:highlight w:val="none"/>
              </w:rPr>
              <w:t>钴</w:t>
            </w:r>
          </w:p>
        </w:tc>
        <w:tc>
          <w:tcPr>
            <w:tcW w:w="1097" w:type="dxa"/>
            <w:tcBorders>
              <w:bottom w:val="single" w:color="000000" w:sz="10" w:space="0"/>
            </w:tcBorders>
            <w:vAlign w:val="top"/>
          </w:tcPr>
          <w:p w14:paraId="30339685">
            <w:pPr>
              <w:spacing w:before="108" w:line="217" w:lineRule="auto"/>
              <w:ind w:left="25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28.421</w:t>
            </w:r>
          </w:p>
        </w:tc>
        <w:tc>
          <w:tcPr>
            <w:tcW w:w="739" w:type="dxa"/>
            <w:tcBorders>
              <w:bottom w:val="single" w:color="000000" w:sz="10" w:space="0"/>
            </w:tcBorders>
            <w:vAlign w:val="top"/>
          </w:tcPr>
          <w:p w14:paraId="3B8F8AC1">
            <w:pPr>
              <w:spacing w:before="108" w:line="217" w:lineRule="auto"/>
              <w:ind w:left="317"/>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741" w:type="dxa"/>
            <w:tcBorders>
              <w:bottom w:val="single" w:color="000000" w:sz="10" w:space="0"/>
            </w:tcBorders>
            <w:vAlign w:val="top"/>
          </w:tcPr>
          <w:p w14:paraId="3C3D5C7C">
            <w:pPr>
              <w:spacing w:before="108" w:line="217"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z w:val="21"/>
                <w:szCs w:val="21"/>
                <w:highlight w:val="none"/>
              </w:rPr>
              <w:t>0</w:t>
            </w:r>
          </w:p>
        </w:tc>
        <w:tc>
          <w:tcPr>
            <w:tcW w:w="1306" w:type="dxa"/>
            <w:tcBorders>
              <w:bottom w:val="single" w:color="000000" w:sz="10" w:space="0"/>
            </w:tcBorders>
            <w:vAlign w:val="top"/>
          </w:tcPr>
          <w:p w14:paraId="02CC316C">
            <w:pPr>
              <w:spacing w:before="108" w:line="217" w:lineRule="auto"/>
              <w:ind w:left="462"/>
              <w:rPr>
                <w:rFonts w:ascii="Times New Roman" w:hAnsi="Times New Roman" w:eastAsia="Times New Roman" w:cs="Times New Roman"/>
                <w:sz w:val="21"/>
                <w:szCs w:val="21"/>
                <w:highlight w:val="none"/>
              </w:rPr>
            </w:pPr>
            <w:r>
              <w:rPr>
                <w:rFonts w:ascii="Times New Roman" w:hAnsi="Times New Roman" w:eastAsia="Times New Roman" w:cs="Times New Roman"/>
                <w:spacing w:val="-5"/>
                <w:sz w:val="21"/>
                <w:szCs w:val="21"/>
                <w:highlight w:val="none"/>
              </w:rPr>
              <w:t>1220</w:t>
            </w:r>
          </w:p>
        </w:tc>
        <w:tc>
          <w:tcPr>
            <w:tcW w:w="1241" w:type="dxa"/>
            <w:tcBorders>
              <w:bottom w:val="single" w:color="000000" w:sz="10" w:space="0"/>
            </w:tcBorders>
            <w:vAlign w:val="top"/>
          </w:tcPr>
          <w:p w14:paraId="10614761">
            <w:pPr>
              <w:spacing w:before="108" w:line="217" w:lineRule="auto"/>
              <w:ind w:left="254"/>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3623548</w:t>
            </w:r>
          </w:p>
        </w:tc>
        <w:tc>
          <w:tcPr>
            <w:tcW w:w="920" w:type="dxa"/>
            <w:tcBorders>
              <w:bottom w:val="single" w:color="000000" w:sz="10" w:space="0"/>
            </w:tcBorders>
            <w:vAlign w:val="top"/>
          </w:tcPr>
          <w:p w14:paraId="0F92B685">
            <w:pPr>
              <w:spacing w:before="108" w:line="217" w:lineRule="auto"/>
              <w:ind w:left="329"/>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0.2</w:t>
            </w:r>
          </w:p>
        </w:tc>
        <w:tc>
          <w:tcPr>
            <w:tcW w:w="1291" w:type="dxa"/>
            <w:vMerge w:val="continue"/>
            <w:tcBorders>
              <w:top w:val="nil"/>
              <w:bottom w:val="single" w:color="000000" w:sz="10" w:space="0"/>
              <w:right w:val="nil"/>
            </w:tcBorders>
            <w:vAlign w:val="top"/>
          </w:tcPr>
          <w:p w14:paraId="289F71A5">
            <w:pPr>
              <w:pStyle w:val="1517"/>
              <w:rPr>
                <w:highlight w:val="none"/>
              </w:rPr>
            </w:pPr>
          </w:p>
        </w:tc>
      </w:tr>
    </w:tbl>
    <w:p w14:paraId="4B217FED">
      <w:pPr>
        <w:spacing w:before="115" w:line="220" w:lineRule="auto"/>
        <w:ind w:left="640"/>
        <w:rPr>
          <w:rFonts w:ascii="宋体" w:hAnsi="宋体" w:eastAsia="宋体" w:cs="宋体"/>
          <w:sz w:val="24"/>
          <w:szCs w:val="24"/>
          <w:highlight w:val="none"/>
        </w:rPr>
      </w:pPr>
      <w:r>
        <w:rPr>
          <w:rFonts w:ascii="宋体" w:hAnsi="宋体" w:eastAsia="宋体" w:cs="宋体"/>
          <w:spacing w:val="-3"/>
          <w:sz w:val="24"/>
          <w:szCs w:val="24"/>
          <w:highlight w:val="none"/>
        </w:rPr>
        <w:t>经过计算，单位质量土壤中某种物质的增量如下：</w:t>
      </w:r>
    </w:p>
    <w:p w14:paraId="2DE00387">
      <w:pPr>
        <w:pStyle w:val="31"/>
        <w:spacing w:before="275" w:line="229" w:lineRule="auto"/>
        <w:ind w:left="36"/>
        <w:jc w:val="center"/>
        <w:rPr>
          <w:rFonts w:ascii="宋体" w:hAnsi="宋体" w:eastAsia="宋体" w:cs="宋体"/>
          <w:sz w:val="24"/>
          <w:szCs w:val="24"/>
          <w:highlight w:val="none"/>
        </w:rPr>
      </w:pPr>
      <w:r>
        <w:rPr>
          <w:rFonts w:ascii="宋体" w:hAnsi="宋体" w:eastAsia="宋体" w:cs="宋体"/>
          <w:b/>
          <w:bCs/>
          <w:sz w:val="24"/>
          <w:szCs w:val="24"/>
          <w:highlight w:val="none"/>
        </w:rPr>
        <w:t>表</w:t>
      </w:r>
      <w:r>
        <w:rPr>
          <w:rFonts w:ascii="宋体" w:hAnsi="宋体" w:eastAsia="宋体" w:cs="宋体"/>
          <w:spacing w:val="-45"/>
          <w:sz w:val="24"/>
          <w:szCs w:val="24"/>
          <w:highlight w:val="none"/>
        </w:rPr>
        <w:t xml:space="preserve"> </w:t>
      </w:r>
      <w:r>
        <w:rPr>
          <w:rFonts w:hint="eastAsia"/>
          <w:b/>
          <w:bCs/>
          <w:sz w:val="24"/>
          <w:szCs w:val="24"/>
          <w:highlight w:val="none"/>
          <w:lang w:val="en-US" w:eastAsia="zh-CN"/>
        </w:rPr>
        <w:t>5</w:t>
      </w:r>
      <w:r>
        <w:rPr>
          <w:b/>
          <w:bCs/>
          <w:sz w:val="24"/>
          <w:szCs w:val="24"/>
          <w:highlight w:val="none"/>
        </w:rPr>
        <w:t>.2-</w:t>
      </w:r>
      <w:r>
        <w:rPr>
          <w:rFonts w:hint="eastAsia"/>
          <w:b/>
          <w:bCs/>
          <w:sz w:val="24"/>
          <w:szCs w:val="24"/>
          <w:highlight w:val="none"/>
          <w:lang w:val="en-US" w:eastAsia="zh-CN"/>
        </w:rPr>
        <w:t>13</w:t>
      </w:r>
      <w:r>
        <w:rPr>
          <w:b/>
          <w:bCs/>
          <w:sz w:val="24"/>
          <w:szCs w:val="24"/>
          <w:highlight w:val="none"/>
        </w:rPr>
        <w:t xml:space="preserve">     </w:t>
      </w:r>
      <w:r>
        <w:rPr>
          <w:b/>
          <w:bCs/>
          <w:spacing w:val="-1"/>
          <w:sz w:val="24"/>
          <w:szCs w:val="24"/>
          <w:highlight w:val="none"/>
        </w:rPr>
        <w:t xml:space="preserve"> </w:t>
      </w:r>
      <w:r>
        <w:rPr>
          <w:rFonts w:ascii="宋体" w:hAnsi="宋体" w:eastAsia="宋体" w:cs="宋体"/>
          <w:b/>
          <w:bCs/>
          <w:spacing w:val="-1"/>
          <w:sz w:val="24"/>
          <w:szCs w:val="24"/>
          <w:highlight w:val="none"/>
        </w:rPr>
        <w:t>选厂预测结果</w:t>
      </w:r>
    </w:p>
    <w:tbl>
      <w:tblPr>
        <w:tblStyle w:val="297"/>
        <w:tblW w:w="8518"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5"/>
        <w:gridCol w:w="1685"/>
        <w:gridCol w:w="1380"/>
        <w:gridCol w:w="1531"/>
        <w:gridCol w:w="3017"/>
      </w:tblGrid>
      <w:tr w14:paraId="0B942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905" w:type="dxa"/>
            <w:tcBorders>
              <w:top w:val="single" w:color="000000" w:sz="10" w:space="0"/>
              <w:left w:val="nil"/>
            </w:tcBorders>
            <w:vAlign w:val="top"/>
          </w:tcPr>
          <w:p w14:paraId="1C8C5B7D">
            <w:pPr>
              <w:spacing w:before="57" w:line="221" w:lineRule="auto"/>
              <w:ind w:left="153"/>
              <w:rPr>
                <w:rFonts w:ascii="宋体" w:hAnsi="宋体" w:eastAsia="宋体" w:cs="宋体"/>
                <w:sz w:val="21"/>
                <w:szCs w:val="21"/>
                <w:highlight w:val="none"/>
              </w:rPr>
            </w:pPr>
            <w:r>
              <w:rPr>
                <w:rFonts w:ascii="宋体" w:hAnsi="宋体" w:eastAsia="宋体" w:cs="宋体"/>
                <w:spacing w:val="-2"/>
                <w:sz w:val="21"/>
                <w:szCs w:val="21"/>
                <w:highlight w:val="none"/>
              </w:rPr>
              <w:t>预测结</w:t>
            </w:r>
          </w:p>
          <w:p w14:paraId="589AC812">
            <w:pPr>
              <w:spacing w:before="60" w:line="219" w:lineRule="auto"/>
              <w:ind w:left="365"/>
              <w:rPr>
                <w:rFonts w:ascii="宋体" w:hAnsi="宋体" w:eastAsia="宋体" w:cs="宋体"/>
                <w:sz w:val="21"/>
                <w:szCs w:val="21"/>
                <w:highlight w:val="none"/>
              </w:rPr>
            </w:pPr>
            <w:r>
              <w:rPr>
                <w:rFonts w:ascii="宋体" w:hAnsi="宋体" w:eastAsia="宋体" w:cs="宋体"/>
                <w:sz w:val="21"/>
                <w:szCs w:val="21"/>
                <w:highlight w:val="none"/>
              </w:rPr>
              <w:t>果</w:t>
            </w:r>
          </w:p>
        </w:tc>
        <w:tc>
          <w:tcPr>
            <w:tcW w:w="1685" w:type="dxa"/>
            <w:tcBorders>
              <w:top w:val="single" w:color="000000" w:sz="10" w:space="0"/>
            </w:tcBorders>
            <w:vAlign w:val="top"/>
          </w:tcPr>
          <w:p w14:paraId="675FFBD2">
            <w:pPr>
              <w:spacing w:before="57" w:line="221" w:lineRule="auto"/>
              <w:ind w:left="218"/>
              <w:rPr>
                <w:rFonts w:ascii="宋体" w:hAnsi="宋体" w:eastAsia="宋体" w:cs="宋体"/>
                <w:sz w:val="21"/>
                <w:szCs w:val="21"/>
                <w:highlight w:val="none"/>
              </w:rPr>
            </w:pPr>
            <w:r>
              <w:rPr>
                <w:rFonts w:ascii="宋体" w:hAnsi="宋体" w:eastAsia="宋体" w:cs="宋体"/>
                <w:spacing w:val="-2"/>
                <w:sz w:val="21"/>
                <w:szCs w:val="21"/>
                <w:highlight w:val="none"/>
              </w:rPr>
              <w:t>单位质量增量</w:t>
            </w:r>
          </w:p>
          <w:p w14:paraId="7F324F33">
            <w:pPr>
              <w:spacing w:before="95" w:line="191" w:lineRule="auto"/>
              <w:ind w:left="658"/>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g/kg</w:t>
            </w:r>
          </w:p>
        </w:tc>
        <w:tc>
          <w:tcPr>
            <w:tcW w:w="1380" w:type="dxa"/>
            <w:tcBorders>
              <w:top w:val="single" w:color="000000" w:sz="10" w:space="0"/>
            </w:tcBorders>
            <w:vAlign w:val="top"/>
          </w:tcPr>
          <w:p w14:paraId="449F8D52">
            <w:pPr>
              <w:spacing w:before="57" w:line="221" w:lineRule="auto"/>
              <w:ind w:left="275"/>
              <w:rPr>
                <w:rFonts w:ascii="宋体" w:hAnsi="宋体" w:eastAsia="宋体" w:cs="宋体"/>
                <w:sz w:val="21"/>
                <w:szCs w:val="21"/>
                <w:highlight w:val="none"/>
              </w:rPr>
            </w:pPr>
            <w:r>
              <w:rPr>
                <w:rFonts w:ascii="宋体" w:hAnsi="宋体" w:eastAsia="宋体" w:cs="宋体"/>
                <w:spacing w:val="-2"/>
                <w:sz w:val="21"/>
                <w:szCs w:val="21"/>
                <w:highlight w:val="none"/>
              </w:rPr>
              <w:t>质量现状</w:t>
            </w:r>
          </w:p>
          <w:p w14:paraId="629410CE">
            <w:pPr>
              <w:spacing w:before="96" w:line="191" w:lineRule="auto"/>
              <w:ind w:left="505"/>
              <w:rPr>
                <w:rFonts w:ascii="Times New Roman" w:hAnsi="Times New Roman" w:eastAsia="Times New Roman" w:cs="Times New Roman"/>
                <w:sz w:val="21"/>
                <w:szCs w:val="21"/>
                <w:highlight w:val="none"/>
              </w:rPr>
            </w:pPr>
            <w:r>
              <w:rPr>
                <w:rFonts w:ascii="Times New Roman" w:hAnsi="Times New Roman" w:eastAsia="Times New Roman" w:cs="Times New Roman"/>
                <w:spacing w:val="-2"/>
                <w:sz w:val="21"/>
                <w:szCs w:val="21"/>
                <w:highlight w:val="none"/>
              </w:rPr>
              <w:t>g/kg</w:t>
            </w:r>
          </w:p>
        </w:tc>
        <w:tc>
          <w:tcPr>
            <w:tcW w:w="1531" w:type="dxa"/>
            <w:tcBorders>
              <w:top w:val="single" w:color="000000" w:sz="10" w:space="0"/>
            </w:tcBorders>
            <w:vAlign w:val="top"/>
          </w:tcPr>
          <w:p w14:paraId="3E11AB18">
            <w:pPr>
              <w:spacing w:before="57" w:line="262" w:lineRule="auto"/>
              <w:ind w:left="582" w:right="445" w:hanging="125"/>
              <w:rPr>
                <w:rFonts w:ascii="Times New Roman" w:hAnsi="Times New Roman" w:eastAsia="Times New Roman" w:cs="Times New Roman"/>
                <w:sz w:val="21"/>
                <w:szCs w:val="21"/>
                <w:highlight w:val="none"/>
              </w:rPr>
            </w:pPr>
            <w:r>
              <w:rPr>
                <w:rFonts w:ascii="宋体" w:hAnsi="宋体" w:eastAsia="宋体" w:cs="宋体"/>
                <w:spacing w:val="-3"/>
                <w:sz w:val="21"/>
                <w:szCs w:val="21"/>
                <w:highlight w:val="none"/>
              </w:rPr>
              <w:t>叠加值</w:t>
            </w:r>
            <w:r>
              <w:rPr>
                <w:rFonts w:ascii="宋体" w:hAnsi="宋体" w:eastAsia="宋体" w:cs="宋体"/>
                <w:sz w:val="21"/>
                <w:szCs w:val="21"/>
                <w:highlight w:val="none"/>
              </w:rPr>
              <w:t xml:space="preserve"> </w:t>
            </w:r>
            <w:r>
              <w:rPr>
                <w:rFonts w:ascii="Times New Roman" w:hAnsi="Times New Roman" w:eastAsia="Times New Roman" w:cs="Times New Roman"/>
                <w:spacing w:val="-2"/>
                <w:sz w:val="21"/>
                <w:szCs w:val="21"/>
                <w:highlight w:val="none"/>
              </w:rPr>
              <w:t>g/kg</w:t>
            </w:r>
          </w:p>
        </w:tc>
        <w:tc>
          <w:tcPr>
            <w:tcW w:w="3017" w:type="dxa"/>
            <w:tcBorders>
              <w:top w:val="single" w:color="000000" w:sz="10" w:space="0"/>
              <w:right w:val="nil"/>
            </w:tcBorders>
            <w:vAlign w:val="top"/>
          </w:tcPr>
          <w:p w14:paraId="6C09318B">
            <w:pPr>
              <w:spacing w:before="57" w:line="221" w:lineRule="auto"/>
              <w:ind w:left="148"/>
              <w:rPr>
                <w:rFonts w:ascii="宋体" w:hAnsi="宋体" w:eastAsia="宋体" w:cs="宋体"/>
                <w:sz w:val="21"/>
                <w:szCs w:val="21"/>
                <w:highlight w:val="none"/>
              </w:rPr>
            </w:pPr>
            <w:r>
              <w:rPr>
                <w:rFonts w:ascii="宋体" w:hAnsi="宋体" w:eastAsia="宋体" w:cs="宋体"/>
                <w:spacing w:val="-1"/>
                <w:sz w:val="21"/>
                <w:szCs w:val="21"/>
                <w:highlight w:val="none"/>
              </w:rPr>
              <w:t>标准值（建设用地二类筛选值</w:t>
            </w:r>
          </w:p>
          <w:p w14:paraId="693B38B4">
            <w:pPr>
              <w:spacing w:before="61" w:line="213" w:lineRule="auto"/>
              <w:ind w:left="1012"/>
              <w:rPr>
                <w:rFonts w:ascii="Times New Roman" w:hAnsi="Times New Roman" w:eastAsia="Times New Roman" w:cs="Times New Roman"/>
                <w:sz w:val="21"/>
                <w:szCs w:val="21"/>
                <w:highlight w:val="none"/>
              </w:rPr>
            </w:pPr>
            <w:r>
              <w:rPr>
                <w:rFonts w:ascii="宋体" w:hAnsi="宋体" w:eastAsia="宋体" w:cs="宋体"/>
                <w:spacing w:val="-1"/>
                <w:sz w:val="21"/>
                <w:szCs w:val="21"/>
                <w:highlight w:val="none"/>
              </w:rPr>
              <w:t>标准）</w:t>
            </w:r>
            <w:r>
              <w:rPr>
                <w:rFonts w:ascii="Times New Roman" w:hAnsi="Times New Roman" w:eastAsia="Times New Roman" w:cs="Times New Roman"/>
                <w:spacing w:val="-1"/>
                <w:sz w:val="21"/>
                <w:szCs w:val="21"/>
                <w:highlight w:val="none"/>
              </w:rPr>
              <w:t>g/kg</w:t>
            </w:r>
          </w:p>
        </w:tc>
      </w:tr>
      <w:tr w14:paraId="47AD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05" w:type="dxa"/>
            <w:tcBorders>
              <w:left w:val="nil"/>
            </w:tcBorders>
            <w:vAlign w:val="top"/>
          </w:tcPr>
          <w:p w14:paraId="5141C904">
            <w:pPr>
              <w:spacing w:before="57" w:line="216" w:lineRule="auto"/>
              <w:ind w:left="360"/>
              <w:rPr>
                <w:rFonts w:ascii="宋体" w:hAnsi="宋体" w:eastAsia="宋体" w:cs="宋体"/>
                <w:sz w:val="21"/>
                <w:szCs w:val="21"/>
                <w:highlight w:val="none"/>
              </w:rPr>
            </w:pPr>
            <w:r>
              <w:rPr>
                <w:rFonts w:ascii="宋体" w:hAnsi="宋体" w:eastAsia="宋体" w:cs="宋体"/>
                <w:sz w:val="21"/>
                <w:szCs w:val="21"/>
                <w:highlight w:val="none"/>
              </w:rPr>
              <w:t>铅</w:t>
            </w:r>
          </w:p>
        </w:tc>
        <w:tc>
          <w:tcPr>
            <w:tcW w:w="1685" w:type="dxa"/>
            <w:vAlign w:val="top"/>
          </w:tcPr>
          <w:p w14:paraId="4C688FBB">
            <w:pPr>
              <w:spacing w:before="92" w:line="209" w:lineRule="auto"/>
              <w:ind w:left="307"/>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8.61623E-07</w:t>
            </w:r>
          </w:p>
        </w:tc>
        <w:tc>
          <w:tcPr>
            <w:tcW w:w="1380" w:type="dxa"/>
            <w:vAlign w:val="top"/>
          </w:tcPr>
          <w:p w14:paraId="45EA780D">
            <w:pPr>
              <w:spacing w:before="92" w:line="209" w:lineRule="auto"/>
              <w:ind w:left="45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0.087</w:t>
            </w:r>
          </w:p>
        </w:tc>
        <w:tc>
          <w:tcPr>
            <w:tcW w:w="1531" w:type="dxa"/>
            <w:vAlign w:val="top"/>
          </w:tcPr>
          <w:p w14:paraId="469BF73E">
            <w:pPr>
              <w:spacing w:before="57" w:line="216" w:lineRule="auto"/>
              <w:ind w:left="288"/>
              <w:rPr>
                <w:rFonts w:ascii="宋体" w:hAnsi="宋体" w:eastAsia="宋体" w:cs="宋体"/>
                <w:sz w:val="21"/>
                <w:szCs w:val="21"/>
                <w:highlight w:val="none"/>
              </w:rPr>
            </w:pP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质量现状</w:t>
            </w:r>
          </w:p>
        </w:tc>
        <w:tc>
          <w:tcPr>
            <w:tcW w:w="3017" w:type="dxa"/>
            <w:tcBorders>
              <w:right w:val="nil"/>
            </w:tcBorders>
            <w:vAlign w:val="top"/>
          </w:tcPr>
          <w:p w14:paraId="11276F7E">
            <w:pPr>
              <w:spacing w:before="57" w:line="216" w:lineRule="auto"/>
              <w:ind w:left="1042"/>
              <w:rPr>
                <w:rFonts w:ascii="Times New Roman" w:hAnsi="Times New Roman" w:eastAsia="Times New Roman" w:cs="Times New Roman"/>
                <w:sz w:val="21"/>
                <w:szCs w:val="21"/>
                <w:highlight w:val="none"/>
              </w:rPr>
            </w:pPr>
            <w:r>
              <w:rPr>
                <w:rFonts w:ascii="宋体" w:hAnsi="宋体" w:eastAsia="宋体" w:cs="宋体"/>
                <w:spacing w:val="-3"/>
                <w:sz w:val="21"/>
                <w:szCs w:val="21"/>
                <w:highlight w:val="none"/>
              </w:rPr>
              <w:t>筛选值</w:t>
            </w:r>
            <w:r>
              <w:rPr>
                <w:rFonts w:ascii="宋体" w:hAnsi="宋体" w:eastAsia="宋体" w:cs="宋体"/>
                <w:spacing w:val="-40"/>
                <w:sz w:val="21"/>
                <w:szCs w:val="21"/>
                <w:highlight w:val="none"/>
              </w:rPr>
              <w:t xml:space="preserve"> </w:t>
            </w:r>
            <w:r>
              <w:rPr>
                <w:rFonts w:ascii="Times New Roman" w:hAnsi="Times New Roman" w:eastAsia="Times New Roman" w:cs="Times New Roman"/>
                <w:spacing w:val="-3"/>
                <w:sz w:val="21"/>
                <w:szCs w:val="21"/>
                <w:highlight w:val="none"/>
              </w:rPr>
              <w:t>0.8</w:t>
            </w:r>
          </w:p>
        </w:tc>
      </w:tr>
      <w:tr w14:paraId="0D998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05" w:type="dxa"/>
            <w:tcBorders>
              <w:left w:val="nil"/>
            </w:tcBorders>
            <w:vAlign w:val="top"/>
          </w:tcPr>
          <w:p w14:paraId="0CC2E20E">
            <w:pPr>
              <w:spacing w:before="60" w:line="213" w:lineRule="auto"/>
              <w:ind w:left="360"/>
              <w:rPr>
                <w:rFonts w:ascii="宋体" w:hAnsi="宋体" w:eastAsia="宋体" w:cs="宋体"/>
                <w:sz w:val="21"/>
                <w:szCs w:val="21"/>
                <w:highlight w:val="none"/>
              </w:rPr>
            </w:pPr>
            <w:r>
              <w:rPr>
                <w:rFonts w:ascii="宋体" w:hAnsi="宋体" w:eastAsia="宋体" w:cs="宋体"/>
                <w:sz w:val="21"/>
                <w:szCs w:val="21"/>
                <w:highlight w:val="none"/>
              </w:rPr>
              <w:t>锌</w:t>
            </w:r>
          </w:p>
        </w:tc>
        <w:tc>
          <w:tcPr>
            <w:tcW w:w="1685" w:type="dxa"/>
            <w:vAlign w:val="top"/>
          </w:tcPr>
          <w:p w14:paraId="6F5F27A7">
            <w:pPr>
              <w:spacing w:before="95" w:line="206" w:lineRule="auto"/>
              <w:ind w:left="299"/>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2.22034E-06</w:t>
            </w:r>
          </w:p>
        </w:tc>
        <w:tc>
          <w:tcPr>
            <w:tcW w:w="1380" w:type="dxa"/>
            <w:vAlign w:val="top"/>
          </w:tcPr>
          <w:p w14:paraId="6A3BA8B0">
            <w:pPr>
              <w:spacing w:before="95" w:line="206" w:lineRule="auto"/>
              <w:ind w:left="45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0.111</w:t>
            </w:r>
          </w:p>
        </w:tc>
        <w:tc>
          <w:tcPr>
            <w:tcW w:w="1531" w:type="dxa"/>
            <w:vAlign w:val="top"/>
          </w:tcPr>
          <w:p w14:paraId="51279C83">
            <w:pPr>
              <w:spacing w:before="60" w:line="213" w:lineRule="auto"/>
              <w:ind w:left="288"/>
              <w:rPr>
                <w:rFonts w:ascii="宋体" w:hAnsi="宋体" w:eastAsia="宋体" w:cs="宋体"/>
                <w:sz w:val="21"/>
                <w:szCs w:val="21"/>
                <w:highlight w:val="none"/>
              </w:rPr>
            </w:pP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质量现状</w:t>
            </w:r>
          </w:p>
        </w:tc>
        <w:tc>
          <w:tcPr>
            <w:tcW w:w="3017" w:type="dxa"/>
            <w:tcBorders>
              <w:right w:val="nil"/>
            </w:tcBorders>
            <w:vAlign w:val="top"/>
          </w:tcPr>
          <w:p w14:paraId="61211627">
            <w:pPr>
              <w:spacing w:before="60" w:line="213" w:lineRule="auto"/>
              <w:ind w:left="203"/>
              <w:rPr>
                <w:rFonts w:ascii="Times New Roman" w:hAnsi="Times New Roman" w:eastAsia="Times New Roman" w:cs="Times New Roman"/>
                <w:sz w:val="21"/>
                <w:szCs w:val="21"/>
                <w:highlight w:val="none"/>
              </w:rPr>
            </w:pPr>
            <w:r>
              <w:rPr>
                <w:rFonts w:ascii="宋体" w:hAnsi="宋体" w:eastAsia="宋体" w:cs="宋体"/>
                <w:spacing w:val="-2"/>
                <w:sz w:val="21"/>
                <w:szCs w:val="21"/>
                <w:highlight w:val="none"/>
              </w:rPr>
              <w:t>农用地筛选值</w:t>
            </w:r>
            <w:r>
              <w:rPr>
                <w:rFonts w:ascii="宋体" w:hAnsi="宋体" w:eastAsia="宋体" w:cs="宋体"/>
                <w:spacing w:val="-45"/>
                <w:sz w:val="21"/>
                <w:szCs w:val="21"/>
                <w:highlight w:val="none"/>
              </w:rPr>
              <w:t xml:space="preserve"> </w:t>
            </w:r>
            <w:r>
              <w:rPr>
                <w:rFonts w:ascii="Times New Roman" w:hAnsi="Times New Roman" w:eastAsia="Times New Roman" w:cs="Times New Roman"/>
                <w:spacing w:val="-2"/>
                <w:sz w:val="21"/>
                <w:szCs w:val="21"/>
                <w:highlight w:val="none"/>
              </w:rPr>
              <w:t>0.2</w:t>
            </w:r>
            <w:r>
              <w:rPr>
                <w:rFonts w:ascii="Times New Roman" w:hAnsi="Times New Roman" w:eastAsia="Times New Roman" w:cs="Times New Roman"/>
                <w:spacing w:val="-29"/>
                <w:sz w:val="21"/>
                <w:szCs w:val="21"/>
                <w:highlight w:val="none"/>
              </w:rPr>
              <w:t xml:space="preserve"> </w:t>
            </w: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0.25</w:t>
            </w:r>
            <w:r>
              <w:rPr>
                <w:rFonts w:ascii="宋体" w:hAnsi="宋体" w:eastAsia="宋体" w:cs="宋体"/>
                <w:spacing w:val="-2"/>
                <w:sz w:val="21"/>
                <w:szCs w:val="21"/>
                <w:highlight w:val="none"/>
              </w:rPr>
              <w:t>、</w:t>
            </w:r>
            <w:r>
              <w:rPr>
                <w:rFonts w:ascii="Times New Roman" w:hAnsi="Times New Roman" w:eastAsia="Times New Roman" w:cs="Times New Roman"/>
                <w:spacing w:val="-2"/>
                <w:sz w:val="21"/>
                <w:szCs w:val="21"/>
                <w:highlight w:val="none"/>
              </w:rPr>
              <w:t>0.3</w:t>
            </w:r>
          </w:p>
        </w:tc>
      </w:tr>
      <w:tr w14:paraId="49AF7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905" w:type="dxa"/>
            <w:tcBorders>
              <w:left w:val="nil"/>
            </w:tcBorders>
            <w:vAlign w:val="top"/>
          </w:tcPr>
          <w:p w14:paraId="063665F7">
            <w:pPr>
              <w:spacing w:before="64" w:line="210" w:lineRule="auto"/>
              <w:ind w:left="360"/>
              <w:rPr>
                <w:rFonts w:ascii="宋体" w:hAnsi="宋体" w:eastAsia="宋体" w:cs="宋体"/>
                <w:sz w:val="21"/>
                <w:szCs w:val="21"/>
                <w:highlight w:val="none"/>
              </w:rPr>
            </w:pPr>
            <w:r>
              <w:rPr>
                <w:rFonts w:ascii="宋体" w:hAnsi="宋体" w:eastAsia="宋体" w:cs="宋体"/>
                <w:sz w:val="21"/>
                <w:szCs w:val="21"/>
                <w:highlight w:val="none"/>
              </w:rPr>
              <w:t>铬</w:t>
            </w:r>
          </w:p>
        </w:tc>
        <w:tc>
          <w:tcPr>
            <w:tcW w:w="1685" w:type="dxa"/>
            <w:vAlign w:val="top"/>
          </w:tcPr>
          <w:p w14:paraId="1EE6C509">
            <w:pPr>
              <w:spacing w:before="99" w:line="202"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1.06046E-06</w:t>
            </w:r>
          </w:p>
        </w:tc>
        <w:tc>
          <w:tcPr>
            <w:tcW w:w="1380" w:type="dxa"/>
            <w:vAlign w:val="top"/>
          </w:tcPr>
          <w:p w14:paraId="614E0820">
            <w:pPr>
              <w:spacing w:before="99" w:line="202" w:lineRule="auto"/>
              <w:ind w:left="45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0.123</w:t>
            </w:r>
          </w:p>
        </w:tc>
        <w:tc>
          <w:tcPr>
            <w:tcW w:w="1531" w:type="dxa"/>
            <w:vAlign w:val="top"/>
          </w:tcPr>
          <w:p w14:paraId="2F2041C2">
            <w:pPr>
              <w:spacing w:before="64" w:line="210" w:lineRule="auto"/>
              <w:ind w:left="288"/>
              <w:rPr>
                <w:rFonts w:ascii="宋体" w:hAnsi="宋体" w:eastAsia="宋体" w:cs="宋体"/>
                <w:sz w:val="21"/>
                <w:szCs w:val="21"/>
                <w:highlight w:val="none"/>
              </w:rPr>
            </w:pP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质量现状</w:t>
            </w:r>
          </w:p>
        </w:tc>
        <w:tc>
          <w:tcPr>
            <w:tcW w:w="3017" w:type="dxa"/>
            <w:tcBorders>
              <w:right w:val="nil"/>
            </w:tcBorders>
            <w:vAlign w:val="top"/>
          </w:tcPr>
          <w:p w14:paraId="4BB2CCDF">
            <w:pPr>
              <w:spacing w:before="64" w:line="210" w:lineRule="auto"/>
              <w:ind w:left="1042"/>
              <w:rPr>
                <w:rFonts w:ascii="Times New Roman" w:hAnsi="Times New Roman" w:eastAsia="Times New Roman" w:cs="Times New Roman"/>
                <w:sz w:val="21"/>
                <w:szCs w:val="21"/>
                <w:highlight w:val="none"/>
              </w:rPr>
            </w:pPr>
            <w:r>
              <w:rPr>
                <w:rFonts w:ascii="宋体" w:hAnsi="宋体" w:eastAsia="宋体" w:cs="宋体"/>
                <w:spacing w:val="-3"/>
                <w:sz w:val="21"/>
                <w:szCs w:val="21"/>
                <w:highlight w:val="none"/>
              </w:rPr>
              <w:t>筛选值</w:t>
            </w:r>
            <w:r>
              <w:rPr>
                <w:rFonts w:ascii="宋体" w:hAnsi="宋体" w:eastAsia="宋体" w:cs="宋体"/>
                <w:spacing w:val="-40"/>
                <w:sz w:val="21"/>
                <w:szCs w:val="21"/>
                <w:highlight w:val="none"/>
              </w:rPr>
              <w:t xml:space="preserve"> </w:t>
            </w:r>
            <w:r>
              <w:rPr>
                <w:rFonts w:ascii="Times New Roman" w:hAnsi="Times New Roman" w:eastAsia="Times New Roman" w:cs="Times New Roman"/>
                <w:spacing w:val="-3"/>
                <w:sz w:val="21"/>
                <w:szCs w:val="21"/>
                <w:highlight w:val="none"/>
              </w:rPr>
              <w:t>0.8</w:t>
            </w:r>
          </w:p>
        </w:tc>
      </w:tr>
      <w:tr w14:paraId="6800B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905" w:type="dxa"/>
            <w:tcBorders>
              <w:left w:val="nil"/>
            </w:tcBorders>
            <w:vAlign w:val="top"/>
          </w:tcPr>
          <w:p w14:paraId="6477C8AF">
            <w:pPr>
              <w:spacing w:before="68" w:line="207" w:lineRule="auto"/>
              <w:ind w:left="360"/>
              <w:rPr>
                <w:rFonts w:ascii="宋体" w:hAnsi="宋体" w:eastAsia="宋体" w:cs="宋体"/>
                <w:sz w:val="21"/>
                <w:szCs w:val="21"/>
                <w:highlight w:val="none"/>
              </w:rPr>
            </w:pPr>
            <w:r>
              <w:rPr>
                <w:rFonts w:ascii="宋体" w:hAnsi="宋体" w:eastAsia="宋体" w:cs="宋体"/>
                <w:sz w:val="21"/>
                <w:szCs w:val="21"/>
                <w:highlight w:val="none"/>
              </w:rPr>
              <w:t>砷</w:t>
            </w:r>
          </w:p>
        </w:tc>
        <w:tc>
          <w:tcPr>
            <w:tcW w:w="1685" w:type="dxa"/>
            <w:vAlign w:val="top"/>
          </w:tcPr>
          <w:p w14:paraId="630B8D3E">
            <w:pPr>
              <w:spacing w:before="102" w:line="200" w:lineRule="auto"/>
              <w:ind w:left="319"/>
              <w:rPr>
                <w:rFonts w:ascii="Times New Roman" w:hAnsi="Times New Roman" w:eastAsia="Times New Roman" w:cs="Times New Roman"/>
                <w:sz w:val="21"/>
                <w:szCs w:val="21"/>
                <w:highlight w:val="none"/>
              </w:rPr>
            </w:pPr>
            <w:r>
              <w:rPr>
                <w:rFonts w:ascii="Times New Roman" w:hAnsi="Times New Roman" w:eastAsia="Times New Roman" w:cs="Times New Roman"/>
                <w:spacing w:val="-3"/>
                <w:sz w:val="21"/>
                <w:szCs w:val="21"/>
                <w:highlight w:val="none"/>
              </w:rPr>
              <w:t>1.16044E-08</w:t>
            </w:r>
          </w:p>
        </w:tc>
        <w:tc>
          <w:tcPr>
            <w:tcW w:w="1380" w:type="dxa"/>
            <w:vAlign w:val="top"/>
          </w:tcPr>
          <w:p w14:paraId="64142427">
            <w:pPr>
              <w:spacing w:before="102" w:line="200" w:lineRule="auto"/>
              <w:ind w:left="353"/>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0.01719</w:t>
            </w:r>
          </w:p>
        </w:tc>
        <w:tc>
          <w:tcPr>
            <w:tcW w:w="1531" w:type="dxa"/>
            <w:vAlign w:val="top"/>
          </w:tcPr>
          <w:p w14:paraId="30CAFDA9">
            <w:pPr>
              <w:spacing w:before="68" w:line="207" w:lineRule="auto"/>
              <w:ind w:left="288"/>
              <w:rPr>
                <w:rFonts w:ascii="宋体" w:hAnsi="宋体" w:eastAsia="宋体" w:cs="宋体"/>
                <w:sz w:val="21"/>
                <w:szCs w:val="21"/>
                <w:highlight w:val="none"/>
              </w:rPr>
            </w:pP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质量现状</w:t>
            </w:r>
          </w:p>
        </w:tc>
        <w:tc>
          <w:tcPr>
            <w:tcW w:w="3017" w:type="dxa"/>
            <w:tcBorders>
              <w:right w:val="nil"/>
            </w:tcBorders>
            <w:vAlign w:val="top"/>
          </w:tcPr>
          <w:p w14:paraId="0936E115">
            <w:pPr>
              <w:spacing w:before="68" w:line="207" w:lineRule="auto"/>
              <w:ind w:left="989"/>
              <w:rPr>
                <w:rFonts w:ascii="Times New Roman" w:hAnsi="Times New Roman" w:eastAsia="Times New Roman" w:cs="Times New Roman"/>
                <w:sz w:val="21"/>
                <w:szCs w:val="21"/>
                <w:highlight w:val="none"/>
              </w:rPr>
            </w:pPr>
            <w:r>
              <w:rPr>
                <w:rFonts w:ascii="宋体" w:hAnsi="宋体" w:eastAsia="宋体" w:cs="宋体"/>
                <w:spacing w:val="-2"/>
                <w:sz w:val="21"/>
                <w:szCs w:val="21"/>
                <w:highlight w:val="none"/>
              </w:rPr>
              <w:t>筛选值</w:t>
            </w:r>
            <w:r>
              <w:rPr>
                <w:rFonts w:ascii="宋体" w:hAnsi="宋体" w:eastAsia="宋体" w:cs="宋体"/>
                <w:spacing w:val="-44"/>
                <w:sz w:val="21"/>
                <w:szCs w:val="21"/>
                <w:highlight w:val="none"/>
              </w:rPr>
              <w:t xml:space="preserve"> </w:t>
            </w:r>
            <w:r>
              <w:rPr>
                <w:rFonts w:ascii="Times New Roman" w:hAnsi="Times New Roman" w:eastAsia="Times New Roman" w:cs="Times New Roman"/>
                <w:spacing w:val="-2"/>
                <w:sz w:val="21"/>
                <w:szCs w:val="21"/>
                <w:highlight w:val="none"/>
              </w:rPr>
              <w:t>0.06</w:t>
            </w:r>
          </w:p>
        </w:tc>
      </w:tr>
      <w:tr w14:paraId="7EA83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05" w:type="dxa"/>
            <w:tcBorders>
              <w:left w:val="nil"/>
            </w:tcBorders>
            <w:vAlign w:val="top"/>
          </w:tcPr>
          <w:p w14:paraId="267BD2DA">
            <w:pPr>
              <w:spacing w:before="72" w:line="205" w:lineRule="auto"/>
              <w:ind w:left="360"/>
              <w:rPr>
                <w:rFonts w:ascii="宋体" w:hAnsi="宋体" w:eastAsia="宋体" w:cs="宋体"/>
                <w:sz w:val="21"/>
                <w:szCs w:val="21"/>
                <w:highlight w:val="none"/>
              </w:rPr>
            </w:pPr>
            <w:r>
              <w:rPr>
                <w:rFonts w:ascii="宋体" w:hAnsi="宋体" w:eastAsia="宋体" w:cs="宋体"/>
                <w:sz w:val="21"/>
                <w:szCs w:val="21"/>
                <w:highlight w:val="none"/>
              </w:rPr>
              <w:t>镍</w:t>
            </w:r>
          </w:p>
        </w:tc>
        <w:tc>
          <w:tcPr>
            <w:tcW w:w="1685" w:type="dxa"/>
            <w:vAlign w:val="top"/>
          </w:tcPr>
          <w:p w14:paraId="0EA6F818">
            <w:pPr>
              <w:spacing w:before="107" w:line="197" w:lineRule="auto"/>
              <w:ind w:left="29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4.20881E-07</w:t>
            </w:r>
          </w:p>
        </w:tc>
        <w:tc>
          <w:tcPr>
            <w:tcW w:w="1380" w:type="dxa"/>
            <w:vAlign w:val="top"/>
          </w:tcPr>
          <w:p w14:paraId="721DBACB">
            <w:pPr>
              <w:spacing w:before="107" w:line="197" w:lineRule="auto"/>
              <w:ind w:left="458"/>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0.102</w:t>
            </w:r>
          </w:p>
        </w:tc>
        <w:tc>
          <w:tcPr>
            <w:tcW w:w="1531" w:type="dxa"/>
            <w:vAlign w:val="top"/>
          </w:tcPr>
          <w:p w14:paraId="5591DE12">
            <w:pPr>
              <w:spacing w:before="72" w:line="205" w:lineRule="auto"/>
              <w:ind w:left="288"/>
              <w:rPr>
                <w:rFonts w:ascii="宋体" w:hAnsi="宋体" w:eastAsia="宋体" w:cs="宋体"/>
                <w:sz w:val="21"/>
                <w:szCs w:val="21"/>
                <w:highlight w:val="none"/>
              </w:rPr>
            </w:pP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质量现状</w:t>
            </w:r>
          </w:p>
        </w:tc>
        <w:tc>
          <w:tcPr>
            <w:tcW w:w="3017" w:type="dxa"/>
            <w:tcBorders>
              <w:right w:val="nil"/>
            </w:tcBorders>
            <w:vAlign w:val="top"/>
          </w:tcPr>
          <w:p w14:paraId="02887251">
            <w:pPr>
              <w:spacing w:before="72" w:line="205" w:lineRule="auto"/>
              <w:ind w:left="1042"/>
              <w:rPr>
                <w:rFonts w:ascii="Times New Roman" w:hAnsi="Times New Roman" w:eastAsia="Times New Roman" w:cs="Times New Roman"/>
                <w:sz w:val="21"/>
                <w:szCs w:val="21"/>
                <w:highlight w:val="none"/>
              </w:rPr>
            </w:pPr>
            <w:r>
              <w:rPr>
                <w:rFonts w:ascii="宋体" w:hAnsi="宋体" w:eastAsia="宋体" w:cs="宋体"/>
                <w:spacing w:val="-3"/>
                <w:sz w:val="21"/>
                <w:szCs w:val="21"/>
                <w:highlight w:val="none"/>
              </w:rPr>
              <w:t>筛选值</w:t>
            </w:r>
            <w:r>
              <w:rPr>
                <w:rFonts w:ascii="宋体" w:hAnsi="宋体" w:eastAsia="宋体" w:cs="宋体"/>
                <w:spacing w:val="-40"/>
                <w:sz w:val="21"/>
                <w:szCs w:val="21"/>
                <w:highlight w:val="none"/>
              </w:rPr>
              <w:t xml:space="preserve"> </w:t>
            </w:r>
            <w:r>
              <w:rPr>
                <w:rFonts w:ascii="Times New Roman" w:hAnsi="Times New Roman" w:eastAsia="Times New Roman" w:cs="Times New Roman"/>
                <w:spacing w:val="-3"/>
                <w:sz w:val="21"/>
                <w:szCs w:val="21"/>
                <w:highlight w:val="none"/>
              </w:rPr>
              <w:t>0.9</w:t>
            </w:r>
          </w:p>
        </w:tc>
      </w:tr>
      <w:tr w14:paraId="1067D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905" w:type="dxa"/>
            <w:tcBorders>
              <w:left w:val="nil"/>
              <w:bottom w:val="single" w:color="000000" w:sz="10" w:space="0"/>
            </w:tcBorders>
            <w:vAlign w:val="top"/>
          </w:tcPr>
          <w:p w14:paraId="0423C213">
            <w:pPr>
              <w:spacing w:before="73" w:line="223" w:lineRule="auto"/>
              <w:ind w:left="360"/>
              <w:rPr>
                <w:rFonts w:ascii="宋体" w:hAnsi="宋体" w:eastAsia="宋体" w:cs="宋体"/>
                <w:sz w:val="21"/>
                <w:szCs w:val="21"/>
                <w:highlight w:val="none"/>
              </w:rPr>
            </w:pPr>
            <w:r>
              <w:rPr>
                <w:rFonts w:ascii="宋体" w:hAnsi="宋体" w:eastAsia="宋体" w:cs="宋体"/>
                <w:sz w:val="21"/>
                <w:szCs w:val="21"/>
                <w:highlight w:val="none"/>
              </w:rPr>
              <w:t>钴</w:t>
            </w:r>
          </w:p>
        </w:tc>
        <w:tc>
          <w:tcPr>
            <w:tcW w:w="1685" w:type="dxa"/>
            <w:tcBorders>
              <w:bottom w:val="single" w:color="000000" w:sz="10" w:space="0"/>
            </w:tcBorders>
            <w:vAlign w:val="top"/>
          </w:tcPr>
          <w:p w14:paraId="04D1F5F6">
            <w:pPr>
              <w:spacing w:before="108" w:line="218" w:lineRule="auto"/>
              <w:ind w:left="303"/>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6.42903E-07</w:t>
            </w:r>
          </w:p>
        </w:tc>
        <w:tc>
          <w:tcPr>
            <w:tcW w:w="1380" w:type="dxa"/>
            <w:tcBorders>
              <w:bottom w:val="single" w:color="000000" w:sz="10" w:space="0"/>
            </w:tcBorders>
            <w:vAlign w:val="top"/>
          </w:tcPr>
          <w:p w14:paraId="7B47287C">
            <w:pPr>
              <w:spacing w:before="107" w:line="197" w:lineRule="auto"/>
              <w:ind w:left="458" w:leftChars="0"/>
              <w:rPr>
                <w:rFonts w:ascii="Times New Roman" w:hAnsi="Times New Roman" w:eastAsia="Times New Roman" w:cs="Times New Roman"/>
                <w:sz w:val="21"/>
                <w:szCs w:val="21"/>
                <w:highlight w:val="none"/>
              </w:rPr>
            </w:pPr>
            <w:r>
              <w:rPr>
                <w:rFonts w:ascii="Times New Roman" w:hAnsi="Times New Roman" w:eastAsia="Times New Roman" w:cs="Times New Roman"/>
                <w:spacing w:val="-1"/>
                <w:sz w:val="21"/>
                <w:szCs w:val="21"/>
                <w:highlight w:val="none"/>
              </w:rPr>
              <w:t>0.102</w:t>
            </w:r>
          </w:p>
        </w:tc>
        <w:tc>
          <w:tcPr>
            <w:tcW w:w="1531" w:type="dxa"/>
            <w:tcBorders>
              <w:bottom w:val="single" w:color="000000" w:sz="10" w:space="0"/>
            </w:tcBorders>
            <w:vAlign w:val="top"/>
          </w:tcPr>
          <w:p w14:paraId="10CCBE2A">
            <w:pPr>
              <w:spacing w:before="72" w:line="205" w:lineRule="auto"/>
              <w:ind w:left="288" w:leftChars="0"/>
              <w:rPr>
                <w:highlight w:val="none"/>
              </w:rPr>
            </w:pPr>
            <w:r>
              <w:rPr>
                <w:rFonts w:ascii="Times New Roman" w:hAnsi="Times New Roman" w:eastAsia="Times New Roman" w:cs="Times New Roman"/>
                <w:sz w:val="21"/>
                <w:szCs w:val="21"/>
                <w:highlight w:val="none"/>
              </w:rPr>
              <w:t>≈</w:t>
            </w:r>
            <w:r>
              <w:rPr>
                <w:rFonts w:ascii="宋体" w:hAnsi="宋体" w:eastAsia="宋体" w:cs="宋体"/>
                <w:sz w:val="21"/>
                <w:szCs w:val="21"/>
                <w:highlight w:val="none"/>
              </w:rPr>
              <w:t>质量现状</w:t>
            </w:r>
          </w:p>
        </w:tc>
        <w:tc>
          <w:tcPr>
            <w:tcW w:w="3017" w:type="dxa"/>
            <w:tcBorders>
              <w:bottom w:val="single" w:color="000000" w:sz="10" w:space="0"/>
              <w:right w:val="nil"/>
            </w:tcBorders>
            <w:vAlign w:val="top"/>
          </w:tcPr>
          <w:p w14:paraId="17FD769C">
            <w:pPr>
              <w:spacing w:before="74" w:line="221" w:lineRule="auto"/>
              <w:ind w:left="989"/>
              <w:rPr>
                <w:rFonts w:ascii="宋体" w:hAnsi="宋体" w:eastAsia="宋体" w:cs="宋体"/>
                <w:sz w:val="21"/>
                <w:szCs w:val="21"/>
                <w:highlight w:val="none"/>
              </w:rPr>
            </w:pPr>
            <w:r>
              <w:rPr>
                <w:rFonts w:ascii="宋体" w:hAnsi="宋体" w:eastAsia="宋体" w:cs="宋体"/>
                <w:spacing w:val="-2"/>
                <w:sz w:val="21"/>
                <w:szCs w:val="21"/>
                <w:highlight w:val="none"/>
              </w:rPr>
              <w:t>无相应标准</w:t>
            </w:r>
          </w:p>
        </w:tc>
      </w:tr>
    </w:tbl>
    <w:p w14:paraId="00A791C5">
      <w:pPr>
        <w:spacing w:before="51" w:line="221" w:lineRule="auto"/>
        <w:rPr>
          <w:rFonts w:ascii="宋体" w:hAnsi="宋体" w:eastAsia="宋体" w:cs="宋体"/>
          <w:b w:val="0"/>
          <w:bCs w:val="0"/>
          <w:sz w:val="21"/>
          <w:szCs w:val="21"/>
          <w:highlight w:val="none"/>
        </w:rPr>
      </w:pPr>
      <w:r>
        <w:rPr>
          <w:rFonts w:ascii="宋体" w:hAnsi="宋体" w:eastAsia="宋体" w:cs="宋体"/>
          <w:b w:val="0"/>
          <w:bCs w:val="0"/>
          <w:spacing w:val="-4"/>
          <w:sz w:val="21"/>
          <w:szCs w:val="21"/>
          <w:highlight w:val="none"/>
        </w:rPr>
        <w:t>注：质量现状值取最大监测值。</w:t>
      </w:r>
    </w:p>
    <w:p w14:paraId="62574D3F">
      <w:pPr>
        <w:spacing w:line="221" w:lineRule="auto"/>
        <w:rPr>
          <w:rFonts w:ascii="宋体" w:hAnsi="宋体" w:eastAsia="宋体" w:cs="宋体"/>
          <w:sz w:val="21"/>
          <w:szCs w:val="21"/>
        </w:rPr>
        <w:sectPr>
          <w:headerReference r:id="rId14" w:type="default"/>
          <w:footerReference r:id="rId15" w:type="default"/>
          <w:pgSz w:w="11907" w:h="16839"/>
          <w:pgMar w:top="1531" w:right="1670" w:bottom="1387" w:left="1673" w:header="1227" w:footer="1019" w:gutter="0"/>
          <w:pgNumType w:fmt="decimal"/>
          <w:cols w:space="720" w:num="1"/>
        </w:sectPr>
      </w:pPr>
    </w:p>
    <w:p w14:paraId="40858888">
      <w:pPr>
        <w:bidi w:val="0"/>
        <w:spacing w:line="360" w:lineRule="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5.2.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w:t>
      </w: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土壤环境影响评价结论</w:t>
      </w:r>
    </w:p>
    <w:p w14:paraId="030E87BE">
      <w:pPr>
        <w:spacing w:line="360" w:lineRule="auto"/>
        <w:ind w:firstLine="428" w:firstLineChars="200"/>
        <w:rPr>
          <w:rFonts w:hint="default" w:eastAsia="宋体"/>
          <w:color w:val="auto"/>
          <w:sz w:val="24"/>
          <w:highlight w:val="none"/>
          <w:lang w:val="en-US" w:eastAsia="zh-CN"/>
        </w:rPr>
      </w:pPr>
      <w:r>
        <w:rPr>
          <w:rFonts w:hint="eastAsia" w:ascii="宋体" w:hAnsi="宋体" w:eastAsia="宋体" w:cs="宋体"/>
          <w:spacing w:val="-13"/>
          <w:sz w:val="24"/>
          <w:szCs w:val="24"/>
          <w:lang w:val="en-US" w:eastAsia="zh-CN"/>
        </w:rPr>
        <w:t>通过上述预测</w:t>
      </w:r>
      <w:r>
        <w:rPr>
          <w:rFonts w:ascii="宋体" w:hAnsi="宋体" w:eastAsia="宋体" w:cs="宋体"/>
          <w:spacing w:val="-4"/>
          <w:sz w:val="24"/>
          <w:szCs w:val="24"/>
        </w:rPr>
        <w:t>，大气沉降</w:t>
      </w:r>
      <w:r>
        <w:rPr>
          <w:rFonts w:hint="eastAsia" w:ascii="宋体" w:hAnsi="宋体" w:eastAsia="宋体" w:cs="宋体"/>
          <w:spacing w:val="-4"/>
          <w:sz w:val="24"/>
          <w:szCs w:val="24"/>
          <w:lang w:val="en-US" w:eastAsia="zh-CN"/>
        </w:rPr>
        <w:t>对土壤环境中</w:t>
      </w:r>
      <w:r>
        <w:rPr>
          <w:rFonts w:ascii="宋体" w:hAnsi="宋体" w:eastAsia="宋体" w:cs="宋体"/>
          <w:spacing w:val="-7"/>
          <w:sz w:val="24"/>
          <w:szCs w:val="24"/>
        </w:rPr>
        <w:t>锌、铅、砷、 铬、镍的增量较小，</w:t>
      </w:r>
      <w:r>
        <w:rPr>
          <w:rFonts w:hint="eastAsia" w:ascii="宋体" w:hAnsi="宋体" w:eastAsia="宋体" w:cs="宋体"/>
          <w:spacing w:val="-7"/>
          <w:sz w:val="24"/>
          <w:szCs w:val="24"/>
          <w:lang w:val="en-US" w:eastAsia="zh-CN"/>
        </w:rPr>
        <w:t>通过叠加</w:t>
      </w:r>
      <w:r>
        <w:rPr>
          <w:rFonts w:ascii="宋体" w:hAnsi="宋体" w:eastAsia="宋体" w:cs="宋体"/>
          <w:spacing w:val="-7"/>
          <w:sz w:val="24"/>
          <w:szCs w:val="24"/>
        </w:rPr>
        <w:t>区域</w:t>
      </w:r>
      <w:r>
        <w:rPr>
          <w:rFonts w:hint="eastAsia" w:ascii="宋体" w:hAnsi="宋体" w:cs="宋体"/>
          <w:spacing w:val="-7"/>
          <w:sz w:val="24"/>
          <w:szCs w:val="24"/>
          <w:lang w:val="en-US" w:eastAsia="zh-CN"/>
        </w:rPr>
        <w:t>土壤</w:t>
      </w:r>
      <w:r>
        <w:rPr>
          <w:rFonts w:hint="eastAsia" w:ascii="宋体" w:hAnsi="宋体" w:eastAsia="宋体" w:cs="宋体"/>
          <w:spacing w:val="-7"/>
          <w:sz w:val="24"/>
          <w:szCs w:val="24"/>
          <w:lang w:val="en-US" w:eastAsia="zh-CN"/>
        </w:rPr>
        <w:t>环境质量现状值，可满足质量标准</w:t>
      </w:r>
      <w:r>
        <w:rPr>
          <w:rFonts w:ascii="宋体" w:hAnsi="宋体" w:eastAsia="宋体" w:cs="宋体"/>
          <w:spacing w:val="-4"/>
          <w:sz w:val="24"/>
          <w:szCs w:val="24"/>
        </w:rPr>
        <w:t>，</w:t>
      </w:r>
      <w:r>
        <w:rPr>
          <w:rFonts w:hint="eastAsia" w:ascii="宋体" w:hAnsi="宋体" w:eastAsia="宋体" w:cs="宋体"/>
          <w:spacing w:val="-4"/>
          <w:sz w:val="24"/>
          <w:szCs w:val="24"/>
          <w:lang w:val="en-US" w:eastAsia="zh-CN"/>
        </w:rPr>
        <w:t>其中</w:t>
      </w:r>
      <w:r>
        <w:rPr>
          <w:rFonts w:ascii="宋体" w:hAnsi="宋体" w:eastAsia="宋体" w:cs="宋体"/>
          <w:spacing w:val="-4"/>
          <w:sz w:val="24"/>
          <w:szCs w:val="24"/>
        </w:rPr>
        <w:t>预测因子</w:t>
      </w:r>
      <w:r>
        <w:rPr>
          <w:rFonts w:hint="eastAsia" w:ascii="宋体" w:hAnsi="宋体" w:eastAsia="宋体" w:cs="宋体"/>
          <w:spacing w:val="-4"/>
          <w:sz w:val="24"/>
          <w:szCs w:val="24"/>
          <w:lang w:val="en-US" w:eastAsia="zh-CN"/>
        </w:rPr>
        <w:t>中</w:t>
      </w:r>
      <w:r>
        <w:rPr>
          <w:rFonts w:ascii="宋体" w:hAnsi="宋体" w:eastAsia="宋体" w:cs="宋体"/>
          <w:spacing w:val="-4"/>
          <w:sz w:val="24"/>
          <w:szCs w:val="24"/>
        </w:rPr>
        <w:t>钴无对应标准值，但预测值较小，不会改变区域土</w:t>
      </w:r>
      <w:r>
        <w:rPr>
          <w:rFonts w:ascii="宋体" w:hAnsi="宋体" w:eastAsia="宋体" w:cs="宋体"/>
          <w:spacing w:val="-5"/>
          <w:sz w:val="24"/>
          <w:szCs w:val="24"/>
        </w:rPr>
        <w:t>壤</w:t>
      </w:r>
      <w:r>
        <w:rPr>
          <w:rFonts w:hint="eastAsia" w:ascii="宋体" w:hAnsi="宋体" w:eastAsia="宋体" w:cs="宋体"/>
          <w:spacing w:val="-5"/>
          <w:sz w:val="24"/>
          <w:szCs w:val="24"/>
          <w:lang w:val="en-US" w:eastAsia="zh-CN"/>
        </w:rPr>
        <w:t>环境质量</w:t>
      </w:r>
      <w:r>
        <w:rPr>
          <w:rFonts w:ascii="宋体" w:hAnsi="宋体" w:eastAsia="宋体" w:cs="宋体"/>
          <w:spacing w:val="-2"/>
          <w:sz w:val="24"/>
          <w:szCs w:val="24"/>
        </w:rPr>
        <w:t>，</w:t>
      </w:r>
      <w:r>
        <w:rPr>
          <w:rFonts w:hint="eastAsia" w:ascii="宋体" w:hAnsi="宋体" w:eastAsia="宋体" w:cs="宋体"/>
          <w:spacing w:val="-2"/>
          <w:sz w:val="24"/>
          <w:szCs w:val="24"/>
          <w:lang w:val="en-US" w:eastAsia="zh-CN"/>
        </w:rPr>
        <w:t>因此，本</w:t>
      </w:r>
      <w:r>
        <w:rPr>
          <w:rFonts w:ascii="宋体" w:hAnsi="宋体" w:eastAsia="宋体" w:cs="宋体"/>
          <w:spacing w:val="-2"/>
          <w:sz w:val="24"/>
          <w:szCs w:val="24"/>
        </w:rPr>
        <w:t>项目</w:t>
      </w:r>
      <w:r>
        <w:rPr>
          <w:rFonts w:hint="eastAsia" w:ascii="宋体" w:hAnsi="宋体" w:eastAsia="宋体" w:cs="宋体"/>
          <w:spacing w:val="-2"/>
          <w:sz w:val="24"/>
          <w:szCs w:val="24"/>
          <w:lang w:val="en-US" w:eastAsia="zh-CN"/>
        </w:rPr>
        <w:t>建设</w:t>
      </w:r>
      <w:r>
        <w:rPr>
          <w:rFonts w:ascii="宋体" w:hAnsi="宋体" w:eastAsia="宋体" w:cs="宋体"/>
          <w:spacing w:val="-2"/>
          <w:sz w:val="24"/>
          <w:szCs w:val="24"/>
        </w:rPr>
        <w:t>对</w:t>
      </w:r>
      <w:r>
        <w:rPr>
          <w:rFonts w:hint="eastAsia" w:ascii="宋体" w:hAnsi="宋体" w:eastAsia="宋体" w:cs="宋体"/>
          <w:spacing w:val="-2"/>
          <w:sz w:val="24"/>
          <w:szCs w:val="24"/>
          <w:lang w:val="en-US" w:eastAsia="zh-CN"/>
        </w:rPr>
        <w:t>区域</w:t>
      </w:r>
      <w:r>
        <w:rPr>
          <w:rFonts w:ascii="宋体" w:hAnsi="宋体" w:eastAsia="宋体" w:cs="宋体"/>
          <w:spacing w:val="-2"/>
          <w:sz w:val="24"/>
          <w:szCs w:val="24"/>
        </w:rPr>
        <w:t>土壤环境</w:t>
      </w:r>
      <w:r>
        <w:rPr>
          <w:rFonts w:hint="eastAsia" w:ascii="宋体" w:hAnsi="宋体" w:eastAsia="宋体" w:cs="宋体"/>
          <w:spacing w:val="-2"/>
          <w:sz w:val="24"/>
          <w:szCs w:val="24"/>
          <w:lang w:val="en-US" w:eastAsia="zh-CN"/>
        </w:rPr>
        <w:t>质量的</w:t>
      </w:r>
      <w:r>
        <w:rPr>
          <w:rFonts w:ascii="宋体" w:hAnsi="宋体" w:eastAsia="宋体" w:cs="宋体"/>
          <w:spacing w:val="-2"/>
          <w:sz w:val="24"/>
          <w:szCs w:val="24"/>
        </w:rPr>
        <w:t>影响</w:t>
      </w:r>
      <w:r>
        <w:rPr>
          <w:rFonts w:ascii="宋体" w:hAnsi="宋体" w:eastAsia="宋体" w:cs="宋体"/>
          <w:spacing w:val="-2"/>
          <w:sz w:val="24"/>
          <w:szCs w:val="24"/>
          <w:highlight w:val="none"/>
        </w:rPr>
        <w:t>较小。</w:t>
      </w:r>
    </w:p>
    <w:p w14:paraId="08297903">
      <w:pPr>
        <w:pStyle w:val="5"/>
        <w:bidi w:val="0"/>
        <w:spacing w:line="240" w:lineRule="auto"/>
        <w:rPr>
          <w:rFonts w:hint="eastAsia" w:ascii="Times New Roman" w:hAnsi="Times New Roman" w:eastAsia="宋体" w:cs="Times New Roman"/>
          <w:b/>
          <w:bCs/>
          <w:color w:val="auto"/>
          <w:sz w:val="24"/>
          <w:szCs w:val="24"/>
          <w:highlight w:val="none"/>
          <w:lang w:val="en-US" w:eastAsia="zh-CN"/>
        </w:rPr>
      </w:pPr>
      <w:bookmarkStart w:id="88" w:name="_Toc23498"/>
      <w:r>
        <w:rPr>
          <w:rFonts w:hint="eastAsia" w:ascii="Times New Roman" w:hAnsi="Times New Roman" w:eastAsia="宋体" w:cs="Times New Roman"/>
          <w:b/>
          <w:bCs/>
          <w:color w:val="auto"/>
          <w:sz w:val="24"/>
          <w:szCs w:val="24"/>
          <w:highlight w:val="none"/>
          <w:lang w:val="en-US" w:eastAsia="zh-CN"/>
        </w:rPr>
        <w:t>5.2.</w:t>
      </w:r>
      <w:r>
        <w:rPr>
          <w:rFonts w:hint="eastAsia" w:cs="Times New Roman"/>
          <w:b/>
          <w:bCs/>
          <w:color w:val="auto"/>
          <w:sz w:val="24"/>
          <w:szCs w:val="24"/>
          <w:highlight w:val="none"/>
          <w:lang w:val="en-US" w:eastAsia="zh-CN"/>
        </w:rPr>
        <w:t>6</w:t>
      </w:r>
      <w:r>
        <w:rPr>
          <w:rFonts w:hint="eastAsia" w:ascii="Times New Roman" w:hAnsi="Times New Roman" w:eastAsia="宋体" w:cs="Times New Roman"/>
          <w:b/>
          <w:bCs/>
          <w:color w:val="auto"/>
          <w:sz w:val="24"/>
          <w:szCs w:val="24"/>
          <w:highlight w:val="none"/>
          <w:lang w:val="en-US" w:eastAsia="zh-CN"/>
        </w:rPr>
        <w:t>生态环境影响分析</w:t>
      </w:r>
      <w:bookmarkEnd w:id="88"/>
    </w:p>
    <w:p w14:paraId="7B48286B">
      <w:pPr>
        <w:autoSpaceDE w:val="0"/>
        <w:autoSpaceDN w:val="0"/>
        <w:adjustRightInd w:val="0"/>
        <w:spacing w:line="500" w:lineRule="exact"/>
        <w:rPr>
          <w:rFonts w:ascii="Times New Roman" w:hAnsi="Times New Roman" w:eastAsia="宋体" w:cs="Times New Roman"/>
          <w:b/>
          <w:bCs/>
          <w:color w:val="auto"/>
          <w:sz w:val="24"/>
        </w:rPr>
      </w:pPr>
      <w:r>
        <w:rPr>
          <w:rFonts w:ascii="Times New Roman" w:hAnsi="Times New Roman" w:eastAsia="宋体" w:cs="Times New Roman"/>
          <w:b/>
          <w:bCs/>
          <w:color w:val="auto"/>
          <w:sz w:val="24"/>
          <w:highlight w:val="none"/>
        </w:rPr>
        <w:t>5.</w:t>
      </w:r>
      <w:r>
        <w:rPr>
          <w:rFonts w:hint="eastAsia" w:ascii="Times New Roman" w:hAnsi="Times New Roman" w:eastAsia="宋体" w:cs="Times New Roman"/>
          <w:b/>
          <w:bCs/>
          <w:color w:val="auto"/>
          <w:sz w:val="24"/>
          <w:highlight w:val="none"/>
          <w:lang w:val="en-US" w:eastAsia="zh-CN"/>
        </w:rPr>
        <w:t>2.</w:t>
      </w:r>
      <w:r>
        <w:rPr>
          <w:rFonts w:hint="eastAsia" w:cs="Times New Roman"/>
          <w:b/>
          <w:bCs/>
          <w:color w:val="auto"/>
          <w:sz w:val="24"/>
          <w:highlight w:val="none"/>
          <w:lang w:val="en-US" w:eastAsia="zh-CN"/>
        </w:rPr>
        <w:t>6</w:t>
      </w:r>
      <w:r>
        <w:rPr>
          <w:rFonts w:ascii="Times New Roman" w:hAnsi="Times New Roman" w:eastAsia="宋体" w:cs="Times New Roman"/>
          <w:b/>
          <w:bCs/>
          <w:color w:val="auto"/>
          <w:sz w:val="24"/>
          <w:highlight w:val="none"/>
        </w:rPr>
        <w:t>.1生态系统现状调查</w:t>
      </w:r>
    </w:p>
    <w:p w14:paraId="6F40D307">
      <w:pPr>
        <w:autoSpaceDE w:val="0"/>
        <w:autoSpaceDN w:val="0"/>
        <w:adjustRightInd w:val="0"/>
        <w:spacing w:line="500" w:lineRule="exac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经调查，项目所在区域生态系统类型以农业生态系统和城市生态系统为主，植被类型以人工植被和杂草丛为主，土地利用类型为农用地、工业用地、道路交通用地等。</w:t>
      </w:r>
      <w:r>
        <w:rPr>
          <w:rFonts w:hint="eastAsia" w:cs="Times New Roman"/>
          <w:color w:val="auto"/>
          <w:sz w:val="24"/>
          <w:highlight w:val="none"/>
          <w:lang w:eastAsia="zh-CN"/>
        </w:rPr>
        <w:t>本次改扩建</w:t>
      </w:r>
      <w:r>
        <w:rPr>
          <w:rFonts w:hint="eastAsia" w:ascii="Times New Roman" w:hAnsi="Times New Roman" w:eastAsia="宋体" w:cs="Times New Roman"/>
          <w:color w:val="auto"/>
          <w:sz w:val="24"/>
          <w:highlight w:val="none"/>
          <w:lang w:eastAsia="zh-CN"/>
        </w:rPr>
        <w:t>项目</w:t>
      </w:r>
      <w:r>
        <w:rPr>
          <w:rFonts w:ascii="Times New Roman" w:hAnsi="Times New Roman" w:eastAsia="宋体" w:cs="Times New Roman"/>
          <w:color w:val="auto"/>
          <w:sz w:val="24"/>
          <w:highlight w:val="none"/>
        </w:rPr>
        <w:t>位于原有厂区范围内，</w:t>
      </w:r>
      <w:r>
        <w:rPr>
          <w:rFonts w:ascii="Times New Roman" w:hAnsi="Times New Roman" w:eastAsia="宋体" w:cs="Times New Roman"/>
          <w:color w:val="auto"/>
          <w:sz w:val="24"/>
        </w:rPr>
        <w:t>项目建设不会改变区域生态系统类型、植被类型及土地利用类型，因此项目的实施不会对区域生态系统类型、植被类型及土地利用类型产生明显影响。</w:t>
      </w:r>
    </w:p>
    <w:p w14:paraId="1AD3A04C">
      <w:pPr>
        <w:autoSpaceDE w:val="0"/>
        <w:autoSpaceDN w:val="0"/>
        <w:adjustRightInd w:val="0"/>
        <w:spacing w:line="500" w:lineRule="exact"/>
        <w:rPr>
          <w:rFonts w:ascii="Times New Roman" w:hAnsi="Times New Roman" w:eastAsia="宋体" w:cs="Times New Roman"/>
          <w:b/>
          <w:bCs/>
          <w:color w:val="auto"/>
          <w:sz w:val="24"/>
        </w:rPr>
      </w:pPr>
      <w:r>
        <w:rPr>
          <w:rFonts w:ascii="Times New Roman" w:hAnsi="Times New Roman" w:eastAsia="宋体" w:cs="Times New Roman"/>
          <w:b/>
          <w:bCs/>
          <w:color w:val="auto"/>
          <w:sz w:val="24"/>
        </w:rPr>
        <w:t>5.</w:t>
      </w:r>
      <w:r>
        <w:rPr>
          <w:rFonts w:hint="eastAsia" w:ascii="Times New Roman" w:hAnsi="Times New Roman" w:eastAsia="宋体" w:cs="Times New Roman"/>
          <w:b/>
          <w:bCs/>
          <w:color w:val="auto"/>
          <w:sz w:val="24"/>
          <w:lang w:val="en-US" w:eastAsia="zh-CN"/>
        </w:rPr>
        <w:t>2.</w:t>
      </w:r>
      <w:r>
        <w:rPr>
          <w:rFonts w:hint="eastAsia" w:cs="Times New Roman"/>
          <w:b/>
          <w:bCs/>
          <w:color w:val="auto"/>
          <w:sz w:val="24"/>
          <w:lang w:val="en-US" w:eastAsia="zh-CN"/>
        </w:rPr>
        <w:t>6</w:t>
      </w:r>
      <w:r>
        <w:rPr>
          <w:rFonts w:ascii="Times New Roman" w:hAnsi="Times New Roman" w:eastAsia="宋体" w:cs="Times New Roman"/>
          <w:b/>
          <w:bCs/>
          <w:color w:val="auto"/>
          <w:sz w:val="24"/>
        </w:rPr>
        <w:t>.2生态环境影响评价</w:t>
      </w:r>
    </w:p>
    <w:p w14:paraId="5EB59961">
      <w:pPr>
        <w:autoSpaceDE w:val="0"/>
        <w:autoSpaceDN w:val="0"/>
        <w:adjustRightInd w:val="0"/>
        <w:spacing w:line="500" w:lineRule="exac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场址所占区域位于原有厂区范围内。项目的实施不会造成土地利用性质发生改变，因此项目的实施不会对区域土地利用格局产生明显不良影响。项目所在区域生态系统类型以农业生态系统和城市生态系统为主，占地将对地表植被产生一定的影响，鉴于项目占地面积较小，项目的实施不会对区域生态系统稳定性、区域生态功能产生明显影响；此外，项目通过加强场区及四周的绿化，对生态系统可起到一定的补偿作用，因此项目实施后不会对生态环境造成明显影响。</w:t>
      </w:r>
    </w:p>
    <w:p w14:paraId="6E132460">
      <w:pPr>
        <w:autoSpaceDE w:val="0"/>
        <w:autoSpaceDN w:val="0"/>
        <w:adjustRightInd w:val="0"/>
        <w:spacing w:line="500" w:lineRule="exact"/>
        <w:ind w:firstLine="480" w:firstLineChars="200"/>
        <w:rPr>
          <w:rFonts w:ascii="Times New Roman" w:hAnsi="Times New Roman" w:eastAsia="宋体" w:cs="Times New Roman"/>
          <w:color w:val="auto"/>
          <w:sz w:val="24"/>
        </w:rPr>
        <w:sectPr>
          <w:headerReference r:id="rId16" w:type="default"/>
          <w:footerReference r:id="rId17" w:type="default"/>
          <w:pgSz w:w="11907" w:h="16839"/>
          <w:pgMar w:top="1531" w:right="1670" w:bottom="1387" w:left="1673" w:header="1227" w:footer="1016" w:gutter="0"/>
          <w:pgNumType w:fmt="decimal"/>
          <w:cols w:space="720" w:num="1"/>
        </w:sectPr>
      </w:pPr>
      <w:r>
        <w:rPr>
          <w:rFonts w:ascii="Times New Roman" w:hAnsi="Times New Roman" w:eastAsia="宋体" w:cs="Times New Roman"/>
          <w:color w:val="auto"/>
          <w:sz w:val="24"/>
        </w:rPr>
        <w:t>建设项目施工和运营对动物的影响具体表现为噪声惊扰，导致动物远离建设项目附近的绿化带内。据调查建设项目评价范围内没有国家和地方重点保护野生动物分布，因此建设项目对国家重点保护野生动物没有影响。建设项目区内现有野生动物相当稀少，建设项目对野生动物影响很小。项目建成后随着绿化措施的完善可进一步降低影响。</w:t>
      </w:r>
    </w:p>
    <w:p w14:paraId="64CA76F1">
      <w:pPr>
        <w:pStyle w:val="3"/>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lang w:val="en-US" w:eastAsia="zh-CN"/>
        </w:rPr>
      </w:pPr>
      <w:bookmarkStart w:id="89" w:name="_Toc32430"/>
      <w:bookmarkStart w:id="90" w:name="_Toc490547788"/>
      <w:bookmarkStart w:id="91" w:name="_Toc7704"/>
      <w:bookmarkStart w:id="92" w:name="_Toc1506"/>
      <w:bookmarkStart w:id="93" w:name="_Toc524081467"/>
      <w:bookmarkStart w:id="94" w:name="_Toc17352_WPSOffice_Level1"/>
      <w:bookmarkStart w:id="95" w:name="_Toc31597"/>
      <w:bookmarkStart w:id="96" w:name="_Toc16064"/>
      <w:bookmarkStart w:id="97" w:name="_Toc24130"/>
      <w:bookmarkStart w:id="98" w:name="_Toc440368268"/>
      <w:r>
        <w:rPr>
          <w:rFonts w:hint="eastAsia"/>
          <w:lang w:val="en-US" w:eastAsia="zh-CN"/>
        </w:rPr>
        <w:t>7</w:t>
      </w:r>
      <w:r>
        <w:rPr>
          <w:rFonts w:hint="default"/>
          <w:lang w:val="en-US" w:eastAsia="zh-CN"/>
        </w:rPr>
        <w:t>环境风险评价</w:t>
      </w:r>
      <w:bookmarkEnd w:id="89"/>
      <w:bookmarkEnd w:id="90"/>
      <w:bookmarkEnd w:id="91"/>
      <w:bookmarkEnd w:id="92"/>
      <w:bookmarkEnd w:id="93"/>
      <w:bookmarkEnd w:id="94"/>
      <w:bookmarkEnd w:id="95"/>
      <w:bookmarkEnd w:id="96"/>
      <w:bookmarkEnd w:id="97"/>
      <w:bookmarkEnd w:id="98"/>
    </w:p>
    <w:p w14:paraId="517188CB">
      <w:pPr>
        <w:pStyle w:val="4"/>
        <w:bidi w:val="0"/>
        <w:rPr>
          <w:rFonts w:hint="default" w:ascii="Times New Roman" w:hAnsi="Times New Roman" w:cs="Times New Roman" w:eastAsiaTheme="minorEastAsia"/>
          <w:lang w:val="en-US" w:eastAsia="zh-CN"/>
        </w:rPr>
      </w:pPr>
      <w:bookmarkStart w:id="99" w:name="_Toc18955"/>
      <w:bookmarkStart w:id="100" w:name="_Toc9211"/>
      <w:bookmarkStart w:id="101" w:name="_Toc32274"/>
      <w:r>
        <w:rPr>
          <w:rFonts w:hint="default" w:ascii="Times New Roman" w:hAnsi="Times New Roman" w:cs="Times New Roman" w:eastAsiaTheme="minorEastAsia"/>
          <w:lang w:val="en-US" w:eastAsia="zh-CN"/>
        </w:rPr>
        <w:t>7.1评价依据</w:t>
      </w:r>
      <w:bookmarkEnd w:id="99"/>
    </w:p>
    <w:p w14:paraId="63871F74">
      <w:pPr>
        <w:pStyle w:val="5"/>
        <w:bidi w:val="0"/>
        <w:rPr>
          <w:rFonts w:hint="default"/>
          <w:lang w:val="en-US" w:eastAsia="zh-CN"/>
        </w:rPr>
      </w:pPr>
      <w:r>
        <w:rPr>
          <w:rFonts w:hint="eastAsia"/>
          <w:lang w:val="en-US" w:eastAsia="zh-CN"/>
        </w:rPr>
        <w:t>7.1.1风险调查</w:t>
      </w:r>
    </w:p>
    <w:bookmarkEnd w:id="100"/>
    <w:p w14:paraId="3AB70457">
      <w:pPr>
        <w:keepNext/>
        <w:keepLines/>
        <w:widowControl w:val="0"/>
        <w:bidi w:val="0"/>
        <w:snapToGrid/>
        <w:spacing w:beforeLines="0" w:beforeAutospacing="0" w:afterLines="0" w:afterAutospacing="0" w:line="360" w:lineRule="auto"/>
        <w:jc w:val="both"/>
        <w:outlineLvl w:val="1"/>
        <w:rPr>
          <w:rFonts w:hint="eastAsia" w:ascii="Times New Roman" w:hAnsi="Times New Roman" w:eastAsia="宋体" w:cs="Times New Roman"/>
          <w:b/>
          <w:color w:val="auto"/>
          <w:kern w:val="2"/>
          <w:sz w:val="24"/>
          <w:szCs w:val="21"/>
          <w:highlight w:val="none"/>
          <w:lang w:val="en-US" w:eastAsia="zh-CN" w:bidi="ar-SA"/>
        </w:rPr>
      </w:pPr>
      <w:bookmarkStart w:id="102" w:name="_Toc20733"/>
      <w:r>
        <w:rPr>
          <w:rFonts w:hint="eastAsia" w:cs="Times New Roman"/>
          <w:b/>
          <w:color w:val="auto"/>
          <w:kern w:val="2"/>
          <w:sz w:val="24"/>
          <w:szCs w:val="21"/>
          <w:highlight w:val="none"/>
          <w:lang w:val="en-US" w:eastAsia="zh-CN" w:bidi="ar-SA"/>
        </w:rPr>
        <w:t>1、环境</w:t>
      </w:r>
      <w:r>
        <w:rPr>
          <w:rFonts w:hint="eastAsia" w:ascii="Times New Roman" w:hAnsi="Times New Roman" w:eastAsia="宋体" w:cs="Times New Roman"/>
          <w:b/>
          <w:color w:val="auto"/>
          <w:kern w:val="2"/>
          <w:sz w:val="24"/>
          <w:szCs w:val="21"/>
          <w:highlight w:val="none"/>
          <w:lang w:val="en-US" w:eastAsia="zh-CN" w:bidi="ar-SA"/>
        </w:rPr>
        <w:t>风险</w:t>
      </w:r>
      <w:bookmarkEnd w:id="101"/>
      <w:r>
        <w:rPr>
          <w:rFonts w:hint="eastAsia" w:cs="Times New Roman"/>
          <w:b/>
          <w:color w:val="auto"/>
          <w:kern w:val="2"/>
          <w:sz w:val="24"/>
          <w:szCs w:val="21"/>
          <w:highlight w:val="none"/>
          <w:lang w:val="en-US" w:eastAsia="zh-CN" w:bidi="ar-SA"/>
        </w:rPr>
        <w:t>物质</w:t>
      </w:r>
      <w:bookmarkEnd w:id="102"/>
    </w:p>
    <w:p w14:paraId="624F2462">
      <w:pPr>
        <w:autoSpaceDE w:val="0"/>
        <w:autoSpaceDN w:val="0"/>
        <w:adjustRightInd w:val="0"/>
        <w:spacing w:line="500" w:lineRule="exact"/>
        <w:ind w:firstLine="480" w:firstLineChars="200"/>
        <w:rPr>
          <w:rFonts w:ascii="Times New Roman" w:hAnsi="Times New Roman" w:eastAsia="宋体" w:cs="Times New Roman"/>
          <w:color w:val="auto"/>
          <w:sz w:val="24"/>
          <w:highlight w:val="none"/>
        </w:rPr>
      </w:pPr>
      <w:r>
        <w:rPr>
          <w:color w:val="auto"/>
          <w:sz w:val="24"/>
          <w:szCs w:val="24"/>
          <w:highlight w:val="none"/>
        </w:rPr>
        <w:t>根据《危险化学</w:t>
      </w:r>
      <w:r>
        <w:rPr>
          <w:color w:val="auto"/>
          <w:sz w:val="24"/>
          <w:szCs w:val="24"/>
        </w:rPr>
        <w:t>品重大危险源辨识》（GB18218-2018）、《建设项目环境风险评价技术导则》（HJ169-2018），</w:t>
      </w:r>
      <w:r>
        <w:rPr>
          <w:rFonts w:hint="eastAsia"/>
          <w:color w:val="auto"/>
          <w:sz w:val="24"/>
          <w:szCs w:val="24"/>
          <w:lang w:val="en-US" w:eastAsia="zh-CN"/>
        </w:rPr>
        <w:t>本</w:t>
      </w:r>
      <w:r>
        <w:rPr>
          <w:rFonts w:hint="eastAsia"/>
          <w:color w:val="auto"/>
          <w:sz w:val="24"/>
          <w:szCs w:val="24"/>
        </w:rPr>
        <w:t>项目</w:t>
      </w:r>
      <w:r>
        <w:rPr>
          <w:color w:val="auto"/>
          <w:sz w:val="24"/>
          <w:szCs w:val="24"/>
        </w:rPr>
        <w:t>运营期</w:t>
      </w:r>
      <w:r>
        <w:rPr>
          <w:rFonts w:hint="eastAsia"/>
          <w:color w:val="auto"/>
          <w:sz w:val="24"/>
          <w:szCs w:val="24"/>
          <w:lang w:val="en-US" w:eastAsia="zh-CN"/>
        </w:rPr>
        <w:t>原料中</w:t>
      </w:r>
      <w:r>
        <w:rPr>
          <w:color w:val="auto"/>
          <w:sz w:val="24"/>
          <w:szCs w:val="24"/>
        </w:rPr>
        <w:t>涉及的风险物质为</w:t>
      </w:r>
      <w:r>
        <w:rPr>
          <w:rFonts w:hint="eastAsia"/>
          <w:color w:val="auto"/>
          <w:sz w:val="24"/>
          <w:szCs w:val="24"/>
          <w:lang w:val="en-US" w:eastAsia="zh-CN"/>
        </w:rPr>
        <w:t>丁基黄药、丁铵黑药、2号油，危废中涉及的风险物质为浮选药剂废包装、废机油和废油桶</w:t>
      </w:r>
      <w:r>
        <w:rPr>
          <w:rFonts w:hint="eastAsia"/>
          <w:color w:val="auto"/>
          <w:sz w:val="24"/>
          <w:szCs w:val="24"/>
          <w:lang w:eastAsia="zh-CN"/>
        </w:rPr>
        <w:t>。</w:t>
      </w:r>
    </w:p>
    <w:p w14:paraId="7EB9E898">
      <w:pPr>
        <w:keepNext/>
        <w:keepLines/>
        <w:widowControl w:val="0"/>
        <w:bidi w:val="0"/>
        <w:spacing w:beforeLines="0" w:beforeAutospacing="0" w:afterLines="0" w:afterAutospacing="0" w:line="360" w:lineRule="auto"/>
        <w:jc w:val="both"/>
        <w:outlineLvl w:val="2"/>
        <w:rPr>
          <w:rFonts w:hint="default" w:ascii="Times New Roman" w:hAnsi="Times New Roman" w:eastAsia="宋体" w:cs="Times New Roman"/>
          <w:b/>
          <w:color w:val="auto"/>
          <w:kern w:val="2"/>
          <w:sz w:val="24"/>
          <w:szCs w:val="24"/>
          <w:highlight w:val="none"/>
          <w:lang w:val="en-US" w:eastAsia="zh-CN" w:bidi="ar-SA"/>
        </w:rPr>
      </w:pPr>
      <w:bookmarkStart w:id="103" w:name="_Toc14237"/>
      <w:r>
        <w:rPr>
          <w:rFonts w:hint="eastAsia" w:cs="Times New Roman"/>
          <w:b/>
          <w:color w:val="auto"/>
          <w:kern w:val="2"/>
          <w:sz w:val="24"/>
          <w:szCs w:val="24"/>
          <w:highlight w:val="none"/>
          <w:lang w:val="en-US" w:eastAsia="zh-CN" w:bidi="ar-SA"/>
        </w:rPr>
        <w:t>2、</w:t>
      </w:r>
      <w:r>
        <w:rPr>
          <w:rFonts w:hint="default" w:ascii="Times New Roman" w:hAnsi="Times New Roman" w:eastAsia="宋体" w:cs="Times New Roman"/>
          <w:b/>
          <w:color w:val="auto"/>
          <w:kern w:val="2"/>
          <w:sz w:val="24"/>
          <w:szCs w:val="24"/>
          <w:highlight w:val="none"/>
          <w:lang w:val="en-US" w:eastAsia="zh-CN" w:bidi="ar-SA"/>
        </w:rPr>
        <w:t>生产系统风险调查</w:t>
      </w:r>
      <w:bookmarkEnd w:id="103"/>
    </w:p>
    <w:p w14:paraId="76982AD1">
      <w:pPr>
        <w:autoSpaceDE w:val="0"/>
        <w:autoSpaceDN w:val="0"/>
        <w:adjustRightInd w:val="0"/>
        <w:spacing w:line="500" w:lineRule="exac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生产设施风险识别范围：主体工程、贮运系统、公用工程系统、工程环保设施及 辅助生产设施等。具体营运过程中危害风险见表</w:t>
      </w:r>
      <w:r>
        <w:rPr>
          <w:rFonts w:hint="eastAsia" w:cs="Times New Roman"/>
          <w:color w:val="auto"/>
          <w:sz w:val="24"/>
          <w:lang w:val="en-US" w:eastAsia="zh-CN"/>
        </w:rPr>
        <w:t>7</w:t>
      </w:r>
      <w:r>
        <w:rPr>
          <w:rFonts w:ascii="Times New Roman" w:hAnsi="Times New Roman" w:eastAsia="宋体" w:cs="Times New Roman"/>
          <w:color w:val="auto"/>
          <w:sz w:val="24"/>
        </w:rPr>
        <w:t>.1-1。</w:t>
      </w:r>
    </w:p>
    <w:p w14:paraId="71678E63">
      <w:pPr>
        <w:jc w:val="center"/>
        <w:rPr>
          <w:rFonts w:hint="default" w:ascii="Times New Roman" w:hAnsi="Times New Roman" w:eastAsia="宋体" w:cs="Times New Roman"/>
          <w:b/>
          <w:bCs/>
          <w:color w:val="auto"/>
          <w:spacing w:val="0"/>
          <w:position w:val="0"/>
          <w:sz w:val="24"/>
          <w:szCs w:val="32"/>
          <w:highlight w:val="none"/>
          <w:lang w:val="en-US" w:eastAsia="zh-CN"/>
        </w:rPr>
      </w:pPr>
      <w:r>
        <w:rPr>
          <w:rFonts w:hint="default" w:ascii="Times New Roman" w:hAnsi="Times New Roman" w:eastAsia="宋体" w:cs="Times New Roman"/>
          <w:b/>
          <w:bCs/>
          <w:color w:val="auto"/>
          <w:spacing w:val="0"/>
          <w:position w:val="0"/>
          <w:sz w:val="24"/>
          <w:szCs w:val="32"/>
          <w:highlight w:val="none"/>
          <w:lang w:val="en-US" w:eastAsia="zh-CN"/>
        </w:rPr>
        <w:t>表</w:t>
      </w:r>
      <w:r>
        <w:rPr>
          <w:rFonts w:hint="eastAsia" w:cs="Times New Roman"/>
          <w:b/>
          <w:bCs/>
          <w:color w:val="auto"/>
          <w:spacing w:val="0"/>
          <w:position w:val="0"/>
          <w:sz w:val="24"/>
          <w:szCs w:val="32"/>
          <w:highlight w:val="none"/>
          <w:lang w:val="en-US" w:eastAsia="zh-CN"/>
        </w:rPr>
        <w:t>7</w:t>
      </w:r>
      <w:r>
        <w:rPr>
          <w:rFonts w:hint="default" w:ascii="Times New Roman" w:hAnsi="Times New Roman" w:eastAsia="宋体" w:cs="Times New Roman"/>
          <w:b/>
          <w:bCs/>
          <w:color w:val="auto"/>
          <w:spacing w:val="0"/>
          <w:position w:val="0"/>
          <w:sz w:val="24"/>
          <w:szCs w:val="32"/>
          <w:highlight w:val="none"/>
          <w:lang w:val="en-US" w:eastAsia="zh-CN"/>
        </w:rPr>
        <w:t>.1-1     生产系统风险识别一览表</w:t>
      </w:r>
    </w:p>
    <w:tbl>
      <w:tblPr>
        <w:tblStyle w:val="29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85"/>
        <w:gridCol w:w="2691"/>
        <w:gridCol w:w="2039"/>
        <w:gridCol w:w="2956"/>
      </w:tblGrid>
      <w:tr w14:paraId="5E99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516" w:type="pct"/>
            <w:tcBorders>
              <w:tl2br w:val="nil"/>
              <w:tr2bl w:val="nil"/>
            </w:tcBorders>
            <w:noWrap w:val="0"/>
            <w:vAlign w:val="center"/>
          </w:tcPr>
          <w:p w14:paraId="003C70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序号</w:t>
            </w:r>
          </w:p>
        </w:tc>
        <w:tc>
          <w:tcPr>
            <w:tcW w:w="1569" w:type="pct"/>
            <w:tcBorders>
              <w:tl2br w:val="nil"/>
              <w:tr2bl w:val="nil"/>
            </w:tcBorders>
            <w:noWrap w:val="0"/>
            <w:vAlign w:val="center"/>
          </w:tcPr>
          <w:p w14:paraId="24868E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名称</w:t>
            </w:r>
          </w:p>
        </w:tc>
        <w:tc>
          <w:tcPr>
            <w:tcW w:w="1189" w:type="pct"/>
            <w:tcBorders>
              <w:tl2br w:val="nil"/>
              <w:tr2bl w:val="nil"/>
            </w:tcBorders>
            <w:noWrap w:val="0"/>
            <w:vAlign w:val="center"/>
          </w:tcPr>
          <w:p w14:paraId="5CFE11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设备种类</w:t>
            </w:r>
          </w:p>
        </w:tc>
        <w:tc>
          <w:tcPr>
            <w:tcW w:w="1723" w:type="pct"/>
            <w:tcBorders>
              <w:tl2br w:val="nil"/>
              <w:tr2bl w:val="nil"/>
            </w:tcBorders>
            <w:noWrap w:val="0"/>
            <w:vAlign w:val="center"/>
          </w:tcPr>
          <w:p w14:paraId="2ECA46A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危险因素</w:t>
            </w:r>
          </w:p>
        </w:tc>
      </w:tr>
      <w:tr w14:paraId="056F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8" w:hRule="atLeast"/>
        </w:trPr>
        <w:tc>
          <w:tcPr>
            <w:tcW w:w="516" w:type="pct"/>
            <w:tcBorders>
              <w:tl2br w:val="nil"/>
              <w:tr2bl w:val="nil"/>
            </w:tcBorders>
            <w:noWrap w:val="0"/>
            <w:vAlign w:val="center"/>
          </w:tcPr>
          <w:p w14:paraId="1E32DC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1</w:t>
            </w:r>
          </w:p>
        </w:tc>
        <w:tc>
          <w:tcPr>
            <w:tcW w:w="1569" w:type="pct"/>
            <w:tcBorders>
              <w:tl2br w:val="nil"/>
              <w:tr2bl w:val="nil"/>
            </w:tcBorders>
            <w:noWrap w:val="0"/>
            <w:vAlign w:val="center"/>
          </w:tcPr>
          <w:p w14:paraId="1620433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cs="Times New Roman"/>
                <w:color w:val="auto"/>
                <w:spacing w:val="0"/>
                <w:kern w:val="0"/>
                <w:position w:val="0"/>
                <w:sz w:val="21"/>
                <w:szCs w:val="21"/>
                <w:highlight w:val="none"/>
                <w:lang w:val="en-US" w:eastAsia="zh-CN" w:bidi="ar"/>
              </w:rPr>
              <w:t>浮选药剂存放处</w:t>
            </w:r>
          </w:p>
        </w:tc>
        <w:tc>
          <w:tcPr>
            <w:tcW w:w="1189" w:type="pct"/>
            <w:tcBorders>
              <w:tl2br w:val="nil"/>
              <w:tr2bl w:val="nil"/>
            </w:tcBorders>
            <w:noWrap w:val="0"/>
            <w:vAlign w:val="center"/>
          </w:tcPr>
          <w:p w14:paraId="164B177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固定设备</w:t>
            </w:r>
          </w:p>
        </w:tc>
        <w:tc>
          <w:tcPr>
            <w:tcW w:w="1723" w:type="pct"/>
            <w:tcBorders>
              <w:tl2br w:val="nil"/>
              <w:tr2bl w:val="nil"/>
            </w:tcBorders>
            <w:noWrap w:val="0"/>
            <w:vAlign w:val="center"/>
          </w:tcPr>
          <w:p w14:paraId="480D82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泄漏、</w:t>
            </w:r>
            <w:r>
              <w:rPr>
                <w:rFonts w:hint="eastAsia" w:cs="Times New Roman"/>
                <w:color w:val="auto"/>
                <w:spacing w:val="0"/>
                <w:kern w:val="0"/>
                <w:position w:val="0"/>
                <w:sz w:val="21"/>
                <w:szCs w:val="21"/>
                <w:highlight w:val="none"/>
                <w:lang w:val="en-US" w:eastAsia="zh-CN" w:bidi="ar"/>
              </w:rPr>
              <w:t>遇明火发生火灾</w:t>
            </w:r>
          </w:p>
        </w:tc>
      </w:tr>
      <w:tr w14:paraId="755B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trPr>
        <w:tc>
          <w:tcPr>
            <w:tcW w:w="516" w:type="pct"/>
            <w:tcBorders>
              <w:tl2br w:val="nil"/>
              <w:tr2bl w:val="nil"/>
            </w:tcBorders>
            <w:noWrap w:val="0"/>
            <w:vAlign w:val="center"/>
          </w:tcPr>
          <w:p w14:paraId="257137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2</w:t>
            </w:r>
          </w:p>
        </w:tc>
        <w:tc>
          <w:tcPr>
            <w:tcW w:w="1569" w:type="pct"/>
            <w:tcBorders>
              <w:tl2br w:val="nil"/>
              <w:tr2bl w:val="nil"/>
            </w:tcBorders>
            <w:noWrap w:val="0"/>
            <w:vAlign w:val="center"/>
          </w:tcPr>
          <w:p w14:paraId="52E2829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eastAsia" w:cs="Times New Roman"/>
                <w:color w:val="auto"/>
                <w:spacing w:val="0"/>
                <w:kern w:val="0"/>
                <w:position w:val="0"/>
                <w:sz w:val="21"/>
                <w:szCs w:val="21"/>
                <w:highlight w:val="none"/>
                <w:lang w:val="en-US" w:eastAsia="zh-CN" w:bidi="ar"/>
              </w:rPr>
              <w:t>危废贮存点</w:t>
            </w:r>
          </w:p>
        </w:tc>
        <w:tc>
          <w:tcPr>
            <w:tcW w:w="1189" w:type="pct"/>
            <w:tcBorders>
              <w:tl2br w:val="nil"/>
              <w:tr2bl w:val="nil"/>
            </w:tcBorders>
            <w:noWrap w:val="0"/>
            <w:vAlign w:val="center"/>
          </w:tcPr>
          <w:p w14:paraId="164E15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固定设备</w:t>
            </w:r>
          </w:p>
        </w:tc>
        <w:tc>
          <w:tcPr>
            <w:tcW w:w="1723" w:type="pct"/>
            <w:tcBorders>
              <w:tl2br w:val="nil"/>
              <w:tr2bl w:val="nil"/>
            </w:tcBorders>
            <w:noWrap w:val="0"/>
            <w:vAlign w:val="center"/>
          </w:tcPr>
          <w:p w14:paraId="276CC0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pacing w:val="0"/>
                <w:kern w:val="0"/>
                <w:position w:val="0"/>
                <w:sz w:val="21"/>
                <w:szCs w:val="21"/>
                <w:highlight w:val="none"/>
                <w:lang w:val="en-US" w:eastAsia="zh-CN" w:bidi="ar"/>
              </w:rPr>
            </w:pPr>
            <w:r>
              <w:rPr>
                <w:rFonts w:hint="default" w:ascii="Times New Roman" w:hAnsi="Times New Roman" w:eastAsia="宋体" w:cs="Times New Roman"/>
                <w:color w:val="auto"/>
                <w:spacing w:val="0"/>
                <w:kern w:val="0"/>
                <w:position w:val="0"/>
                <w:sz w:val="21"/>
                <w:szCs w:val="21"/>
                <w:highlight w:val="none"/>
                <w:lang w:val="en-US" w:eastAsia="zh-CN" w:bidi="ar"/>
              </w:rPr>
              <w:t>泄漏、</w:t>
            </w:r>
            <w:r>
              <w:rPr>
                <w:rFonts w:hint="eastAsia" w:cs="Times New Roman"/>
                <w:color w:val="auto"/>
                <w:spacing w:val="0"/>
                <w:kern w:val="0"/>
                <w:position w:val="0"/>
                <w:sz w:val="21"/>
                <w:szCs w:val="21"/>
                <w:highlight w:val="none"/>
                <w:lang w:val="en-US" w:eastAsia="zh-CN" w:bidi="ar"/>
              </w:rPr>
              <w:t>遇明火发生火灾</w:t>
            </w:r>
          </w:p>
        </w:tc>
      </w:tr>
    </w:tbl>
    <w:p w14:paraId="0D8539F4">
      <w:pPr>
        <w:numPr>
          <w:ilvl w:val="0"/>
          <w:numId w:val="10"/>
        </w:numPr>
        <w:bidi w:val="0"/>
        <w:spacing w:line="360" w:lineRule="auto"/>
        <w:rPr>
          <w:rFonts w:hint="eastAsia"/>
          <w:b/>
          <w:bCs/>
          <w:sz w:val="24"/>
          <w:szCs w:val="32"/>
          <w:lang w:val="en-US" w:eastAsia="zh-CN"/>
        </w:rPr>
      </w:pPr>
      <w:bookmarkStart w:id="104" w:name="_Toc24812"/>
      <w:r>
        <w:rPr>
          <w:rFonts w:hint="eastAsia"/>
          <w:b/>
          <w:bCs/>
          <w:sz w:val="24"/>
          <w:szCs w:val="32"/>
          <w:lang w:val="en-US" w:eastAsia="zh-CN"/>
        </w:rPr>
        <w:t>评价等级</w:t>
      </w:r>
    </w:p>
    <w:p w14:paraId="3BE9A5C4">
      <w:pPr>
        <w:snapToGrid w:val="0"/>
        <w:spacing w:line="360" w:lineRule="auto"/>
        <w:ind w:firstLine="480" w:firstLineChars="200"/>
        <w:rPr>
          <w:rFonts w:eastAsia="宋体"/>
          <w:color w:val="auto"/>
          <w:kern w:val="0"/>
          <w:sz w:val="24"/>
        </w:rPr>
      </w:pPr>
      <w:r>
        <w:rPr>
          <w:rFonts w:eastAsia="宋体"/>
          <w:color w:val="auto"/>
          <w:kern w:val="0"/>
          <w:sz w:val="24"/>
        </w:rPr>
        <w:t>根据《建设项目环境风险评价技术导则》（HJ169-2018），</w:t>
      </w:r>
      <w:r>
        <w:rPr>
          <w:rFonts w:hint="eastAsia"/>
          <w:color w:val="auto"/>
          <w:kern w:val="0"/>
          <w:sz w:val="24"/>
          <w:lang w:val="en-US" w:eastAsia="zh-CN"/>
        </w:rPr>
        <w:t>并结合前文风险潜势判断，确定本项目评价等级为简单分析，具体如下。</w:t>
      </w:r>
    </w:p>
    <w:p w14:paraId="1F605F8A">
      <w:pPr>
        <w:jc w:val="center"/>
        <w:rPr>
          <w:rFonts w:eastAsia="宋体"/>
          <w:b/>
          <w:color w:val="auto"/>
          <w:szCs w:val="22"/>
        </w:rPr>
      </w:pPr>
      <w:r>
        <w:rPr>
          <w:rFonts w:eastAsia="宋体"/>
          <w:b/>
          <w:color w:val="auto"/>
          <w:szCs w:val="22"/>
        </w:rPr>
        <w:t>表</w:t>
      </w:r>
      <w:r>
        <w:rPr>
          <w:rFonts w:hint="eastAsia"/>
          <w:b/>
          <w:color w:val="auto"/>
          <w:szCs w:val="22"/>
          <w:lang w:val="en-US" w:eastAsia="zh-CN"/>
        </w:rPr>
        <w:t>7.1-2</w:t>
      </w:r>
      <w:r>
        <w:rPr>
          <w:rFonts w:hint="eastAsia" w:eastAsia="宋体"/>
          <w:b/>
          <w:color w:val="auto"/>
          <w:szCs w:val="22"/>
          <w:lang w:val="en-US" w:eastAsia="zh-CN"/>
        </w:rPr>
        <w:t xml:space="preserve">  </w:t>
      </w:r>
      <w:r>
        <w:rPr>
          <w:rFonts w:hint="eastAsia" w:eastAsia="宋体"/>
          <w:b/>
          <w:color w:val="auto"/>
          <w:szCs w:val="22"/>
        </w:rPr>
        <w:t xml:space="preserve"> </w:t>
      </w:r>
      <w:r>
        <w:rPr>
          <w:rFonts w:eastAsia="宋体"/>
          <w:b/>
          <w:color w:val="auto"/>
          <w:szCs w:val="22"/>
        </w:rPr>
        <w:t xml:space="preserve"> 环境评价等级划分表</w:t>
      </w:r>
    </w:p>
    <w:tbl>
      <w:tblPr>
        <w:tblStyle w:val="7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3"/>
        <w:gridCol w:w="1703"/>
        <w:gridCol w:w="1703"/>
        <w:gridCol w:w="1713"/>
      </w:tblGrid>
      <w:tr w14:paraId="6E00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42B998CA">
            <w:pPr>
              <w:jc w:val="center"/>
              <w:rPr>
                <w:rFonts w:eastAsia="宋体"/>
                <w:color w:val="auto"/>
                <w:szCs w:val="21"/>
              </w:rPr>
            </w:pPr>
            <w:r>
              <w:rPr>
                <w:rFonts w:eastAsia="宋体"/>
                <w:color w:val="auto"/>
                <w:szCs w:val="21"/>
              </w:rPr>
              <w:t>环境风险潜势</w:t>
            </w:r>
          </w:p>
        </w:tc>
        <w:tc>
          <w:tcPr>
            <w:tcW w:w="1703" w:type="dxa"/>
            <w:vAlign w:val="center"/>
          </w:tcPr>
          <w:p w14:paraId="29C75AC4">
            <w:pPr>
              <w:jc w:val="center"/>
              <w:rPr>
                <w:rFonts w:eastAsia="宋体"/>
                <w:color w:val="auto"/>
                <w:szCs w:val="21"/>
              </w:rPr>
            </w:pPr>
            <w:r>
              <w:rPr>
                <w:rFonts w:eastAsia="宋体"/>
                <w:color w:val="auto"/>
                <w:szCs w:val="21"/>
              </w:rPr>
              <w:t>Ⅳ、Ⅳ</w:t>
            </w:r>
            <w:r>
              <w:rPr>
                <w:rFonts w:eastAsia="宋体"/>
                <w:color w:val="auto"/>
                <w:szCs w:val="21"/>
                <w:vertAlign w:val="superscript"/>
              </w:rPr>
              <w:t>+</w:t>
            </w:r>
          </w:p>
        </w:tc>
        <w:tc>
          <w:tcPr>
            <w:tcW w:w="1703" w:type="dxa"/>
            <w:vAlign w:val="center"/>
          </w:tcPr>
          <w:p w14:paraId="0588BA73">
            <w:pPr>
              <w:jc w:val="center"/>
              <w:rPr>
                <w:rFonts w:eastAsia="宋体"/>
                <w:color w:val="auto"/>
                <w:szCs w:val="21"/>
              </w:rPr>
            </w:pPr>
            <w:r>
              <w:rPr>
                <w:rFonts w:eastAsia="宋体"/>
                <w:color w:val="auto"/>
                <w:szCs w:val="21"/>
              </w:rPr>
              <w:t>Ⅲ</w:t>
            </w:r>
          </w:p>
        </w:tc>
        <w:tc>
          <w:tcPr>
            <w:tcW w:w="1703" w:type="dxa"/>
            <w:vAlign w:val="center"/>
          </w:tcPr>
          <w:p w14:paraId="7CEC2CBD">
            <w:pPr>
              <w:jc w:val="center"/>
              <w:rPr>
                <w:rFonts w:eastAsia="宋体"/>
                <w:color w:val="auto"/>
                <w:szCs w:val="21"/>
              </w:rPr>
            </w:pPr>
            <w:r>
              <w:rPr>
                <w:rFonts w:eastAsia="宋体"/>
                <w:color w:val="auto"/>
                <w:szCs w:val="21"/>
              </w:rPr>
              <w:t>Ⅱ</w:t>
            </w:r>
          </w:p>
        </w:tc>
        <w:tc>
          <w:tcPr>
            <w:tcW w:w="1713" w:type="dxa"/>
            <w:vAlign w:val="center"/>
          </w:tcPr>
          <w:p w14:paraId="054735E8">
            <w:pPr>
              <w:jc w:val="center"/>
              <w:rPr>
                <w:rFonts w:eastAsia="宋体"/>
                <w:color w:val="auto"/>
                <w:szCs w:val="21"/>
              </w:rPr>
            </w:pPr>
            <w:r>
              <w:rPr>
                <w:rFonts w:eastAsia="宋体"/>
                <w:color w:val="auto"/>
                <w:szCs w:val="21"/>
              </w:rPr>
              <w:t>Ⅰ</w:t>
            </w:r>
          </w:p>
        </w:tc>
      </w:tr>
      <w:tr w14:paraId="14E06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3" w:type="dxa"/>
            <w:vAlign w:val="center"/>
          </w:tcPr>
          <w:p w14:paraId="76162425">
            <w:pPr>
              <w:jc w:val="center"/>
              <w:rPr>
                <w:rFonts w:eastAsia="宋体"/>
                <w:color w:val="auto"/>
                <w:szCs w:val="21"/>
              </w:rPr>
            </w:pPr>
            <w:r>
              <w:rPr>
                <w:rFonts w:eastAsia="宋体"/>
                <w:color w:val="auto"/>
                <w:szCs w:val="21"/>
              </w:rPr>
              <w:t>评价工作等级</w:t>
            </w:r>
          </w:p>
        </w:tc>
        <w:tc>
          <w:tcPr>
            <w:tcW w:w="1703" w:type="dxa"/>
            <w:vAlign w:val="center"/>
          </w:tcPr>
          <w:p w14:paraId="6E4F525E">
            <w:pPr>
              <w:jc w:val="center"/>
              <w:rPr>
                <w:rFonts w:eastAsia="宋体"/>
                <w:color w:val="auto"/>
                <w:szCs w:val="21"/>
              </w:rPr>
            </w:pPr>
            <w:r>
              <w:rPr>
                <w:rFonts w:eastAsia="宋体"/>
                <w:color w:val="auto"/>
                <w:szCs w:val="21"/>
              </w:rPr>
              <w:t>一</w:t>
            </w:r>
          </w:p>
        </w:tc>
        <w:tc>
          <w:tcPr>
            <w:tcW w:w="1703" w:type="dxa"/>
            <w:vAlign w:val="center"/>
          </w:tcPr>
          <w:p w14:paraId="48B68FFD">
            <w:pPr>
              <w:jc w:val="center"/>
              <w:rPr>
                <w:rFonts w:eastAsia="宋体"/>
                <w:color w:val="auto"/>
                <w:szCs w:val="21"/>
              </w:rPr>
            </w:pPr>
            <w:r>
              <w:rPr>
                <w:rFonts w:eastAsia="宋体"/>
                <w:color w:val="auto"/>
                <w:szCs w:val="21"/>
              </w:rPr>
              <w:t>二</w:t>
            </w:r>
          </w:p>
        </w:tc>
        <w:tc>
          <w:tcPr>
            <w:tcW w:w="1703" w:type="dxa"/>
            <w:vAlign w:val="center"/>
          </w:tcPr>
          <w:p w14:paraId="691A074B">
            <w:pPr>
              <w:jc w:val="center"/>
              <w:rPr>
                <w:rFonts w:eastAsia="宋体"/>
                <w:color w:val="auto"/>
                <w:szCs w:val="21"/>
              </w:rPr>
            </w:pPr>
            <w:r>
              <w:rPr>
                <w:rFonts w:eastAsia="宋体"/>
                <w:color w:val="auto"/>
                <w:szCs w:val="21"/>
              </w:rPr>
              <w:t>三</w:t>
            </w:r>
          </w:p>
        </w:tc>
        <w:tc>
          <w:tcPr>
            <w:tcW w:w="1713" w:type="dxa"/>
            <w:shd w:val="clear" w:color="auto" w:fill="D7D7D7" w:themeFill="background1" w:themeFillShade="D8"/>
            <w:vAlign w:val="center"/>
          </w:tcPr>
          <w:p w14:paraId="754163D8">
            <w:pPr>
              <w:jc w:val="center"/>
              <w:rPr>
                <w:rFonts w:eastAsia="宋体"/>
                <w:color w:val="auto"/>
                <w:szCs w:val="21"/>
                <w:highlight w:val="none"/>
              </w:rPr>
            </w:pPr>
            <w:r>
              <w:rPr>
                <w:rFonts w:eastAsia="宋体"/>
                <w:color w:val="auto"/>
                <w:szCs w:val="21"/>
                <w:highlight w:val="none"/>
              </w:rPr>
              <w:t>简单分析</w:t>
            </w:r>
            <w:r>
              <w:rPr>
                <w:rFonts w:eastAsia="宋体"/>
                <w:color w:val="auto"/>
                <w:szCs w:val="21"/>
                <w:highlight w:val="none"/>
                <w:vertAlign w:val="superscript"/>
              </w:rPr>
              <w:t>a</w:t>
            </w:r>
          </w:p>
        </w:tc>
      </w:tr>
      <w:tr w14:paraId="6363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25" w:type="dxa"/>
            <w:gridSpan w:val="5"/>
            <w:vAlign w:val="center"/>
          </w:tcPr>
          <w:p w14:paraId="53B10347">
            <w:pPr>
              <w:rPr>
                <w:rFonts w:hint="eastAsia" w:eastAsia="宋体"/>
                <w:color w:val="auto"/>
                <w:szCs w:val="21"/>
                <w:lang w:eastAsia="zh-CN"/>
              </w:rPr>
            </w:pPr>
            <w:r>
              <w:rPr>
                <w:rFonts w:eastAsia="宋体"/>
                <w:color w:val="auto"/>
                <w:szCs w:val="21"/>
              </w:rPr>
              <w:t>a是相对于详细评价工作内容而言，在描述危险物质、环境影响途径、环境危害后果、风险防范措施等方面给出定性的说明</w:t>
            </w:r>
            <w:r>
              <w:rPr>
                <w:rFonts w:hint="eastAsia"/>
                <w:color w:val="auto"/>
                <w:szCs w:val="21"/>
                <w:lang w:eastAsia="zh-CN"/>
              </w:rPr>
              <w:t>。</w:t>
            </w:r>
          </w:p>
        </w:tc>
      </w:tr>
      <w:bookmarkEnd w:id="104"/>
    </w:tbl>
    <w:p w14:paraId="6787E38B">
      <w:pPr>
        <w:pStyle w:val="4"/>
        <w:bidi w:val="0"/>
        <w:rPr>
          <w:rFonts w:hint="default" w:ascii="Times New Roman" w:hAnsi="Times New Roman" w:cs="Times New Roman" w:eastAsiaTheme="minorEastAsia"/>
          <w:lang w:val="en-US" w:eastAsia="zh-CN"/>
        </w:rPr>
      </w:pPr>
      <w:bookmarkStart w:id="105" w:name="_bookmark47"/>
      <w:bookmarkEnd w:id="105"/>
      <w:bookmarkStart w:id="106" w:name="_Toc15897"/>
      <w:bookmarkStart w:id="107" w:name="_Toc31155"/>
      <w:bookmarkStart w:id="108" w:name="_Toc27932"/>
      <w:r>
        <w:rPr>
          <w:rFonts w:hint="default" w:ascii="Times New Roman" w:hAnsi="Times New Roman" w:cs="Times New Roman" w:eastAsiaTheme="minorEastAsia"/>
          <w:lang w:val="en-US" w:eastAsia="zh-CN"/>
        </w:rPr>
        <w:t>7.</w:t>
      </w: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en-US" w:eastAsia="zh-CN"/>
        </w:rPr>
        <w:t>环境保护目标概况</w:t>
      </w:r>
      <w:bookmarkEnd w:id="106"/>
      <w:bookmarkEnd w:id="107"/>
      <w:bookmarkEnd w:id="108"/>
    </w:p>
    <w:p w14:paraId="65A121A7">
      <w:pPr>
        <w:autoSpaceDE w:val="0"/>
        <w:autoSpaceDN w:val="0"/>
        <w:adjustRightInd w:val="0"/>
        <w:spacing w:line="360" w:lineRule="auto"/>
        <w:ind w:firstLine="480" w:firstLineChars="200"/>
        <w:rPr>
          <w:rFonts w:ascii="Arial" w:hAnsi="Times New Roman" w:eastAsia="宋体" w:cs="Times New Roman"/>
          <w:color w:val="auto"/>
          <w:sz w:val="24"/>
          <w:szCs w:val="24"/>
        </w:rPr>
      </w:pPr>
      <w:r>
        <w:rPr>
          <w:rFonts w:hint="eastAsia" w:cs="Times New Roman"/>
          <w:color w:val="auto"/>
          <w:sz w:val="24"/>
          <w:szCs w:val="24"/>
          <w:lang w:eastAsia="zh-CN"/>
        </w:rPr>
        <w:t>本次改扩建</w:t>
      </w: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rPr>
        <w:t>环境风险主要保护目标</w:t>
      </w:r>
      <w:r>
        <w:rPr>
          <w:rFonts w:hint="eastAsia" w:cs="Times New Roman"/>
          <w:color w:val="auto"/>
          <w:sz w:val="24"/>
          <w:szCs w:val="24"/>
          <w:lang w:val="en-US" w:eastAsia="zh-CN"/>
        </w:rPr>
        <w:t>为周边居民及附近地表水体，具体见下表</w:t>
      </w:r>
      <w:r>
        <w:rPr>
          <w:rFonts w:ascii="Times New Roman" w:hAnsi="Times New Roman" w:eastAsia="宋体" w:cs="Times New Roman"/>
          <w:color w:val="auto"/>
          <w:sz w:val="24"/>
          <w:szCs w:val="24"/>
        </w:rPr>
        <w:t>。</w:t>
      </w:r>
    </w:p>
    <w:p w14:paraId="2EB244A5">
      <w:pPr>
        <w:spacing w:line="360" w:lineRule="auto"/>
        <w:jc w:val="center"/>
        <w:rPr>
          <w:rFonts w:hint="default" w:ascii="Times New Roman" w:hAnsi="Times New Roman" w:eastAsia="宋体" w:cs="Times New Roman"/>
          <w:b/>
          <w:bCs/>
          <w:color w:val="auto"/>
          <w:spacing w:val="0"/>
          <w:position w:val="0"/>
          <w:sz w:val="24"/>
          <w:szCs w:val="24"/>
          <w:highlight w:val="none"/>
          <w:lang w:val="en-US" w:eastAsia="zh-CN"/>
        </w:rPr>
      </w:pPr>
    </w:p>
    <w:p w14:paraId="0119E803">
      <w:pPr>
        <w:spacing w:line="360" w:lineRule="auto"/>
        <w:jc w:val="center"/>
        <w:rPr>
          <w:rFonts w:hint="default" w:ascii="Times New Roman" w:hAnsi="Times New Roman" w:eastAsia="宋体" w:cs="Times New Roman"/>
          <w:b/>
          <w:bCs/>
          <w:color w:val="auto"/>
          <w:spacing w:val="0"/>
          <w:position w:val="0"/>
          <w:sz w:val="24"/>
          <w:szCs w:val="24"/>
          <w:highlight w:val="none"/>
          <w:lang w:val="en-US" w:eastAsia="zh-CN"/>
        </w:rPr>
      </w:pPr>
      <w:r>
        <w:rPr>
          <w:rFonts w:hint="default" w:ascii="Times New Roman" w:hAnsi="Times New Roman" w:eastAsia="宋体" w:cs="Times New Roman"/>
          <w:b/>
          <w:bCs/>
          <w:color w:val="auto"/>
          <w:spacing w:val="0"/>
          <w:position w:val="0"/>
          <w:sz w:val="24"/>
          <w:szCs w:val="24"/>
          <w:highlight w:val="none"/>
          <w:lang w:val="en-US" w:eastAsia="zh-CN"/>
        </w:rPr>
        <w:t>表</w:t>
      </w:r>
      <w:r>
        <w:rPr>
          <w:rFonts w:hint="eastAsia" w:cs="Times New Roman"/>
          <w:b/>
          <w:bCs/>
          <w:color w:val="auto"/>
          <w:spacing w:val="0"/>
          <w:position w:val="0"/>
          <w:sz w:val="24"/>
          <w:szCs w:val="24"/>
          <w:highlight w:val="none"/>
          <w:lang w:val="en-US" w:eastAsia="zh-CN"/>
        </w:rPr>
        <w:t>7</w:t>
      </w:r>
      <w:r>
        <w:rPr>
          <w:rFonts w:hint="default" w:ascii="Times New Roman" w:hAnsi="Times New Roman" w:eastAsia="宋体" w:cs="Times New Roman"/>
          <w:b/>
          <w:bCs/>
          <w:color w:val="auto"/>
          <w:spacing w:val="0"/>
          <w:position w:val="0"/>
          <w:sz w:val="24"/>
          <w:szCs w:val="24"/>
          <w:highlight w:val="none"/>
          <w:lang w:val="en-US" w:eastAsia="zh-CN"/>
        </w:rPr>
        <w:t>.</w:t>
      </w:r>
      <w:r>
        <w:rPr>
          <w:rFonts w:hint="eastAsia" w:cs="Times New Roman"/>
          <w:b/>
          <w:bCs/>
          <w:color w:val="auto"/>
          <w:spacing w:val="0"/>
          <w:position w:val="0"/>
          <w:sz w:val="24"/>
          <w:szCs w:val="24"/>
          <w:highlight w:val="none"/>
          <w:lang w:val="en-US" w:eastAsia="zh-CN"/>
        </w:rPr>
        <w:t>2</w:t>
      </w:r>
      <w:r>
        <w:rPr>
          <w:rFonts w:hint="default" w:ascii="Times New Roman" w:hAnsi="Times New Roman" w:eastAsia="宋体" w:cs="Times New Roman"/>
          <w:b/>
          <w:bCs/>
          <w:color w:val="auto"/>
          <w:spacing w:val="0"/>
          <w:position w:val="0"/>
          <w:sz w:val="24"/>
          <w:szCs w:val="24"/>
          <w:highlight w:val="none"/>
          <w:lang w:val="en-US" w:eastAsia="zh-CN"/>
        </w:rPr>
        <w:t>-1   主要环境风险保护目标一览表</w:t>
      </w:r>
    </w:p>
    <w:tbl>
      <w:tblPr>
        <w:tblStyle w:val="7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241"/>
        <w:gridCol w:w="1327"/>
        <w:gridCol w:w="1456"/>
        <w:gridCol w:w="936"/>
        <w:gridCol w:w="857"/>
        <w:gridCol w:w="736"/>
        <w:gridCol w:w="795"/>
        <w:gridCol w:w="897"/>
      </w:tblGrid>
      <w:tr w14:paraId="0C445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02" w:type="pct"/>
            <w:vMerge w:val="restart"/>
            <w:tcBorders>
              <w:tl2br w:val="nil"/>
              <w:tr2bl w:val="nil"/>
            </w:tcBorders>
            <w:vAlign w:val="center"/>
          </w:tcPr>
          <w:p w14:paraId="1EE63244">
            <w:pPr>
              <w:jc w:val="center"/>
              <w:rPr>
                <w:color w:val="auto"/>
                <w:szCs w:val="21"/>
              </w:rPr>
            </w:pPr>
            <w:bookmarkStart w:id="109" w:name="_Toc7280"/>
            <w:bookmarkStart w:id="110" w:name="_Toc10385"/>
            <w:r>
              <w:rPr>
                <w:rFonts w:hint="eastAsia"/>
                <w:color w:val="auto"/>
                <w:szCs w:val="21"/>
              </w:rPr>
              <w:t>环境</w:t>
            </w:r>
          </w:p>
          <w:p w14:paraId="03CEDDE6">
            <w:pPr>
              <w:jc w:val="center"/>
              <w:rPr>
                <w:color w:val="auto"/>
                <w:szCs w:val="21"/>
              </w:rPr>
            </w:pPr>
            <w:r>
              <w:rPr>
                <w:rFonts w:hint="eastAsia"/>
                <w:color w:val="auto"/>
                <w:szCs w:val="21"/>
              </w:rPr>
              <w:t>要素</w:t>
            </w:r>
          </w:p>
        </w:tc>
        <w:tc>
          <w:tcPr>
            <w:tcW w:w="707" w:type="pct"/>
            <w:vMerge w:val="restart"/>
            <w:tcBorders>
              <w:tl2br w:val="nil"/>
              <w:tr2bl w:val="nil"/>
            </w:tcBorders>
            <w:vAlign w:val="center"/>
          </w:tcPr>
          <w:p w14:paraId="053D5D50">
            <w:pPr>
              <w:jc w:val="center"/>
              <w:rPr>
                <w:color w:val="auto"/>
                <w:szCs w:val="21"/>
              </w:rPr>
            </w:pPr>
            <w:r>
              <w:rPr>
                <w:rFonts w:hint="eastAsia"/>
                <w:color w:val="auto"/>
                <w:szCs w:val="21"/>
              </w:rPr>
              <w:t>名称</w:t>
            </w:r>
          </w:p>
        </w:tc>
        <w:tc>
          <w:tcPr>
            <w:tcW w:w="1585" w:type="pct"/>
            <w:gridSpan w:val="2"/>
            <w:tcBorders>
              <w:tl2br w:val="nil"/>
              <w:tr2bl w:val="nil"/>
            </w:tcBorders>
            <w:vAlign w:val="center"/>
          </w:tcPr>
          <w:p w14:paraId="13723C8F">
            <w:pPr>
              <w:jc w:val="center"/>
              <w:rPr>
                <w:color w:val="auto"/>
                <w:szCs w:val="21"/>
              </w:rPr>
            </w:pPr>
            <w:r>
              <w:rPr>
                <w:rFonts w:hint="eastAsia"/>
                <w:color w:val="auto"/>
                <w:szCs w:val="21"/>
              </w:rPr>
              <w:t>坐标</w:t>
            </w:r>
          </w:p>
        </w:tc>
        <w:tc>
          <w:tcPr>
            <w:tcW w:w="533" w:type="pct"/>
            <w:vMerge w:val="restart"/>
            <w:tcBorders>
              <w:tl2br w:val="nil"/>
              <w:tr2bl w:val="nil"/>
            </w:tcBorders>
            <w:vAlign w:val="center"/>
          </w:tcPr>
          <w:p w14:paraId="267D16C5">
            <w:pPr>
              <w:jc w:val="center"/>
              <w:rPr>
                <w:rFonts w:hint="default" w:eastAsia="宋体"/>
                <w:color w:val="auto"/>
                <w:szCs w:val="21"/>
                <w:lang w:val="en-US" w:eastAsia="zh-CN"/>
              </w:rPr>
            </w:pPr>
            <w:r>
              <w:rPr>
                <w:rFonts w:hint="eastAsia"/>
                <w:color w:val="auto"/>
                <w:szCs w:val="21"/>
                <w:lang w:val="en-US" w:eastAsia="zh-CN"/>
              </w:rPr>
              <w:t>保护对象</w:t>
            </w:r>
          </w:p>
        </w:tc>
        <w:tc>
          <w:tcPr>
            <w:tcW w:w="487" w:type="pct"/>
            <w:vMerge w:val="restart"/>
            <w:tcBorders>
              <w:tl2br w:val="nil"/>
              <w:tr2bl w:val="nil"/>
            </w:tcBorders>
            <w:vAlign w:val="center"/>
          </w:tcPr>
          <w:p w14:paraId="7718B647">
            <w:pPr>
              <w:jc w:val="center"/>
              <w:rPr>
                <w:rFonts w:hint="eastAsia" w:eastAsia="宋体"/>
                <w:color w:val="auto"/>
                <w:szCs w:val="21"/>
                <w:lang w:eastAsia="zh-CN"/>
              </w:rPr>
            </w:pPr>
            <w:r>
              <w:rPr>
                <w:rFonts w:hint="eastAsia"/>
                <w:color w:val="auto"/>
                <w:szCs w:val="21"/>
                <w:lang w:eastAsia="zh-CN"/>
              </w:rPr>
              <w:t>保护内容</w:t>
            </w:r>
          </w:p>
        </w:tc>
        <w:tc>
          <w:tcPr>
            <w:tcW w:w="419" w:type="pct"/>
            <w:vMerge w:val="restart"/>
            <w:tcBorders>
              <w:tl2br w:val="nil"/>
              <w:tr2bl w:val="nil"/>
            </w:tcBorders>
            <w:vAlign w:val="center"/>
          </w:tcPr>
          <w:p w14:paraId="2386D867">
            <w:pPr>
              <w:jc w:val="center"/>
              <w:rPr>
                <w:color w:val="auto"/>
                <w:szCs w:val="21"/>
              </w:rPr>
            </w:pPr>
            <w:r>
              <w:rPr>
                <w:rFonts w:hint="eastAsia"/>
                <w:color w:val="auto"/>
                <w:szCs w:val="21"/>
              </w:rPr>
              <w:t>环境功能区</w:t>
            </w:r>
          </w:p>
        </w:tc>
        <w:tc>
          <w:tcPr>
            <w:tcW w:w="453" w:type="pct"/>
            <w:vMerge w:val="restart"/>
            <w:tcBorders>
              <w:tl2br w:val="nil"/>
              <w:tr2bl w:val="nil"/>
            </w:tcBorders>
            <w:vAlign w:val="center"/>
          </w:tcPr>
          <w:p w14:paraId="3E56EEB6">
            <w:pPr>
              <w:jc w:val="center"/>
              <w:rPr>
                <w:color w:val="auto"/>
                <w:szCs w:val="21"/>
              </w:rPr>
            </w:pPr>
            <w:r>
              <w:rPr>
                <w:rFonts w:hint="eastAsia"/>
                <w:color w:val="auto"/>
                <w:szCs w:val="21"/>
              </w:rPr>
              <w:t>相对</w:t>
            </w:r>
          </w:p>
          <w:p w14:paraId="62569A8C">
            <w:pPr>
              <w:jc w:val="center"/>
              <w:rPr>
                <w:color w:val="auto"/>
                <w:szCs w:val="21"/>
              </w:rPr>
            </w:pPr>
            <w:r>
              <w:rPr>
                <w:rFonts w:hint="eastAsia"/>
                <w:color w:val="auto"/>
                <w:szCs w:val="21"/>
              </w:rPr>
              <w:t>厂区方位</w:t>
            </w:r>
          </w:p>
        </w:tc>
        <w:tc>
          <w:tcPr>
            <w:tcW w:w="511" w:type="pct"/>
            <w:vMerge w:val="restart"/>
            <w:tcBorders>
              <w:tl2br w:val="nil"/>
              <w:tr2bl w:val="nil"/>
            </w:tcBorders>
            <w:vAlign w:val="center"/>
          </w:tcPr>
          <w:p w14:paraId="41EE6AF5">
            <w:pPr>
              <w:jc w:val="center"/>
              <w:rPr>
                <w:color w:val="auto"/>
                <w:szCs w:val="21"/>
              </w:rPr>
            </w:pPr>
            <w:r>
              <w:rPr>
                <w:rFonts w:hint="eastAsia"/>
                <w:color w:val="auto"/>
                <w:szCs w:val="21"/>
              </w:rPr>
              <w:t>相对厂界距离</w:t>
            </w:r>
            <w:r>
              <w:rPr>
                <w:color w:val="auto"/>
                <w:szCs w:val="21"/>
              </w:rPr>
              <w:t>/m</w:t>
            </w:r>
          </w:p>
        </w:tc>
      </w:tr>
      <w:tr w14:paraId="6C7E3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02" w:type="pct"/>
            <w:vMerge w:val="continue"/>
            <w:tcBorders>
              <w:tl2br w:val="nil"/>
              <w:tr2bl w:val="nil"/>
            </w:tcBorders>
            <w:vAlign w:val="center"/>
          </w:tcPr>
          <w:p w14:paraId="6E3C2CE3">
            <w:pPr>
              <w:widowControl/>
              <w:jc w:val="center"/>
              <w:rPr>
                <w:color w:val="auto"/>
                <w:szCs w:val="21"/>
              </w:rPr>
            </w:pPr>
          </w:p>
        </w:tc>
        <w:tc>
          <w:tcPr>
            <w:tcW w:w="707" w:type="pct"/>
            <w:vMerge w:val="continue"/>
            <w:tcBorders>
              <w:tl2br w:val="nil"/>
              <w:tr2bl w:val="nil"/>
            </w:tcBorders>
            <w:vAlign w:val="center"/>
          </w:tcPr>
          <w:p w14:paraId="7B0C1577">
            <w:pPr>
              <w:widowControl/>
              <w:jc w:val="center"/>
              <w:rPr>
                <w:color w:val="auto"/>
                <w:szCs w:val="21"/>
              </w:rPr>
            </w:pPr>
          </w:p>
        </w:tc>
        <w:tc>
          <w:tcPr>
            <w:tcW w:w="756" w:type="pct"/>
            <w:tcBorders>
              <w:tl2br w:val="nil"/>
              <w:tr2bl w:val="nil"/>
            </w:tcBorders>
            <w:vAlign w:val="center"/>
          </w:tcPr>
          <w:p w14:paraId="3C3F56D7">
            <w:pPr>
              <w:jc w:val="center"/>
              <w:rPr>
                <w:color w:val="auto"/>
                <w:szCs w:val="21"/>
              </w:rPr>
            </w:pPr>
            <w:r>
              <w:rPr>
                <w:color w:val="auto"/>
                <w:szCs w:val="21"/>
              </w:rPr>
              <w:t>X</w:t>
            </w:r>
          </w:p>
        </w:tc>
        <w:tc>
          <w:tcPr>
            <w:tcW w:w="828" w:type="pct"/>
            <w:tcBorders>
              <w:tl2br w:val="nil"/>
              <w:tr2bl w:val="nil"/>
            </w:tcBorders>
            <w:vAlign w:val="center"/>
          </w:tcPr>
          <w:p w14:paraId="47D05D6C">
            <w:pPr>
              <w:jc w:val="center"/>
              <w:rPr>
                <w:color w:val="auto"/>
                <w:szCs w:val="21"/>
              </w:rPr>
            </w:pPr>
            <w:r>
              <w:rPr>
                <w:color w:val="auto"/>
                <w:szCs w:val="21"/>
              </w:rPr>
              <w:t>Y</w:t>
            </w:r>
          </w:p>
        </w:tc>
        <w:tc>
          <w:tcPr>
            <w:tcW w:w="533" w:type="pct"/>
            <w:vMerge w:val="continue"/>
            <w:tcBorders>
              <w:tl2br w:val="nil"/>
              <w:tr2bl w:val="nil"/>
            </w:tcBorders>
            <w:vAlign w:val="center"/>
          </w:tcPr>
          <w:p w14:paraId="1A12E383">
            <w:pPr>
              <w:widowControl/>
              <w:jc w:val="center"/>
              <w:rPr>
                <w:color w:val="auto"/>
                <w:szCs w:val="21"/>
              </w:rPr>
            </w:pPr>
          </w:p>
        </w:tc>
        <w:tc>
          <w:tcPr>
            <w:tcW w:w="487" w:type="pct"/>
            <w:vMerge w:val="continue"/>
            <w:tcBorders>
              <w:tl2br w:val="nil"/>
              <w:tr2bl w:val="nil"/>
            </w:tcBorders>
            <w:vAlign w:val="center"/>
          </w:tcPr>
          <w:p w14:paraId="3F729278">
            <w:pPr>
              <w:widowControl/>
              <w:jc w:val="center"/>
              <w:rPr>
                <w:color w:val="auto"/>
                <w:szCs w:val="21"/>
              </w:rPr>
            </w:pPr>
          </w:p>
        </w:tc>
        <w:tc>
          <w:tcPr>
            <w:tcW w:w="419" w:type="pct"/>
            <w:vMerge w:val="continue"/>
            <w:tcBorders>
              <w:tl2br w:val="nil"/>
              <w:tr2bl w:val="nil"/>
            </w:tcBorders>
            <w:vAlign w:val="center"/>
          </w:tcPr>
          <w:p w14:paraId="0A1D55D6">
            <w:pPr>
              <w:widowControl/>
              <w:jc w:val="center"/>
              <w:rPr>
                <w:color w:val="auto"/>
                <w:szCs w:val="21"/>
              </w:rPr>
            </w:pPr>
          </w:p>
        </w:tc>
        <w:tc>
          <w:tcPr>
            <w:tcW w:w="453" w:type="pct"/>
            <w:vMerge w:val="continue"/>
            <w:tcBorders>
              <w:tl2br w:val="nil"/>
              <w:tr2bl w:val="nil"/>
            </w:tcBorders>
            <w:vAlign w:val="center"/>
          </w:tcPr>
          <w:p w14:paraId="23280B27">
            <w:pPr>
              <w:widowControl/>
              <w:jc w:val="center"/>
              <w:rPr>
                <w:color w:val="auto"/>
                <w:szCs w:val="21"/>
              </w:rPr>
            </w:pPr>
          </w:p>
        </w:tc>
        <w:tc>
          <w:tcPr>
            <w:tcW w:w="511" w:type="pct"/>
            <w:vMerge w:val="continue"/>
            <w:tcBorders>
              <w:tl2br w:val="nil"/>
              <w:tr2bl w:val="nil"/>
            </w:tcBorders>
            <w:vAlign w:val="center"/>
          </w:tcPr>
          <w:p w14:paraId="7C6AEC72">
            <w:pPr>
              <w:widowControl/>
              <w:jc w:val="center"/>
              <w:rPr>
                <w:color w:val="auto"/>
                <w:szCs w:val="21"/>
              </w:rPr>
            </w:pPr>
          </w:p>
        </w:tc>
      </w:tr>
      <w:tr w14:paraId="5994A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restart"/>
            <w:tcBorders>
              <w:tl2br w:val="nil"/>
              <w:tr2bl w:val="nil"/>
            </w:tcBorders>
            <w:vAlign w:val="center"/>
          </w:tcPr>
          <w:p w14:paraId="5D8C2345">
            <w:pPr>
              <w:widowControl/>
              <w:jc w:val="center"/>
              <w:rPr>
                <w:rFonts w:hint="default" w:eastAsia="宋体"/>
                <w:color w:val="auto"/>
                <w:szCs w:val="21"/>
                <w:lang w:val="en-US" w:eastAsia="zh-CN"/>
              </w:rPr>
            </w:pPr>
            <w:r>
              <w:rPr>
                <w:rFonts w:hint="eastAsia"/>
                <w:color w:val="auto"/>
                <w:szCs w:val="21"/>
                <w:lang w:val="en-US" w:eastAsia="zh-CN"/>
              </w:rPr>
              <w:t>环境空气</w:t>
            </w:r>
          </w:p>
        </w:tc>
        <w:tc>
          <w:tcPr>
            <w:tcW w:w="707" w:type="pct"/>
            <w:tcBorders>
              <w:tl2br w:val="nil"/>
              <w:tr2bl w:val="nil"/>
            </w:tcBorders>
            <w:vAlign w:val="center"/>
          </w:tcPr>
          <w:p w14:paraId="728E197E">
            <w:pPr>
              <w:keepNext w:val="0"/>
              <w:keepLines w:val="0"/>
              <w:widowControl/>
              <w:suppressLineNumbers w:val="0"/>
              <w:jc w:val="center"/>
              <w:rPr>
                <w:rFonts w:hint="eastAsia" w:ascii="Times New Roman" w:eastAsia="宋体" w:cs="Times New Roman"/>
                <w:color w:val="auto"/>
                <w:szCs w:val="21"/>
                <w:lang w:eastAsia="zh-CN"/>
              </w:rPr>
            </w:pPr>
            <w:r>
              <w:rPr>
                <w:rFonts w:hint="default" w:ascii="Times New Roman" w:hAnsi="Times New Roman" w:eastAsia="宋体" w:cs="Times New Roman"/>
                <w:kern w:val="0"/>
                <w:sz w:val="21"/>
                <w:szCs w:val="21"/>
                <w:lang w:val="en-US" w:eastAsia="zh-CN" w:bidi="ar"/>
              </w:rPr>
              <w:t>西南沟</w:t>
            </w:r>
          </w:p>
        </w:tc>
        <w:tc>
          <w:tcPr>
            <w:tcW w:w="756" w:type="pct"/>
            <w:tcBorders>
              <w:tl2br w:val="nil"/>
              <w:tr2bl w:val="nil"/>
            </w:tcBorders>
            <w:vAlign w:val="center"/>
          </w:tcPr>
          <w:p w14:paraId="1C5629C4">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302184.4423</w:t>
            </w:r>
          </w:p>
        </w:tc>
        <w:tc>
          <w:tcPr>
            <w:tcW w:w="828" w:type="pct"/>
            <w:tcBorders>
              <w:tl2br w:val="nil"/>
              <w:tr2bl w:val="nil"/>
            </w:tcBorders>
            <w:vAlign w:val="center"/>
          </w:tcPr>
          <w:p w14:paraId="115B56FE">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4656814.7021</w:t>
            </w:r>
          </w:p>
        </w:tc>
        <w:tc>
          <w:tcPr>
            <w:tcW w:w="533" w:type="pct"/>
            <w:tcBorders>
              <w:tl2br w:val="nil"/>
              <w:tr2bl w:val="nil"/>
            </w:tcBorders>
            <w:vAlign w:val="center"/>
          </w:tcPr>
          <w:p w14:paraId="244C8E78">
            <w:pPr>
              <w:keepNext w:val="0"/>
              <w:keepLines w:val="0"/>
              <w:widowControl/>
              <w:suppressLineNumbers w:val="0"/>
              <w:jc w:val="center"/>
              <w:textAlignment w:val="center"/>
              <w:rPr>
                <w:rFonts w:hint="eastAsia" w:eastAsia="宋体"/>
                <w:color w:val="auto"/>
                <w:szCs w:val="21"/>
                <w:lang w:eastAsia="zh-CN"/>
              </w:rPr>
            </w:pPr>
            <w:r>
              <w:rPr>
                <w:rFonts w:hint="eastAsia" w:cs="Times New Roman"/>
                <w:i w:val="0"/>
                <w:iCs w:val="0"/>
                <w:color w:val="000000"/>
                <w:kern w:val="0"/>
                <w:sz w:val="21"/>
                <w:szCs w:val="21"/>
                <w:u w:val="none"/>
                <w:lang w:val="en-US" w:eastAsia="zh-CN" w:bidi="ar"/>
              </w:rPr>
              <w:t>居住区</w:t>
            </w:r>
          </w:p>
        </w:tc>
        <w:tc>
          <w:tcPr>
            <w:tcW w:w="487" w:type="pct"/>
            <w:tcBorders>
              <w:tl2br w:val="nil"/>
              <w:tr2bl w:val="nil"/>
            </w:tcBorders>
            <w:vAlign w:val="center"/>
          </w:tcPr>
          <w:p w14:paraId="5A99E289">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restart"/>
            <w:tcBorders>
              <w:tl2br w:val="nil"/>
              <w:tr2bl w:val="nil"/>
            </w:tcBorders>
            <w:vAlign w:val="center"/>
          </w:tcPr>
          <w:p w14:paraId="33B9ACC2">
            <w:pPr>
              <w:jc w:val="center"/>
              <w:rPr>
                <w:rFonts w:hint="eastAsia"/>
                <w:color w:val="auto"/>
                <w:szCs w:val="21"/>
              </w:rPr>
            </w:pPr>
            <w:r>
              <w:rPr>
                <w:rFonts w:ascii="Times New Roman" w:hAnsi="Times New Roman" w:eastAsia="宋体" w:cs="Times New Roman"/>
                <w:color w:val="auto"/>
                <w:szCs w:val="21"/>
              </w:rPr>
              <w:t>环境空气</w:t>
            </w:r>
            <w:r>
              <w:rPr>
                <w:rFonts w:hint="eastAsia" w:cs="Times New Roman"/>
                <w:color w:val="auto"/>
                <w:szCs w:val="21"/>
                <w:lang w:val="en-US" w:eastAsia="zh-CN"/>
              </w:rPr>
              <w:t>一</w:t>
            </w:r>
            <w:r>
              <w:rPr>
                <w:rFonts w:ascii="Times New Roman" w:hAnsi="Times New Roman" w:eastAsia="宋体" w:cs="Times New Roman"/>
                <w:color w:val="auto"/>
                <w:szCs w:val="21"/>
              </w:rPr>
              <w:t>类区</w:t>
            </w:r>
          </w:p>
        </w:tc>
        <w:tc>
          <w:tcPr>
            <w:tcW w:w="790" w:type="dxa"/>
            <w:tcBorders>
              <w:tl2br w:val="nil"/>
              <w:tr2bl w:val="nil"/>
            </w:tcBorders>
            <w:vAlign w:val="center"/>
          </w:tcPr>
          <w:p w14:paraId="313EAFF4">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西北</w:t>
            </w:r>
          </w:p>
        </w:tc>
        <w:tc>
          <w:tcPr>
            <w:tcW w:w="891" w:type="dxa"/>
            <w:tcBorders>
              <w:tl2br w:val="nil"/>
              <w:tr2bl w:val="nil"/>
            </w:tcBorders>
            <w:vAlign w:val="center"/>
          </w:tcPr>
          <w:p w14:paraId="343C5E6E">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695</w:t>
            </w:r>
          </w:p>
        </w:tc>
      </w:tr>
      <w:tr w14:paraId="1D3B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21015D1B">
            <w:pPr>
              <w:widowControl/>
              <w:jc w:val="center"/>
              <w:rPr>
                <w:color w:val="auto"/>
                <w:szCs w:val="21"/>
              </w:rPr>
            </w:pPr>
          </w:p>
        </w:tc>
        <w:tc>
          <w:tcPr>
            <w:tcW w:w="707" w:type="pct"/>
            <w:tcBorders>
              <w:tl2br w:val="nil"/>
              <w:tr2bl w:val="nil"/>
            </w:tcBorders>
            <w:vAlign w:val="center"/>
          </w:tcPr>
          <w:p w14:paraId="2F5A67EB">
            <w:pPr>
              <w:keepNext w:val="0"/>
              <w:keepLines w:val="0"/>
              <w:widowControl/>
              <w:suppressLineNumbers w:val="0"/>
              <w:jc w:val="center"/>
              <w:rPr>
                <w:rFonts w:hint="eastAsia" w:ascii="Times New Roman" w:cs="Times New Roman"/>
                <w:color w:val="auto"/>
                <w:szCs w:val="21"/>
                <w:lang w:val="en-US" w:eastAsia="zh-CN"/>
              </w:rPr>
            </w:pPr>
            <w:r>
              <w:rPr>
                <w:rFonts w:hint="default" w:ascii="Times New Roman" w:hAnsi="Times New Roman" w:cs="Times New Roman"/>
                <w:color w:val="auto"/>
                <w:sz w:val="21"/>
                <w:szCs w:val="21"/>
                <w:lang w:val="en-US" w:eastAsia="zh-CN"/>
              </w:rPr>
              <w:t>赵家营子</w:t>
            </w:r>
          </w:p>
        </w:tc>
        <w:tc>
          <w:tcPr>
            <w:tcW w:w="756" w:type="pct"/>
            <w:tcBorders>
              <w:tl2br w:val="nil"/>
              <w:tr2bl w:val="nil"/>
            </w:tcBorders>
            <w:vAlign w:val="center"/>
          </w:tcPr>
          <w:p w14:paraId="2961A403">
            <w:pPr>
              <w:keepNext w:val="0"/>
              <w:keepLines w:val="0"/>
              <w:widowControl/>
              <w:suppressLineNumbers w:val="0"/>
              <w:jc w:val="center"/>
              <w:rPr>
                <w:rFonts w:hint="eastAsia"/>
                <w:color w:val="auto"/>
                <w:szCs w:val="21"/>
              </w:rPr>
            </w:pPr>
            <w:r>
              <w:rPr>
                <w:rFonts w:hint="default" w:ascii="Times New Roman" w:hAnsi="Times New Roman" w:eastAsia="宋体" w:cs="Times New Roman"/>
                <w:kern w:val="0"/>
                <w:sz w:val="21"/>
                <w:szCs w:val="21"/>
                <w:lang w:val="en-US" w:eastAsia="zh-CN" w:bidi="ar"/>
              </w:rPr>
              <w:t>301384.8998</w:t>
            </w:r>
          </w:p>
        </w:tc>
        <w:tc>
          <w:tcPr>
            <w:tcW w:w="828" w:type="pct"/>
            <w:tcBorders>
              <w:tl2br w:val="nil"/>
              <w:tr2bl w:val="nil"/>
            </w:tcBorders>
            <w:vAlign w:val="center"/>
          </w:tcPr>
          <w:p w14:paraId="282EDFB0">
            <w:pPr>
              <w:keepNext w:val="0"/>
              <w:keepLines w:val="0"/>
              <w:widowControl/>
              <w:suppressLineNumbers w:val="0"/>
              <w:jc w:val="center"/>
              <w:rPr>
                <w:rFonts w:hint="eastAsia"/>
                <w:color w:val="auto"/>
                <w:szCs w:val="21"/>
              </w:rPr>
            </w:pPr>
            <w:r>
              <w:rPr>
                <w:rFonts w:hint="default" w:ascii="Times New Roman" w:hAnsi="Times New Roman" w:eastAsia="宋体" w:cs="Times New Roman"/>
                <w:kern w:val="0"/>
                <w:sz w:val="21"/>
                <w:szCs w:val="21"/>
                <w:lang w:val="en-US" w:eastAsia="zh-CN" w:bidi="ar"/>
              </w:rPr>
              <w:t>4655356.9912</w:t>
            </w:r>
          </w:p>
        </w:tc>
        <w:tc>
          <w:tcPr>
            <w:tcW w:w="533" w:type="pct"/>
            <w:tcBorders>
              <w:tl2br w:val="nil"/>
              <w:tr2bl w:val="nil"/>
            </w:tcBorders>
            <w:vAlign w:val="center"/>
          </w:tcPr>
          <w:p w14:paraId="7BBD16ED">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4A263CAE">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09F61777">
            <w:pPr>
              <w:jc w:val="center"/>
              <w:rPr>
                <w:rFonts w:hint="eastAsia"/>
                <w:color w:val="auto"/>
                <w:szCs w:val="21"/>
              </w:rPr>
            </w:pPr>
          </w:p>
        </w:tc>
        <w:tc>
          <w:tcPr>
            <w:tcW w:w="790" w:type="dxa"/>
            <w:tcBorders>
              <w:tl2br w:val="nil"/>
              <w:tr2bl w:val="nil"/>
            </w:tcBorders>
            <w:vAlign w:val="center"/>
          </w:tcPr>
          <w:p w14:paraId="62D11EF5">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西南</w:t>
            </w:r>
          </w:p>
        </w:tc>
        <w:tc>
          <w:tcPr>
            <w:tcW w:w="891" w:type="dxa"/>
            <w:tcBorders>
              <w:tl2br w:val="nil"/>
              <w:tr2bl w:val="nil"/>
            </w:tcBorders>
            <w:vAlign w:val="center"/>
          </w:tcPr>
          <w:p w14:paraId="58B7045C">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1472</w:t>
            </w:r>
          </w:p>
        </w:tc>
      </w:tr>
      <w:tr w14:paraId="1A11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68732FBF">
            <w:pPr>
              <w:widowControl/>
              <w:jc w:val="center"/>
              <w:rPr>
                <w:color w:val="auto"/>
                <w:szCs w:val="21"/>
              </w:rPr>
            </w:pPr>
          </w:p>
        </w:tc>
        <w:tc>
          <w:tcPr>
            <w:tcW w:w="707" w:type="pct"/>
            <w:tcBorders>
              <w:tl2br w:val="nil"/>
              <w:tr2bl w:val="nil"/>
            </w:tcBorders>
            <w:vAlign w:val="center"/>
          </w:tcPr>
          <w:p w14:paraId="0C802E97">
            <w:pPr>
              <w:keepNext w:val="0"/>
              <w:keepLines w:val="0"/>
              <w:widowControl/>
              <w:suppressLineNumbers w:val="0"/>
              <w:jc w:val="center"/>
              <w:rPr>
                <w:rFonts w:ascii="Times New Roman" w:cs="Times New Roman"/>
                <w:color w:val="auto"/>
                <w:szCs w:val="21"/>
              </w:rPr>
            </w:pPr>
            <w:r>
              <w:rPr>
                <w:rFonts w:hint="default" w:ascii="Times New Roman" w:hAnsi="Times New Roman" w:eastAsia="宋体" w:cs="Times New Roman"/>
                <w:kern w:val="0"/>
                <w:sz w:val="21"/>
                <w:szCs w:val="21"/>
                <w:lang w:val="en-US" w:eastAsia="zh-CN" w:bidi="ar"/>
              </w:rPr>
              <w:t>下杖子</w:t>
            </w:r>
          </w:p>
        </w:tc>
        <w:tc>
          <w:tcPr>
            <w:tcW w:w="756" w:type="pct"/>
            <w:tcBorders>
              <w:tl2br w:val="nil"/>
              <w:tr2bl w:val="nil"/>
            </w:tcBorders>
            <w:vAlign w:val="center"/>
          </w:tcPr>
          <w:p w14:paraId="77FAC690">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301787.4573</w:t>
            </w:r>
          </w:p>
        </w:tc>
        <w:tc>
          <w:tcPr>
            <w:tcW w:w="828" w:type="pct"/>
            <w:tcBorders>
              <w:tl2br w:val="nil"/>
              <w:tr2bl w:val="nil"/>
            </w:tcBorders>
            <w:vAlign w:val="center"/>
          </w:tcPr>
          <w:p w14:paraId="013BDC8E">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4657201.6393</w:t>
            </w:r>
          </w:p>
        </w:tc>
        <w:tc>
          <w:tcPr>
            <w:tcW w:w="533" w:type="pct"/>
            <w:tcBorders>
              <w:tl2br w:val="nil"/>
              <w:tr2bl w:val="nil"/>
            </w:tcBorders>
            <w:vAlign w:val="center"/>
          </w:tcPr>
          <w:p w14:paraId="0A9E9E29">
            <w:pPr>
              <w:keepNext w:val="0"/>
              <w:keepLines w:val="0"/>
              <w:widowControl/>
              <w:suppressLineNumbers w:val="0"/>
              <w:jc w:val="center"/>
              <w:textAlignment w:val="center"/>
              <w:rPr>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70885F07">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03F9D3AE">
            <w:pPr>
              <w:jc w:val="center"/>
              <w:rPr>
                <w:color w:val="auto"/>
                <w:szCs w:val="21"/>
              </w:rPr>
            </w:pPr>
          </w:p>
        </w:tc>
        <w:tc>
          <w:tcPr>
            <w:tcW w:w="790" w:type="dxa"/>
            <w:tcBorders>
              <w:tl2br w:val="nil"/>
              <w:tr2bl w:val="nil"/>
            </w:tcBorders>
            <w:vAlign w:val="center"/>
          </w:tcPr>
          <w:p w14:paraId="002199FD">
            <w:pPr>
              <w:keepNext w:val="0"/>
              <w:keepLines w:val="0"/>
              <w:widowControl/>
              <w:suppressLineNumbers w:val="0"/>
              <w:jc w:val="center"/>
              <w:rPr>
                <w:rFonts w:ascii="Times New Roman" w:cs="Times New Roman"/>
                <w:color w:val="auto"/>
                <w:szCs w:val="21"/>
                <w:vertAlign w:val="superscript"/>
              </w:rPr>
            </w:pPr>
            <w:r>
              <w:rPr>
                <w:rFonts w:hint="default" w:ascii="Times New Roman" w:hAnsi="Times New Roman" w:eastAsia="宋体" w:cs="Times New Roman"/>
                <w:kern w:val="0"/>
                <w:sz w:val="21"/>
                <w:szCs w:val="21"/>
                <w:lang w:val="en-US" w:eastAsia="zh-CN" w:bidi="ar"/>
              </w:rPr>
              <w:t>西北</w:t>
            </w:r>
          </w:p>
        </w:tc>
        <w:tc>
          <w:tcPr>
            <w:tcW w:w="891" w:type="dxa"/>
            <w:tcBorders>
              <w:tl2br w:val="nil"/>
              <w:tr2bl w:val="nil"/>
            </w:tcBorders>
            <w:vAlign w:val="center"/>
          </w:tcPr>
          <w:p w14:paraId="6E99692A">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1242</w:t>
            </w:r>
          </w:p>
        </w:tc>
      </w:tr>
      <w:tr w14:paraId="7BAA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0798AB68">
            <w:pPr>
              <w:widowControl/>
              <w:jc w:val="center"/>
              <w:rPr>
                <w:color w:val="auto"/>
                <w:szCs w:val="21"/>
              </w:rPr>
            </w:pPr>
          </w:p>
        </w:tc>
        <w:tc>
          <w:tcPr>
            <w:tcW w:w="707" w:type="pct"/>
            <w:tcBorders>
              <w:tl2br w:val="nil"/>
              <w:tr2bl w:val="nil"/>
            </w:tcBorders>
            <w:vAlign w:val="center"/>
          </w:tcPr>
          <w:p w14:paraId="03EB349C">
            <w:pPr>
              <w:keepNext w:val="0"/>
              <w:keepLines w:val="0"/>
              <w:widowControl/>
              <w:suppressLineNumbers w:val="0"/>
              <w:jc w:val="center"/>
              <w:rPr>
                <w:rFonts w:hint="eastAsia" w:ascii="Times New Roman" w:eastAsia="宋体" w:cs="Times New Roman"/>
                <w:color w:val="auto"/>
                <w:szCs w:val="21"/>
                <w:lang w:eastAsia="zh-CN"/>
              </w:rPr>
            </w:pPr>
            <w:r>
              <w:rPr>
                <w:rFonts w:hint="default" w:ascii="Times New Roman" w:hAnsi="Times New Roman" w:eastAsia="宋体" w:cs="Times New Roman"/>
                <w:kern w:val="0"/>
                <w:sz w:val="21"/>
                <w:szCs w:val="21"/>
                <w:lang w:val="en-US" w:eastAsia="zh-CN" w:bidi="ar"/>
              </w:rPr>
              <w:t>冯家营子村</w:t>
            </w:r>
          </w:p>
        </w:tc>
        <w:tc>
          <w:tcPr>
            <w:tcW w:w="756" w:type="pct"/>
            <w:tcBorders>
              <w:tl2br w:val="nil"/>
              <w:tr2bl w:val="nil"/>
            </w:tcBorders>
            <w:vAlign w:val="center"/>
          </w:tcPr>
          <w:p w14:paraId="6B90E2A4">
            <w:pPr>
              <w:keepNext w:val="0"/>
              <w:keepLines w:val="0"/>
              <w:widowControl/>
              <w:suppressLineNumbers w:val="0"/>
              <w:jc w:val="center"/>
              <w:rPr>
                <w:rFonts w:hint="eastAsia"/>
                <w:color w:val="auto"/>
                <w:szCs w:val="21"/>
              </w:rPr>
            </w:pPr>
            <w:r>
              <w:rPr>
                <w:rFonts w:hint="default" w:ascii="Times New Roman" w:hAnsi="Times New Roman" w:eastAsia="宋体" w:cs="Times New Roman"/>
                <w:kern w:val="0"/>
                <w:sz w:val="21"/>
                <w:szCs w:val="21"/>
                <w:lang w:val="en-US" w:eastAsia="zh-CN" w:bidi="ar"/>
              </w:rPr>
              <w:t>300537.3797</w:t>
            </w:r>
          </w:p>
        </w:tc>
        <w:tc>
          <w:tcPr>
            <w:tcW w:w="828" w:type="pct"/>
            <w:tcBorders>
              <w:tl2br w:val="nil"/>
              <w:tr2bl w:val="nil"/>
            </w:tcBorders>
            <w:vAlign w:val="center"/>
          </w:tcPr>
          <w:p w14:paraId="20CC97E4">
            <w:pPr>
              <w:keepNext w:val="0"/>
              <w:keepLines w:val="0"/>
              <w:widowControl/>
              <w:suppressLineNumbers w:val="0"/>
              <w:jc w:val="center"/>
              <w:rPr>
                <w:rFonts w:hint="default" w:eastAsia="宋体"/>
                <w:color w:val="auto"/>
                <w:szCs w:val="21"/>
                <w:lang w:val="en-US" w:eastAsia="zh-CN"/>
              </w:rPr>
            </w:pPr>
            <w:r>
              <w:rPr>
                <w:rFonts w:hint="default" w:ascii="Times New Roman" w:hAnsi="Times New Roman" w:eastAsia="宋体" w:cs="Times New Roman"/>
                <w:kern w:val="0"/>
                <w:sz w:val="21"/>
                <w:szCs w:val="21"/>
                <w:lang w:val="en-US" w:eastAsia="zh-CN" w:bidi="ar"/>
              </w:rPr>
              <w:t>4657774.9554</w:t>
            </w:r>
          </w:p>
        </w:tc>
        <w:tc>
          <w:tcPr>
            <w:tcW w:w="533" w:type="pct"/>
            <w:tcBorders>
              <w:tl2br w:val="nil"/>
              <w:tr2bl w:val="nil"/>
            </w:tcBorders>
            <w:vAlign w:val="center"/>
          </w:tcPr>
          <w:p w14:paraId="107907B8">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60280653">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77D57CB7">
            <w:pPr>
              <w:jc w:val="center"/>
              <w:rPr>
                <w:rFonts w:hint="eastAsia"/>
                <w:color w:val="auto"/>
                <w:szCs w:val="21"/>
              </w:rPr>
            </w:pPr>
          </w:p>
        </w:tc>
        <w:tc>
          <w:tcPr>
            <w:tcW w:w="790" w:type="dxa"/>
            <w:tcBorders>
              <w:tl2br w:val="nil"/>
              <w:tr2bl w:val="nil"/>
            </w:tcBorders>
            <w:vAlign w:val="center"/>
          </w:tcPr>
          <w:p w14:paraId="04FBAFF3">
            <w:pPr>
              <w:keepNext w:val="0"/>
              <w:keepLines w:val="0"/>
              <w:widowControl/>
              <w:suppressLineNumbers w:val="0"/>
              <w:jc w:val="center"/>
              <w:rPr>
                <w:rFonts w:hint="eastAsia" w:ascii="Times New Roman" w:cs="Times New Roman"/>
                <w:color w:val="auto"/>
                <w:szCs w:val="21"/>
                <w:lang w:val="en-US" w:eastAsia="zh-CN"/>
              </w:rPr>
            </w:pPr>
            <w:r>
              <w:rPr>
                <w:rFonts w:hint="default" w:ascii="Times New Roman" w:hAnsi="Times New Roman" w:eastAsia="宋体" w:cs="Times New Roman"/>
                <w:kern w:val="0"/>
                <w:sz w:val="21"/>
                <w:szCs w:val="21"/>
                <w:lang w:val="en-US" w:eastAsia="zh-CN" w:bidi="ar"/>
              </w:rPr>
              <w:t>西北</w:t>
            </w:r>
          </w:p>
        </w:tc>
        <w:tc>
          <w:tcPr>
            <w:tcW w:w="891" w:type="dxa"/>
            <w:tcBorders>
              <w:tl2br w:val="nil"/>
              <w:tr2bl w:val="nil"/>
            </w:tcBorders>
            <w:vAlign w:val="center"/>
          </w:tcPr>
          <w:p w14:paraId="793D7249">
            <w:pPr>
              <w:keepNext w:val="0"/>
              <w:keepLines w:val="0"/>
              <w:widowControl/>
              <w:suppressLineNumbers w:val="0"/>
              <w:jc w:val="center"/>
              <w:rPr>
                <w:rFonts w:hint="default" w:ascii="Times New Roman" w:cs="Times New Roman"/>
                <w:color w:val="auto"/>
                <w:szCs w:val="21"/>
                <w:lang w:val="en-US" w:eastAsia="zh-CN"/>
              </w:rPr>
            </w:pPr>
            <w:r>
              <w:rPr>
                <w:rFonts w:hint="default" w:ascii="Times New Roman" w:hAnsi="Times New Roman" w:eastAsia="宋体" w:cs="Times New Roman"/>
                <w:kern w:val="0"/>
                <w:sz w:val="21"/>
                <w:szCs w:val="21"/>
                <w:lang w:val="en-US" w:eastAsia="zh-CN" w:bidi="ar"/>
              </w:rPr>
              <w:t>2545</w:t>
            </w:r>
          </w:p>
        </w:tc>
      </w:tr>
      <w:tr w14:paraId="0BCD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35039B4C">
            <w:pPr>
              <w:widowControl/>
              <w:jc w:val="center"/>
              <w:rPr>
                <w:color w:val="auto"/>
                <w:szCs w:val="21"/>
              </w:rPr>
            </w:pPr>
          </w:p>
        </w:tc>
        <w:tc>
          <w:tcPr>
            <w:tcW w:w="707" w:type="pct"/>
            <w:tcBorders>
              <w:tl2br w:val="nil"/>
              <w:tr2bl w:val="nil"/>
            </w:tcBorders>
            <w:vAlign w:val="center"/>
          </w:tcPr>
          <w:p w14:paraId="5B6D2B5E">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马场</w:t>
            </w:r>
          </w:p>
        </w:tc>
        <w:tc>
          <w:tcPr>
            <w:tcW w:w="756" w:type="pct"/>
            <w:tcBorders>
              <w:tl2br w:val="nil"/>
              <w:tr2bl w:val="nil"/>
            </w:tcBorders>
            <w:vAlign w:val="center"/>
          </w:tcPr>
          <w:p w14:paraId="2F2058D1">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303297.3254</w:t>
            </w:r>
          </w:p>
        </w:tc>
        <w:tc>
          <w:tcPr>
            <w:tcW w:w="828" w:type="pct"/>
            <w:tcBorders>
              <w:tl2br w:val="nil"/>
              <w:tr2bl w:val="nil"/>
            </w:tcBorders>
            <w:vAlign w:val="center"/>
          </w:tcPr>
          <w:p w14:paraId="62E9E2C1">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4656344.4083</w:t>
            </w:r>
          </w:p>
        </w:tc>
        <w:tc>
          <w:tcPr>
            <w:tcW w:w="533" w:type="pct"/>
            <w:tcBorders>
              <w:tl2br w:val="nil"/>
              <w:tr2bl w:val="nil"/>
            </w:tcBorders>
            <w:vAlign w:val="center"/>
          </w:tcPr>
          <w:p w14:paraId="03CC2D2F">
            <w:pPr>
              <w:keepNext w:val="0"/>
              <w:keepLines w:val="0"/>
              <w:widowControl/>
              <w:suppressLineNumbers w:val="0"/>
              <w:jc w:val="center"/>
              <w:textAlignment w:val="center"/>
              <w:rPr>
                <w:rFonts w:hint="eastAsia" w:eastAsia="宋体"/>
                <w:color w:val="auto"/>
                <w:szCs w:val="21"/>
                <w:lang w:eastAsia="zh-CN"/>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284BB162">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2CC40F80">
            <w:pPr>
              <w:jc w:val="center"/>
              <w:rPr>
                <w:color w:val="auto"/>
                <w:szCs w:val="21"/>
              </w:rPr>
            </w:pPr>
          </w:p>
        </w:tc>
        <w:tc>
          <w:tcPr>
            <w:tcW w:w="790" w:type="dxa"/>
            <w:tcBorders>
              <w:tl2br w:val="nil"/>
              <w:tr2bl w:val="nil"/>
            </w:tcBorders>
            <w:vAlign w:val="center"/>
          </w:tcPr>
          <w:p w14:paraId="5F77631D">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东</w:t>
            </w:r>
          </w:p>
        </w:tc>
        <w:tc>
          <w:tcPr>
            <w:tcW w:w="891" w:type="dxa"/>
            <w:tcBorders>
              <w:tl2br w:val="nil"/>
              <w:tr2bl w:val="nil"/>
            </w:tcBorders>
            <w:vAlign w:val="center"/>
          </w:tcPr>
          <w:p w14:paraId="787FC291">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734</w:t>
            </w:r>
          </w:p>
        </w:tc>
      </w:tr>
      <w:tr w14:paraId="266A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4A6C1C3D">
            <w:pPr>
              <w:widowControl/>
              <w:jc w:val="center"/>
              <w:rPr>
                <w:color w:val="auto"/>
                <w:szCs w:val="21"/>
              </w:rPr>
            </w:pPr>
          </w:p>
        </w:tc>
        <w:tc>
          <w:tcPr>
            <w:tcW w:w="707" w:type="pct"/>
            <w:tcBorders>
              <w:tl2br w:val="nil"/>
              <w:tr2bl w:val="nil"/>
            </w:tcBorders>
            <w:vAlign w:val="center"/>
          </w:tcPr>
          <w:p w14:paraId="5483B01B">
            <w:pPr>
              <w:keepNext w:val="0"/>
              <w:keepLines w:val="0"/>
              <w:widowControl/>
              <w:suppressLineNumbers w:val="0"/>
              <w:jc w:val="center"/>
              <w:rPr>
                <w:rFonts w:hint="default" w:ascii="Times New Roman" w:cs="Times New Roman"/>
                <w:color w:val="auto"/>
                <w:szCs w:val="21"/>
                <w:lang w:val="en-US" w:eastAsia="zh-CN"/>
              </w:rPr>
            </w:pPr>
            <w:r>
              <w:rPr>
                <w:rFonts w:hint="default" w:ascii="Times New Roman" w:hAnsi="Times New Roman" w:eastAsia="宋体" w:cs="Times New Roman"/>
                <w:kern w:val="0"/>
                <w:sz w:val="21"/>
                <w:szCs w:val="21"/>
                <w:lang w:val="en-US" w:eastAsia="zh-CN" w:bidi="ar"/>
              </w:rPr>
              <w:t>下朝阳沟</w:t>
            </w:r>
          </w:p>
        </w:tc>
        <w:tc>
          <w:tcPr>
            <w:tcW w:w="756" w:type="pct"/>
            <w:tcBorders>
              <w:tl2br w:val="nil"/>
              <w:tr2bl w:val="nil"/>
            </w:tcBorders>
            <w:vAlign w:val="center"/>
          </w:tcPr>
          <w:p w14:paraId="69CE500F">
            <w:pPr>
              <w:keepNext w:val="0"/>
              <w:keepLines w:val="0"/>
              <w:widowControl/>
              <w:suppressLineNumbers w:val="0"/>
              <w:jc w:val="center"/>
              <w:rPr>
                <w:rFonts w:hint="default" w:eastAsia="宋体"/>
                <w:color w:val="auto"/>
                <w:szCs w:val="21"/>
                <w:lang w:val="en-US" w:eastAsia="zh-CN"/>
              </w:rPr>
            </w:pPr>
            <w:r>
              <w:rPr>
                <w:rFonts w:hint="default" w:ascii="Times New Roman" w:hAnsi="Times New Roman" w:eastAsia="宋体" w:cs="Times New Roman"/>
                <w:kern w:val="0"/>
                <w:sz w:val="21"/>
                <w:szCs w:val="21"/>
                <w:lang w:val="en-US" w:eastAsia="zh-CN" w:bidi="ar"/>
              </w:rPr>
              <w:t>304321.7620</w:t>
            </w:r>
          </w:p>
        </w:tc>
        <w:tc>
          <w:tcPr>
            <w:tcW w:w="828" w:type="pct"/>
            <w:tcBorders>
              <w:tl2br w:val="nil"/>
              <w:tr2bl w:val="nil"/>
            </w:tcBorders>
            <w:vAlign w:val="center"/>
          </w:tcPr>
          <w:p w14:paraId="1D989116">
            <w:pPr>
              <w:keepNext w:val="0"/>
              <w:keepLines w:val="0"/>
              <w:widowControl/>
              <w:suppressLineNumbers w:val="0"/>
              <w:jc w:val="center"/>
              <w:rPr>
                <w:rFonts w:hint="default" w:eastAsia="宋体"/>
                <w:color w:val="auto"/>
                <w:szCs w:val="21"/>
                <w:lang w:val="en-US" w:eastAsia="zh-CN"/>
              </w:rPr>
            </w:pPr>
            <w:r>
              <w:rPr>
                <w:rFonts w:hint="default" w:ascii="Times New Roman" w:hAnsi="Times New Roman" w:eastAsia="宋体" w:cs="Times New Roman"/>
                <w:kern w:val="0"/>
                <w:sz w:val="21"/>
                <w:szCs w:val="21"/>
                <w:lang w:val="en-US" w:eastAsia="zh-CN" w:bidi="ar"/>
              </w:rPr>
              <w:t>4655495.8089</w:t>
            </w:r>
          </w:p>
        </w:tc>
        <w:tc>
          <w:tcPr>
            <w:tcW w:w="533" w:type="pct"/>
            <w:tcBorders>
              <w:tl2br w:val="nil"/>
              <w:tr2bl w:val="nil"/>
            </w:tcBorders>
            <w:vAlign w:val="center"/>
          </w:tcPr>
          <w:p w14:paraId="4D07B5FA">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030E1B3E">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7A30C7C8">
            <w:pPr>
              <w:jc w:val="center"/>
              <w:rPr>
                <w:rFonts w:hint="eastAsia"/>
                <w:color w:val="auto"/>
                <w:szCs w:val="21"/>
              </w:rPr>
            </w:pPr>
          </w:p>
        </w:tc>
        <w:tc>
          <w:tcPr>
            <w:tcW w:w="790" w:type="dxa"/>
            <w:tcBorders>
              <w:tl2br w:val="nil"/>
              <w:tr2bl w:val="nil"/>
            </w:tcBorders>
            <w:vAlign w:val="center"/>
          </w:tcPr>
          <w:p w14:paraId="5B73474B">
            <w:pPr>
              <w:keepNext w:val="0"/>
              <w:keepLines w:val="0"/>
              <w:widowControl/>
              <w:suppressLineNumbers w:val="0"/>
              <w:jc w:val="center"/>
              <w:rPr>
                <w:rFonts w:hint="eastAsia" w:ascii="Times New Roman" w:cs="Times New Roman"/>
                <w:color w:val="auto"/>
                <w:szCs w:val="21"/>
                <w:lang w:val="en-US" w:eastAsia="zh-CN"/>
              </w:rPr>
            </w:pPr>
            <w:r>
              <w:rPr>
                <w:rFonts w:hint="default" w:ascii="Times New Roman" w:hAnsi="Times New Roman" w:eastAsia="宋体" w:cs="Times New Roman"/>
                <w:kern w:val="0"/>
                <w:sz w:val="21"/>
                <w:szCs w:val="21"/>
                <w:lang w:val="en-US" w:eastAsia="zh-CN" w:bidi="ar"/>
              </w:rPr>
              <w:t>东</w:t>
            </w:r>
          </w:p>
        </w:tc>
        <w:tc>
          <w:tcPr>
            <w:tcW w:w="891" w:type="dxa"/>
            <w:tcBorders>
              <w:tl2br w:val="nil"/>
              <w:tr2bl w:val="nil"/>
            </w:tcBorders>
            <w:vAlign w:val="center"/>
          </w:tcPr>
          <w:p w14:paraId="053B9533">
            <w:pPr>
              <w:keepNext w:val="0"/>
              <w:keepLines w:val="0"/>
              <w:widowControl/>
              <w:suppressLineNumbers w:val="0"/>
              <w:jc w:val="center"/>
              <w:rPr>
                <w:rFonts w:hint="default" w:ascii="Times New Roman" w:cs="Times New Roman"/>
                <w:color w:val="auto"/>
                <w:szCs w:val="21"/>
                <w:lang w:val="en-US" w:eastAsia="zh-CN"/>
              </w:rPr>
            </w:pPr>
            <w:r>
              <w:rPr>
                <w:rFonts w:hint="default" w:ascii="Times New Roman" w:hAnsi="Times New Roman" w:eastAsia="宋体" w:cs="Times New Roman"/>
                <w:kern w:val="0"/>
                <w:sz w:val="21"/>
                <w:szCs w:val="21"/>
                <w:lang w:val="en-US" w:eastAsia="zh-CN" w:bidi="ar"/>
              </w:rPr>
              <w:t>1897</w:t>
            </w:r>
          </w:p>
        </w:tc>
      </w:tr>
      <w:tr w14:paraId="7AC90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4E8964BD">
            <w:pPr>
              <w:widowControl/>
              <w:jc w:val="center"/>
              <w:rPr>
                <w:color w:val="auto"/>
                <w:szCs w:val="21"/>
              </w:rPr>
            </w:pPr>
          </w:p>
        </w:tc>
        <w:tc>
          <w:tcPr>
            <w:tcW w:w="707" w:type="pct"/>
            <w:tcBorders>
              <w:tl2br w:val="nil"/>
              <w:tr2bl w:val="nil"/>
            </w:tcBorders>
            <w:vAlign w:val="center"/>
          </w:tcPr>
          <w:p w14:paraId="05E89F4B">
            <w:pPr>
              <w:keepNext w:val="0"/>
              <w:keepLines w:val="0"/>
              <w:widowControl/>
              <w:suppressLineNumbers w:val="0"/>
              <w:jc w:val="center"/>
              <w:rPr>
                <w:rFonts w:hint="eastAsia" w:ascii="Times New Roman" w:eastAsia="宋体" w:cs="Times New Roman"/>
                <w:color w:val="auto"/>
                <w:szCs w:val="21"/>
                <w:lang w:eastAsia="zh-CN"/>
              </w:rPr>
            </w:pPr>
            <w:r>
              <w:rPr>
                <w:rFonts w:hint="default" w:ascii="Times New Roman" w:hAnsi="Times New Roman" w:eastAsia="宋体" w:cs="Times New Roman"/>
                <w:kern w:val="0"/>
                <w:sz w:val="21"/>
                <w:szCs w:val="21"/>
                <w:lang w:val="en-US" w:eastAsia="zh-CN" w:bidi="ar"/>
              </w:rPr>
              <w:t>上朝阳沟</w:t>
            </w:r>
          </w:p>
        </w:tc>
        <w:tc>
          <w:tcPr>
            <w:tcW w:w="756" w:type="pct"/>
            <w:tcBorders>
              <w:tl2br w:val="nil"/>
              <w:tr2bl w:val="nil"/>
            </w:tcBorders>
            <w:vAlign w:val="center"/>
          </w:tcPr>
          <w:p w14:paraId="261612DD">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304666.7593</w:t>
            </w:r>
          </w:p>
        </w:tc>
        <w:tc>
          <w:tcPr>
            <w:tcW w:w="828" w:type="pct"/>
            <w:tcBorders>
              <w:tl2br w:val="nil"/>
              <w:tr2bl w:val="nil"/>
            </w:tcBorders>
            <w:vAlign w:val="center"/>
          </w:tcPr>
          <w:p w14:paraId="24931853">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4656447.6161</w:t>
            </w:r>
          </w:p>
        </w:tc>
        <w:tc>
          <w:tcPr>
            <w:tcW w:w="533" w:type="pct"/>
            <w:tcBorders>
              <w:tl2br w:val="nil"/>
              <w:tr2bl w:val="nil"/>
            </w:tcBorders>
            <w:vAlign w:val="center"/>
          </w:tcPr>
          <w:p w14:paraId="74B05DCF">
            <w:pPr>
              <w:keepNext w:val="0"/>
              <w:keepLines w:val="0"/>
              <w:widowControl/>
              <w:suppressLineNumbers w:val="0"/>
              <w:jc w:val="center"/>
              <w:textAlignment w:val="center"/>
              <w:rPr>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051C99E7">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729A5578">
            <w:pPr>
              <w:jc w:val="center"/>
              <w:rPr>
                <w:color w:val="auto"/>
                <w:szCs w:val="21"/>
              </w:rPr>
            </w:pPr>
          </w:p>
        </w:tc>
        <w:tc>
          <w:tcPr>
            <w:tcW w:w="790" w:type="dxa"/>
            <w:tcBorders>
              <w:tl2br w:val="nil"/>
              <w:tr2bl w:val="nil"/>
            </w:tcBorders>
            <w:vAlign w:val="center"/>
          </w:tcPr>
          <w:p w14:paraId="6B22B442">
            <w:pPr>
              <w:keepNext w:val="0"/>
              <w:keepLines w:val="0"/>
              <w:widowControl/>
              <w:suppressLineNumbers w:val="0"/>
              <w:jc w:val="center"/>
              <w:rPr>
                <w:rFonts w:ascii="Times New Roman" w:cs="Times New Roman"/>
                <w:color w:val="auto"/>
                <w:szCs w:val="21"/>
              </w:rPr>
            </w:pPr>
            <w:r>
              <w:rPr>
                <w:rFonts w:hint="default" w:ascii="Times New Roman" w:hAnsi="Times New Roman" w:eastAsia="宋体" w:cs="Times New Roman"/>
                <w:kern w:val="0"/>
                <w:sz w:val="21"/>
                <w:szCs w:val="21"/>
                <w:lang w:val="en-US" w:eastAsia="zh-CN" w:bidi="ar"/>
              </w:rPr>
              <w:t>东</w:t>
            </w:r>
          </w:p>
        </w:tc>
        <w:tc>
          <w:tcPr>
            <w:tcW w:w="891" w:type="dxa"/>
            <w:tcBorders>
              <w:tl2br w:val="nil"/>
              <w:tr2bl w:val="nil"/>
            </w:tcBorders>
            <w:vAlign w:val="center"/>
          </w:tcPr>
          <w:p w14:paraId="2B90616A">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2102</w:t>
            </w:r>
          </w:p>
        </w:tc>
      </w:tr>
      <w:tr w14:paraId="111F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6767D18D">
            <w:pPr>
              <w:widowControl/>
              <w:jc w:val="center"/>
              <w:rPr>
                <w:color w:val="auto"/>
                <w:szCs w:val="21"/>
              </w:rPr>
            </w:pPr>
          </w:p>
        </w:tc>
        <w:tc>
          <w:tcPr>
            <w:tcW w:w="707" w:type="pct"/>
            <w:tcBorders>
              <w:tl2br w:val="nil"/>
              <w:tr2bl w:val="nil"/>
            </w:tcBorders>
            <w:vAlign w:val="center"/>
          </w:tcPr>
          <w:p w14:paraId="740622FE">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小二齿沟</w:t>
            </w:r>
          </w:p>
        </w:tc>
        <w:tc>
          <w:tcPr>
            <w:tcW w:w="756" w:type="pct"/>
            <w:tcBorders>
              <w:tl2br w:val="nil"/>
              <w:tr2bl w:val="nil"/>
            </w:tcBorders>
            <w:vAlign w:val="center"/>
          </w:tcPr>
          <w:p w14:paraId="7340D60D">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302871.5480</w:t>
            </w:r>
          </w:p>
        </w:tc>
        <w:tc>
          <w:tcPr>
            <w:tcW w:w="828" w:type="pct"/>
            <w:tcBorders>
              <w:tl2br w:val="nil"/>
              <w:tr2bl w:val="nil"/>
            </w:tcBorders>
            <w:vAlign w:val="center"/>
          </w:tcPr>
          <w:p w14:paraId="7AD9CE72">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4654164.1909</w:t>
            </w:r>
          </w:p>
        </w:tc>
        <w:tc>
          <w:tcPr>
            <w:tcW w:w="533" w:type="pct"/>
            <w:tcBorders>
              <w:tl2br w:val="nil"/>
              <w:tr2bl w:val="nil"/>
            </w:tcBorders>
            <w:vAlign w:val="center"/>
          </w:tcPr>
          <w:p w14:paraId="7D32FFE9">
            <w:pPr>
              <w:keepNext w:val="0"/>
              <w:keepLines w:val="0"/>
              <w:widowControl/>
              <w:suppressLineNumbers w:val="0"/>
              <w:jc w:val="center"/>
              <w:textAlignment w:val="center"/>
              <w:rPr>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15DAC355">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12E40E92">
            <w:pPr>
              <w:jc w:val="center"/>
              <w:rPr>
                <w:color w:val="auto"/>
                <w:szCs w:val="21"/>
              </w:rPr>
            </w:pPr>
          </w:p>
        </w:tc>
        <w:tc>
          <w:tcPr>
            <w:tcW w:w="790" w:type="dxa"/>
            <w:tcBorders>
              <w:tl2br w:val="nil"/>
              <w:tr2bl w:val="nil"/>
            </w:tcBorders>
            <w:vAlign w:val="center"/>
          </w:tcPr>
          <w:p w14:paraId="69F5A88F">
            <w:pPr>
              <w:keepNext w:val="0"/>
              <w:keepLines w:val="0"/>
              <w:widowControl/>
              <w:suppressLineNumbers w:val="0"/>
              <w:jc w:val="center"/>
              <w:rPr>
                <w:rFonts w:hint="eastAsia" w:ascii="Times New Roman" w:eastAsia="宋体" w:cs="Times New Roman"/>
                <w:color w:val="auto"/>
                <w:szCs w:val="21"/>
                <w:vertAlign w:val="superscript"/>
                <w:lang w:eastAsia="zh-CN"/>
              </w:rPr>
            </w:pPr>
            <w:r>
              <w:rPr>
                <w:rFonts w:hint="default" w:ascii="Times New Roman" w:hAnsi="Times New Roman" w:eastAsia="宋体" w:cs="Times New Roman"/>
                <w:kern w:val="0"/>
                <w:sz w:val="21"/>
                <w:szCs w:val="21"/>
                <w:lang w:val="en-US" w:eastAsia="zh-CN" w:bidi="ar"/>
              </w:rPr>
              <w:t>南</w:t>
            </w:r>
          </w:p>
        </w:tc>
        <w:tc>
          <w:tcPr>
            <w:tcW w:w="891" w:type="dxa"/>
            <w:tcBorders>
              <w:tl2br w:val="nil"/>
              <w:tr2bl w:val="nil"/>
            </w:tcBorders>
            <w:vAlign w:val="center"/>
          </w:tcPr>
          <w:p w14:paraId="20486FBC">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2095</w:t>
            </w:r>
          </w:p>
        </w:tc>
      </w:tr>
      <w:tr w14:paraId="6449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0B422AF0">
            <w:pPr>
              <w:widowControl/>
              <w:jc w:val="center"/>
              <w:rPr>
                <w:color w:val="auto"/>
                <w:szCs w:val="21"/>
              </w:rPr>
            </w:pPr>
          </w:p>
        </w:tc>
        <w:tc>
          <w:tcPr>
            <w:tcW w:w="1241" w:type="dxa"/>
            <w:tcBorders>
              <w:tl2br w:val="nil"/>
              <w:tr2bl w:val="nil"/>
            </w:tcBorders>
            <w:vAlign w:val="center"/>
          </w:tcPr>
          <w:p w14:paraId="0C98264A">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大二齿沟</w:t>
            </w:r>
          </w:p>
        </w:tc>
        <w:tc>
          <w:tcPr>
            <w:tcW w:w="1327" w:type="dxa"/>
            <w:tcBorders>
              <w:tl2br w:val="nil"/>
              <w:tr2bl w:val="nil"/>
            </w:tcBorders>
            <w:vAlign w:val="center"/>
          </w:tcPr>
          <w:p w14:paraId="3A3CF7B2">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304009.23</w:t>
            </w:r>
            <w:r>
              <w:rPr>
                <w:rFonts w:hint="eastAsia" w:cs="Times New Roman"/>
                <w:kern w:val="0"/>
                <w:sz w:val="21"/>
                <w:szCs w:val="21"/>
                <w:lang w:val="en-US" w:eastAsia="zh-CN" w:bidi="ar"/>
              </w:rPr>
              <w:t>00</w:t>
            </w:r>
          </w:p>
        </w:tc>
        <w:tc>
          <w:tcPr>
            <w:tcW w:w="1456" w:type="dxa"/>
            <w:tcBorders>
              <w:tl2br w:val="nil"/>
              <w:tr2bl w:val="nil"/>
            </w:tcBorders>
            <w:vAlign w:val="center"/>
          </w:tcPr>
          <w:p w14:paraId="7BA5A56A">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4653790.08</w:t>
            </w:r>
            <w:r>
              <w:rPr>
                <w:rFonts w:hint="eastAsia" w:cs="Times New Roman"/>
                <w:kern w:val="0"/>
                <w:sz w:val="21"/>
                <w:szCs w:val="21"/>
                <w:lang w:val="en-US" w:eastAsia="zh-CN" w:bidi="ar"/>
              </w:rPr>
              <w:t>00</w:t>
            </w:r>
          </w:p>
        </w:tc>
        <w:tc>
          <w:tcPr>
            <w:tcW w:w="936" w:type="dxa"/>
            <w:tcBorders>
              <w:tl2br w:val="nil"/>
              <w:tr2bl w:val="nil"/>
            </w:tcBorders>
            <w:vAlign w:val="center"/>
          </w:tcPr>
          <w:p w14:paraId="0C315459">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857" w:type="dxa"/>
            <w:tcBorders>
              <w:tl2br w:val="nil"/>
              <w:tr2bl w:val="nil"/>
            </w:tcBorders>
            <w:vAlign w:val="center"/>
          </w:tcPr>
          <w:p w14:paraId="6BEE85AF">
            <w:pPr>
              <w:keepNext w:val="0"/>
              <w:keepLines w:val="0"/>
              <w:widowControl/>
              <w:suppressLineNumbers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54BDB5B8">
            <w:pPr>
              <w:jc w:val="center"/>
              <w:rPr>
                <w:color w:val="auto"/>
                <w:szCs w:val="21"/>
              </w:rPr>
            </w:pPr>
          </w:p>
        </w:tc>
        <w:tc>
          <w:tcPr>
            <w:tcW w:w="790" w:type="dxa"/>
            <w:tcBorders>
              <w:tl2br w:val="nil"/>
              <w:tr2bl w:val="nil"/>
            </w:tcBorders>
            <w:vAlign w:val="center"/>
          </w:tcPr>
          <w:p w14:paraId="5C4AD95F">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南</w:t>
            </w:r>
          </w:p>
        </w:tc>
        <w:tc>
          <w:tcPr>
            <w:tcW w:w="891" w:type="dxa"/>
            <w:tcBorders>
              <w:tl2br w:val="nil"/>
              <w:tr2bl w:val="nil"/>
            </w:tcBorders>
            <w:vAlign w:val="center"/>
          </w:tcPr>
          <w:p w14:paraId="7405B176">
            <w:pPr>
              <w:keepNext w:val="0"/>
              <w:keepLines w:val="0"/>
              <w:widowControl/>
              <w:suppressLineNumbers w:val="0"/>
              <w:jc w:val="center"/>
              <w:rPr>
                <w:rFonts w:hint="default" w:ascii="Times New Roman" w:hAnsi="Times New Roman" w:eastAsia="宋体" w:cs="Times New Roman"/>
                <w:kern w:val="0"/>
                <w:sz w:val="21"/>
                <w:szCs w:val="21"/>
                <w:lang w:val="en-US" w:eastAsia="zh-CN" w:bidi="ar"/>
              </w:rPr>
            </w:pPr>
            <w:r>
              <w:rPr>
                <w:rFonts w:hint="eastAsia" w:cs="Times New Roman"/>
                <w:kern w:val="0"/>
                <w:sz w:val="21"/>
                <w:szCs w:val="21"/>
                <w:lang w:val="en-US" w:eastAsia="zh-CN" w:bidi="ar"/>
              </w:rPr>
              <w:t>2400</w:t>
            </w:r>
          </w:p>
        </w:tc>
      </w:tr>
      <w:tr w14:paraId="620E2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vMerge w:val="continue"/>
            <w:tcBorders>
              <w:tl2br w:val="nil"/>
              <w:tr2bl w:val="nil"/>
            </w:tcBorders>
            <w:vAlign w:val="center"/>
          </w:tcPr>
          <w:p w14:paraId="1C0BDBEC">
            <w:pPr>
              <w:widowControl/>
              <w:jc w:val="center"/>
              <w:rPr>
                <w:color w:val="auto"/>
                <w:szCs w:val="21"/>
              </w:rPr>
            </w:pPr>
          </w:p>
        </w:tc>
        <w:tc>
          <w:tcPr>
            <w:tcW w:w="707" w:type="pct"/>
            <w:tcBorders>
              <w:tl2br w:val="nil"/>
              <w:tr2bl w:val="nil"/>
            </w:tcBorders>
            <w:vAlign w:val="center"/>
          </w:tcPr>
          <w:p w14:paraId="14B682D9">
            <w:pPr>
              <w:keepNext w:val="0"/>
              <w:keepLines w:val="0"/>
              <w:widowControl/>
              <w:suppressLineNumbers w:val="0"/>
              <w:jc w:val="center"/>
              <w:rPr>
                <w:rFonts w:hint="eastAsia" w:ascii="Times New Roman" w:eastAsia="宋体" w:cs="Times New Roman"/>
                <w:color w:val="auto"/>
                <w:szCs w:val="21"/>
                <w:lang w:eastAsia="zh-CN"/>
              </w:rPr>
            </w:pPr>
            <w:r>
              <w:rPr>
                <w:rFonts w:hint="default" w:ascii="Times New Roman" w:hAnsi="Times New Roman" w:eastAsia="宋体" w:cs="Times New Roman"/>
                <w:kern w:val="0"/>
                <w:sz w:val="21"/>
                <w:szCs w:val="21"/>
                <w:lang w:val="en-US" w:eastAsia="zh-CN" w:bidi="ar"/>
              </w:rPr>
              <w:t>七家子村</w:t>
            </w:r>
          </w:p>
        </w:tc>
        <w:tc>
          <w:tcPr>
            <w:tcW w:w="756" w:type="pct"/>
            <w:tcBorders>
              <w:tl2br w:val="nil"/>
              <w:tr2bl w:val="nil"/>
            </w:tcBorders>
            <w:vAlign w:val="center"/>
          </w:tcPr>
          <w:p w14:paraId="64EB0097">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302261.1234</w:t>
            </w:r>
          </w:p>
        </w:tc>
        <w:tc>
          <w:tcPr>
            <w:tcW w:w="828" w:type="pct"/>
            <w:tcBorders>
              <w:tl2br w:val="nil"/>
              <w:tr2bl w:val="nil"/>
            </w:tcBorders>
            <w:vAlign w:val="center"/>
          </w:tcPr>
          <w:p w14:paraId="5074ADD1">
            <w:pPr>
              <w:keepNext w:val="0"/>
              <w:keepLines w:val="0"/>
              <w:widowControl/>
              <w:suppressLineNumbers w:val="0"/>
              <w:jc w:val="center"/>
              <w:rPr>
                <w:color w:val="auto"/>
                <w:szCs w:val="21"/>
              </w:rPr>
            </w:pPr>
            <w:r>
              <w:rPr>
                <w:rFonts w:hint="default" w:ascii="Times New Roman" w:hAnsi="Times New Roman" w:eastAsia="宋体" w:cs="Times New Roman"/>
                <w:kern w:val="0"/>
                <w:sz w:val="21"/>
                <w:szCs w:val="21"/>
                <w:lang w:val="en-US" w:eastAsia="zh-CN" w:bidi="ar"/>
              </w:rPr>
              <w:t>4655280.1287</w:t>
            </w:r>
          </w:p>
        </w:tc>
        <w:tc>
          <w:tcPr>
            <w:tcW w:w="533" w:type="pct"/>
            <w:tcBorders>
              <w:tl2br w:val="nil"/>
              <w:tr2bl w:val="nil"/>
            </w:tcBorders>
            <w:vAlign w:val="center"/>
          </w:tcPr>
          <w:p w14:paraId="40A8AEA7">
            <w:pPr>
              <w:keepNext w:val="0"/>
              <w:keepLines w:val="0"/>
              <w:widowControl/>
              <w:suppressLineNumbers w:val="0"/>
              <w:jc w:val="center"/>
              <w:textAlignment w:val="center"/>
              <w:rPr>
                <w:color w:val="auto"/>
                <w:szCs w:val="21"/>
              </w:rPr>
            </w:pPr>
            <w:r>
              <w:rPr>
                <w:rFonts w:hint="default" w:ascii="Times New Roman" w:hAnsi="Times New Roman" w:cs="Times New Roman"/>
                <w:color w:val="auto"/>
                <w:sz w:val="21"/>
                <w:szCs w:val="21"/>
                <w:lang w:val="en-US" w:eastAsia="zh-CN"/>
              </w:rPr>
              <w:t>居住区</w:t>
            </w:r>
          </w:p>
        </w:tc>
        <w:tc>
          <w:tcPr>
            <w:tcW w:w="487" w:type="pct"/>
            <w:tcBorders>
              <w:tl2br w:val="nil"/>
              <w:tr2bl w:val="nil"/>
            </w:tcBorders>
            <w:vAlign w:val="center"/>
          </w:tcPr>
          <w:p w14:paraId="4E56BC8B">
            <w:pPr>
              <w:keepNext w:val="0"/>
              <w:keepLines w:val="0"/>
              <w:widowControl/>
              <w:suppressLineNumbers w:val="0"/>
              <w:jc w:val="center"/>
              <w:textAlignment w:val="center"/>
              <w:rPr>
                <w:rFonts w:hint="eastAsia"/>
                <w:color w:val="auto"/>
                <w:szCs w:val="21"/>
              </w:rPr>
            </w:pPr>
            <w:r>
              <w:rPr>
                <w:rFonts w:hint="default" w:ascii="Times New Roman" w:hAnsi="Times New Roman" w:cs="Times New Roman"/>
                <w:color w:val="auto"/>
                <w:sz w:val="21"/>
                <w:szCs w:val="21"/>
                <w:lang w:val="en-US" w:eastAsia="zh-CN"/>
              </w:rPr>
              <w:t>居民</w:t>
            </w:r>
          </w:p>
        </w:tc>
        <w:tc>
          <w:tcPr>
            <w:tcW w:w="419" w:type="pct"/>
            <w:vMerge w:val="continue"/>
            <w:tcBorders>
              <w:tl2br w:val="nil"/>
              <w:tr2bl w:val="nil"/>
            </w:tcBorders>
            <w:vAlign w:val="center"/>
          </w:tcPr>
          <w:p w14:paraId="4586431A">
            <w:pPr>
              <w:jc w:val="center"/>
              <w:rPr>
                <w:color w:val="auto"/>
                <w:szCs w:val="21"/>
              </w:rPr>
            </w:pPr>
          </w:p>
        </w:tc>
        <w:tc>
          <w:tcPr>
            <w:tcW w:w="790" w:type="dxa"/>
            <w:tcBorders>
              <w:tl2br w:val="nil"/>
              <w:tr2bl w:val="nil"/>
            </w:tcBorders>
            <w:vAlign w:val="center"/>
          </w:tcPr>
          <w:p w14:paraId="5EBD9583">
            <w:pPr>
              <w:keepNext w:val="0"/>
              <w:keepLines w:val="0"/>
              <w:widowControl/>
              <w:suppressLineNumbers w:val="0"/>
              <w:jc w:val="center"/>
              <w:rPr>
                <w:rFonts w:ascii="Times New Roman" w:cs="Times New Roman"/>
                <w:color w:val="auto"/>
                <w:szCs w:val="21"/>
                <w:vertAlign w:val="superscript"/>
              </w:rPr>
            </w:pPr>
            <w:r>
              <w:rPr>
                <w:rFonts w:hint="default" w:ascii="Times New Roman" w:hAnsi="Times New Roman" w:eastAsia="宋体" w:cs="Times New Roman"/>
                <w:kern w:val="0"/>
                <w:sz w:val="21"/>
                <w:szCs w:val="21"/>
                <w:lang w:val="en-US" w:eastAsia="zh-CN" w:bidi="ar"/>
              </w:rPr>
              <w:t>南</w:t>
            </w:r>
          </w:p>
        </w:tc>
        <w:tc>
          <w:tcPr>
            <w:tcW w:w="891" w:type="dxa"/>
            <w:tcBorders>
              <w:tl2br w:val="nil"/>
              <w:tr2bl w:val="nil"/>
            </w:tcBorders>
            <w:vAlign w:val="center"/>
          </w:tcPr>
          <w:p w14:paraId="5BB10345">
            <w:pPr>
              <w:keepNext w:val="0"/>
              <w:keepLines w:val="0"/>
              <w:widowControl/>
              <w:suppressLineNumbers w:val="0"/>
              <w:jc w:val="center"/>
              <w:rPr>
                <w:rFonts w:hint="default" w:ascii="Times New Roman" w:eastAsia="宋体" w:cs="Times New Roman"/>
                <w:color w:val="auto"/>
                <w:szCs w:val="21"/>
                <w:lang w:val="en-US" w:eastAsia="zh-CN"/>
              </w:rPr>
            </w:pPr>
            <w:r>
              <w:rPr>
                <w:rFonts w:hint="default" w:ascii="Times New Roman" w:hAnsi="Times New Roman" w:eastAsia="宋体" w:cs="Times New Roman"/>
                <w:kern w:val="0"/>
                <w:sz w:val="21"/>
                <w:szCs w:val="21"/>
                <w:lang w:val="en-US" w:eastAsia="zh-CN" w:bidi="ar"/>
              </w:rPr>
              <w:t>1004</w:t>
            </w:r>
          </w:p>
        </w:tc>
      </w:tr>
      <w:tr w14:paraId="131C8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2" w:type="pct"/>
            <w:tcBorders>
              <w:tl2br w:val="nil"/>
              <w:tr2bl w:val="nil"/>
            </w:tcBorders>
            <w:vAlign w:val="center"/>
          </w:tcPr>
          <w:p w14:paraId="67FFE93D">
            <w:pPr>
              <w:jc w:val="center"/>
              <w:rPr>
                <w:color w:val="auto"/>
                <w:szCs w:val="21"/>
              </w:rPr>
            </w:pPr>
            <w:r>
              <w:rPr>
                <w:rFonts w:hint="eastAsia"/>
                <w:color w:val="auto"/>
                <w:szCs w:val="21"/>
              </w:rPr>
              <w:t>地表水</w:t>
            </w:r>
          </w:p>
        </w:tc>
        <w:tc>
          <w:tcPr>
            <w:tcW w:w="2292" w:type="pct"/>
            <w:gridSpan w:val="3"/>
            <w:tcBorders>
              <w:tl2br w:val="nil"/>
              <w:tr2bl w:val="nil"/>
            </w:tcBorders>
            <w:vAlign w:val="center"/>
          </w:tcPr>
          <w:p w14:paraId="2F40793F">
            <w:pPr>
              <w:jc w:val="center"/>
              <w:rPr>
                <w:rFonts w:hint="eastAsia" w:eastAsia="宋体"/>
                <w:color w:val="auto"/>
                <w:szCs w:val="21"/>
                <w:lang w:eastAsia="zh-CN"/>
              </w:rPr>
            </w:pPr>
            <w:r>
              <w:rPr>
                <w:rFonts w:hint="default" w:ascii="Times New Roman" w:hAnsi="Times New Roman" w:cs="Times New Roman"/>
                <w:color w:val="auto"/>
                <w:sz w:val="21"/>
                <w:szCs w:val="21"/>
                <w:lang w:val="en-US" w:eastAsia="zh-CN"/>
              </w:rPr>
              <w:t>蒙古营子河</w:t>
            </w:r>
          </w:p>
        </w:tc>
        <w:tc>
          <w:tcPr>
            <w:tcW w:w="1021" w:type="pct"/>
            <w:gridSpan w:val="2"/>
            <w:tcBorders>
              <w:tl2br w:val="nil"/>
              <w:tr2bl w:val="nil"/>
            </w:tcBorders>
            <w:vAlign w:val="center"/>
          </w:tcPr>
          <w:p w14:paraId="4A60E546">
            <w:pPr>
              <w:jc w:val="center"/>
              <w:rPr>
                <w:color w:val="auto"/>
                <w:szCs w:val="21"/>
              </w:rPr>
            </w:pPr>
            <w:r>
              <w:rPr>
                <w:rFonts w:hint="eastAsia"/>
                <w:color w:val="auto"/>
                <w:szCs w:val="21"/>
                <w:lang w:eastAsia="zh-CN"/>
              </w:rPr>
              <w:t>地表水</w:t>
            </w:r>
          </w:p>
        </w:tc>
        <w:tc>
          <w:tcPr>
            <w:tcW w:w="419" w:type="pct"/>
            <w:tcBorders>
              <w:tl2br w:val="nil"/>
              <w:tr2bl w:val="nil"/>
            </w:tcBorders>
            <w:vAlign w:val="center"/>
          </w:tcPr>
          <w:p w14:paraId="083359D5">
            <w:pPr>
              <w:jc w:val="center"/>
              <w:rPr>
                <w:rFonts w:ascii="Times New Roman" w:hAnsi="Times New Roman" w:eastAsia="宋体" w:cs="Times New Roman"/>
                <w:color w:val="auto"/>
              </w:rPr>
            </w:pPr>
            <w:r>
              <w:rPr>
                <w:rFonts w:ascii="Times New Roman" w:hAnsi="Times New Roman" w:eastAsia="宋体" w:cs="Times New Roman"/>
                <w:color w:val="auto"/>
              </w:rPr>
              <w:t>Ⅲ类</w:t>
            </w:r>
          </w:p>
        </w:tc>
        <w:tc>
          <w:tcPr>
            <w:tcW w:w="964" w:type="pct"/>
            <w:gridSpan w:val="2"/>
            <w:tcBorders>
              <w:tl2br w:val="nil"/>
              <w:tr2bl w:val="nil"/>
            </w:tcBorders>
            <w:vAlign w:val="center"/>
          </w:tcPr>
          <w:p w14:paraId="557E09FC">
            <w:pPr>
              <w:jc w:val="center"/>
              <w:rPr>
                <w:color w:val="auto"/>
                <w:szCs w:val="21"/>
              </w:rPr>
            </w:pPr>
            <w:r>
              <w:rPr>
                <w:rFonts w:hint="eastAsia"/>
                <w:color w:val="auto"/>
                <w:szCs w:val="21"/>
              </w:rPr>
              <w:t>距离厂</w:t>
            </w:r>
            <w:r>
              <w:rPr>
                <w:color w:val="auto"/>
                <w:szCs w:val="21"/>
              </w:rPr>
              <w:t>界最近</w:t>
            </w:r>
            <w:r>
              <w:rPr>
                <w:rFonts w:hint="eastAsia"/>
                <w:color w:val="auto"/>
                <w:szCs w:val="21"/>
                <w:lang w:val="en-US" w:eastAsia="zh-CN"/>
              </w:rPr>
              <w:t>50</w:t>
            </w:r>
            <w:r>
              <w:rPr>
                <w:rFonts w:hint="eastAsia"/>
                <w:color w:val="auto"/>
                <w:szCs w:val="21"/>
              </w:rPr>
              <w:t>m</w:t>
            </w:r>
          </w:p>
        </w:tc>
      </w:tr>
    </w:tbl>
    <w:p w14:paraId="23D139AE">
      <w:pPr>
        <w:pStyle w:val="4"/>
        <w:bidi w:val="0"/>
        <w:rPr>
          <w:rFonts w:hint="default" w:ascii="Times New Roman" w:hAnsi="Times New Roman" w:cs="Times New Roman" w:eastAsiaTheme="minorEastAsia"/>
          <w:lang w:val="en-US" w:eastAsia="zh-CN"/>
        </w:rPr>
      </w:pPr>
      <w:bookmarkStart w:id="111" w:name="_Toc17700"/>
      <w:r>
        <w:rPr>
          <w:rFonts w:hint="default" w:ascii="Times New Roman" w:hAnsi="Times New Roman" w:cs="Times New Roman" w:eastAsiaTheme="minorEastAsia"/>
          <w:lang w:val="en-US" w:eastAsia="zh-CN"/>
        </w:rPr>
        <w:t>7.</w:t>
      </w:r>
      <w:r>
        <w:rPr>
          <w:rFonts w:hint="eastAsia" w:ascii="Times New Roman" w:hAnsi="Times New Roman" w:cs="Times New Roman" w:eastAsiaTheme="minorEastAsia"/>
          <w:lang w:val="en-US" w:eastAsia="zh-CN"/>
        </w:rPr>
        <w:t>3</w:t>
      </w:r>
      <w:r>
        <w:rPr>
          <w:rFonts w:hint="default" w:ascii="Times New Roman" w:hAnsi="Times New Roman" w:cs="Times New Roman" w:eastAsiaTheme="minorEastAsia"/>
          <w:lang w:val="en-US" w:eastAsia="zh-CN"/>
        </w:rPr>
        <w:t>环境风险</w:t>
      </w:r>
      <w:bookmarkEnd w:id="109"/>
      <w:bookmarkEnd w:id="110"/>
      <w:r>
        <w:rPr>
          <w:rFonts w:hint="default" w:ascii="Times New Roman" w:hAnsi="Times New Roman" w:cs="Times New Roman" w:eastAsiaTheme="minorEastAsia"/>
          <w:lang w:val="en-US" w:eastAsia="zh-CN"/>
        </w:rPr>
        <w:t>识别</w:t>
      </w:r>
      <w:bookmarkEnd w:id="111"/>
    </w:p>
    <w:p w14:paraId="7811073A">
      <w:pPr>
        <w:wordWrap/>
        <w:bidi w:val="0"/>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风险识别范围包括生产过程所涉及的物质风险识别和生产设施风险识别。</w:t>
      </w:r>
    </w:p>
    <w:p w14:paraId="2141B70A">
      <w:pPr>
        <w:wordWrap/>
        <w:bidi w:val="0"/>
        <w:adjustRightInd w:val="0"/>
        <w:snapToGrid w:val="0"/>
        <w:spacing w:line="360" w:lineRule="auto"/>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物质风险识别范围：主要原材料及辅助材料、燃料、中间产物、最终产品以及生产过程排放的“三废”污染物等。</w:t>
      </w:r>
    </w:p>
    <w:p w14:paraId="38C7C62F">
      <w:pPr>
        <w:numPr>
          <w:ilvl w:val="0"/>
          <w:numId w:val="11"/>
        </w:numPr>
        <w:wordWrap/>
        <w:bidi w:val="0"/>
        <w:adjustRightInd w:val="0"/>
        <w:snapToGrid w:val="0"/>
        <w:spacing w:line="360" w:lineRule="auto"/>
        <w:ind w:firstLine="482" w:firstLineChars="200"/>
        <w:jc w:val="left"/>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风险物质识别</w:t>
      </w:r>
    </w:p>
    <w:p w14:paraId="3DE978E4">
      <w:pPr>
        <w:autoSpaceDE w:val="0"/>
        <w:autoSpaceDN w:val="0"/>
        <w:adjustRightInd w:val="0"/>
        <w:spacing w:line="360" w:lineRule="auto"/>
        <w:ind w:firstLine="480" w:firstLineChars="200"/>
        <w:rPr>
          <w:rFonts w:ascii="Times New Roman" w:hAnsi="Times New Roman" w:eastAsia="宋体" w:cs="Times New Roman"/>
          <w:color w:val="auto"/>
          <w:sz w:val="24"/>
        </w:rPr>
      </w:pPr>
      <w:r>
        <w:rPr>
          <w:rFonts w:hint="default" w:ascii="Times New Roman" w:hAnsi="Times New Roman" w:cs="Times New Roman"/>
          <w:color w:val="auto"/>
          <w:sz w:val="24"/>
        </w:rPr>
        <w:t>本项目涉及的</w:t>
      </w:r>
      <w:r>
        <w:rPr>
          <w:rFonts w:hint="eastAsia" w:ascii="Times New Roman" w:hAnsi="Times New Roman" w:cs="Times New Roman"/>
          <w:color w:val="auto"/>
          <w:sz w:val="24"/>
          <w:lang w:val="en-US" w:eastAsia="zh-CN"/>
        </w:rPr>
        <w:t>主要</w:t>
      </w:r>
      <w:r>
        <w:rPr>
          <w:rFonts w:hint="default" w:ascii="Times New Roman" w:hAnsi="Times New Roman" w:cs="Times New Roman"/>
          <w:color w:val="auto"/>
          <w:sz w:val="24"/>
        </w:rPr>
        <w:t>风险物质</w:t>
      </w:r>
      <w:r>
        <w:rPr>
          <w:rFonts w:hint="default" w:ascii="Times New Roman" w:hAnsi="Times New Roman" w:cs="Times New Roman"/>
          <w:color w:val="auto"/>
          <w:sz w:val="24"/>
          <w:lang w:eastAsia="zh-CN"/>
        </w:rPr>
        <w:t>为</w:t>
      </w:r>
      <w:r>
        <w:rPr>
          <w:rFonts w:ascii="Times New Roman" w:hAnsi="Times New Roman" w:eastAsia="宋体" w:cs="Times New Roman"/>
          <w:color w:val="auto"/>
          <w:sz w:val="24"/>
        </w:rPr>
        <w:t>机油</w:t>
      </w:r>
      <w:r>
        <w:rPr>
          <w:rFonts w:hint="eastAsia" w:cs="Times New Roman"/>
          <w:color w:val="auto"/>
          <w:sz w:val="24"/>
          <w:highlight w:val="none"/>
          <w:lang w:eastAsia="zh-CN"/>
        </w:rPr>
        <w:t>、</w:t>
      </w:r>
      <w:r>
        <w:rPr>
          <w:rFonts w:hint="eastAsia" w:cs="Times New Roman"/>
          <w:color w:val="auto"/>
          <w:sz w:val="24"/>
          <w:highlight w:val="none"/>
          <w:lang w:val="en-US" w:eastAsia="zh-CN"/>
        </w:rPr>
        <w:t>2号油、丁基黄药、丁铵黑药</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风险物质的理化性质及危险性分析见下表。</w:t>
      </w:r>
    </w:p>
    <w:p w14:paraId="1BAEDA14">
      <w:pPr>
        <w:spacing w:line="360" w:lineRule="auto"/>
        <w:jc w:val="center"/>
        <w:rPr>
          <w:rFonts w:hint="default" w:ascii="Times New Roman" w:hAnsi="Times New Roman" w:eastAsia="宋体" w:cs="Times New Roman"/>
          <w:b/>
          <w:bCs/>
          <w:color w:val="auto"/>
          <w:spacing w:val="0"/>
          <w:position w:val="0"/>
          <w:highlight w:val="none"/>
          <w:lang w:val="en-US" w:eastAsia="zh-CN"/>
        </w:rPr>
      </w:pPr>
      <w:r>
        <w:rPr>
          <w:rFonts w:hint="default" w:ascii="Times New Roman" w:hAnsi="Times New Roman" w:eastAsia="宋体" w:cs="Times New Roman"/>
          <w:b/>
          <w:bCs/>
          <w:color w:val="auto"/>
          <w:spacing w:val="0"/>
          <w:position w:val="0"/>
          <w:sz w:val="24"/>
          <w:szCs w:val="32"/>
          <w:highlight w:val="none"/>
          <w:lang w:val="en-US" w:eastAsia="zh-CN"/>
        </w:rPr>
        <w:t>表</w:t>
      </w:r>
      <w:r>
        <w:rPr>
          <w:rFonts w:hint="eastAsia" w:cs="Times New Roman"/>
          <w:b/>
          <w:bCs/>
          <w:color w:val="auto"/>
          <w:spacing w:val="0"/>
          <w:position w:val="0"/>
          <w:sz w:val="24"/>
          <w:szCs w:val="32"/>
          <w:highlight w:val="none"/>
          <w:lang w:val="en-US" w:eastAsia="zh-CN"/>
        </w:rPr>
        <w:t>7</w:t>
      </w:r>
      <w:r>
        <w:rPr>
          <w:rFonts w:hint="default" w:ascii="Times New Roman" w:hAnsi="Times New Roman" w:eastAsia="宋体" w:cs="Times New Roman"/>
          <w:b/>
          <w:bCs/>
          <w:color w:val="auto"/>
          <w:spacing w:val="0"/>
          <w:position w:val="0"/>
          <w:sz w:val="24"/>
          <w:szCs w:val="32"/>
          <w:highlight w:val="none"/>
          <w:lang w:val="en-US" w:eastAsia="zh-CN"/>
        </w:rPr>
        <w:t>.</w:t>
      </w:r>
      <w:r>
        <w:rPr>
          <w:rFonts w:hint="eastAsia" w:cs="Times New Roman"/>
          <w:b/>
          <w:bCs/>
          <w:color w:val="auto"/>
          <w:spacing w:val="0"/>
          <w:position w:val="0"/>
          <w:sz w:val="24"/>
          <w:szCs w:val="32"/>
          <w:highlight w:val="none"/>
          <w:lang w:val="en-US" w:eastAsia="zh-CN"/>
        </w:rPr>
        <w:t>3</w:t>
      </w:r>
      <w:r>
        <w:rPr>
          <w:rFonts w:hint="default" w:ascii="Times New Roman" w:hAnsi="Times New Roman" w:eastAsia="宋体" w:cs="Times New Roman"/>
          <w:b/>
          <w:bCs/>
          <w:color w:val="auto"/>
          <w:spacing w:val="0"/>
          <w:position w:val="0"/>
          <w:sz w:val="24"/>
          <w:szCs w:val="32"/>
          <w:highlight w:val="none"/>
          <w:lang w:val="en-US" w:eastAsia="zh-CN"/>
        </w:rPr>
        <w:t>-1    机油理化性质及危险特性一览表</w:t>
      </w:r>
    </w:p>
    <w:tbl>
      <w:tblPr>
        <w:tblStyle w:val="29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39"/>
        <w:gridCol w:w="1435"/>
        <w:gridCol w:w="1238"/>
        <w:gridCol w:w="1629"/>
        <w:gridCol w:w="55"/>
        <w:gridCol w:w="1022"/>
        <w:gridCol w:w="454"/>
        <w:gridCol w:w="1451"/>
        <w:gridCol w:w="547"/>
        <w:gridCol w:w="2"/>
      </w:tblGrid>
      <w:tr w14:paraId="41E5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69" w:hRule="atLeast"/>
        </w:trPr>
        <w:tc>
          <w:tcPr>
            <w:tcW w:w="431" w:type="pct"/>
            <w:tcBorders>
              <w:tl2br w:val="nil"/>
              <w:tr2bl w:val="nil"/>
            </w:tcBorders>
            <w:noWrap w:val="0"/>
            <w:vAlign w:val="center"/>
          </w:tcPr>
          <w:p w14:paraId="50116A9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品名</w:t>
            </w:r>
          </w:p>
        </w:tc>
        <w:tc>
          <w:tcPr>
            <w:tcW w:w="837" w:type="pct"/>
            <w:tcBorders>
              <w:tl2br w:val="nil"/>
              <w:tr2bl w:val="nil"/>
            </w:tcBorders>
            <w:noWrap w:val="0"/>
            <w:vAlign w:val="center"/>
          </w:tcPr>
          <w:p w14:paraId="11C9343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机油</w:t>
            </w:r>
          </w:p>
        </w:tc>
        <w:tc>
          <w:tcPr>
            <w:tcW w:w="1704" w:type="pct"/>
            <w:gridSpan w:val="3"/>
            <w:tcBorders>
              <w:tl2br w:val="nil"/>
              <w:tr2bl w:val="nil"/>
            </w:tcBorders>
            <w:noWrap w:val="0"/>
            <w:vAlign w:val="center"/>
          </w:tcPr>
          <w:p w14:paraId="63EC1CB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英文名</w:t>
            </w:r>
          </w:p>
        </w:tc>
        <w:tc>
          <w:tcPr>
            <w:tcW w:w="2025" w:type="pct"/>
            <w:gridSpan w:val="4"/>
            <w:tcBorders>
              <w:tl2br w:val="nil"/>
              <w:tr2bl w:val="nil"/>
            </w:tcBorders>
            <w:noWrap w:val="0"/>
            <w:vAlign w:val="center"/>
          </w:tcPr>
          <w:p w14:paraId="109F5CC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Engine oil</w:t>
            </w:r>
          </w:p>
        </w:tc>
      </w:tr>
      <w:tr w14:paraId="074E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8" w:hRule="atLeast"/>
        </w:trPr>
        <w:tc>
          <w:tcPr>
            <w:tcW w:w="431" w:type="pct"/>
            <w:vMerge w:val="restart"/>
            <w:tcBorders>
              <w:tl2br w:val="nil"/>
              <w:tr2bl w:val="nil"/>
            </w:tcBorders>
            <w:noWrap w:val="0"/>
            <w:vAlign w:val="center"/>
          </w:tcPr>
          <w:p w14:paraId="3CF5047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理化</w:t>
            </w:r>
          </w:p>
          <w:p w14:paraId="6BD3A0B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性质</w:t>
            </w:r>
          </w:p>
        </w:tc>
        <w:tc>
          <w:tcPr>
            <w:tcW w:w="837" w:type="pct"/>
            <w:tcBorders>
              <w:tl2br w:val="nil"/>
              <w:tr2bl w:val="nil"/>
            </w:tcBorders>
            <w:noWrap w:val="0"/>
            <w:vAlign w:val="center"/>
          </w:tcPr>
          <w:p w14:paraId="73A89A1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外观与性状</w:t>
            </w:r>
          </w:p>
        </w:tc>
        <w:tc>
          <w:tcPr>
            <w:tcW w:w="1704" w:type="pct"/>
            <w:gridSpan w:val="3"/>
            <w:tcBorders>
              <w:tl2br w:val="nil"/>
              <w:tr2bl w:val="nil"/>
            </w:tcBorders>
            <w:noWrap w:val="0"/>
            <w:vAlign w:val="center"/>
          </w:tcPr>
          <w:p w14:paraId="26C34595">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淡黄色粘稠液体</w:t>
            </w:r>
          </w:p>
        </w:tc>
        <w:tc>
          <w:tcPr>
            <w:tcW w:w="596" w:type="pct"/>
            <w:tcBorders>
              <w:tl2br w:val="nil"/>
              <w:tr2bl w:val="nil"/>
            </w:tcBorders>
            <w:noWrap w:val="0"/>
            <w:vAlign w:val="center"/>
          </w:tcPr>
          <w:p w14:paraId="75D16C6D">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闪点(℃)</w:t>
            </w:r>
          </w:p>
        </w:tc>
        <w:tc>
          <w:tcPr>
            <w:tcW w:w="1429" w:type="pct"/>
            <w:gridSpan w:val="3"/>
            <w:tcBorders>
              <w:tl2br w:val="nil"/>
              <w:tr2bl w:val="nil"/>
            </w:tcBorders>
            <w:noWrap w:val="0"/>
            <w:vAlign w:val="center"/>
          </w:tcPr>
          <w:p w14:paraId="12D06F9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120~340</w:t>
            </w:r>
          </w:p>
        </w:tc>
      </w:tr>
      <w:tr w14:paraId="13A05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5" w:hRule="atLeast"/>
        </w:trPr>
        <w:tc>
          <w:tcPr>
            <w:tcW w:w="431" w:type="pct"/>
            <w:vMerge w:val="continue"/>
            <w:tcBorders>
              <w:tl2br w:val="nil"/>
              <w:tr2bl w:val="nil"/>
            </w:tcBorders>
            <w:noWrap w:val="0"/>
            <w:vAlign w:val="center"/>
          </w:tcPr>
          <w:p w14:paraId="567835E8">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32D4BD3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自燃点(℃)</w:t>
            </w:r>
          </w:p>
        </w:tc>
        <w:tc>
          <w:tcPr>
            <w:tcW w:w="722" w:type="pct"/>
            <w:tcBorders>
              <w:tl2br w:val="nil"/>
              <w:tr2bl w:val="nil"/>
            </w:tcBorders>
            <w:noWrap w:val="0"/>
            <w:vAlign w:val="center"/>
          </w:tcPr>
          <w:p w14:paraId="6BBDF396">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300~350</w:t>
            </w:r>
          </w:p>
        </w:tc>
        <w:tc>
          <w:tcPr>
            <w:tcW w:w="982" w:type="pct"/>
            <w:gridSpan w:val="2"/>
            <w:tcBorders>
              <w:tl2br w:val="nil"/>
              <w:tr2bl w:val="nil"/>
            </w:tcBorders>
            <w:noWrap w:val="0"/>
            <w:vAlign w:val="center"/>
          </w:tcPr>
          <w:p w14:paraId="698D952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相对密度(水=1)</w:t>
            </w:r>
          </w:p>
        </w:tc>
        <w:tc>
          <w:tcPr>
            <w:tcW w:w="596" w:type="pct"/>
            <w:tcBorders>
              <w:tl2br w:val="nil"/>
              <w:tr2bl w:val="nil"/>
            </w:tcBorders>
            <w:noWrap w:val="0"/>
            <w:vAlign w:val="center"/>
          </w:tcPr>
          <w:p w14:paraId="6AEBD5D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0.9348</w:t>
            </w:r>
          </w:p>
        </w:tc>
        <w:tc>
          <w:tcPr>
            <w:tcW w:w="1111" w:type="pct"/>
            <w:gridSpan w:val="2"/>
            <w:tcBorders>
              <w:tl2br w:val="nil"/>
              <w:tr2bl w:val="nil"/>
            </w:tcBorders>
            <w:noWrap w:val="0"/>
            <w:vAlign w:val="center"/>
          </w:tcPr>
          <w:p w14:paraId="7AE921E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相对密度(空气=1)</w:t>
            </w:r>
          </w:p>
        </w:tc>
        <w:tc>
          <w:tcPr>
            <w:tcW w:w="318" w:type="pct"/>
            <w:tcBorders>
              <w:tl2br w:val="nil"/>
              <w:tr2bl w:val="nil"/>
            </w:tcBorders>
            <w:noWrap w:val="0"/>
            <w:vAlign w:val="center"/>
          </w:tcPr>
          <w:p w14:paraId="4095324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0.85</w:t>
            </w:r>
          </w:p>
        </w:tc>
      </w:tr>
      <w:tr w14:paraId="1AC1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549" w:hRule="atLeast"/>
        </w:trPr>
        <w:tc>
          <w:tcPr>
            <w:tcW w:w="431" w:type="pct"/>
            <w:vMerge w:val="continue"/>
            <w:tcBorders>
              <w:tl2br w:val="nil"/>
              <w:tr2bl w:val="nil"/>
            </w:tcBorders>
            <w:noWrap w:val="0"/>
            <w:vAlign w:val="center"/>
          </w:tcPr>
          <w:p w14:paraId="1735C424">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5F803F2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沸点(℃)</w:t>
            </w:r>
          </w:p>
        </w:tc>
        <w:tc>
          <w:tcPr>
            <w:tcW w:w="722" w:type="pct"/>
            <w:tcBorders>
              <w:tl2br w:val="nil"/>
              <w:tr2bl w:val="nil"/>
            </w:tcBorders>
            <w:noWrap w:val="0"/>
            <w:vAlign w:val="center"/>
          </w:tcPr>
          <w:p w14:paraId="65152D8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-252.8</w:t>
            </w:r>
          </w:p>
        </w:tc>
        <w:tc>
          <w:tcPr>
            <w:tcW w:w="982" w:type="pct"/>
            <w:gridSpan w:val="2"/>
            <w:tcBorders>
              <w:tl2br w:val="nil"/>
              <w:tr2bl w:val="nil"/>
            </w:tcBorders>
            <w:noWrap w:val="0"/>
            <w:vAlign w:val="center"/>
          </w:tcPr>
          <w:p w14:paraId="3C34C11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饱和蒸气压</w:t>
            </w:r>
          </w:p>
          <w:p w14:paraId="43D36A8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(kPa)</w:t>
            </w:r>
          </w:p>
        </w:tc>
        <w:tc>
          <w:tcPr>
            <w:tcW w:w="2025" w:type="pct"/>
            <w:gridSpan w:val="4"/>
            <w:tcBorders>
              <w:tl2br w:val="nil"/>
              <w:tr2bl w:val="nil"/>
            </w:tcBorders>
            <w:noWrap w:val="0"/>
            <w:vAlign w:val="center"/>
          </w:tcPr>
          <w:p w14:paraId="50B7F7D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0.13/145.8℃</w:t>
            </w:r>
          </w:p>
        </w:tc>
      </w:tr>
      <w:tr w14:paraId="14BE3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5" w:hRule="atLeast"/>
        </w:trPr>
        <w:tc>
          <w:tcPr>
            <w:tcW w:w="431" w:type="pct"/>
            <w:vMerge w:val="continue"/>
            <w:tcBorders>
              <w:tl2br w:val="nil"/>
              <w:tr2bl w:val="nil"/>
            </w:tcBorders>
            <w:noWrap w:val="0"/>
            <w:vAlign w:val="center"/>
          </w:tcPr>
          <w:p w14:paraId="1E667CC6">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5CC2973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溶解性</w:t>
            </w:r>
          </w:p>
        </w:tc>
        <w:tc>
          <w:tcPr>
            <w:tcW w:w="3730" w:type="pct"/>
            <w:gridSpan w:val="7"/>
            <w:tcBorders>
              <w:tl2br w:val="nil"/>
              <w:tr2bl w:val="nil"/>
            </w:tcBorders>
            <w:noWrap w:val="0"/>
            <w:vAlign w:val="center"/>
          </w:tcPr>
          <w:p w14:paraId="6D511C2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溶于苯、乙醇、乙醚、氯仿、丙酮等多数有机溶剂。</w:t>
            </w:r>
          </w:p>
        </w:tc>
      </w:tr>
      <w:tr w14:paraId="53F4B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550" w:hRule="atLeast"/>
        </w:trPr>
        <w:tc>
          <w:tcPr>
            <w:tcW w:w="431" w:type="pct"/>
            <w:vMerge w:val="restart"/>
            <w:tcBorders>
              <w:tl2br w:val="nil"/>
              <w:tr2bl w:val="nil"/>
            </w:tcBorders>
            <w:noWrap w:val="0"/>
            <w:vAlign w:val="center"/>
          </w:tcPr>
          <w:p w14:paraId="20F21EA7">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燃烧</w:t>
            </w:r>
          </w:p>
          <w:p w14:paraId="5193ACAC">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爆炸</w:t>
            </w:r>
          </w:p>
          <w:p w14:paraId="08313FF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危险</w:t>
            </w:r>
          </w:p>
        </w:tc>
        <w:tc>
          <w:tcPr>
            <w:tcW w:w="837" w:type="pct"/>
            <w:tcBorders>
              <w:tl2br w:val="nil"/>
              <w:tr2bl w:val="nil"/>
            </w:tcBorders>
            <w:noWrap w:val="0"/>
            <w:vAlign w:val="center"/>
          </w:tcPr>
          <w:p w14:paraId="06A641E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危险特性</w:t>
            </w:r>
          </w:p>
        </w:tc>
        <w:tc>
          <w:tcPr>
            <w:tcW w:w="1672" w:type="pct"/>
            <w:gridSpan w:val="2"/>
            <w:tcBorders>
              <w:tl2br w:val="nil"/>
              <w:tr2bl w:val="nil"/>
            </w:tcBorders>
            <w:noWrap w:val="0"/>
            <w:vAlign w:val="center"/>
          </w:tcPr>
          <w:p w14:paraId="5CEB1DA8">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可燃液体，火灾危险性为丙B类；遇明火、高热可燃</w:t>
            </w:r>
          </w:p>
        </w:tc>
        <w:tc>
          <w:tcPr>
            <w:tcW w:w="893" w:type="pct"/>
            <w:gridSpan w:val="3"/>
            <w:tcBorders>
              <w:tl2br w:val="nil"/>
              <w:tr2bl w:val="nil"/>
            </w:tcBorders>
            <w:noWrap w:val="0"/>
            <w:vAlign w:val="center"/>
          </w:tcPr>
          <w:p w14:paraId="7495019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燃烧分解产物</w:t>
            </w:r>
          </w:p>
        </w:tc>
        <w:tc>
          <w:tcPr>
            <w:tcW w:w="1163" w:type="pct"/>
            <w:gridSpan w:val="2"/>
            <w:tcBorders>
              <w:tl2br w:val="nil"/>
              <w:tr2bl w:val="nil"/>
            </w:tcBorders>
            <w:noWrap w:val="0"/>
            <w:vAlign w:val="center"/>
          </w:tcPr>
          <w:p w14:paraId="06A71F9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CO、</w:t>
            </w:r>
            <w:r>
              <w:rPr>
                <w:rFonts w:hint="eastAsia" w:ascii="Times New Roman" w:hAnsi="Times New Roman" w:eastAsia="宋体" w:cs="Times New Roman"/>
                <w:color w:val="auto"/>
                <w:szCs w:val="21"/>
                <w:lang w:val="en-US" w:eastAsia="zh-CN"/>
              </w:rPr>
              <w:t>NO</w:t>
            </w:r>
            <w:r>
              <w:rPr>
                <w:rFonts w:hint="eastAsia" w:ascii="Times New Roman" w:hAnsi="Times New Roman" w:eastAsia="宋体" w:cs="Times New Roman"/>
                <w:color w:val="auto"/>
                <w:szCs w:val="21"/>
              </w:rPr>
              <w:t>等有毒有害气体</w:t>
            </w:r>
          </w:p>
        </w:tc>
      </w:tr>
      <w:tr w14:paraId="73C3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5" w:hRule="atLeast"/>
        </w:trPr>
        <w:tc>
          <w:tcPr>
            <w:tcW w:w="431" w:type="pct"/>
            <w:vMerge w:val="continue"/>
            <w:tcBorders>
              <w:tl2br w:val="nil"/>
              <w:tr2bl w:val="nil"/>
            </w:tcBorders>
            <w:noWrap w:val="0"/>
            <w:vAlign w:val="center"/>
          </w:tcPr>
          <w:p w14:paraId="7FB6B26C">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0240089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稳定性</w:t>
            </w:r>
          </w:p>
        </w:tc>
        <w:tc>
          <w:tcPr>
            <w:tcW w:w="1672" w:type="pct"/>
            <w:gridSpan w:val="2"/>
            <w:tcBorders>
              <w:tl2br w:val="nil"/>
              <w:tr2bl w:val="nil"/>
            </w:tcBorders>
            <w:noWrap w:val="0"/>
            <w:vAlign w:val="center"/>
          </w:tcPr>
          <w:p w14:paraId="7AD98E45">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稳定</w:t>
            </w:r>
          </w:p>
        </w:tc>
        <w:tc>
          <w:tcPr>
            <w:tcW w:w="893" w:type="pct"/>
            <w:gridSpan w:val="3"/>
            <w:tcBorders>
              <w:tl2br w:val="nil"/>
              <w:tr2bl w:val="nil"/>
            </w:tcBorders>
            <w:noWrap w:val="0"/>
            <w:vAlign w:val="center"/>
          </w:tcPr>
          <w:p w14:paraId="5CA9D125">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禁忌物</w:t>
            </w:r>
          </w:p>
        </w:tc>
        <w:tc>
          <w:tcPr>
            <w:tcW w:w="1163" w:type="pct"/>
            <w:gridSpan w:val="2"/>
            <w:tcBorders>
              <w:tl2br w:val="nil"/>
              <w:tr2bl w:val="nil"/>
            </w:tcBorders>
            <w:noWrap w:val="0"/>
            <w:vAlign w:val="center"/>
          </w:tcPr>
          <w:p w14:paraId="0025FD8D">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硝酸等强氧化剂</w:t>
            </w:r>
          </w:p>
        </w:tc>
      </w:tr>
      <w:tr w14:paraId="2425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821" w:hRule="atLeast"/>
        </w:trPr>
        <w:tc>
          <w:tcPr>
            <w:tcW w:w="431" w:type="pct"/>
            <w:vMerge w:val="continue"/>
            <w:tcBorders>
              <w:tl2br w:val="nil"/>
              <w:tr2bl w:val="nil"/>
            </w:tcBorders>
            <w:noWrap w:val="0"/>
            <w:vAlign w:val="center"/>
          </w:tcPr>
          <w:p w14:paraId="3EE0612B">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38BBE95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灭火方法</w:t>
            </w:r>
          </w:p>
        </w:tc>
        <w:tc>
          <w:tcPr>
            <w:tcW w:w="3730" w:type="pct"/>
            <w:gridSpan w:val="7"/>
            <w:tcBorders>
              <w:tl2br w:val="nil"/>
              <w:tr2bl w:val="nil"/>
            </w:tcBorders>
            <w:noWrap w:val="0"/>
            <w:vAlign w:val="center"/>
          </w:tcPr>
          <w:p w14:paraId="10E03B38">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消防人员须佩戴防毒面具、穿全身消防服，在上风向灭火。尽可能将容器从火场移至空旷处。喷水保持火场容器冷却，直至灭火结束。处在火场中的容器若已变色或从安全泄压装置中产生声音，必须立即撤离。</w:t>
            </w:r>
          </w:p>
        </w:tc>
      </w:tr>
      <w:tr w14:paraId="2873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5" w:hRule="atLeast"/>
        </w:trPr>
        <w:tc>
          <w:tcPr>
            <w:tcW w:w="431" w:type="pct"/>
            <w:vMerge w:val="continue"/>
            <w:tcBorders>
              <w:tl2br w:val="nil"/>
              <w:tr2bl w:val="nil"/>
            </w:tcBorders>
            <w:noWrap w:val="0"/>
            <w:vAlign w:val="center"/>
          </w:tcPr>
          <w:p w14:paraId="5F8B4B9A">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0CA3D63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灭火剂</w:t>
            </w:r>
          </w:p>
        </w:tc>
        <w:tc>
          <w:tcPr>
            <w:tcW w:w="3730" w:type="pct"/>
            <w:gridSpan w:val="7"/>
            <w:tcBorders>
              <w:tl2br w:val="nil"/>
              <w:tr2bl w:val="nil"/>
            </w:tcBorders>
            <w:noWrap w:val="0"/>
            <w:vAlign w:val="center"/>
          </w:tcPr>
          <w:p w14:paraId="4CEF43D6">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雾状水、泡沫、干粉、二氧化碳、砂土。</w:t>
            </w:r>
          </w:p>
        </w:tc>
      </w:tr>
      <w:tr w14:paraId="6A063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821" w:hRule="atLeast"/>
        </w:trPr>
        <w:tc>
          <w:tcPr>
            <w:tcW w:w="431" w:type="pct"/>
            <w:tcBorders>
              <w:tl2br w:val="nil"/>
              <w:tr2bl w:val="nil"/>
            </w:tcBorders>
            <w:noWrap w:val="0"/>
            <w:vAlign w:val="center"/>
          </w:tcPr>
          <w:p w14:paraId="1324F1F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健康</w:t>
            </w:r>
          </w:p>
          <w:p w14:paraId="4DF80C8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危害</w:t>
            </w:r>
          </w:p>
        </w:tc>
        <w:tc>
          <w:tcPr>
            <w:tcW w:w="4567" w:type="pct"/>
            <w:gridSpan w:val="8"/>
            <w:tcBorders>
              <w:tl2br w:val="nil"/>
              <w:tr2bl w:val="nil"/>
            </w:tcBorders>
            <w:noWrap w:val="0"/>
            <w:vAlign w:val="center"/>
          </w:tcPr>
          <w:p w14:paraId="3CCFDEA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急性吸入，可出现乏力、头晕、头痛、恶心，严重者可引起油脂性肺炎。慢接触者，暴露部位可发生油性痤疮和接触型皮炎。可引发神经衰弱综合症，呼吸道和眼刺激症状及慢性油脂性肺炎。</w:t>
            </w:r>
          </w:p>
        </w:tc>
      </w:tr>
      <w:tr w14:paraId="6D37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549" w:hRule="atLeast"/>
        </w:trPr>
        <w:tc>
          <w:tcPr>
            <w:tcW w:w="431" w:type="pct"/>
            <w:vMerge w:val="restart"/>
            <w:tcBorders>
              <w:tl2br w:val="nil"/>
              <w:tr2bl w:val="nil"/>
            </w:tcBorders>
            <w:noWrap w:val="0"/>
            <w:vAlign w:val="center"/>
          </w:tcPr>
          <w:p w14:paraId="18659FD7">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急救</w:t>
            </w:r>
          </w:p>
          <w:p w14:paraId="7BE3BDF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措施</w:t>
            </w:r>
          </w:p>
        </w:tc>
        <w:tc>
          <w:tcPr>
            <w:tcW w:w="837" w:type="pct"/>
            <w:tcBorders>
              <w:tl2br w:val="nil"/>
              <w:tr2bl w:val="nil"/>
            </w:tcBorders>
            <w:noWrap w:val="0"/>
            <w:vAlign w:val="center"/>
          </w:tcPr>
          <w:p w14:paraId="5B1C678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吸入</w:t>
            </w:r>
          </w:p>
        </w:tc>
        <w:tc>
          <w:tcPr>
            <w:tcW w:w="3730" w:type="pct"/>
            <w:gridSpan w:val="7"/>
            <w:tcBorders>
              <w:tl2br w:val="nil"/>
              <w:tr2bl w:val="nil"/>
            </w:tcBorders>
            <w:noWrap w:val="0"/>
            <w:vAlign w:val="center"/>
          </w:tcPr>
          <w:p w14:paraId="753BE4F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迅速脱离现场至空气新鲜处，保持呼吸畅通。如呼吸困难，给输氧。如呼吸停止，立即进行人工呼吸。就医。</w:t>
            </w:r>
          </w:p>
        </w:tc>
      </w:tr>
      <w:tr w14:paraId="3F88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5" w:hRule="atLeast"/>
        </w:trPr>
        <w:tc>
          <w:tcPr>
            <w:tcW w:w="431" w:type="pct"/>
            <w:vMerge w:val="continue"/>
            <w:tcBorders>
              <w:tl2br w:val="nil"/>
              <w:tr2bl w:val="nil"/>
            </w:tcBorders>
            <w:noWrap w:val="0"/>
            <w:vAlign w:val="center"/>
          </w:tcPr>
          <w:p w14:paraId="5D18135A">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4433ACB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眼睛接触</w:t>
            </w:r>
          </w:p>
        </w:tc>
        <w:tc>
          <w:tcPr>
            <w:tcW w:w="3730" w:type="pct"/>
            <w:gridSpan w:val="7"/>
            <w:tcBorders>
              <w:tl2br w:val="nil"/>
              <w:tr2bl w:val="nil"/>
            </w:tcBorders>
            <w:noWrap w:val="0"/>
            <w:vAlign w:val="center"/>
          </w:tcPr>
          <w:p w14:paraId="5E6CD9B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提起眼睑，用流动清水或生理盐水冲洗。就医。</w:t>
            </w:r>
          </w:p>
        </w:tc>
      </w:tr>
      <w:tr w14:paraId="7BDB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345" w:hRule="atLeast"/>
        </w:trPr>
        <w:tc>
          <w:tcPr>
            <w:tcW w:w="431" w:type="pct"/>
            <w:vMerge w:val="continue"/>
            <w:tcBorders>
              <w:tl2br w:val="nil"/>
              <w:tr2bl w:val="nil"/>
            </w:tcBorders>
            <w:noWrap w:val="0"/>
            <w:vAlign w:val="center"/>
          </w:tcPr>
          <w:p w14:paraId="2C01CC4E">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3AAB287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皮肤接触</w:t>
            </w:r>
          </w:p>
        </w:tc>
        <w:tc>
          <w:tcPr>
            <w:tcW w:w="3730" w:type="pct"/>
            <w:gridSpan w:val="7"/>
            <w:tcBorders>
              <w:tl2br w:val="nil"/>
              <w:tr2bl w:val="nil"/>
            </w:tcBorders>
            <w:noWrap w:val="0"/>
            <w:vAlign w:val="center"/>
          </w:tcPr>
          <w:p w14:paraId="5725BF8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脱去污染的衣着，用大量流动清水清洗。就医。</w:t>
            </w:r>
          </w:p>
        </w:tc>
      </w:tr>
      <w:tr w14:paraId="0CF1F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1" w:type="pct"/>
          <w:trHeight w:val="425" w:hRule="atLeast"/>
        </w:trPr>
        <w:tc>
          <w:tcPr>
            <w:tcW w:w="431" w:type="pct"/>
            <w:vMerge w:val="continue"/>
            <w:tcBorders>
              <w:tl2br w:val="nil"/>
              <w:tr2bl w:val="nil"/>
            </w:tcBorders>
            <w:noWrap w:val="0"/>
            <w:vAlign w:val="center"/>
          </w:tcPr>
          <w:p w14:paraId="0E874489">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6A08905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食用</w:t>
            </w:r>
          </w:p>
        </w:tc>
        <w:tc>
          <w:tcPr>
            <w:tcW w:w="3730" w:type="pct"/>
            <w:gridSpan w:val="7"/>
            <w:tcBorders>
              <w:tl2br w:val="nil"/>
              <w:tr2bl w:val="nil"/>
            </w:tcBorders>
            <w:noWrap w:val="0"/>
            <w:vAlign w:val="center"/>
          </w:tcPr>
          <w:p w14:paraId="0D9BF4A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饮适量温水，催吐。就医。</w:t>
            </w:r>
          </w:p>
        </w:tc>
      </w:tr>
      <w:tr w14:paraId="78FB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6" w:hRule="atLeast"/>
        </w:trPr>
        <w:tc>
          <w:tcPr>
            <w:tcW w:w="431" w:type="pct"/>
            <w:vMerge w:val="restart"/>
            <w:tcBorders>
              <w:tl2br w:val="nil"/>
              <w:tr2bl w:val="nil"/>
            </w:tcBorders>
            <w:noWrap w:val="0"/>
            <w:vAlign w:val="center"/>
          </w:tcPr>
          <w:p w14:paraId="395CE29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防护</w:t>
            </w:r>
          </w:p>
          <w:p w14:paraId="56E41D37">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处理</w:t>
            </w:r>
          </w:p>
        </w:tc>
        <w:tc>
          <w:tcPr>
            <w:tcW w:w="837" w:type="pct"/>
            <w:tcBorders>
              <w:tl2br w:val="nil"/>
              <w:tr2bl w:val="nil"/>
            </w:tcBorders>
            <w:noWrap w:val="0"/>
            <w:vAlign w:val="center"/>
          </w:tcPr>
          <w:p w14:paraId="6E681D7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呼吸系统防护</w:t>
            </w:r>
          </w:p>
        </w:tc>
        <w:tc>
          <w:tcPr>
            <w:tcW w:w="3731" w:type="pct"/>
            <w:gridSpan w:val="8"/>
            <w:tcBorders>
              <w:tl2br w:val="nil"/>
              <w:tr2bl w:val="nil"/>
            </w:tcBorders>
            <w:noWrap w:val="0"/>
            <w:vAlign w:val="center"/>
          </w:tcPr>
          <w:p w14:paraId="318555A6">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空气中浓度超标时，必须佩戴自吸过滤式防毒面具 (半面罩)；紧急事态抢救或撤离时，应佩戴空气呼吸器。</w:t>
            </w:r>
          </w:p>
        </w:tc>
      </w:tr>
      <w:tr w14:paraId="0EC22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4" w:hRule="atLeast"/>
        </w:trPr>
        <w:tc>
          <w:tcPr>
            <w:tcW w:w="431" w:type="pct"/>
            <w:vMerge w:val="continue"/>
            <w:tcBorders>
              <w:tl2br w:val="nil"/>
              <w:tr2bl w:val="nil"/>
            </w:tcBorders>
            <w:noWrap w:val="0"/>
            <w:vAlign w:val="center"/>
          </w:tcPr>
          <w:p w14:paraId="61B689B2">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247035C4">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眼睛防护戴</w:t>
            </w:r>
          </w:p>
        </w:tc>
        <w:tc>
          <w:tcPr>
            <w:tcW w:w="3731" w:type="pct"/>
            <w:gridSpan w:val="8"/>
            <w:tcBorders>
              <w:tl2br w:val="nil"/>
              <w:tr2bl w:val="nil"/>
            </w:tcBorders>
            <w:noWrap w:val="0"/>
            <w:vAlign w:val="center"/>
          </w:tcPr>
          <w:p w14:paraId="091E926F">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化学安全防护眼镜。</w:t>
            </w:r>
          </w:p>
        </w:tc>
      </w:tr>
      <w:tr w14:paraId="32F2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31" w:type="pct"/>
            <w:vMerge w:val="continue"/>
            <w:tcBorders>
              <w:tl2br w:val="nil"/>
              <w:tr2bl w:val="nil"/>
            </w:tcBorders>
            <w:noWrap w:val="0"/>
            <w:vAlign w:val="center"/>
          </w:tcPr>
          <w:p w14:paraId="12F0E464">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1DD1656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身体防护</w:t>
            </w:r>
          </w:p>
        </w:tc>
        <w:tc>
          <w:tcPr>
            <w:tcW w:w="3731" w:type="pct"/>
            <w:gridSpan w:val="8"/>
            <w:tcBorders>
              <w:tl2br w:val="nil"/>
              <w:tr2bl w:val="nil"/>
            </w:tcBorders>
            <w:noWrap w:val="0"/>
            <w:vAlign w:val="center"/>
          </w:tcPr>
          <w:p w14:paraId="1F6B82C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穿防毒渗透工作服。</w:t>
            </w:r>
          </w:p>
        </w:tc>
      </w:tr>
      <w:tr w14:paraId="6602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31" w:type="pct"/>
            <w:vMerge w:val="continue"/>
            <w:tcBorders>
              <w:tl2br w:val="nil"/>
              <w:tr2bl w:val="nil"/>
            </w:tcBorders>
            <w:noWrap w:val="0"/>
            <w:vAlign w:val="center"/>
          </w:tcPr>
          <w:p w14:paraId="648FC18E">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5A537F5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手防</w:t>
            </w:r>
          </w:p>
        </w:tc>
        <w:tc>
          <w:tcPr>
            <w:tcW w:w="3731" w:type="pct"/>
            <w:gridSpan w:val="8"/>
            <w:tcBorders>
              <w:tl2br w:val="nil"/>
              <w:tr2bl w:val="nil"/>
            </w:tcBorders>
            <w:noWrap w:val="0"/>
            <w:vAlign w:val="center"/>
          </w:tcPr>
          <w:p w14:paraId="7B9A15E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戴橡胶耐油手套</w:t>
            </w:r>
          </w:p>
        </w:tc>
      </w:tr>
      <w:tr w14:paraId="0BAF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trPr>
        <w:tc>
          <w:tcPr>
            <w:tcW w:w="431" w:type="pct"/>
            <w:vMerge w:val="continue"/>
            <w:tcBorders>
              <w:tl2br w:val="nil"/>
              <w:tr2bl w:val="nil"/>
            </w:tcBorders>
            <w:noWrap w:val="0"/>
            <w:vAlign w:val="center"/>
          </w:tcPr>
          <w:p w14:paraId="40482BA0">
            <w:pPr>
              <w:jc w:val="center"/>
              <w:rPr>
                <w:rFonts w:hint="eastAsia" w:ascii="Times New Roman" w:hAnsi="Times New Roman" w:eastAsia="宋体" w:cs="Times New Roman"/>
                <w:color w:val="auto"/>
                <w:szCs w:val="21"/>
              </w:rPr>
            </w:pPr>
          </w:p>
        </w:tc>
        <w:tc>
          <w:tcPr>
            <w:tcW w:w="837" w:type="pct"/>
            <w:tcBorders>
              <w:tl2br w:val="nil"/>
              <w:tr2bl w:val="nil"/>
            </w:tcBorders>
            <w:noWrap w:val="0"/>
            <w:vAlign w:val="center"/>
          </w:tcPr>
          <w:p w14:paraId="2D4B4633">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其他</w:t>
            </w:r>
          </w:p>
        </w:tc>
        <w:tc>
          <w:tcPr>
            <w:tcW w:w="3731" w:type="pct"/>
            <w:gridSpan w:val="8"/>
            <w:tcBorders>
              <w:tl2br w:val="nil"/>
              <w:tr2bl w:val="nil"/>
            </w:tcBorders>
            <w:noWrap w:val="0"/>
            <w:vAlign w:val="center"/>
          </w:tcPr>
          <w:p w14:paraId="53B9E415">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工作现场严禁吸烟，避免长期反复接触。</w:t>
            </w:r>
          </w:p>
        </w:tc>
      </w:tr>
      <w:tr w14:paraId="3A9AB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7" w:hRule="atLeast"/>
        </w:trPr>
        <w:tc>
          <w:tcPr>
            <w:tcW w:w="431" w:type="pct"/>
            <w:tcBorders>
              <w:tl2br w:val="nil"/>
              <w:tr2bl w:val="nil"/>
            </w:tcBorders>
            <w:noWrap w:val="0"/>
            <w:vAlign w:val="center"/>
          </w:tcPr>
          <w:p w14:paraId="60F1B3F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泄漏</w:t>
            </w:r>
          </w:p>
          <w:p w14:paraId="2BD34D5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处理</w:t>
            </w:r>
          </w:p>
        </w:tc>
        <w:tc>
          <w:tcPr>
            <w:tcW w:w="4568" w:type="pct"/>
            <w:gridSpan w:val="9"/>
            <w:tcBorders>
              <w:tl2br w:val="nil"/>
              <w:tr2bl w:val="nil"/>
            </w:tcBorders>
            <w:noWrap w:val="0"/>
            <w:vAlign w:val="center"/>
          </w:tcPr>
          <w:p w14:paraId="37A3FBF8">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迅速撤离泄漏污染区人员至安全区，并进行隔离，严格限制出入。切断火源。建议应急处理人员戴自给正式呼吸器，穿防毒服。尽可能切断泄漏源。防止流入下水道、排洪沟等限制性空间。</w:t>
            </w:r>
          </w:p>
          <w:p w14:paraId="654C3833">
            <w:pPr>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小量泄漏：用砂土或其他不燃材料吸附或吸收，减少挥发。</w:t>
            </w:r>
          </w:p>
          <w:p w14:paraId="6A35CD27">
            <w:pPr>
              <w:jc w:val="both"/>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大量泄漏：构筑围堤或挖坑收容。用泵转移至槽车或专用收集器内，回收或运至废物处理场所处置。</w:t>
            </w:r>
          </w:p>
        </w:tc>
      </w:tr>
      <w:tr w14:paraId="3D47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atLeast"/>
        </w:trPr>
        <w:tc>
          <w:tcPr>
            <w:tcW w:w="431" w:type="pct"/>
            <w:tcBorders>
              <w:tl2br w:val="nil"/>
              <w:tr2bl w:val="nil"/>
            </w:tcBorders>
            <w:noWrap w:val="0"/>
            <w:vAlign w:val="center"/>
          </w:tcPr>
          <w:p w14:paraId="3DFE4A3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储存</w:t>
            </w:r>
          </w:p>
          <w:p w14:paraId="56E4035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要求</w:t>
            </w:r>
          </w:p>
        </w:tc>
        <w:tc>
          <w:tcPr>
            <w:tcW w:w="4568" w:type="pct"/>
            <w:gridSpan w:val="9"/>
            <w:tcBorders>
              <w:tl2br w:val="nil"/>
              <w:tr2bl w:val="nil"/>
            </w:tcBorders>
            <w:noWrap w:val="0"/>
            <w:vAlign w:val="center"/>
          </w:tcPr>
          <w:p w14:paraId="3328772D">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储存于阴凉、通风的库房。远离火种、热源。应与氧化剂分开存放，切忌混储。配备相应品种和数量的消防器材。储区应备有泄漏应急处理设备和合适的收容材料。</w:t>
            </w:r>
          </w:p>
        </w:tc>
      </w:tr>
      <w:tr w14:paraId="12AD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0" w:hRule="atLeast"/>
        </w:trPr>
        <w:tc>
          <w:tcPr>
            <w:tcW w:w="431" w:type="pct"/>
            <w:tcBorders>
              <w:tl2br w:val="nil"/>
              <w:tr2bl w:val="nil"/>
            </w:tcBorders>
            <w:noWrap w:val="0"/>
            <w:vAlign w:val="center"/>
          </w:tcPr>
          <w:p w14:paraId="1F4837FA">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运输</w:t>
            </w:r>
          </w:p>
          <w:p w14:paraId="3C3A833E">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要求</w:t>
            </w:r>
          </w:p>
        </w:tc>
        <w:tc>
          <w:tcPr>
            <w:tcW w:w="4568" w:type="pct"/>
            <w:gridSpan w:val="9"/>
            <w:tcBorders>
              <w:tl2br w:val="nil"/>
              <w:tr2bl w:val="nil"/>
            </w:tcBorders>
            <w:noWrap w:val="0"/>
            <w:vAlign w:val="center"/>
          </w:tcPr>
          <w:p w14:paraId="63A40196">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用油罐、油罐车、油船、铁桶、塑料桶等盛装，盛装时切不可装满，要留出必要的安全空间。运输前应先检查包装容器是否完整、密封，运输过程中要确保容器不泄露、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14:paraId="3B0198EB">
      <w:pPr>
        <w:pStyle w:val="31"/>
        <w:spacing w:before="51" w:line="229" w:lineRule="auto"/>
        <w:ind w:left="516" w:firstLine="1410" w:firstLineChars="600"/>
        <w:rPr>
          <w:rFonts w:ascii="宋体" w:hAnsi="宋体" w:eastAsia="宋体" w:cs="宋体"/>
          <w:sz w:val="24"/>
          <w:szCs w:val="24"/>
        </w:rPr>
      </w:pPr>
      <w:bookmarkStart w:id="112" w:name="_Toc15104"/>
      <w:r>
        <w:rPr>
          <w:rFonts w:ascii="宋体" w:hAnsi="宋体" w:eastAsia="宋体" w:cs="宋体"/>
          <w:b/>
          <w:bCs/>
          <w:spacing w:val="-3"/>
          <w:sz w:val="24"/>
          <w:szCs w:val="24"/>
        </w:rPr>
        <w:t>表</w:t>
      </w:r>
      <w:r>
        <w:rPr>
          <w:rFonts w:ascii="宋体" w:hAnsi="宋体" w:eastAsia="宋体" w:cs="宋体"/>
          <w:spacing w:val="-36"/>
          <w:sz w:val="24"/>
          <w:szCs w:val="24"/>
        </w:rPr>
        <w:t xml:space="preserve"> </w:t>
      </w:r>
      <w:r>
        <w:rPr>
          <w:b/>
          <w:bCs/>
          <w:spacing w:val="-3"/>
          <w:sz w:val="24"/>
          <w:szCs w:val="24"/>
        </w:rPr>
        <w:t>7.3-2</w:t>
      </w:r>
      <w:r>
        <w:rPr>
          <w:b/>
          <w:bCs/>
          <w:spacing w:val="1"/>
          <w:sz w:val="24"/>
          <w:szCs w:val="24"/>
        </w:rPr>
        <w:t xml:space="preserve">         </w:t>
      </w:r>
      <w:r>
        <w:rPr>
          <w:rFonts w:ascii="宋体" w:hAnsi="宋体" w:eastAsia="宋体" w:cs="宋体"/>
          <w:b/>
          <w:bCs/>
          <w:spacing w:val="-3"/>
          <w:sz w:val="24"/>
          <w:szCs w:val="24"/>
        </w:rPr>
        <w:t>二号油的理化特性表</w:t>
      </w:r>
    </w:p>
    <w:tbl>
      <w:tblPr>
        <w:tblStyle w:val="29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88"/>
        <w:gridCol w:w="2322"/>
        <w:gridCol w:w="1452"/>
        <w:gridCol w:w="3309"/>
      </w:tblGrid>
      <w:tr w14:paraId="3F724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868" w:type="pct"/>
            <w:vAlign w:val="top"/>
          </w:tcPr>
          <w:p w14:paraId="2997B295">
            <w:r>
              <w:t>CAS号</w:t>
            </w:r>
          </w:p>
        </w:tc>
        <w:tc>
          <w:tcPr>
            <w:tcW w:w="4131" w:type="pct"/>
            <w:gridSpan w:val="3"/>
            <w:vAlign w:val="top"/>
          </w:tcPr>
          <w:p w14:paraId="549681C2">
            <w:r>
              <w:t>8002-09-3</w:t>
            </w:r>
          </w:p>
        </w:tc>
      </w:tr>
      <w:tr w14:paraId="457F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868" w:type="pct"/>
            <w:vAlign w:val="top"/>
          </w:tcPr>
          <w:p w14:paraId="650FDB59">
            <w:r>
              <w:t>中文名称</w:t>
            </w:r>
          </w:p>
        </w:tc>
        <w:tc>
          <w:tcPr>
            <w:tcW w:w="4131" w:type="pct"/>
            <w:gridSpan w:val="3"/>
            <w:vAlign w:val="top"/>
          </w:tcPr>
          <w:p w14:paraId="7ED64035">
            <w:r>
              <w:t>松节油（二号油、松油、松醇油）</w:t>
            </w:r>
          </w:p>
        </w:tc>
      </w:tr>
      <w:tr w14:paraId="1C9D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868" w:type="pct"/>
            <w:vAlign w:val="top"/>
          </w:tcPr>
          <w:p w14:paraId="63B5BA06">
            <w:r>
              <w:t>英文名称</w:t>
            </w:r>
          </w:p>
        </w:tc>
        <w:tc>
          <w:tcPr>
            <w:tcW w:w="4131" w:type="pct"/>
            <w:gridSpan w:val="3"/>
            <w:vAlign w:val="top"/>
          </w:tcPr>
          <w:p w14:paraId="626FC7F6">
            <w:r>
              <w:t>Pineoil</w:t>
            </w:r>
          </w:p>
        </w:tc>
      </w:tr>
      <w:tr w14:paraId="625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9" w:hRule="atLeast"/>
        </w:trPr>
        <w:tc>
          <w:tcPr>
            <w:tcW w:w="868" w:type="pct"/>
            <w:vAlign w:val="top"/>
          </w:tcPr>
          <w:p w14:paraId="1AF54F5F"/>
          <w:p w14:paraId="3B166ABF">
            <w:r>
              <w:t>主要成分</w:t>
            </w:r>
          </w:p>
        </w:tc>
        <w:tc>
          <w:tcPr>
            <w:tcW w:w="1354" w:type="pct"/>
            <w:vAlign w:val="top"/>
          </w:tcPr>
          <w:p w14:paraId="578C52C5">
            <w:r>
              <w:t>松节油是各种一元醇及</w:t>
            </w:r>
          </w:p>
          <w:p w14:paraId="6015311F">
            <w:r>
              <w:t>其它萜烯衍生物，其中以α-萜烯醇为主</w:t>
            </w:r>
          </w:p>
        </w:tc>
        <w:tc>
          <w:tcPr>
            <w:tcW w:w="847" w:type="pct"/>
            <w:vAlign w:val="top"/>
          </w:tcPr>
          <w:p w14:paraId="6055EEE1">
            <w:r>
              <w:t>性状</w:t>
            </w:r>
          </w:p>
        </w:tc>
        <w:tc>
          <w:tcPr>
            <w:tcW w:w="1929" w:type="pct"/>
            <w:vAlign w:val="top"/>
          </w:tcPr>
          <w:p w14:paraId="1DFB8D0C">
            <w:r>
              <w:t>浅黄色油状液体，有刺激性气味</w:t>
            </w:r>
          </w:p>
        </w:tc>
      </w:tr>
      <w:tr w14:paraId="4A1FF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868" w:type="pct"/>
            <w:vAlign w:val="top"/>
          </w:tcPr>
          <w:p w14:paraId="75375F66">
            <w:r>
              <w:t>折射率</w:t>
            </w:r>
          </w:p>
        </w:tc>
        <w:tc>
          <w:tcPr>
            <w:tcW w:w="1354" w:type="pct"/>
            <w:vAlign w:val="top"/>
          </w:tcPr>
          <w:p w14:paraId="06F21190">
            <w:r>
              <w:t>n20/D1.515</w:t>
            </w:r>
          </w:p>
        </w:tc>
        <w:tc>
          <w:tcPr>
            <w:tcW w:w="847" w:type="pct"/>
            <w:vAlign w:val="top"/>
          </w:tcPr>
          <w:p w14:paraId="46C55B68">
            <w:r>
              <w:t>沸点</w:t>
            </w:r>
          </w:p>
        </w:tc>
        <w:tc>
          <w:tcPr>
            <w:tcW w:w="1929" w:type="pct"/>
            <w:vAlign w:val="top"/>
          </w:tcPr>
          <w:p w14:paraId="01681EFA">
            <w:r>
              <w:t>153-175°C</w:t>
            </w:r>
          </w:p>
        </w:tc>
      </w:tr>
      <w:tr w14:paraId="2A104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868" w:type="pct"/>
            <w:vAlign w:val="top"/>
          </w:tcPr>
          <w:p w14:paraId="7F583FDB">
            <w:r>
              <w:t>熔点</w:t>
            </w:r>
          </w:p>
        </w:tc>
        <w:tc>
          <w:tcPr>
            <w:tcW w:w="1354" w:type="pct"/>
            <w:vAlign w:val="top"/>
          </w:tcPr>
          <w:p w14:paraId="7DECB72F">
            <w:r>
              <w:t>-55°C</w:t>
            </w:r>
          </w:p>
        </w:tc>
        <w:tc>
          <w:tcPr>
            <w:tcW w:w="847" w:type="pct"/>
            <w:vAlign w:val="top"/>
          </w:tcPr>
          <w:p w14:paraId="16F7D260">
            <w:r>
              <w:t>闪点</w:t>
            </w:r>
          </w:p>
        </w:tc>
        <w:tc>
          <w:tcPr>
            <w:tcW w:w="1929" w:type="pct"/>
            <w:vAlign w:val="top"/>
          </w:tcPr>
          <w:p w14:paraId="4940D621">
            <w:r>
              <w:t>86°F</w:t>
            </w:r>
          </w:p>
        </w:tc>
      </w:tr>
      <w:tr w14:paraId="43475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rPr>
        <w:tc>
          <w:tcPr>
            <w:tcW w:w="868" w:type="pct"/>
            <w:vAlign w:val="top"/>
          </w:tcPr>
          <w:p w14:paraId="7AB8BDEC">
            <w:r>
              <w:t>密度</w:t>
            </w:r>
          </w:p>
        </w:tc>
        <w:tc>
          <w:tcPr>
            <w:tcW w:w="1354" w:type="pct"/>
            <w:vAlign w:val="top"/>
          </w:tcPr>
          <w:p w14:paraId="307C5501">
            <w:r>
              <w:t>0.86克/立方厘米</w:t>
            </w:r>
          </w:p>
        </w:tc>
        <w:tc>
          <w:tcPr>
            <w:tcW w:w="847" w:type="pct"/>
            <w:vAlign w:val="top"/>
          </w:tcPr>
          <w:p w14:paraId="7627B3B0">
            <w:r>
              <w:t>溶解度</w:t>
            </w:r>
          </w:p>
        </w:tc>
        <w:tc>
          <w:tcPr>
            <w:tcW w:w="1929" w:type="pct"/>
            <w:vAlign w:val="top"/>
          </w:tcPr>
          <w:p w14:paraId="6A8056D2">
            <w:r>
              <w:t>微溶于水</w:t>
            </w:r>
          </w:p>
        </w:tc>
      </w:tr>
      <w:tr w14:paraId="2DB4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868" w:type="pct"/>
            <w:vAlign w:val="top"/>
          </w:tcPr>
          <w:p w14:paraId="3B41E7C9"/>
          <w:p w14:paraId="475A1D4A">
            <w:r>
              <w:t>危险性</w:t>
            </w:r>
          </w:p>
        </w:tc>
        <w:tc>
          <w:tcPr>
            <w:tcW w:w="1354" w:type="pct"/>
            <w:vAlign w:val="top"/>
          </w:tcPr>
          <w:p w14:paraId="5360A7A5"/>
          <w:p w14:paraId="77FC81BA">
            <w:r>
              <w:t>易燃</w:t>
            </w:r>
          </w:p>
        </w:tc>
        <w:tc>
          <w:tcPr>
            <w:tcW w:w="847" w:type="pct"/>
            <w:vAlign w:val="top"/>
          </w:tcPr>
          <w:p w14:paraId="7AC9EEE3"/>
          <w:p w14:paraId="01F5674A">
            <w:r>
              <w:t>主要用途</w:t>
            </w:r>
          </w:p>
        </w:tc>
        <w:tc>
          <w:tcPr>
            <w:tcW w:w="1929" w:type="pct"/>
            <w:vAlign w:val="top"/>
          </w:tcPr>
          <w:p w14:paraId="3DA5E874">
            <w:r>
              <w:t>主要用作金属浮选的起泡剂，油漆、 油墨溶剂，纺织工业作渗透剂、选矿 剂、纺织工业脱脂剂、印染助剂、杀 菌剂、木材防腐剂、医用防腐剂，也用于矿石浮选、制油毡、油漆、塑料等。广泛地应用于各种金属或非金属矿的浮选作业中，具有一定的捕收性，松醇油在浮选作业中所形成的泡沫比其它起泡剂更为稳定。</w:t>
            </w:r>
          </w:p>
        </w:tc>
      </w:tr>
      <w:tr w14:paraId="33522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8" w:hRule="atLeast"/>
        </w:trPr>
        <w:tc>
          <w:tcPr>
            <w:tcW w:w="868" w:type="pct"/>
            <w:vAlign w:val="top"/>
          </w:tcPr>
          <w:p w14:paraId="5D46CC54"/>
          <w:p w14:paraId="682052A1">
            <w:r>
              <w:t>环境危害</w:t>
            </w:r>
          </w:p>
        </w:tc>
        <w:tc>
          <w:tcPr>
            <w:tcW w:w="4131" w:type="pct"/>
            <w:gridSpan w:val="3"/>
            <w:vAlign w:val="top"/>
          </w:tcPr>
          <w:p w14:paraId="3D4FAC47">
            <w:r>
              <w:t>松节油常用于铅、锌优先浮选分离作业中。在浮选过程中可能有少部分随废水排入地表水，对环境造成污染，可使水域中鱼虾减少。在水体中随时间的增加，会自动氧化分解</w:t>
            </w:r>
            <w:r>
              <w:rPr>
                <w:rFonts w:hint="eastAsia"/>
                <w:lang w:eastAsia="zh-CN"/>
              </w:rPr>
              <w:t>。</w:t>
            </w:r>
          </w:p>
        </w:tc>
      </w:tr>
      <w:tr w14:paraId="0843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1" w:hRule="atLeast"/>
        </w:trPr>
        <w:tc>
          <w:tcPr>
            <w:tcW w:w="868" w:type="pct"/>
            <w:vAlign w:val="top"/>
          </w:tcPr>
          <w:p w14:paraId="17E4C489">
            <w:r>
              <w:t>健康危害</w:t>
            </w:r>
          </w:p>
        </w:tc>
        <w:tc>
          <w:tcPr>
            <w:tcW w:w="4131" w:type="pct"/>
            <w:gridSpan w:val="3"/>
            <w:vAlign w:val="top"/>
          </w:tcPr>
          <w:p w14:paraId="3E2A82B9">
            <w:r>
              <w:t>侵入途径：吸入、食入、经皮吸收。健康危害：吞咽并进入呼吸道可能致命。接触造成皮肤刺激。</w:t>
            </w:r>
          </w:p>
        </w:tc>
      </w:tr>
      <w:tr w14:paraId="3B8D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trPr>
        <w:tc>
          <w:tcPr>
            <w:tcW w:w="868" w:type="pct"/>
            <w:vAlign w:val="top"/>
          </w:tcPr>
          <w:p w14:paraId="6CC84FA7">
            <w:r>
              <w:t>污染处理</w:t>
            </w:r>
          </w:p>
        </w:tc>
        <w:tc>
          <w:tcPr>
            <w:tcW w:w="4131" w:type="pct"/>
            <w:gridSpan w:val="3"/>
            <w:vAlign w:val="top"/>
          </w:tcPr>
          <w:p w14:paraId="43B929B5">
            <w:r>
              <w:t>用惰性吸附物质吸收(如砂子，硅胶,酸性粘结剂，通用粘结剂，锯木屑)。存放在合适的封闭的处理容器内。</w:t>
            </w:r>
          </w:p>
        </w:tc>
      </w:tr>
      <w:tr w14:paraId="5434D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6" w:hRule="atLeast"/>
        </w:trPr>
        <w:tc>
          <w:tcPr>
            <w:tcW w:w="868" w:type="pct"/>
            <w:vAlign w:val="top"/>
          </w:tcPr>
          <w:p w14:paraId="68F4D6F2"/>
          <w:p w14:paraId="18048C9E"/>
          <w:p w14:paraId="4B6F34F8">
            <w:r>
              <w:t>防护措施</w:t>
            </w:r>
          </w:p>
        </w:tc>
        <w:tc>
          <w:tcPr>
            <w:tcW w:w="4131" w:type="pct"/>
            <w:gridSpan w:val="3"/>
            <w:vAlign w:val="top"/>
          </w:tcPr>
          <w:p w14:paraId="1A65A4AE">
            <w:r>
              <w:t>呼吸系统防护：作业工人应该佩戴防尘口罩。眼睛防护：必要时可采用安全面罩。</w:t>
            </w:r>
          </w:p>
          <w:p w14:paraId="5E4BB827">
            <w:r>
              <w:t>身体防护：穿工作服。手防护：必要时戴防护手套。</w:t>
            </w:r>
          </w:p>
          <w:p w14:paraId="556F504F">
            <w:r>
              <w:t>其它：工作现场严禁吸烟、进食和饮水。工作毕，淋浴更衣。注意个人清洁卫生。</w:t>
            </w:r>
          </w:p>
        </w:tc>
      </w:tr>
    </w:tbl>
    <w:p w14:paraId="70B7C58D">
      <w:pPr>
        <w:rPr>
          <w:rFonts w:ascii="Arial"/>
          <w:sz w:val="21"/>
        </w:rPr>
      </w:pPr>
    </w:p>
    <w:p w14:paraId="0C64E41E">
      <w:pPr>
        <w:rPr>
          <w:rFonts w:ascii="Arial" w:hAnsi="Arial" w:eastAsia="Arial" w:cs="Arial"/>
          <w:sz w:val="21"/>
          <w:szCs w:val="21"/>
        </w:rPr>
        <w:sectPr>
          <w:pgSz w:w="11907" w:h="16839"/>
          <w:pgMar w:top="1531" w:right="1670" w:bottom="1387" w:left="1673" w:header="1227" w:footer="1016" w:gutter="0"/>
          <w:pgNumType w:fmt="decimal"/>
          <w:cols w:space="720" w:num="1"/>
        </w:sectPr>
      </w:pPr>
    </w:p>
    <w:p w14:paraId="3181A5BB">
      <w:pPr>
        <w:spacing w:line="170" w:lineRule="exact"/>
      </w:pPr>
    </w:p>
    <w:p w14:paraId="66841AC5">
      <w:pPr>
        <w:spacing w:line="14" w:lineRule="exact"/>
      </w:pPr>
    </w:p>
    <w:p w14:paraId="7720B4C1">
      <w:pPr>
        <w:pStyle w:val="31"/>
        <w:spacing w:before="30" w:line="212" w:lineRule="auto"/>
        <w:ind w:left="36" w:firstLine="723" w:firstLineChars="300"/>
        <w:rPr>
          <w:rFonts w:ascii="宋体" w:hAnsi="宋体" w:eastAsia="宋体" w:cs="宋体"/>
          <w:sz w:val="24"/>
          <w:szCs w:val="24"/>
        </w:rPr>
      </w:pPr>
      <w:r>
        <w:rPr>
          <w:rFonts w:ascii="宋体" w:hAnsi="宋体" w:eastAsia="宋体" w:cs="宋体"/>
          <w:b/>
          <w:bCs/>
          <w:sz w:val="24"/>
          <w:szCs w:val="24"/>
        </w:rPr>
        <w:t>表</w:t>
      </w:r>
      <w:r>
        <w:rPr>
          <w:rFonts w:ascii="宋体" w:hAnsi="宋体" w:eastAsia="宋体" w:cs="宋体"/>
          <w:spacing w:val="-42"/>
          <w:sz w:val="24"/>
          <w:szCs w:val="24"/>
        </w:rPr>
        <w:t xml:space="preserve"> </w:t>
      </w:r>
      <w:r>
        <w:rPr>
          <w:b/>
          <w:bCs/>
          <w:sz w:val="24"/>
          <w:szCs w:val="24"/>
        </w:rPr>
        <w:t>7.3-</w:t>
      </w:r>
      <w:r>
        <w:rPr>
          <w:rFonts w:hint="eastAsia"/>
          <w:b/>
          <w:bCs/>
          <w:sz w:val="24"/>
          <w:szCs w:val="24"/>
          <w:lang w:val="en-US" w:eastAsia="zh-CN"/>
        </w:rPr>
        <w:t>3</w:t>
      </w:r>
      <w:r>
        <w:rPr>
          <w:b/>
          <w:bCs/>
          <w:sz w:val="24"/>
          <w:szCs w:val="24"/>
        </w:rPr>
        <w:t xml:space="preserve">              </w:t>
      </w:r>
      <w:r>
        <w:rPr>
          <w:rFonts w:ascii="宋体" w:hAnsi="宋体" w:eastAsia="宋体" w:cs="宋体"/>
          <w:b/>
          <w:bCs/>
          <w:spacing w:val="-1"/>
          <w:sz w:val="24"/>
          <w:szCs w:val="24"/>
        </w:rPr>
        <w:t>丁基黄药的理化特征表</w:t>
      </w:r>
    </w:p>
    <w:tbl>
      <w:tblPr>
        <w:tblStyle w:val="297"/>
        <w:tblW w:w="8540"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28"/>
        <w:gridCol w:w="2362"/>
        <w:gridCol w:w="1440"/>
        <w:gridCol w:w="3310"/>
      </w:tblGrid>
      <w:tr w14:paraId="40E9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1428" w:type="dxa"/>
            <w:vAlign w:val="top"/>
          </w:tcPr>
          <w:p w14:paraId="00BC864B">
            <w:pPr>
              <w:pStyle w:val="1517"/>
              <w:ind w:firstLine="420" w:firstLineChars="200"/>
              <w:rPr>
                <w:rFonts w:hint="default" w:eastAsia="宋体"/>
                <w:lang w:val="en-US" w:eastAsia="zh-CN"/>
              </w:rPr>
            </w:pPr>
            <w:r>
              <w:rPr>
                <w:rFonts w:hint="default" w:ascii="Times New Roman" w:hAnsi="Times New Roman" w:eastAsia="宋体" w:cs="Times New Roman"/>
                <w:lang w:val="en-US" w:eastAsia="zh-CN"/>
              </w:rPr>
              <w:t>CAS号</w:t>
            </w:r>
          </w:p>
        </w:tc>
        <w:tc>
          <w:tcPr>
            <w:tcW w:w="7112" w:type="dxa"/>
            <w:gridSpan w:val="3"/>
            <w:vAlign w:val="top"/>
          </w:tcPr>
          <w:p w14:paraId="412811A5">
            <w:pPr>
              <w:pStyle w:val="1517"/>
              <w:jc w:val="center"/>
              <w:rPr>
                <w:rFonts w:hint="default" w:eastAsia="宋体"/>
                <w:lang w:val="en-US" w:eastAsia="zh-CN"/>
              </w:rPr>
            </w:pPr>
            <w:r>
              <w:rPr>
                <w:rFonts w:hint="default" w:ascii="Times New Roman" w:hAnsi="Times New Roman" w:eastAsia="宋体" w:cs="Times New Roman"/>
                <w:lang w:val="en-US" w:eastAsia="zh-CN"/>
              </w:rPr>
              <w:t>110-50-9</w:t>
            </w:r>
          </w:p>
        </w:tc>
      </w:tr>
      <w:tr w14:paraId="4F00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1428" w:type="dxa"/>
            <w:vAlign w:val="top"/>
          </w:tcPr>
          <w:p w14:paraId="7FF3EA6B">
            <w:pPr>
              <w:spacing w:before="51" w:line="221" w:lineRule="auto"/>
              <w:ind w:left="318"/>
              <w:rPr>
                <w:rFonts w:ascii="宋体" w:hAnsi="宋体" w:eastAsia="宋体" w:cs="宋体"/>
                <w:sz w:val="21"/>
                <w:szCs w:val="21"/>
              </w:rPr>
            </w:pPr>
            <w:r>
              <w:rPr>
                <w:rFonts w:ascii="宋体" w:hAnsi="宋体" w:eastAsia="宋体" w:cs="宋体"/>
                <w:spacing w:val="-7"/>
                <w:sz w:val="21"/>
                <w:szCs w:val="21"/>
              </w:rPr>
              <w:t>中文名称</w:t>
            </w:r>
          </w:p>
        </w:tc>
        <w:tc>
          <w:tcPr>
            <w:tcW w:w="7112" w:type="dxa"/>
            <w:gridSpan w:val="3"/>
            <w:vAlign w:val="top"/>
          </w:tcPr>
          <w:p w14:paraId="1E6BE7B7">
            <w:pPr>
              <w:spacing w:before="50" w:line="221" w:lineRule="auto"/>
              <w:ind w:left="2935"/>
              <w:rPr>
                <w:rFonts w:ascii="宋体" w:hAnsi="宋体" w:eastAsia="宋体" w:cs="宋体"/>
                <w:sz w:val="21"/>
                <w:szCs w:val="21"/>
              </w:rPr>
            </w:pPr>
            <w:r>
              <w:rPr>
                <w:rFonts w:ascii="宋体" w:hAnsi="宋体" w:eastAsia="宋体" w:cs="宋体"/>
                <w:spacing w:val="-2"/>
                <w:sz w:val="21"/>
                <w:szCs w:val="21"/>
              </w:rPr>
              <w:t>丁基黄原酸盐</w:t>
            </w:r>
          </w:p>
        </w:tc>
      </w:tr>
      <w:tr w14:paraId="38200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1428" w:type="dxa"/>
            <w:vAlign w:val="top"/>
          </w:tcPr>
          <w:p w14:paraId="476FA0BF">
            <w:pPr>
              <w:spacing w:before="52" w:line="221" w:lineRule="auto"/>
              <w:ind w:left="299"/>
              <w:rPr>
                <w:rFonts w:ascii="宋体" w:hAnsi="宋体" w:eastAsia="宋体" w:cs="宋体"/>
                <w:sz w:val="21"/>
                <w:szCs w:val="21"/>
              </w:rPr>
            </w:pPr>
            <w:r>
              <w:rPr>
                <w:rFonts w:ascii="宋体" w:hAnsi="宋体" w:eastAsia="宋体" w:cs="宋体"/>
                <w:spacing w:val="-2"/>
                <w:sz w:val="21"/>
                <w:szCs w:val="21"/>
              </w:rPr>
              <w:t>英文名称</w:t>
            </w:r>
          </w:p>
        </w:tc>
        <w:tc>
          <w:tcPr>
            <w:tcW w:w="7112" w:type="dxa"/>
            <w:gridSpan w:val="3"/>
            <w:vAlign w:val="top"/>
          </w:tcPr>
          <w:p w14:paraId="528D5142">
            <w:pPr>
              <w:spacing w:before="84" w:line="191" w:lineRule="auto"/>
              <w:ind w:left="226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SodiumO-butyldithiocarbonate</w:t>
            </w:r>
          </w:p>
        </w:tc>
      </w:tr>
      <w:tr w14:paraId="21DA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1428" w:type="dxa"/>
            <w:vAlign w:val="top"/>
          </w:tcPr>
          <w:p w14:paraId="2E2508CE">
            <w:pPr>
              <w:spacing w:before="52" w:line="222" w:lineRule="auto"/>
              <w:ind w:left="405"/>
              <w:rPr>
                <w:rFonts w:ascii="宋体" w:hAnsi="宋体" w:eastAsia="宋体" w:cs="宋体"/>
                <w:sz w:val="21"/>
                <w:szCs w:val="21"/>
              </w:rPr>
            </w:pPr>
            <w:r>
              <w:rPr>
                <w:rFonts w:ascii="宋体" w:hAnsi="宋体" w:eastAsia="宋体" w:cs="宋体"/>
                <w:spacing w:val="-2"/>
                <w:sz w:val="21"/>
                <w:szCs w:val="21"/>
              </w:rPr>
              <w:t>化学式</w:t>
            </w:r>
          </w:p>
        </w:tc>
        <w:tc>
          <w:tcPr>
            <w:tcW w:w="2362" w:type="dxa"/>
            <w:vAlign w:val="top"/>
          </w:tcPr>
          <w:p w14:paraId="45E61D21">
            <w:pPr>
              <w:spacing w:before="88" w:line="187" w:lineRule="auto"/>
              <w:ind w:left="624"/>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C5H9NaOS2</w:t>
            </w:r>
          </w:p>
        </w:tc>
        <w:tc>
          <w:tcPr>
            <w:tcW w:w="1440" w:type="dxa"/>
            <w:vAlign w:val="top"/>
          </w:tcPr>
          <w:p w14:paraId="01766C4B">
            <w:pPr>
              <w:spacing w:before="51" w:line="221" w:lineRule="auto"/>
              <w:ind w:left="202"/>
              <w:rPr>
                <w:rFonts w:ascii="宋体" w:hAnsi="宋体" w:eastAsia="宋体" w:cs="宋体"/>
                <w:sz w:val="21"/>
                <w:szCs w:val="21"/>
              </w:rPr>
            </w:pPr>
            <w:r>
              <w:rPr>
                <w:rFonts w:ascii="宋体" w:hAnsi="宋体" w:eastAsia="宋体" w:cs="宋体"/>
                <w:spacing w:val="-2"/>
                <w:sz w:val="21"/>
                <w:szCs w:val="21"/>
              </w:rPr>
              <w:t>外观与性状</w:t>
            </w:r>
          </w:p>
        </w:tc>
        <w:tc>
          <w:tcPr>
            <w:tcW w:w="3310" w:type="dxa"/>
            <w:vAlign w:val="top"/>
          </w:tcPr>
          <w:p w14:paraId="07000E6F">
            <w:pPr>
              <w:spacing w:before="52" w:line="220" w:lineRule="auto"/>
              <w:ind w:left="821"/>
              <w:rPr>
                <w:rFonts w:ascii="宋体" w:hAnsi="宋体" w:eastAsia="宋体" w:cs="宋体"/>
                <w:sz w:val="21"/>
                <w:szCs w:val="21"/>
              </w:rPr>
            </w:pPr>
            <w:r>
              <w:rPr>
                <w:rFonts w:ascii="宋体" w:hAnsi="宋体" w:eastAsia="宋体" w:cs="宋体"/>
                <w:spacing w:val="-1"/>
                <w:sz w:val="21"/>
                <w:szCs w:val="21"/>
              </w:rPr>
              <w:t>黄色或淡黄色粉末</w:t>
            </w:r>
          </w:p>
        </w:tc>
      </w:tr>
      <w:tr w14:paraId="5BB1A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trPr>
        <w:tc>
          <w:tcPr>
            <w:tcW w:w="1428" w:type="dxa"/>
            <w:vAlign w:val="top"/>
          </w:tcPr>
          <w:p w14:paraId="4046C99A">
            <w:pPr>
              <w:spacing w:before="208" w:line="221" w:lineRule="auto"/>
              <w:ind w:left="406"/>
              <w:rPr>
                <w:rFonts w:ascii="宋体" w:hAnsi="宋体" w:eastAsia="宋体" w:cs="宋体"/>
                <w:sz w:val="21"/>
                <w:szCs w:val="21"/>
              </w:rPr>
            </w:pPr>
            <w:r>
              <w:rPr>
                <w:rFonts w:ascii="宋体" w:hAnsi="宋体" w:eastAsia="宋体" w:cs="宋体"/>
                <w:spacing w:val="-2"/>
                <w:sz w:val="21"/>
                <w:szCs w:val="21"/>
              </w:rPr>
              <w:t>分子量</w:t>
            </w:r>
          </w:p>
        </w:tc>
        <w:tc>
          <w:tcPr>
            <w:tcW w:w="2362" w:type="dxa"/>
            <w:vAlign w:val="top"/>
          </w:tcPr>
          <w:p w14:paraId="1939C92E">
            <w:pPr>
              <w:spacing w:before="240" w:line="233" w:lineRule="auto"/>
              <w:ind w:left="913"/>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172.24</w:t>
            </w:r>
          </w:p>
        </w:tc>
        <w:tc>
          <w:tcPr>
            <w:tcW w:w="1440" w:type="dxa"/>
            <w:vAlign w:val="top"/>
          </w:tcPr>
          <w:p w14:paraId="0BDF9F0E">
            <w:pPr>
              <w:spacing w:before="208" w:line="221" w:lineRule="auto"/>
              <w:ind w:left="411"/>
              <w:rPr>
                <w:rFonts w:ascii="宋体" w:hAnsi="宋体" w:eastAsia="宋体" w:cs="宋体"/>
                <w:sz w:val="21"/>
                <w:szCs w:val="21"/>
              </w:rPr>
            </w:pPr>
            <w:r>
              <w:rPr>
                <w:rFonts w:ascii="宋体" w:hAnsi="宋体" w:eastAsia="宋体" w:cs="宋体"/>
                <w:spacing w:val="-2"/>
                <w:sz w:val="21"/>
                <w:szCs w:val="21"/>
              </w:rPr>
              <w:t>溶解性</w:t>
            </w:r>
          </w:p>
        </w:tc>
        <w:tc>
          <w:tcPr>
            <w:tcW w:w="3310" w:type="dxa"/>
            <w:vAlign w:val="top"/>
          </w:tcPr>
          <w:p w14:paraId="4ECE487F">
            <w:pPr>
              <w:spacing w:before="51" w:line="221" w:lineRule="auto"/>
              <w:ind w:left="204"/>
              <w:rPr>
                <w:rFonts w:ascii="宋体" w:hAnsi="宋体" w:eastAsia="宋体" w:cs="宋体"/>
                <w:sz w:val="21"/>
                <w:szCs w:val="21"/>
              </w:rPr>
            </w:pPr>
            <w:r>
              <w:rPr>
                <w:rFonts w:ascii="宋体" w:hAnsi="宋体" w:eastAsia="宋体" w:cs="宋体"/>
                <w:spacing w:val="-2"/>
                <w:sz w:val="21"/>
                <w:szCs w:val="21"/>
              </w:rPr>
              <w:t>易溶于水和丙酮和醇中，在酸性</w:t>
            </w:r>
          </w:p>
          <w:p w14:paraId="50E3A2B8">
            <w:pPr>
              <w:spacing w:before="60" w:line="220" w:lineRule="auto"/>
              <w:ind w:left="925"/>
              <w:rPr>
                <w:rFonts w:ascii="宋体" w:hAnsi="宋体" w:eastAsia="宋体" w:cs="宋体"/>
                <w:sz w:val="21"/>
                <w:szCs w:val="21"/>
              </w:rPr>
            </w:pPr>
            <w:r>
              <w:rPr>
                <w:rFonts w:ascii="宋体" w:hAnsi="宋体" w:eastAsia="宋体" w:cs="宋体"/>
                <w:spacing w:val="-3"/>
                <w:sz w:val="21"/>
                <w:szCs w:val="21"/>
              </w:rPr>
              <w:t>介质中易分解。</w:t>
            </w:r>
          </w:p>
        </w:tc>
      </w:tr>
      <w:tr w14:paraId="41DF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428" w:type="dxa"/>
            <w:vAlign w:val="top"/>
          </w:tcPr>
          <w:p w14:paraId="69127E56">
            <w:pPr>
              <w:spacing w:before="55" w:line="221" w:lineRule="auto"/>
              <w:ind w:left="510"/>
              <w:rPr>
                <w:rFonts w:ascii="宋体" w:hAnsi="宋体" w:eastAsia="宋体" w:cs="宋体"/>
                <w:sz w:val="21"/>
                <w:szCs w:val="21"/>
              </w:rPr>
            </w:pPr>
            <w:r>
              <w:rPr>
                <w:rFonts w:ascii="宋体" w:hAnsi="宋体" w:eastAsia="宋体" w:cs="宋体"/>
                <w:spacing w:val="-2"/>
                <w:sz w:val="21"/>
                <w:szCs w:val="21"/>
              </w:rPr>
              <w:t>密度</w:t>
            </w:r>
          </w:p>
        </w:tc>
        <w:tc>
          <w:tcPr>
            <w:tcW w:w="2362" w:type="dxa"/>
            <w:vAlign w:val="top"/>
          </w:tcPr>
          <w:p w14:paraId="5595D662">
            <w:pPr>
              <w:spacing w:before="55" w:line="223" w:lineRule="auto"/>
              <w:ind w:left="360"/>
              <w:rPr>
                <w:rFonts w:ascii="宋体" w:hAnsi="宋体" w:eastAsia="宋体" w:cs="宋体"/>
                <w:sz w:val="21"/>
                <w:szCs w:val="21"/>
              </w:rPr>
            </w:pPr>
            <w:r>
              <w:rPr>
                <w:rFonts w:ascii="Times New Roman" w:hAnsi="Times New Roman" w:eastAsia="Times New Roman" w:cs="Times New Roman"/>
                <w:spacing w:val="-2"/>
                <w:sz w:val="21"/>
                <w:szCs w:val="21"/>
              </w:rPr>
              <w:t xml:space="preserve">1.101  </w:t>
            </w:r>
            <w:r>
              <w:rPr>
                <w:rFonts w:ascii="宋体" w:hAnsi="宋体" w:eastAsia="宋体" w:cs="宋体"/>
                <w:spacing w:val="-2"/>
                <w:sz w:val="21"/>
                <w:szCs w:val="21"/>
              </w:rPr>
              <w:t>克</w:t>
            </w:r>
            <w:r>
              <w:rPr>
                <w:rFonts w:ascii="Times New Roman" w:hAnsi="Times New Roman" w:eastAsia="Times New Roman" w:cs="Times New Roman"/>
                <w:spacing w:val="-2"/>
                <w:sz w:val="21"/>
                <w:szCs w:val="21"/>
              </w:rPr>
              <w:t>/</w:t>
            </w:r>
            <w:r>
              <w:rPr>
                <w:rFonts w:ascii="宋体" w:hAnsi="宋体" w:eastAsia="宋体" w:cs="宋体"/>
                <w:spacing w:val="-2"/>
                <w:sz w:val="21"/>
                <w:szCs w:val="21"/>
              </w:rPr>
              <w:t>立方厘米</w:t>
            </w:r>
          </w:p>
        </w:tc>
        <w:tc>
          <w:tcPr>
            <w:tcW w:w="1440" w:type="dxa"/>
            <w:vAlign w:val="top"/>
          </w:tcPr>
          <w:p w14:paraId="13626348">
            <w:pPr>
              <w:spacing w:before="54" w:line="222" w:lineRule="auto"/>
              <w:ind w:left="515"/>
              <w:rPr>
                <w:rFonts w:ascii="宋体" w:hAnsi="宋体" w:eastAsia="宋体" w:cs="宋体"/>
                <w:sz w:val="21"/>
                <w:szCs w:val="21"/>
              </w:rPr>
            </w:pPr>
            <w:r>
              <w:rPr>
                <w:rFonts w:ascii="宋体" w:hAnsi="宋体" w:eastAsia="宋体" w:cs="宋体"/>
                <w:spacing w:val="-2"/>
                <w:sz w:val="21"/>
                <w:szCs w:val="21"/>
              </w:rPr>
              <w:t>沸点</w:t>
            </w:r>
          </w:p>
        </w:tc>
        <w:tc>
          <w:tcPr>
            <w:tcW w:w="3310" w:type="dxa"/>
            <w:vAlign w:val="top"/>
          </w:tcPr>
          <w:p w14:paraId="47AA6A25">
            <w:pPr>
              <w:spacing w:before="87" w:line="220" w:lineRule="auto"/>
              <w:ind w:left="1330"/>
              <w:rPr>
                <w:rFonts w:ascii="Times New Roman" w:hAnsi="Times New Roman" w:eastAsia="Times New Roman" w:cs="Times New Roman"/>
                <w:sz w:val="21"/>
                <w:szCs w:val="21"/>
              </w:rPr>
            </w:pPr>
            <w:r>
              <w:rPr>
                <w:rFonts w:ascii="Times New Roman" w:hAnsi="Times New Roman" w:eastAsia="Times New Roman" w:cs="Times New Roman"/>
                <w:spacing w:val="8"/>
                <w:sz w:val="21"/>
                <w:szCs w:val="21"/>
              </w:rPr>
              <w:t>168.6°C</w:t>
            </w:r>
          </w:p>
        </w:tc>
      </w:tr>
      <w:tr w14:paraId="56F7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0" w:hRule="atLeast"/>
        </w:trPr>
        <w:tc>
          <w:tcPr>
            <w:tcW w:w="1428" w:type="dxa"/>
            <w:vAlign w:val="top"/>
          </w:tcPr>
          <w:p w14:paraId="1E550CAB">
            <w:pPr>
              <w:spacing w:before="249" w:line="221" w:lineRule="auto"/>
              <w:ind w:left="406"/>
              <w:rPr>
                <w:rFonts w:ascii="宋体" w:hAnsi="宋体" w:eastAsia="宋体" w:cs="宋体"/>
                <w:sz w:val="21"/>
                <w:szCs w:val="21"/>
              </w:rPr>
            </w:pPr>
            <w:r>
              <w:rPr>
                <w:rFonts w:ascii="宋体" w:hAnsi="宋体" w:eastAsia="宋体" w:cs="宋体"/>
                <w:spacing w:val="-3"/>
                <w:sz w:val="21"/>
                <w:szCs w:val="21"/>
              </w:rPr>
              <w:t>危险性</w:t>
            </w:r>
          </w:p>
        </w:tc>
        <w:tc>
          <w:tcPr>
            <w:tcW w:w="2362" w:type="dxa"/>
            <w:vAlign w:val="top"/>
          </w:tcPr>
          <w:p w14:paraId="7D13D890">
            <w:pPr>
              <w:spacing w:before="92" w:line="221" w:lineRule="auto"/>
              <w:ind w:left="30"/>
              <w:rPr>
                <w:rFonts w:ascii="宋体" w:hAnsi="宋体" w:eastAsia="宋体" w:cs="宋体"/>
                <w:sz w:val="21"/>
                <w:szCs w:val="21"/>
              </w:rPr>
            </w:pPr>
            <w:r>
              <w:rPr>
                <w:rFonts w:ascii="宋体" w:hAnsi="宋体" w:eastAsia="宋体" w:cs="宋体"/>
                <w:spacing w:val="-1"/>
                <w:sz w:val="21"/>
                <w:szCs w:val="21"/>
              </w:rPr>
              <w:t>有毒、易燃、刺激性、有</w:t>
            </w:r>
          </w:p>
          <w:p w14:paraId="3BDA8C5D">
            <w:pPr>
              <w:spacing w:before="61" w:line="221" w:lineRule="auto"/>
              <w:ind w:left="1085"/>
              <w:rPr>
                <w:rFonts w:ascii="宋体" w:hAnsi="宋体" w:eastAsia="宋体" w:cs="宋体"/>
                <w:sz w:val="21"/>
                <w:szCs w:val="21"/>
              </w:rPr>
            </w:pPr>
            <w:r>
              <w:rPr>
                <w:rFonts w:ascii="宋体" w:hAnsi="宋体" w:eastAsia="宋体" w:cs="宋体"/>
                <w:sz w:val="21"/>
                <w:szCs w:val="21"/>
              </w:rPr>
              <w:t>害</w:t>
            </w:r>
          </w:p>
        </w:tc>
        <w:tc>
          <w:tcPr>
            <w:tcW w:w="1440" w:type="dxa"/>
            <w:vAlign w:val="top"/>
          </w:tcPr>
          <w:p w14:paraId="4B911470">
            <w:pPr>
              <w:spacing w:before="249" w:line="222" w:lineRule="auto"/>
              <w:ind w:left="305"/>
              <w:rPr>
                <w:rFonts w:ascii="宋体" w:hAnsi="宋体" w:eastAsia="宋体" w:cs="宋体"/>
                <w:sz w:val="21"/>
                <w:szCs w:val="21"/>
              </w:rPr>
            </w:pPr>
            <w:r>
              <w:rPr>
                <w:rFonts w:ascii="宋体" w:hAnsi="宋体" w:eastAsia="宋体" w:cs="宋体"/>
                <w:spacing w:val="-2"/>
                <w:sz w:val="21"/>
                <w:szCs w:val="21"/>
              </w:rPr>
              <w:t>主要用途</w:t>
            </w:r>
          </w:p>
        </w:tc>
        <w:tc>
          <w:tcPr>
            <w:tcW w:w="3310" w:type="dxa"/>
            <w:vAlign w:val="top"/>
          </w:tcPr>
          <w:p w14:paraId="56DCF630">
            <w:pPr>
              <w:spacing w:before="92" w:line="267" w:lineRule="auto"/>
              <w:ind w:left="298" w:right="76" w:hanging="211"/>
              <w:rPr>
                <w:rFonts w:ascii="宋体" w:hAnsi="宋体" w:eastAsia="宋体" w:cs="宋体"/>
                <w:sz w:val="21"/>
                <w:szCs w:val="21"/>
              </w:rPr>
            </w:pPr>
            <w:r>
              <w:rPr>
                <w:rFonts w:ascii="宋体" w:hAnsi="宋体" w:eastAsia="宋体" w:cs="宋体"/>
                <w:spacing w:val="-1"/>
                <w:sz w:val="21"/>
                <w:szCs w:val="21"/>
              </w:rPr>
              <w:t>主要用作有色金属和稀有金属矿石</w:t>
            </w:r>
            <w:r>
              <w:rPr>
                <w:rFonts w:ascii="宋体" w:hAnsi="宋体" w:eastAsia="宋体" w:cs="宋体"/>
                <w:spacing w:val="8"/>
                <w:sz w:val="21"/>
                <w:szCs w:val="21"/>
              </w:rPr>
              <w:t xml:space="preserve"> </w:t>
            </w:r>
            <w:r>
              <w:rPr>
                <w:rFonts w:ascii="宋体" w:hAnsi="宋体" w:eastAsia="宋体" w:cs="宋体"/>
                <w:spacing w:val="-2"/>
                <w:sz w:val="21"/>
                <w:szCs w:val="21"/>
              </w:rPr>
              <w:t>浮选捕收及橡胶硫化促进剂。</w:t>
            </w:r>
          </w:p>
        </w:tc>
      </w:tr>
      <w:tr w14:paraId="212D7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11" w:hRule="atLeast"/>
        </w:trPr>
        <w:tc>
          <w:tcPr>
            <w:tcW w:w="1428" w:type="dxa"/>
            <w:vAlign w:val="top"/>
          </w:tcPr>
          <w:p w14:paraId="7F440B8E">
            <w:pPr>
              <w:pStyle w:val="1517"/>
              <w:spacing w:line="245" w:lineRule="auto"/>
            </w:pPr>
          </w:p>
          <w:p w14:paraId="056F4F20">
            <w:pPr>
              <w:pStyle w:val="1517"/>
              <w:spacing w:line="245" w:lineRule="auto"/>
            </w:pPr>
          </w:p>
          <w:p w14:paraId="5BC6DC27">
            <w:pPr>
              <w:pStyle w:val="1517"/>
              <w:spacing w:line="245" w:lineRule="auto"/>
            </w:pPr>
          </w:p>
          <w:p w14:paraId="2F9486DF">
            <w:pPr>
              <w:pStyle w:val="1517"/>
              <w:spacing w:line="245" w:lineRule="auto"/>
            </w:pPr>
          </w:p>
          <w:p w14:paraId="587929C8">
            <w:pPr>
              <w:pStyle w:val="1517"/>
              <w:spacing w:line="245" w:lineRule="auto"/>
            </w:pPr>
          </w:p>
          <w:p w14:paraId="0A31364F">
            <w:pPr>
              <w:spacing w:before="68" w:line="221" w:lineRule="auto"/>
              <w:ind w:left="298"/>
              <w:rPr>
                <w:rFonts w:ascii="宋体" w:hAnsi="宋体" w:eastAsia="宋体" w:cs="宋体"/>
                <w:sz w:val="21"/>
                <w:szCs w:val="21"/>
              </w:rPr>
            </w:pPr>
            <w:r>
              <w:rPr>
                <w:rFonts w:ascii="宋体" w:hAnsi="宋体" w:eastAsia="宋体" w:cs="宋体"/>
                <w:spacing w:val="-2"/>
                <w:sz w:val="21"/>
                <w:szCs w:val="21"/>
              </w:rPr>
              <w:t>环境危害</w:t>
            </w:r>
          </w:p>
        </w:tc>
        <w:tc>
          <w:tcPr>
            <w:tcW w:w="7112" w:type="dxa"/>
            <w:gridSpan w:val="3"/>
            <w:vAlign w:val="top"/>
          </w:tcPr>
          <w:p w14:paraId="4D817E20">
            <w:pPr>
              <w:spacing w:before="57" w:line="268" w:lineRule="auto"/>
              <w:ind w:left="3" w:firstLine="9"/>
              <w:jc w:val="both"/>
              <w:rPr>
                <w:rFonts w:ascii="宋体" w:hAnsi="宋体" w:eastAsia="宋体" w:cs="宋体"/>
                <w:sz w:val="21"/>
                <w:szCs w:val="21"/>
              </w:rPr>
            </w:pPr>
            <w:r>
              <w:rPr>
                <w:rFonts w:ascii="宋体" w:hAnsi="宋体" w:eastAsia="宋体" w:cs="宋体"/>
                <w:spacing w:val="-7"/>
                <w:sz w:val="21"/>
                <w:szCs w:val="21"/>
              </w:rPr>
              <w:t>丁基黄原酸盐，俗称黄药，是一种捕集能力较强的浮选</w:t>
            </w:r>
            <w:r>
              <w:rPr>
                <w:rFonts w:ascii="宋体" w:hAnsi="宋体" w:eastAsia="宋体" w:cs="宋体"/>
                <w:spacing w:val="-8"/>
                <w:sz w:val="21"/>
                <w:szCs w:val="21"/>
              </w:rPr>
              <w:t>药剂、橡胶硫化促进剂，</w:t>
            </w:r>
            <w:r>
              <w:rPr>
                <w:rFonts w:ascii="宋体" w:hAnsi="宋体" w:eastAsia="宋体" w:cs="宋体"/>
                <w:sz w:val="21"/>
                <w:szCs w:val="21"/>
              </w:rPr>
              <w:t xml:space="preserve"> </w:t>
            </w:r>
            <w:r>
              <w:rPr>
                <w:rFonts w:ascii="宋体" w:hAnsi="宋体" w:eastAsia="宋体" w:cs="宋体"/>
                <w:spacing w:val="-3"/>
                <w:sz w:val="21"/>
                <w:szCs w:val="21"/>
              </w:rPr>
              <w:t>广泛应用于各种有色金属硫化矿的混合浮选中。在浮选过程中</w:t>
            </w:r>
            <w:r>
              <w:rPr>
                <w:rFonts w:ascii="宋体" w:hAnsi="宋体" w:eastAsia="宋体" w:cs="宋体"/>
                <w:spacing w:val="-4"/>
                <w:sz w:val="21"/>
                <w:szCs w:val="21"/>
              </w:rPr>
              <w:t>有少部分随废水</w:t>
            </w:r>
            <w:r>
              <w:rPr>
                <w:rFonts w:ascii="宋体" w:hAnsi="宋体" w:eastAsia="宋体" w:cs="宋体"/>
                <w:spacing w:val="-3"/>
                <w:sz w:val="21"/>
                <w:szCs w:val="21"/>
              </w:rPr>
              <w:t>排入地表水，对环境造成污染。具有恶臭，可使水质发臭，</w:t>
            </w:r>
            <w:r>
              <w:rPr>
                <w:rFonts w:ascii="宋体" w:hAnsi="宋体" w:eastAsia="宋体" w:cs="宋体"/>
                <w:spacing w:val="-4"/>
                <w:sz w:val="21"/>
                <w:szCs w:val="21"/>
              </w:rPr>
              <w:t>导致水域中鱼虾减</w:t>
            </w:r>
            <w:r>
              <w:rPr>
                <w:rFonts w:ascii="宋体" w:hAnsi="宋体" w:eastAsia="宋体" w:cs="宋体"/>
                <w:spacing w:val="-3"/>
                <w:sz w:val="21"/>
                <w:szCs w:val="21"/>
              </w:rPr>
              <w:t>少，鱼体变形，鱼肉有异味且不宜烹调，并严重影响附近水</w:t>
            </w:r>
            <w:r>
              <w:rPr>
                <w:rFonts w:ascii="宋体" w:hAnsi="宋体" w:eastAsia="宋体" w:cs="宋体"/>
                <w:spacing w:val="-4"/>
                <w:sz w:val="21"/>
                <w:szCs w:val="21"/>
              </w:rPr>
              <w:t>域的生态平衡。会</w:t>
            </w:r>
            <w:r>
              <w:rPr>
                <w:rFonts w:ascii="宋体" w:hAnsi="宋体" w:eastAsia="宋体" w:cs="宋体"/>
                <w:spacing w:val="3"/>
                <w:sz w:val="21"/>
                <w:szCs w:val="21"/>
              </w:rPr>
              <w:t>对周边生态环境产生一定的危害。丁基黄原酸盐在废水中</w:t>
            </w:r>
            <w:r>
              <w:rPr>
                <w:rFonts w:ascii="宋体" w:hAnsi="宋体" w:eastAsia="宋体" w:cs="宋体"/>
                <w:spacing w:val="2"/>
                <w:sz w:val="21"/>
                <w:szCs w:val="21"/>
              </w:rPr>
              <w:t>的浓度可高达几十</w:t>
            </w:r>
            <w:r>
              <w:rPr>
                <w:rFonts w:ascii="Times New Roman" w:hAnsi="Times New Roman" w:eastAsia="Times New Roman" w:cs="Times New Roman"/>
                <w:spacing w:val="-4"/>
                <w:sz w:val="21"/>
                <w:szCs w:val="21"/>
              </w:rPr>
              <w:t>mg/L</w:t>
            </w:r>
            <w:r>
              <w:rPr>
                <w:rFonts w:ascii="宋体" w:hAnsi="宋体" w:eastAsia="宋体" w:cs="宋体"/>
                <w:spacing w:val="-4"/>
                <w:sz w:val="21"/>
                <w:szCs w:val="21"/>
              </w:rPr>
              <w:t>，污染水源和环境，能对其他水生生物及人类产生一定的毒害，因而选矿</w:t>
            </w:r>
            <w:r>
              <w:rPr>
                <w:rFonts w:ascii="宋体" w:hAnsi="宋体" w:eastAsia="宋体" w:cs="宋体"/>
                <w:spacing w:val="-3"/>
                <w:sz w:val="21"/>
                <w:szCs w:val="21"/>
              </w:rPr>
              <w:t>废水中的丁基黄原酸盐已被列为环境保护监测项目之一。在</w:t>
            </w:r>
            <w:r>
              <w:rPr>
                <w:rFonts w:ascii="宋体" w:hAnsi="宋体" w:eastAsia="宋体" w:cs="宋体"/>
                <w:spacing w:val="-4"/>
                <w:sz w:val="21"/>
                <w:szCs w:val="21"/>
              </w:rPr>
              <w:t>水体中随时间的增</w:t>
            </w:r>
            <w:r>
              <w:rPr>
                <w:rFonts w:ascii="宋体" w:hAnsi="宋体" w:eastAsia="宋体" w:cs="宋体"/>
                <w:spacing w:val="-5"/>
                <w:sz w:val="21"/>
                <w:szCs w:val="21"/>
              </w:rPr>
              <w:t xml:space="preserve">加，会自动净化降解（其 </w:t>
            </w:r>
            <w:r>
              <w:rPr>
                <w:rFonts w:ascii="Times New Roman" w:hAnsi="Times New Roman" w:eastAsia="Times New Roman" w:cs="Times New Roman"/>
                <w:spacing w:val="-5"/>
                <w:sz w:val="21"/>
                <w:szCs w:val="21"/>
              </w:rPr>
              <w:t xml:space="preserve">6 </w:t>
            </w:r>
            <w:r>
              <w:rPr>
                <w:rFonts w:ascii="宋体" w:hAnsi="宋体" w:eastAsia="宋体" w:cs="宋体"/>
                <w:spacing w:val="-5"/>
                <w:sz w:val="21"/>
                <w:szCs w:val="21"/>
              </w:rPr>
              <w:t>日</w:t>
            </w:r>
            <w:r>
              <w:rPr>
                <w:rFonts w:ascii="Times New Roman" w:hAnsi="Times New Roman" w:eastAsia="Times New Roman" w:cs="Times New Roman"/>
                <w:spacing w:val="-5"/>
                <w:sz w:val="21"/>
                <w:szCs w:val="21"/>
              </w:rPr>
              <w:t>15</w:t>
            </w:r>
            <w:r>
              <w:rPr>
                <w:rFonts w:ascii="宋体" w:hAnsi="宋体" w:eastAsia="宋体" w:cs="宋体"/>
                <w:spacing w:val="-5"/>
                <w:sz w:val="21"/>
                <w:szCs w:val="21"/>
              </w:rPr>
              <w:t>℃降解率约为</w:t>
            </w:r>
            <w:r>
              <w:rPr>
                <w:rFonts w:ascii="Times New Roman" w:hAnsi="Times New Roman" w:eastAsia="Times New Roman" w:cs="Times New Roman"/>
                <w:spacing w:val="-5"/>
                <w:sz w:val="21"/>
                <w:szCs w:val="21"/>
              </w:rPr>
              <w:t>98%</w:t>
            </w:r>
            <w:r>
              <w:rPr>
                <w:rFonts w:ascii="宋体" w:hAnsi="宋体" w:eastAsia="宋体" w:cs="宋体"/>
                <w:spacing w:val="-5"/>
                <w:sz w:val="21"/>
                <w:szCs w:val="21"/>
              </w:rPr>
              <w:t>左右，见《黄药、黑药、</w:t>
            </w:r>
            <w:r>
              <w:rPr>
                <w:rFonts w:ascii="宋体" w:hAnsi="宋体" w:eastAsia="宋体" w:cs="宋体"/>
                <w:spacing w:val="-2"/>
                <w:sz w:val="21"/>
                <w:szCs w:val="21"/>
              </w:rPr>
              <w:t>二号油在水体中的降解试验研究》）。</w:t>
            </w:r>
          </w:p>
        </w:tc>
      </w:tr>
      <w:tr w14:paraId="0EF1F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76" w:hRule="atLeast"/>
        </w:trPr>
        <w:tc>
          <w:tcPr>
            <w:tcW w:w="1428" w:type="dxa"/>
            <w:vAlign w:val="top"/>
          </w:tcPr>
          <w:p w14:paraId="512C4D6F">
            <w:pPr>
              <w:pStyle w:val="1517"/>
              <w:spacing w:line="253" w:lineRule="auto"/>
            </w:pPr>
          </w:p>
          <w:p w14:paraId="4C32730B">
            <w:pPr>
              <w:pStyle w:val="1517"/>
              <w:spacing w:line="254" w:lineRule="auto"/>
            </w:pPr>
          </w:p>
          <w:p w14:paraId="65FE5176">
            <w:pPr>
              <w:pStyle w:val="1517"/>
              <w:spacing w:line="254" w:lineRule="auto"/>
            </w:pPr>
          </w:p>
          <w:p w14:paraId="3BF6E90B">
            <w:pPr>
              <w:spacing w:before="69" w:line="221" w:lineRule="auto"/>
              <w:ind w:left="298"/>
              <w:rPr>
                <w:rFonts w:ascii="宋体" w:hAnsi="宋体" w:eastAsia="宋体" w:cs="宋体"/>
                <w:sz w:val="21"/>
                <w:szCs w:val="21"/>
              </w:rPr>
            </w:pPr>
            <w:r>
              <w:rPr>
                <w:rFonts w:ascii="宋体" w:hAnsi="宋体" w:eastAsia="宋体" w:cs="宋体"/>
                <w:spacing w:val="-2"/>
                <w:sz w:val="21"/>
                <w:szCs w:val="21"/>
              </w:rPr>
              <w:t>健康危害</w:t>
            </w:r>
          </w:p>
        </w:tc>
        <w:tc>
          <w:tcPr>
            <w:tcW w:w="7112" w:type="dxa"/>
            <w:gridSpan w:val="3"/>
            <w:vAlign w:val="top"/>
          </w:tcPr>
          <w:p w14:paraId="4DE010A4">
            <w:pPr>
              <w:spacing w:before="54" w:line="221" w:lineRule="auto"/>
              <w:ind w:left="12"/>
              <w:rPr>
                <w:rFonts w:ascii="宋体" w:hAnsi="宋体" w:eastAsia="宋体" w:cs="宋体"/>
                <w:sz w:val="21"/>
                <w:szCs w:val="21"/>
              </w:rPr>
            </w:pPr>
            <w:r>
              <w:rPr>
                <w:rFonts w:ascii="宋体" w:hAnsi="宋体" w:eastAsia="宋体" w:cs="宋体"/>
                <w:spacing w:val="-2"/>
                <w:sz w:val="21"/>
                <w:szCs w:val="21"/>
              </w:rPr>
              <w:t>侵入途径：吸食、经皮、粘膜吸收。</w:t>
            </w:r>
          </w:p>
          <w:p w14:paraId="2862BB03">
            <w:pPr>
              <w:spacing w:before="64" w:line="263" w:lineRule="auto"/>
              <w:ind w:left="10"/>
              <w:rPr>
                <w:rFonts w:ascii="宋体" w:hAnsi="宋体" w:eastAsia="宋体" w:cs="宋体"/>
                <w:sz w:val="21"/>
                <w:szCs w:val="21"/>
              </w:rPr>
            </w:pPr>
            <w:r>
              <w:rPr>
                <w:rFonts w:ascii="宋体" w:hAnsi="宋体" w:eastAsia="宋体" w:cs="宋体"/>
                <w:spacing w:val="5"/>
                <w:sz w:val="21"/>
                <w:szCs w:val="21"/>
              </w:rPr>
              <w:t>健康危害：黄药对动物和人的毒害主要表现在对神经系统和</w:t>
            </w:r>
            <w:r>
              <w:rPr>
                <w:rFonts w:ascii="宋体" w:hAnsi="宋体" w:eastAsia="宋体" w:cs="宋体"/>
                <w:spacing w:val="4"/>
                <w:sz w:val="21"/>
                <w:szCs w:val="21"/>
              </w:rPr>
              <w:t>肝脏等器官的损</w:t>
            </w:r>
            <w:r>
              <w:rPr>
                <w:rFonts w:ascii="宋体" w:hAnsi="宋体" w:eastAsia="宋体" w:cs="宋体"/>
                <w:sz w:val="21"/>
                <w:szCs w:val="21"/>
              </w:rPr>
              <w:t xml:space="preserve"> </w:t>
            </w:r>
            <w:r>
              <w:rPr>
                <w:rFonts w:ascii="宋体" w:hAnsi="宋体" w:eastAsia="宋体" w:cs="宋体"/>
                <w:spacing w:val="-1"/>
                <w:sz w:val="21"/>
                <w:szCs w:val="21"/>
              </w:rPr>
              <w:t>害。对肝脏的损害主要是由于黄药与金属离子的反应产</w:t>
            </w:r>
            <w:r>
              <w:rPr>
                <w:rFonts w:ascii="宋体" w:hAnsi="宋体" w:eastAsia="宋体" w:cs="宋体"/>
                <w:spacing w:val="-2"/>
                <w:sz w:val="21"/>
                <w:szCs w:val="21"/>
              </w:rPr>
              <w:t>物易在肝脏中积累．长</w:t>
            </w:r>
            <w:r>
              <w:rPr>
                <w:rFonts w:ascii="宋体" w:hAnsi="宋体" w:eastAsia="宋体" w:cs="宋体"/>
                <w:sz w:val="21"/>
                <w:szCs w:val="21"/>
              </w:rPr>
              <w:t xml:space="preserve"> </w:t>
            </w:r>
            <w:r>
              <w:rPr>
                <w:rFonts w:ascii="宋体" w:hAnsi="宋体" w:eastAsia="宋体" w:cs="宋体"/>
                <w:spacing w:val="-1"/>
                <w:sz w:val="21"/>
                <w:szCs w:val="21"/>
              </w:rPr>
              <w:t>期下去会导致肝脏病变；对神经系统的损害主要是由于</w:t>
            </w:r>
            <w:r>
              <w:rPr>
                <w:rFonts w:ascii="宋体" w:hAnsi="宋体" w:eastAsia="宋体" w:cs="宋体"/>
                <w:spacing w:val="-2"/>
                <w:sz w:val="21"/>
                <w:szCs w:val="21"/>
              </w:rPr>
              <w:t>进入动物或人体内的黄</w:t>
            </w:r>
            <w:r>
              <w:rPr>
                <w:rFonts w:ascii="宋体" w:hAnsi="宋体" w:eastAsia="宋体" w:cs="宋体"/>
                <w:sz w:val="21"/>
                <w:szCs w:val="21"/>
              </w:rPr>
              <w:t xml:space="preserve"> </w:t>
            </w:r>
            <w:r>
              <w:rPr>
                <w:rFonts w:ascii="宋体" w:hAnsi="宋体" w:eastAsia="宋体" w:cs="宋体"/>
                <w:spacing w:val="-1"/>
                <w:sz w:val="21"/>
                <w:szCs w:val="21"/>
              </w:rPr>
              <w:t>药在微酸性条件下被分解。所得产物二硫化碳属疏水亲脂</w:t>
            </w:r>
            <w:r>
              <w:rPr>
                <w:rFonts w:ascii="宋体" w:hAnsi="宋体" w:eastAsia="宋体" w:cs="宋体"/>
                <w:spacing w:val="-2"/>
                <w:sz w:val="21"/>
                <w:szCs w:val="21"/>
              </w:rPr>
              <w:t>的非极性物质，可通</w:t>
            </w:r>
            <w:r>
              <w:rPr>
                <w:rFonts w:ascii="宋体" w:hAnsi="宋体" w:eastAsia="宋体" w:cs="宋体"/>
                <w:sz w:val="21"/>
                <w:szCs w:val="21"/>
              </w:rPr>
              <w:t xml:space="preserve"> </w:t>
            </w:r>
            <w:r>
              <w:rPr>
                <w:rFonts w:ascii="宋体" w:hAnsi="宋体" w:eastAsia="宋体" w:cs="宋体"/>
                <w:spacing w:val="-1"/>
                <w:sz w:val="21"/>
                <w:szCs w:val="21"/>
              </w:rPr>
              <w:t>过血脑屏障进入大脑，使神经系统产生病症。</w:t>
            </w:r>
          </w:p>
        </w:tc>
      </w:tr>
      <w:tr w14:paraId="5140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0" w:hRule="atLeast"/>
        </w:trPr>
        <w:tc>
          <w:tcPr>
            <w:tcW w:w="1428" w:type="dxa"/>
            <w:vAlign w:val="top"/>
          </w:tcPr>
          <w:p w14:paraId="3F93152C">
            <w:pPr>
              <w:pStyle w:val="1517"/>
              <w:spacing w:line="298" w:lineRule="auto"/>
            </w:pPr>
          </w:p>
          <w:p w14:paraId="67DF1D8D">
            <w:pPr>
              <w:spacing w:before="68" w:line="221" w:lineRule="auto"/>
              <w:ind w:left="300"/>
              <w:rPr>
                <w:rFonts w:ascii="宋体" w:hAnsi="宋体" w:eastAsia="宋体" w:cs="宋体"/>
                <w:sz w:val="21"/>
                <w:szCs w:val="21"/>
              </w:rPr>
            </w:pPr>
            <w:r>
              <w:rPr>
                <w:rFonts w:ascii="宋体" w:hAnsi="宋体" w:eastAsia="宋体" w:cs="宋体"/>
                <w:spacing w:val="-2"/>
                <w:sz w:val="21"/>
                <w:szCs w:val="21"/>
              </w:rPr>
              <w:t>污染处理</w:t>
            </w:r>
          </w:p>
        </w:tc>
        <w:tc>
          <w:tcPr>
            <w:tcW w:w="7112" w:type="dxa"/>
            <w:gridSpan w:val="3"/>
            <w:vAlign w:val="top"/>
          </w:tcPr>
          <w:p w14:paraId="2F77D255">
            <w:pPr>
              <w:spacing w:before="56" w:line="256" w:lineRule="auto"/>
              <w:ind w:left="10" w:firstLine="12"/>
              <w:jc w:val="both"/>
              <w:rPr>
                <w:rFonts w:ascii="宋体" w:hAnsi="宋体" w:eastAsia="宋体" w:cs="宋体"/>
                <w:sz w:val="21"/>
                <w:szCs w:val="21"/>
              </w:rPr>
            </w:pPr>
            <w:r>
              <w:rPr>
                <w:rFonts w:ascii="宋体" w:hAnsi="宋体" w:eastAsia="宋体" w:cs="宋体"/>
                <w:spacing w:val="-2"/>
                <w:sz w:val="21"/>
                <w:szCs w:val="21"/>
              </w:rPr>
              <w:t>隔离泄漏污染区，限制出入。建议应急处理人员戴防毒面具（全面罩</w:t>
            </w:r>
            <w:r>
              <w:rPr>
                <w:rFonts w:ascii="宋体" w:hAnsi="宋体" w:eastAsia="宋体" w:cs="宋体"/>
                <w:spacing w:val="4"/>
                <w:sz w:val="21"/>
                <w:szCs w:val="21"/>
              </w:rPr>
              <w:t>），</w:t>
            </w:r>
            <w:r>
              <w:rPr>
                <w:rFonts w:ascii="宋体" w:hAnsi="宋体" w:eastAsia="宋体" w:cs="宋体"/>
                <w:spacing w:val="-2"/>
                <w:sz w:val="21"/>
                <w:szCs w:val="21"/>
              </w:rPr>
              <w:t>穿防</w:t>
            </w:r>
            <w:r>
              <w:rPr>
                <w:rFonts w:ascii="宋体" w:hAnsi="宋体" w:eastAsia="宋体" w:cs="宋体"/>
                <w:spacing w:val="1"/>
                <w:sz w:val="21"/>
                <w:szCs w:val="21"/>
              </w:rPr>
              <w:t xml:space="preserve"> </w:t>
            </w:r>
            <w:r>
              <w:rPr>
                <w:rFonts w:ascii="宋体" w:hAnsi="宋体" w:eastAsia="宋体" w:cs="宋体"/>
                <w:spacing w:val="-1"/>
                <w:sz w:val="21"/>
                <w:szCs w:val="21"/>
              </w:rPr>
              <w:t>毒服。避免扬尘，小心扫起，置于袋中转移至安全场所。若</w:t>
            </w:r>
            <w:r>
              <w:rPr>
                <w:rFonts w:ascii="宋体" w:hAnsi="宋体" w:eastAsia="宋体" w:cs="宋体"/>
                <w:spacing w:val="-2"/>
                <w:sz w:val="21"/>
                <w:szCs w:val="21"/>
              </w:rPr>
              <w:t>大量泄漏，用塑料</w:t>
            </w:r>
            <w:r>
              <w:rPr>
                <w:rFonts w:ascii="宋体" w:hAnsi="宋体" w:eastAsia="宋体" w:cs="宋体"/>
                <w:sz w:val="21"/>
                <w:szCs w:val="21"/>
              </w:rPr>
              <w:t xml:space="preserve"> 布、帆布覆盖。收集回收或运至废物处理场</w:t>
            </w:r>
            <w:r>
              <w:rPr>
                <w:rFonts w:ascii="宋体" w:hAnsi="宋体" w:eastAsia="宋体" w:cs="宋体"/>
                <w:spacing w:val="-1"/>
                <w:sz w:val="21"/>
                <w:szCs w:val="21"/>
              </w:rPr>
              <w:t>所处置。</w:t>
            </w:r>
          </w:p>
        </w:tc>
      </w:tr>
      <w:tr w14:paraId="74F3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trPr>
        <w:tc>
          <w:tcPr>
            <w:tcW w:w="1428" w:type="dxa"/>
            <w:vAlign w:val="top"/>
          </w:tcPr>
          <w:p w14:paraId="6B7FCCE9">
            <w:pPr>
              <w:pStyle w:val="1517"/>
              <w:spacing w:line="301" w:lineRule="auto"/>
            </w:pPr>
          </w:p>
          <w:p w14:paraId="373FE100">
            <w:pPr>
              <w:spacing w:before="68" w:line="221" w:lineRule="auto"/>
              <w:ind w:left="311"/>
              <w:rPr>
                <w:rFonts w:ascii="宋体" w:hAnsi="宋体" w:eastAsia="宋体" w:cs="宋体"/>
                <w:sz w:val="21"/>
                <w:szCs w:val="21"/>
              </w:rPr>
            </w:pPr>
            <w:r>
              <w:rPr>
                <w:rFonts w:ascii="宋体" w:hAnsi="宋体" w:eastAsia="宋体" w:cs="宋体"/>
                <w:spacing w:val="-5"/>
                <w:sz w:val="21"/>
                <w:szCs w:val="21"/>
              </w:rPr>
              <w:t>防护措施</w:t>
            </w:r>
          </w:p>
        </w:tc>
        <w:tc>
          <w:tcPr>
            <w:tcW w:w="7112" w:type="dxa"/>
            <w:gridSpan w:val="3"/>
            <w:vAlign w:val="top"/>
          </w:tcPr>
          <w:p w14:paraId="6B23F276">
            <w:pPr>
              <w:spacing w:before="60" w:line="272" w:lineRule="auto"/>
              <w:ind w:left="12" w:right="115" w:firstLine="93"/>
              <w:rPr>
                <w:rFonts w:ascii="宋体" w:hAnsi="宋体" w:eastAsia="宋体" w:cs="宋体"/>
                <w:sz w:val="21"/>
                <w:szCs w:val="21"/>
              </w:rPr>
            </w:pPr>
            <w:r>
              <w:rPr>
                <w:rFonts w:ascii="宋体" w:hAnsi="宋体" w:eastAsia="宋体" w:cs="宋体"/>
                <w:spacing w:val="-2"/>
                <w:sz w:val="21"/>
                <w:szCs w:val="21"/>
              </w:rPr>
              <w:t>呼吸系统防护：立即脱去污染的衣着，用大量流动清水冲洗至少</w:t>
            </w:r>
            <w:r>
              <w:rPr>
                <w:rFonts w:ascii="Times New Roman" w:hAnsi="Times New Roman" w:eastAsia="Times New Roman" w:cs="Times New Roman"/>
                <w:spacing w:val="-2"/>
                <w:sz w:val="21"/>
                <w:szCs w:val="21"/>
              </w:rPr>
              <w:t>15</w:t>
            </w:r>
            <w:r>
              <w:rPr>
                <w:rFonts w:ascii="宋体" w:hAnsi="宋体" w:eastAsia="宋体" w:cs="宋体"/>
                <w:spacing w:val="-2"/>
                <w:sz w:val="21"/>
                <w:szCs w:val="21"/>
              </w:rPr>
              <w:t>分钟。</w:t>
            </w:r>
            <w:r>
              <w:rPr>
                <w:rFonts w:ascii="宋体" w:hAnsi="宋体" w:eastAsia="宋体" w:cs="宋体"/>
                <w:sz w:val="21"/>
                <w:szCs w:val="21"/>
              </w:rPr>
              <w:t xml:space="preserve"> </w:t>
            </w:r>
            <w:r>
              <w:rPr>
                <w:rFonts w:ascii="宋体" w:hAnsi="宋体" w:eastAsia="宋体" w:cs="宋体"/>
                <w:spacing w:val="-9"/>
                <w:sz w:val="21"/>
                <w:szCs w:val="21"/>
              </w:rPr>
              <w:t>就医。</w:t>
            </w:r>
          </w:p>
          <w:p w14:paraId="0DF409F7">
            <w:pPr>
              <w:spacing w:before="4" w:line="220" w:lineRule="auto"/>
              <w:ind w:left="23"/>
              <w:rPr>
                <w:rFonts w:ascii="宋体" w:hAnsi="宋体" w:eastAsia="宋体" w:cs="宋体"/>
                <w:spacing w:val="-2"/>
                <w:sz w:val="21"/>
                <w:szCs w:val="21"/>
              </w:rPr>
            </w:pPr>
            <w:r>
              <w:rPr>
                <w:rFonts w:ascii="宋体" w:hAnsi="宋体" w:eastAsia="宋体" w:cs="宋体"/>
                <w:spacing w:val="-2"/>
                <w:sz w:val="21"/>
                <w:szCs w:val="21"/>
              </w:rPr>
              <w:t>眼睛防护：必要时可采用安全防护眼镜。</w:t>
            </w:r>
          </w:p>
          <w:p w14:paraId="39CD62D9">
            <w:pPr>
              <w:spacing w:before="55" w:line="220" w:lineRule="auto"/>
              <w:ind w:left="16"/>
              <w:rPr>
                <w:rFonts w:ascii="宋体" w:hAnsi="宋体" w:eastAsia="宋体" w:cs="宋体"/>
                <w:sz w:val="21"/>
                <w:szCs w:val="21"/>
              </w:rPr>
            </w:pPr>
            <w:r>
              <w:rPr>
                <w:rFonts w:ascii="宋体" w:hAnsi="宋体" w:eastAsia="宋体" w:cs="宋体"/>
                <w:spacing w:val="-1"/>
                <w:sz w:val="21"/>
                <w:szCs w:val="21"/>
              </w:rPr>
              <w:t>身体防护：穿静电工作 服。手防护：戴一般作业防护手套。</w:t>
            </w:r>
          </w:p>
          <w:p w14:paraId="5689E07E">
            <w:pPr>
              <w:spacing w:before="4" w:line="220" w:lineRule="auto"/>
              <w:ind w:left="23"/>
              <w:rPr>
                <w:rFonts w:ascii="宋体" w:hAnsi="宋体" w:eastAsia="宋体" w:cs="宋体"/>
                <w:spacing w:val="-2"/>
                <w:sz w:val="21"/>
                <w:szCs w:val="21"/>
              </w:rPr>
            </w:pPr>
            <w:r>
              <w:rPr>
                <w:rFonts w:ascii="宋体" w:hAnsi="宋体" w:eastAsia="宋体" w:cs="宋体"/>
                <w:spacing w:val="-1"/>
                <w:sz w:val="21"/>
                <w:szCs w:val="21"/>
              </w:rPr>
              <w:t>其它：工作现场严禁进食和饮水。工作毕淋浴更衣。注意</w:t>
            </w:r>
            <w:r>
              <w:rPr>
                <w:rFonts w:ascii="宋体" w:hAnsi="宋体" w:eastAsia="宋体" w:cs="宋体"/>
                <w:spacing w:val="-2"/>
                <w:sz w:val="21"/>
                <w:szCs w:val="21"/>
              </w:rPr>
              <w:t>个人清洁卫生。实行</w:t>
            </w:r>
            <w:r>
              <w:rPr>
                <w:rFonts w:ascii="宋体" w:hAnsi="宋体" w:eastAsia="宋体" w:cs="宋体"/>
                <w:spacing w:val="-1"/>
                <w:sz w:val="21"/>
                <w:szCs w:val="21"/>
              </w:rPr>
              <w:t>就业前和定期的体检。</w:t>
            </w:r>
          </w:p>
        </w:tc>
      </w:tr>
      <w:tr w14:paraId="6F9C7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trPr>
        <w:tc>
          <w:tcPr>
            <w:tcW w:w="1428" w:type="dxa"/>
            <w:vAlign w:val="top"/>
          </w:tcPr>
          <w:p w14:paraId="0FB306E4">
            <w:pPr>
              <w:pStyle w:val="1517"/>
              <w:spacing w:line="268" w:lineRule="auto"/>
            </w:pPr>
          </w:p>
          <w:p w14:paraId="7AA3056E">
            <w:pPr>
              <w:pStyle w:val="1517"/>
              <w:spacing w:line="269" w:lineRule="auto"/>
            </w:pPr>
          </w:p>
          <w:p w14:paraId="52FCB487">
            <w:pPr>
              <w:pStyle w:val="1517"/>
              <w:spacing w:line="269" w:lineRule="auto"/>
            </w:pPr>
          </w:p>
          <w:p w14:paraId="1F06B4A7">
            <w:pPr>
              <w:pStyle w:val="1517"/>
              <w:spacing w:line="269" w:lineRule="auto"/>
            </w:pPr>
          </w:p>
          <w:p w14:paraId="74B6960E">
            <w:pPr>
              <w:spacing w:before="68" w:line="221" w:lineRule="auto"/>
              <w:ind w:left="305" w:leftChars="0"/>
              <w:rPr>
                <w:rFonts w:ascii="宋体" w:hAnsi="宋体" w:eastAsia="宋体" w:cs="宋体"/>
                <w:spacing w:val="-5"/>
                <w:sz w:val="21"/>
                <w:szCs w:val="21"/>
              </w:rPr>
            </w:pPr>
            <w:r>
              <w:rPr>
                <w:rFonts w:ascii="宋体" w:hAnsi="宋体" w:eastAsia="宋体" w:cs="宋体"/>
                <w:spacing w:val="-3"/>
                <w:sz w:val="21"/>
                <w:szCs w:val="21"/>
              </w:rPr>
              <w:t>急救措施</w:t>
            </w:r>
          </w:p>
        </w:tc>
        <w:tc>
          <w:tcPr>
            <w:tcW w:w="7112" w:type="dxa"/>
            <w:gridSpan w:val="3"/>
            <w:vAlign w:val="top"/>
          </w:tcPr>
          <w:p w14:paraId="5450403D">
            <w:pPr>
              <w:spacing w:before="59" w:line="274" w:lineRule="auto"/>
              <w:ind w:left="11" w:firstLine="2"/>
              <w:rPr>
                <w:rFonts w:ascii="宋体" w:hAnsi="宋体" w:eastAsia="宋体" w:cs="宋体"/>
                <w:sz w:val="21"/>
                <w:szCs w:val="21"/>
              </w:rPr>
            </w:pPr>
            <w:r>
              <w:rPr>
                <w:rFonts w:ascii="宋体" w:hAnsi="宋体" w:eastAsia="宋体" w:cs="宋体"/>
                <w:spacing w:val="-1"/>
                <w:sz w:val="21"/>
                <w:szCs w:val="21"/>
              </w:rPr>
              <w:t>皮肤接触：脱去被污染的衣着，用肥皂水和清水彻</w:t>
            </w:r>
            <w:r>
              <w:rPr>
                <w:rFonts w:ascii="宋体" w:hAnsi="宋体" w:eastAsia="宋体" w:cs="宋体"/>
                <w:spacing w:val="-2"/>
                <w:sz w:val="21"/>
                <w:szCs w:val="21"/>
              </w:rPr>
              <w:t>底冲洗皮肤，对小孩或老人</w:t>
            </w:r>
            <w:r>
              <w:rPr>
                <w:rFonts w:ascii="宋体" w:hAnsi="宋体" w:eastAsia="宋体" w:cs="宋体"/>
                <w:spacing w:val="-1"/>
                <w:sz w:val="21"/>
                <w:szCs w:val="21"/>
              </w:rPr>
              <w:t>要注意不可造成失温。</w:t>
            </w:r>
          </w:p>
          <w:p w14:paraId="7D3D640A">
            <w:pPr>
              <w:spacing w:line="219" w:lineRule="auto"/>
              <w:ind w:left="23"/>
              <w:rPr>
                <w:rFonts w:ascii="宋体" w:hAnsi="宋体" w:eastAsia="宋体" w:cs="宋体"/>
                <w:sz w:val="21"/>
                <w:szCs w:val="21"/>
              </w:rPr>
            </w:pPr>
            <w:r>
              <w:rPr>
                <w:rFonts w:ascii="宋体" w:hAnsi="宋体" w:eastAsia="宋体" w:cs="宋体"/>
                <w:spacing w:val="-1"/>
                <w:sz w:val="21"/>
                <w:szCs w:val="21"/>
              </w:rPr>
              <w:t>眼睛接触：提起眼睑，用流动清水或生理盐水冲洗。</w:t>
            </w:r>
            <w:r>
              <w:rPr>
                <w:rFonts w:ascii="宋体" w:hAnsi="宋体" w:eastAsia="宋体" w:cs="宋体"/>
                <w:spacing w:val="-2"/>
                <w:sz w:val="21"/>
                <w:szCs w:val="21"/>
              </w:rPr>
              <w:t>就医。</w:t>
            </w:r>
          </w:p>
          <w:p w14:paraId="15C96557">
            <w:pPr>
              <w:spacing w:before="62" w:line="274" w:lineRule="auto"/>
              <w:ind w:left="11" w:right="9" w:firstLine="7"/>
              <w:rPr>
                <w:rFonts w:ascii="宋体" w:hAnsi="宋体" w:eastAsia="宋体" w:cs="宋体"/>
                <w:sz w:val="21"/>
                <w:szCs w:val="21"/>
              </w:rPr>
            </w:pPr>
            <w:r>
              <w:rPr>
                <w:rFonts w:ascii="宋体" w:hAnsi="宋体" w:eastAsia="宋体" w:cs="宋体"/>
                <w:spacing w:val="-2"/>
                <w:sz w:val="21"/>
                <w:szCs w:val="21"/>
              </w:rPr>
              <w:t>吸入：脱离现场至空气新鲜处。救护人员必须佩戴好防毒口罩，如呼吸困难，</w:t>
            </w:r>
            <w:r>
              <w:rPr>
                <w:rFonts w:ascii="宋体" w:hAnsi="宋体" w:eastAsia="宋体" w:cs="宋体"/>
                <w:spacing w:val="7"/>
                <w:sz w:val="21"/>
                <w:szCs w:val="21"/>
              </w:rPr>
              <w:t xml:space="preserve"> </w:t>
            </w:r>
            <w:r>
              <w:rPr>
                <w:rFonts w:ascii="宋体" w:hAnsi="宋体" w:eastAsia="宋体" w:cs="宋体"/>
                <w:spacing w:val="-3"/>
                <w:sz w:val="21"/>
                <w:szCs w:val="21"/>
              </w:rPr>
              <w:t>给输氧、就医。</w:t>
            </w:r>
          </w:p>
          <w:p w14:paraId="18743485">
            <w:pPr>
              <w:spacing w:before="3" w:line="257" w:lineRule="auto"/>
              <w:ind w:left="10" w:leftChars="0"/>
              <w:rPr>
                <w:rFonts w:ascii="宋体" w:hAnsi="宋体" w:eastAsia="宋体" w:cs="宋体"/>
                <w:spacing w:val="-2"/>
                <w:sz w:val="21"/>
                <w:szCs w:val="21"/>
              </w:rPr>
            </w:pPr>
            <w:r>
              <w:rPr>
                <w:rFonts w:ascii="宋体" w:hAnsi="宋体" w:eastAsia="宋体" w:cs="宋体"/>
                <w:sz w:val="21"/>
                <w:szCs w:val="21"/>
              </w:rPr>
              <w:t>食入：用水漱口，给饮牛奶或蛋清。就医。灭火方法：可用干粉</w:t>
            </w:r>
            <w:r>
              <w:rPr>
                <w:rFonts w:ascii="Times New Roman" w:hAnsi="Times New Roman" w:eastAsia="Times New Roman" w:cs="Times New Roman"/>
                <w:sz w:val="21"/>
                <w:szCs w:val="21"/>
              </w:rPr>
              <w:t>,</w:t>
            </w:r>
            <w:r>
              <w:rPr>
                <w:rFonts w:ascii="宋体" w:hAnsi="宋体" w:eastAsia="宋体" w:cs="宋体"/>
                <w:sz w:val="21"/>
                <w:szCs w:val="21"/>
              </w:rPr>
              <w:t>泡沫</w:t>
            </w:r>
            <w:r>
              <w:rPr>
                <w:rFonts w:ascii="Times New Roman" w:hAnsi="Times New Roman" w:eastAsia="Times New Roman" w:cs="Times New Roman"/>
                <w:sz w:val="21"/>
                <w:szCs w:val="21"/>
              </w:rPr>
              <w:t>,</w:t>
            </w:r>
            <w:r>
              <w:rPr>
                <w:rFonts w:ascii="宋体" w:hAnsi="宋体" w:eastAsia="宋体" w:cs="宋体"/>
                <w:sz w:val="21"/>
                <w:szCs w:val="21"/>
              </w:rPr>
              <w:t>沙土</w:t>
            </w:r>
            <w:r>
              <w:rPr>
                <w:rFonts w:ascii="Times New Roman" w:hAnsi="Times New Roman" w:eastAsia="Times New Roman" w:cs="Times New Roman"/>
                <w:sz w:val="21"/>
                <w:szCs w:val="21"/>
              </w:rPr>
              <w:t>,</w:t>
            </w:r>
            <w:r>
              <w:rPr>
                <w:rFonts w:ascii="宋体" w:hAnsi="宋体" w:eastAsia="宋体" w:cs="宋体"/>
                <w:sz w:val="21"/>
                <w:szCs w:val="21"/>
              </w:rPr>
              <w:t>二</w:t>
            </w:r>
            <w:r>
              <w:rPr>
                <w:rFonts w:ascii="宋体" w:hAnsi="宋体" w:eastAsia="宋体" w:cs="宋体"/>
                <w:spacing w:val="-1"/>
                <w:sz w:val="21"/>
                <w:szCs w:val="21"/>
              </w:rPr>
              <w:t>氧化碳，雾状水等灭火器扑救。燃烧产物为有毒硫氧化物</w:t>
            </w:r>
            <w:r>
              <w:rPr>
                <w:rFonts w:ascii="宋体" w:hAnsi="宋体" w:eastAsia="宋体" w:cs="宋体"/>
                <w:spacing w:val="-2"/>
                <w:sz w:val="21"/>
                <w:szCs w:val="21"/>
              </w:rPr>
              <w:t>气体，消防人员必须</w:t>
            </w:r>
            <w:r>
              <w:rPr>
                <w:rFonts w:ascii="宋体" w:hAnsi="宋体" w:eastAsia="宋体" w:cs="宋体"/>
                <w:spacing w:val="-1"/>
                <w:sz w:val="21"/>
                <w:szCs w:val="21"/>
              </w:rPr>
              <w:t>穿全身耐酸碱消防服、防毒口罩。</w:t>
            </w:r>
          </w:p>
        </w:tc>
      </w:tr>
    </w:tbl>
    <w:p w14:paraId="78FBA037">
      <w:pPr>
        <w:rPr>
          <w:rFonts w:ascii="Arial"/>
          <w:sz w:val="21"/>
        </w:rPr>
      </w:pPr>
    </w:p>
    <w:p w14:paraId="015B9954">
      <w:pPr>
        <w:rPr>
          <w:rFonts w:ascii="Arial" w:hAnsi="Arial" w:eastAsia="Arial" w:cs="Arial"/>
          <w:sz w:val="21"/>
          <w:szCs w:val="21"/>
        </w:rPr>
        <w:sectPr>
          <w:headerReference r:id="rId18" w:type="default"/>
          <w:footerReference r:id="rId19" w:type="default"/>
          <w:pgSz w:w="11907" w:h="16839"/>
          <w:pgMar w:top="1531" w:right="1412" w:bottom="1387" w:left="1673" w:header="1227" w:footer="1016" w:gutter="0"/>
          <w:pgNumType w:fmt="decimal"/>
          <w:cols w:space="720" w:num="1"/>
        </w:sectPr>
      </w:pPr>
    </w:p>
    <w:p w14:paraId="1FD3E605">
      <w:pPr>
        <w:spacing w:line="170" w:lineRule="exact"/>
        <w:ind w:firstLine="205" w:firstLineChars="100"/>
        <w:rPr>
          <w:rFonts w:ascii="宋体" w:hAnsi="宋体" w:eastAsia="宋体" w:cs="宋体"/>
          <w:b/>
          <w:bCs/>
          <w:spacing w:val="-3"/>
          <w:sz w:val="21"/>
          <w:szCs w:val="21"/>
        </w:rPr>
      </w:pPr>
    </w:p>
    <w:p w14:paraId="4101F263">
      <w:pPr>
        <w:bidi w:val="0"/>
        <w:spacing w:line="360" w:lineRule="auto"/>
        <w:jc w:val="center"/>
        <w:rPr>
          <w:rFonts w:hint="default"/>
          <w:b/>
          <w:bCs/>
          <w:lang w:val="en-US" w:eastAsia="zh-CN"/>
        </w:rPr>
      </w:pPr>
      <w:r>
        <w:rPr>
          <w:rFonts w:hint="eastAsia"/>
          <w:b/>
          <w:bCs/>
          <w:sz w:val="24"/>
          <w:szCs w:val="32"/>
          <w:lang w:val="en-US" w:eastAsia="zh-CN"/>
        </w:rPr>
        <w:t>表7.3-4   丁铵黑药理化性一览表</w:t>
      </w:r>
    </w:p>
    <w:p w14:paraId="1187B89E">
      <w:pPr>
        <w:spacing w:line="14" w:lineRule="exact"/>
      </w:pPr>
    </w:p>
    <w:p w14:paraId="014F0B41">
      <w:pPr>
        <w:spacing w:line="14" w:lineRule="exact"/>
      </w:pPr>
    </w:p>
    <w:tbl>
      <w:tblPr>
        <w:tblStyle w:val="297"/>
        <w:tblW w:w="8794" w:type="dxa"/>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88"/>
        <w:gridCol w:w="2299"/>
        <w:gridCol w:w="1445"/>
        <w:gridCol w:w="3562"/>
      </w:tblGrid>
      <w:tr w14:paraId="6857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1488" w:type="dxa"/>
            <w:vAlign w:val="top"/>
          </w:tcPr>
          <w:p w14:paraId="7EE2A1F3">
            <w:pPr>
              <w:spacing w:before="57" w:line="222" w:lineRule="auto"/>
              <w:ind w:left="386"/>
              <w:rPr>
                <w:rFonts w:ascii="宋体" w:hAnsi="宋体" w:eastAsia="宋体" w:cs="宋体"/>
                <w:sz w:val="21"/>
                <w:szCs w:val="21"/>
              </w:rPr>
            </w:pPr>
            <w:r>
              <w:rPr>
                <w:rFonts w:ascii="Times New Roman" w:hAnsi="Times New Roman" w:eastAsia="Times New Roman" w:cs="Times New Roman"/>
                <w:spacing w:val="-2"/>
                <w:sz w:val="21"/>
                <w:szCs w:val="21"/>
              </w:rPr>
              <w:t>CAS</w:t>
            </w:r>
            <w:r>
              <w:rPr>
                <w:rFonts w:ascii="宋体" w:hAnsi="宋体" w:eastAsia="宋体" w:cs="宋体"/>
                <w:spacing w:val="-2"/>
                <w:sz w:val="21"/>
                <w:szCs w:val="21"/>
              </w:rPr>
              <w:t>号</w:t>
            </w:r>
          </w:p>
        </w:tc>
        <w:tc>
          <w:tcPr>
            <w:tcW w:w="7306" w:type="dxa"/>
            <w:gridSpan w:val="3"/>
            <w:vAlign w:val="top"/>
          </w:tcPr>
          <w:p w14:paraId="1C7BA126">
            <w:pPr>
              <w:spacing w:before="90" w:line="221" w:lineRule="auto"/>
              <w:ind w:left="3236"/>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1309-37-1</w:t>
            </w:r>
          </w:p>
        </w:tc>
      </w:tr>
      <w:tr w14:paraId="6BF4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7" w:hRule="atLeast"/>
        </w:trPr>
        <w:tc>
          <w:tcPr>
            <w:tcW w:w="1488" w:type="dxa"/>
            <w:vAlign w:val="top"/>
          </w:tcPr>
          <w:p w14:paraId="717AEDCF">
            <w:pPr>
              <w:spacing w:before="51" w:line="221" w:lineRule="auto"/>
              <w:ind w:left="349"/>
              <w:rPr>
                <w:rFonts w:ascii="宋体" w:hAnsi="宋体" w:eastAsia="宋体" w:cs="宋体"/>
                <w:sz w:val="21"/>
                <w:szCs w:val="21"/>
              </w:rPr>
            </w:pPr>
            <w:r>
              <w:rPr>
                <w:rFonts w:ascii="宋体" w:hAnsi="宋体" w:eastAsia="宋体" w:cs="宋体"/>
                <w:spacing w:val="-7"/>
                <w:sz w:val="21"/>
                <w:szCs w:val="21"/>
              </w:rPr>
              <w:t>中文名称</w:t>
            </w:r>
          </w:p>
        </w:tc>
        <w:tc>
          <w:tcPr>
            <w:tcW w:w="7306" w:type="dxa"/>
            <w:gridSpan w:val="3"/>
            <w:vAlign w:val="top"/>
          </w:tcPr>
          <w:p w14:paraId="005ECE03">
            <w:pPr>
              <w:spacing w:before="51" w:line="225" w:lineRule="auto"/>
              <w:ind w:left="3182"/>
              <w:rPr>
                <w:rFonts w:ascii="宋体" w:hAnsi="宋体" w:eastAsia="宋体" w:cs="宋体"/>
                <w:sz w:val="21"/>
                <w:szCs w:val="21"/>
              </w:rPr>
            </w:pPr>
            <w:r>
              <w:rPr>
                <w:rFonts w:ascii="Times New Roman" w:hAnsi="Times New Roman" w:eastAsia="Times New Roman" w:cs="Times New Roman"/>
                <w:spacing w:val="-4"/>
                <w:sz w:val="21"/>
                <w:szCs w:val="21"/>
              </w:rPr>
              <w:t>25</w:t>
            </w:r>
            <w:r>
              <w:rPr>
                <w:rFonts w:ascii="宋体" w:hAnsi="宋体" w:eastAsia="宋体" w:cs="宋体"/>
                <w:spacing w:val="-4"/>
                <w:sz w:val="21"/>
                <w:szCs w:val="21"/>
              </w:rPr>
              <w:t>号黑药</w:t>
            </w:r>
          </w:p>
        </w:tc>
      </w:tr>
      <w:tr w14:paraId="7CE9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1488" w:type="dxa"/>
            <w:vAlign w:val="top"/>
          </w:tcPr>
          <w:p w14:paraId="5C7E17DC">
            <w:pPr>
              <w:spacing w:before="51" w:line="221" w:lineRule="auto"/>
              <w:ind w:left="330"/>
              <w:rPr>
                <w:rFonts w:ascii="宋体" w:hAnsi="宋体" w:eastAsia="宋体" w:cs="宋体"/>
                <w:sz w:val="21"/>
                <w:szCs w:val="21"/>
              </w:rPr>
            </w:pPr>
            <w:r>
              <w:rPr>
                <w:rFonts w:ascii="宋体" w:hAnsi="宋体" w:eastAsia="宋体" w:cs="宋体"/>
                <w:spacing w:val="-2"/>
                <w:sz w:val="21"/>
                <w:szCs w:val="21"/>
              </w:rPr>
              <w:t>英文名称</w:t>
            </w:r>
          </w:p>
        </w:tc>
        <w:tc>
          <w:tcPr>
            <w:tcW w:w="7306" w:type="dxa"/>
            <w:gridSpan w:val="3"/>
            <w:vAlign w:val="top"/>
          </w:tcPr>
          <w:p w14:paraId="605DFB5A">
            <w:pPr>
              <w:spacing w:before="83" w:line="191" w:lineRule="auto"/>
              <w:ind w:left="1818"/>
              <w:rPr>
                <w:rFonts w:ascii="Times New Roman" w:hAnsi="Times New Roman" w:eastAsia="Times New Roman" w:cs="Times New Roman"/>
                <w:sz w:val="21"/>
                <w:szCs w:val="21"/>
              </w:rPr>
            </w:pPr>
            <w:r>
              <w:rPr>
                <w:rFonts w:ascii="Times New Roman" w:hAnsi="Times New Roman" w:eastAsia="Times New Roman" w:cs="Times New Roman"/>
                <w:sz w:val="21"/>
                <w:szCs w:val="21"/>
              </w:rPr>
              <w:t>Dimethylphenyldithiophosphate,sodiumsa</w:t>
            </w:r>
            <w:r>
              <w:rPr>
                <w:rFonts w:ascii="Times New Roman" w:hAnsi="Times New Roman" w:eastAsia="Times New Roman" w:cs="Times New Roman"/>
                <w:spacing w:val="-1"/>
                <w:sz w:val="21"/>
                <w:szCs w:val="21"/>
              </w:rPr>
              <w:t>lt</w:t>
            </w:r>
          </w:p>
        </w:tc>
      </w:tr>
      <w:tr w14:paraId="4107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atLeast"/>
        </w:trPr>
        <w:tc>
          <w:tcPr>
            <w:tcW w:w="1488" w:type="dxa"/>
            <w:vAlign w:val="top"/>
          </w:tcPr>
          <w:p w14:paraId="0CF58799">
            <w:pPr>
              <w:spacing w:before="207" w:line="222" w:lineRule="auto"/>
              <w:ind w:left="433"/>
              <w:rPr>
                <w:rFonts w:ascii="宋体" w:hAnsi="宋体" w:eastAsia="宋体" w:cs="宋体"/>
                <w:sz w:val="21"/>
                <w:szCs w:val="21"/>
              </w:rPr>
            </w:pPr>
            <w:r>
              <w:rPr>
                <w:rFonts w:ascii="宋体" w:hAnsi="宋体" w:eastAsia="宋体" w:cs="宋体"/>
                <w:spacing w:val="-2"/>
                <w:sz w:val="21"/>
                <w:szCs w:val="21"/>
              </w:rPr>
              <w:t>化学式</w:t>
            </w:r>
          </w:p>
        </w:tc>
        <w:tc>
          <w:tcPr>
            <w:tcW w:w="2299" w:type="dxa"/>
            <w:vAlign w:val="top"/>
          </w:tcPr>
          <w:p w14:paraId="2478911B">
            <w:pPr>
              <w:spacing w:before="87" w:line="187" w:lineRule="auto"/>
              <w:ind w:left="377"/>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C14H14NaO2PS2</w:t>
            </w:r>
          </w:p>
        </w:tc>
        <w:tc>
          <w:tcPr>
            <w:tcW w:w="1445" w:type="dxa"/>
            <w:vAlign w:val="top"/>
          </w:tcPr>
          <w:p w14:paraId="7409A2BA">
            <w:pPr>
              <w:spacing w:before="51" w:line="221" w:lineRule="auto"/>
              <w:ind w:left="207"/>
              <w:rPr>
                <w:rFonts w:ascii="宋体" w:hAnsi="宋体" w:eastAsia="宋体" w:cs="宋体"/>
                <w:sz w:val="21"/>
                <w:szCs w:val="21"/>
              </w:rPr>
            </w:pPr>
            <w:r>
              <w:rPr>
                <w:rFonts w:ascii="宋体" w:hAnsi="宋体" w:eastAsia="宋体" w:cs="宋体"/>
                <w:spacing w:val="-2"/>
                <w:sz w:val="21"/>
                <w:szCs w:val="21"/>
              </w:rPr>
              <w:t>外观与性状</w:t>
            </w:r>
          </w:p>
        </w:tc>
        <w:tc>
          <w:tcPr>
            <w:tcW w:w="3562" w:type="dxa"/>
            <w:vAlign w:val="top"/>
          </w:tcPr>
          <w:p w14:paraId="4A17F2DA">
            <w:pPr>
              <w:spacing w:before="51" w:line="221" w:lineRule="auto"/>
              <w:ind w:left="105"/>
              <w:rPr>
                <w:rFonts w:ascii="宋体" w:hAnsi="宋体" w:eastAsia="宋体" w:cs="宋体"/>
                <w:sz w:val="21"/>
                <w:szCs w:val="21"/>
              </w:rPr>
            </w:pPr>
            <w:r>
              <w:rPr>
                <w:rFonts w:ascii="宋体" w:hAnsi="宋体" w:eastAsia="宋体" w:cs="宋体"/>
                <w:spacing w:val="-1"/>
                <w:sz w:val="21"/>
                <w:szCs w:val="21"/>
              </w:rPr>
              <w:t>有刺激性气味和腐蚀性的黑褐色油状</w:t>
            </w:r>
          </w:p>
          <w:p w14:paraId="2374F2B8">
            <w:pPr>
              <w:spacing w:before="61" w:line="221" w:lineRule="auto"/>
              <w:ind w:left="1577"/>
              <w:rPr>
                <w:rFonts w:ascii="宋体" w:hAnsi="宋体" w:eastAsia="宋体" w:cs="宋体"/>
                <w:sz w:val="21"/>
                <w:szCs w:val="21"/>
              </w:rPr>
            </w:pPr>
            <w:r>
              <w:rPr>
                <w:rFonts w:ascii="宋体" w:hAnsi="宋体" w:eastAsia="宋体" w:cs="宋体"/>
                <w:spacing w:val="-2"/>
                <w:sz w:val="21"/>
                <w:szCs w:val="21"/>
              </w:rPr>
              <w:t>液体</w:t>
            </w:r>
          </w:p>
        </w:tc>
      </w:tr>
      <w:tr w14:paraId="68D4E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rPr>
        <w:tc>
          <w:tcPr>
            <w:tcW w:w="1488" w:type="dxa"/>
            <w:vAlign w:val="top"/>
          </w:tcPr>
          <w:p w14:paraId="0DB675F3">
            <w:pPr>
              <w:spacing w:before="52" w:line="221" w:lineRule="auto"/>
              <w:ind w:left="435"/>
              <w:rPr>
                <w:rFonts w:ascii="宋体" w:hAnsi="宋体" w:eastAsia="宋体" w:cs="宋体"/>
                <w:sz w:val="21"/>
                <w:szCs w:val="21"/>
              </w:rPr>
            </w:pPr>
            <w:r>
              <w:rPr>
                <w:rFonts w:ascii="宋体" w:hAnsi="宋体" w:eastAsia="宋体" w:cs="宋体"/>
                <w:spacing w:val="-2"/>
                <w:sz w:val="21"/>
                <w:szCs w:val="21"/>
              </w:rPr>
              <w:t>分子量</w:t>
            </w:r>
          </w:p>
        </w:tc>
        <w:tc>
          <w:tcPr>
            <w:tcW w:w="2299" w:type="dxa"/>
            <w:vAlign w:val="top"/>
          </w:tcPr>
          <w:p w14:paraId="6549127F">
            <w:pPr>
              <w:spacing w:before="84" w:line="220" w:lineRule="auto"/>
              <w:ind w:left="997"/>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332</w:t>
            </w:r>
          </w:p>
        </w:tc>
        <w:tc>
          <w:tcPr>
            <w:tcW w:w="1445" w:type="dxa"/>
            <w:vAlign w:val="top"/>
          </w:tcPr>
          <w:p w14:paraId="67F31F7C">
            <w:pPr>
              <w:spacing w:before="52" w:line="221" w:lineRule="auto"/>
              <w:ind w:left="414"/>
              <w:rPr>
                <w:rFonts w:ascii="宋体" w:hAnsi="宋体" w:eastAsia="宋体" w:cs="宋体"/>
                <w:sz w:val="21"/>
                <w:szCs w:val="21"/>
              </w:rPr>
            </w:pPr>
            <w:r>
              <w:rPr>
                <w:rFonts w:ascii="宋体" w:hAnsi="宋体" w:eastAsia="宋体" w:cs="宋体"/>
                <w:spacing w:val="-2"/>
                <w:sz w:val="21"/>
                <w:szCs w:val="21"/>
              </w:rPr>
              <w:t>溶解性</w:t>
            </w:r>
          </w:p>
        </w:tc>
        <w:tc>
          <w:tcPr>
            <w:tcW w:w="3562" w:type="dxa"/>
            <w:vAlign w:val="top"/>
          </w:tcPr>
          <w:p w14:paraId="63F1C4FE">
            <w:pPr>
              <w:spacing w:before="52" w:line="220" w:lineRule="auto"/>
              <w:ind w:left="421"/>
              <w:rPr>
                <w:rFonts w:ascii="宋体" w:hAnsi="宋体" w:eastAsia="宋体" w:cs="宋体"/>
                <w:sz w:val="21"/>
                <w:szCs w:val="21"/>
              </w:rPr>
            </w:pPr>
            <w:r>
              <w:rPr>
                <w:rFonts w:ascii="宋体" w:hAnsi="宋体" w:eastAsia="宋体" w:cs="宋体"/>
                <w:spacing w:val="-1"/>
                <w:sz w:val="21"/>
                <w:szCs w:val="21"/>
              </w:rPr>
              <w:t>微溶于水，可溶于有机物溶剂</w:t>
            </w:r>
          </w:p>
        </w:tc>
      </w:tr>
      <w:tr w14:paraId="1E31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trPr>
        <w:tc>
          <w:tcPr>
            <w:tcW w:w="1488" w:type="dxa"/>
            <w:vAlign w:val="top"/>
          </w:tcPr>
          <w:p w14:paraId="28CFC2F0">
            <w:pPr>
              <w:spacing w:before="55" w:line="221" w:lineRule="auto"/>
              <w:ind w:left="539"/>
              <w:rPr>
                <w:rFonts w:ascii="宋体" w:hAnsi="宋体" w:eastAsia="宋体" w:cs="宋体"/>
                <w:sz w:val="21"/>
                <w:szCs w:val="21"/>
              </w:rPr>
            </w:pPr>
            <w:r>
              <w:rPr>
                <w:rFonts w:ascii="宋体" w:hAnsi="宋体" w:eastAsia="宋体" w:cs="宋体"/>
                <w:spacing w:val="-2"/>
                <w:sz w:val="21"/>
                <w:szCs w:val="21"/>
              </w:rPr>
              <w:t>密度</w:t>
            </w:r>
          </w:p>
        </w:tc>
        <w:tc>
          <w:tcPr>
            <w:tcW w:w="2299" w:type="dxa"/>
            <w:vAlign w:val="top"/>
          </w:tcPr>
          <w:p w14:paraId="11C36626">
            <w:pPr>
              <w:spacing w:before="55" w:line="223" w:lineRule="auto"/>
              <w:ind w:left="379"/>
              <w:rPr>
                <w:rFonts w:ascii="宋体" w:hAnsi="宋体" w:eastAsia="宋体" w:cs="宋体"/>
                <w:sz w:val="21"/>
                <w:szCs w:val="21"/>
              </w:rPr>
            </w:pPr>
            <w:r>
              <w:rPr>
                <w:rFonts w:ascii="Times New Roman" w:hAnsi="Times New Roman" w:eastAsia="Times New Roman" w:cs="Times New Roman"/>
                <w:spacing w:val="-4"/>
                <w:sz w:val="21"/>
                <w:szCs w:val="21"/>
              </w:rPr>
              <w:t>1.18</w:t>
            </w:r>
            <w:r>
              <w:rPr>
                <w:rFonts w:ascii="宋体" w:hAnsi="宋体" w:eastAsia="宋体" w:cs="宋体"/>
                <w:spacing w:val="-4"/>
                <w:sz w:val="21"/>
                <w:szCs w:val="21"/>
              </w:rPr>
              <w:t>克</w:t>
            </w:r>
            <w:r>
              <w:rPr>
                <w:rFonts w:ascii="Times New Roman" w:hAnsi="Times New Roman" w:eastAsia="Times New Roman" w:cs="Times New Roman"/>
                <w:spacing w:val="-4"/>
                <w:sz w:val="21"/>
                <w:szCs w:val="21"/>
              </w:rPr>
              <w:t>/</w:t>
            </w:r>
            <w:r>
              <w:rPr>
                <w:rFonts w:ascii="宋体" w:hAnsi="宋体" w:eastAsia="宋体" w:cs="宋体"/>
                <w:spacing w:val="-4"/>
                <w:sz w:val="21"/>
                <w:szCs w:val="21"/>
              </w:rPr>
              <w:t>立方厘米</w:t>
            </w:r>
          </w:p>
        </w:tc>
        <w:tc>
          <w:tcPr>
            <w:tcW w:w="1445" w:type="dxa"/>
            <w:vAlign w:val="top"/>
          </w:tcPr>
          <w:p w14:paraId="24ECBAF7">
            <w:pPr>
              <w:spacing w:before="54" w:line="221" w:lineRule="auto"/>
              <w:ind w:left="412"/>
              <w:rPr>
                <w:rFonts w:ascii="宋体" w:hAnsi="宋体" w:eastAsia="宋体" w:cs="宋体"/>
                <w:sz w:val="21"/>
                <w:szCs w:val="21"/>
              </w:rPr>
            </w:pPr>
            <w:r>
              <w:rPr>
                <w:rFonts w:ascii="宋体" w:hAnsi="宋体" w:eastAsia="宋体" w:cs="宋体"/>
                <w:spacing w:val="-2"/>
                <w:sz w:val="21"/>
                <w:szCs w:val="21"/>
              </w:rPr>
              <w:t>稳定性</w:t>
            </w:r>
          </w:p>
        </w:tc>
        <w:tc>
          <w:tcPr>
            <w:tcW w:w="3562" w:type="dxa"/>
            <w:vAlign w:val="top"/>
          </w:tcPr>
          <w:p w14:paraId="54CDD3F5">
            <w:pPr>
              <w:spacing w:before="55" w:line="221" w:lineRule="auto"/>
              <w:ind w:left="1370"/>
              <w:rPr>
                <w:rFonts w:ascii="宋体" w:hAnsi="宋体" w:eastAsia="宋体" w:cs="宋体"/>
                <w:sz w:val="21"/>
                <w:szCs w:val="21"/>
              </w:rPr>
            </w:pPr>
            <w:r>
              <w:rPr>
                <w:rFonts w:ascii="宋体" w:hAnsi="宋体" w:eastAsia="宋体" w:cs="宋体"/>
                <w:spacing w:val="-3"/>
                <w:sz w:val="21"/>
                <w:szCs w:val="21"/>
              </w:rPr>
              <w:t>不易分解</w:t>
            </w:r>
          </w:p>
        </w:tc>
      </w:tr>
      <w:tr w14:paraId="0343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64" w:hRule="atLeast"/>
        </w:trPr>
        <w:tc>
          <w:tcPr>
            <w:tcW w:w="1488" w:type="dxa"/>
            <w:vAlign w:val="top"/>
          </w:tcPr>
          <w:p w14:paraId="7B1D77E4">
            <w:pPr>
              <w:pStyle w:val="1517"/>
              <w:spacing w:line="252" w:lineRule="auto"/>
            </w:pPr>
          </w:p>
          <w:p w14:paraId="0864D117">
            <w:pPr>
              <w:pStyle w:val="1517"/>
              <w:spacing w:line="253" w:lineRule="auto"/>
            </w:pPr>
          </w:p>
          <w:p w14:paraId="302A1445">
            <w:pPr>
              <w:spacing w:before="68" w:line="221" w:lineRule="auto"/>
              <w:ind w:left="435"/>
              <w:rPr>
                <w:rFonts w:ascii="宋体" w:hAnsi="宋体" w:eastAsia="宋体" w:cs="宋体"/>
                <w:sz w:val="21"/>
                <w:szCs w:val="21"/>
              </w:rPr>
            </w:pPr>
            <w:r>
              <w:rPr>
                <w:rFonts w:ascii="宋体" w:hAnsi="宋体" w:eastAsia="宋体" w:cs="宋体"/>
                <w:spacing w:val="-2"/>
                <w:sz w:val="21"/>
                <w:szCs w:val="21"/>
              </w:rPr>
              <w:t>危险性</w:t>
            </w:r>
          </w:p>
        </w:tc>
        <w:tc>
          <w:tcPr>
            <w:tcW w:w="2299" w:type="dxa"/>
            <w:vAlign w:val="top"/>
          </w:tcPr>
          <w:p w14:paraId="187FC6FC">
            <w:pPr>
              <w:pStyle w:val="1517"/>
              <w:spacing w:line="349" w:lineRule="auto"/>
            </w:pPr>
          </w:p>
          <w:p w14:paraId="12533402">
            <w:pPr>
              <w:spacing w:before="68" w:line="221" w:lineRule="auto"/>
              <w:rPr>
                <w:rFonts w:ascii="宋体" w:hAnsi="宋体" w:eastAsia="宋体" w:cs="宋体"/>
                <w:sz w:val="21"/>
                <w:szCs w:val="21"/>
              </w:rPr>
            </w:pPr>
            <w:r>
              <w:rPr>
                <w:rFonts w:ascii="宋体" w:hAnsi="宋体" w:eastAsia="宋体" w:cs="宋体"/>
                <w:spacing w:val="-2"/>
                <w:sz w:val="21"/>
                <w:szCs w:val="21"/>
              </w:rPr>
              <w:t>腐蚀性</w:t>
            </w:r>
            <w:r>
              <w:rPr>
                <w:rFonts w:hint="eastAsia" w:ascii="宋体" w:hAnsi="宋体" w:cs="宋体"/>
                <w:spacing w:val="-2"/>
                <w:sz w:val="21"/>
                <w:szCs w:val="21"/>
                <w:lang w:eastAsia="zh-CN"/>
              </w:rPr>
              <w:t>、</w:t>
            </w:r>
            <w:r>
              <w:rPr>
                <w:rFonts w:ascii="宋体" w:hAnsi="宋体" w:eastAsia="宋体" w:cs="宋体"/>
                <w:spacing w:val="-1"/>
                <w:sz w:val="21"/>
                <w:szCs w:val="21"/>
              </w:rPr>
              <w:t>刺激性、有害</w:t>
            </w:r>
          </w:p>
        </w:tc>
        <w:tc>
          <w:tcPr>
            <w:tcW w:w="1445" w:type="dxa"/>
            <w:vAlign w:val="top"/>
          </w:tcPr>
          <w:p w14:paraId="014A2A09">
            <w:pPr>
              <w:pStyle w:val="1517"/>
              <w:spacing w:line="252" w:lineRule="auto"/>
            </w:pPr>
          </w:p>
          <w:p w14:paraId="1CC2FA39">
            <w:pPr>
              <w:pStyle w:val="1517"/>
              <w:spacing w:line="252" w:lineRule="auto"/>
            </w:pPr>
          </w:p>
          <w:p w14:paraId="58491C20">
            <w:pPr>
              <w:spacing w:before="69" w:line="222" w:lineRule="auto"/>
              <w:ind w:left="310"/>
              <w:rPr>
                <w:rFonts w:ascii="宋体" w:hAnsi="宋体" w:eastAsia="宋体" w:cs="宋体"/>
                <w:sz w:val="21"/>
                <w:szCs w:val="21"/>
              </w:rPr>
            </w:pPr>
            <w:r>
              <w:rPr>
                <w:rFonts w:ascii="宋体" w:hAnsi="宋体" w:eastAsia="宋体" w:cs="宋体"/>
                <w:spacing w:val="-2"/>
                <w:sz w:val="21"/>
                <w:szCs w:val="21"/>
              </w:rPr>
              <w:t>主要用途</w:t>
            </w:r>
          </w:p>
        </w:tc>
        <w:tc>
          <w:tcPr>
            <w:tcW w:w="3562" w:type="dxa"/>
            <w:vAlign w:val="top"/>
          </w:tcPr>
          <w:p w14:paraId="42A907D8">
            <w:pPr>
              <w:spacing w:before="52" w:line="275" w:lineRule="auto"/>
              <w:ind w:left="10" w:hanging="3"/>
              <w:jc w:val="both"/>
              <w:rPr>
                <w:rFonts w:ascii="宋体" w:hAnsi="宋体" w:eastAsia="宋体" w:cs="宋体"/>
                <w:sz w:val="21"/>
                <w:szCs w:val="21"/>
              </w:rPr>
            </w:pPr>
            <w:r>
              <w:rPr>
                <w:rFonts w:ascii="Times New Roman" w:hAnsi="Times New Roman" w:eastAsia="Times New Roman" w:cs="Times New Roman"/>
                <w:spacing w:val="-2"/>
                <w:sz w:val="21"/>
                <w:szCs w:val="21"/>
              </w:rPr>
              <w:t>25</w:t>
            </w:r>
            <w:r>
              <w:rPr>
                <w:rFonts w:ascii="宋体" w:hAnsi="宋体" w:eastAsia="宋体" w:cs="宋体"/>
                <w:spacing w:val="-2"/>
                <w:sz w:val="21"/>
                <w:szCs w:val="21"/>
              </w:rPr>
              <w:t>号黑药兼有捕收性和起泡性，主要</w:t>
            </w:r>
            <w:r>
              <w:rPr>
                <w:rFonts w:ascii="宋体" w:hAnsi="宋体" w:eastAsia="宋体" w:cs="宋体"/>
                <w:spacing w:val="18"/>
                <w:sz w:val="21"/>
                <w:szCs w:val="21"/>
              </w:rPr>
              <w:t xml:space="preserve"> </w:t>
            </w:r>
            <w:r>
              <w:rPr>
                <w:rFonts w:ascii="宋体" w:hAnsi="宋体" w:eastAsia="宋体" w:cs="宋体"/>
                <w:spacing w:val="-2"/>
                <w:sz w:val="21"/>
                <w:szCs w:val="21"/>
              </w:rPr>
              <w:t>用作有色金属金、银、铅、锌等金属矿物的浮选捕收剂，常用于铅、锌、金优</w:t>
            </w:r>
            <w:r>
              <w:rPr>
                <w:rFonts w:ascii="宋体" w:hAnsi="宋体" w:eastAsia="宋体" w:cs="宋体"/>
                <w:spacing w:val="-3"/>
                <w:sz w:val="21"/>
                <w:szCs w:val="21"/>
              </w:rPr>
              <w:t>先浮选分离作业中。</w:t>
            </w:r>
          </w:p>
        </w:tc>
      </w:tr>
      <w:tr w14:paraId="6F3F4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64" w:hRule="atLeast"/>
        </w:trPr>
        <w:tc>
          <w:tcPr>
            <w:tcW w:w="1488" w:type="dxa"/>
            <w:vAlign w:val="top"/>
          </w:tcPr>
          <w:p w14:paraId="0ECEB980">
            <w:pPr>
              <w:pStyle w:val="1517"/>
              <w:spacing w:line="303" w:lineRule="auto"/>
            </w:pPr>
          </w:p>
          <w:p w14:paraId="763FE974">
            <w:pPr>
              <w:pStyle w:val="1517"/>
              <w:spacing w:line="304" w:lineRule="auto"/>
            </w:pPr>
          </w:p>
          <w:p w14:paraId="17EE7A5F">
            <w:pPr>
              <w:spacing w:before="68" w:line="221" w:lineRule="auto"/>
              <w:ind w:left="329"/>
              <w:rPr>
                <w:rFonts w:ascii="宋体" w:hAnsi="宋体" w:eastAsia="宋体" w:cs="宋体"/>
                <w:sz w:val="21"/>
                <w:szCs w:val="21"/>
              </w:rPr>
            </w:pPr>
            <w:r>
              <w:rPr>
                <w:rFonts w:ascii="宋体" w:hAnsi="宋体" w:eastAsia="宋体" w:cs="宋体"/>
                <w:spacing w:val="-2"/>
                <w:sz w:val="21"/>
                <w:szCs w:val="21"/>
              </w:rPr>
              <w:t>环境危害</w:t>
            </w:r>
          </w:p>
        </w:tc>
        <w:tc>
          <w:tcPr>
            <w:tcW w:w="7306" w:type="dxa"/>
            <w:gridSpan w:val="3"/>
            <w:vAlign w:val="top"/>
          </w:tcPr>
          <w:p w14:paraId="72858BA2">
            <w:pPr>
              <w:spacing w:before="55" w:line="228" w:lineRule="auto"/>
              <w:ind w:left="30"/>
              <w:rPr>
                <w:rFonts w:ascii="宋体" w:hAnsi="宋体" w:eastAsia="宋体" w:cs="宋体"/>
                <w:sz w:val="21"/>
                <w:szCs w:val="21"/>
              </w:rPr>
            </w:pPr>
            <w:r>
              <w:rPr>
                <w:rFonts w:ascii="Times New Roman" w:hAnsi="Times New Roman" w:eastAsia="Times New Roman" w:cs="Times New Roman"/>
                <w:sz w:val="21"/>
                <w:szCs w:val="21"/>
              </w:rPr>
              <w:t>25</w:t>
            </w:r>
            <w:r>
              <w:rPr>
                <w:rFonts w:ascii="宋体" w:hAnsi="宋体" w:eastAsia="宋体" w:cs="宋体"/>
                <w:sz w:val="21"/>
                <w:szCs w:val="21"/>
              </w:rPr>
              <w:t>号黑药兼有捕收性和起泡性，它是铅、铜、银的硫化矿及活化了的硫化锌矿</w:t>
            </w:r>
          </w:p>
          <w:p w14:paraId="0A0A95A4">
            <w:pPr>
              <w:spacing w:before="52" w:line="220" w:lineRule="auto"/>
              <w:ind w:left="102"/>
              <w:rPr>
                <w:rFonts w:ascii="宋体" w:hAnsi="宋体" w:eastAsia="宋体" w:cs="宋体"/>
                <w:sz w:val="21"/>
                <w:szCs w:val="21"/>
              </w:rPr>
            </w:pPr>
            <w:r>
              <w:rPr>
                <w:rFonts w:ascii="宋体" w:hAnsi="宋体" w:eastAsia="宋体" w:cs="宋体"/>
                <w:spacing w:val="-1"/>
                <w:sz w:val="21"/>
                <w:szCs w:val="21"/>
              </w:rPr>
              <w:t>的有效捕收剂，常用于铅、锌优先浮选分离作业中。在浮选过程中可能有少部</w:t>
            </w:r>
          </w:p>
          <w:p w14:paraId="2268F2E8">
            <w:pPr>
              <w:spacing w:before="61" w:line="221" w:lineRule="auto"/>
              <w:ind w:left="87"/>
              <w:rPr>
                <w:rFonts w:ascii="宋体" w:hAnsi="宋体" w:eastAsia="宋体" w:cs="宋体"/>
                <w:sz w:val="21"/>
                <w:szCs w:val="21"/>
              </w:rPr>
            </w:pPr>
            <w:r>
              <w:rPr>
                <w:rFonts w:ascii="宋体" w:hAnsi="宋体" w:eastAsia="宋体" w:cs="宋体"/>
                <w:sz w:val="21"/>
                <w:szCs w:val="21"/>
              </w:rPr>
              <w:t>分随废水排入地表水，对环境造成污染。具有刺激性，可使水域中</w:t>
            </w:r>
            <w:r>
              <w:rPr>
                <w:rFonts w:ascii="宋体" w:hAnsi="宋体" w:eastAsia="宋体" w:cs="宋体"/>
                <w:spacing w:val="-1"/>
                <w:sz w:val="21"/>
                <w:szCs w:val="21"/>
              </w:rPr>
              <w:t>鱼虾减少。</w:t>
            </w:r>
          </w:p>
          <w:p w14:paraId="5F9CBB2B">
            <w:pPr>
              <w:spacing w:before="53" w:line="220" w:lineRule="auto"/>
              <w:ind w:left="823"/>
              <w:rPr>
                <w:rFonts w:hint="eastAsia" w:ascii="宋体" w:hAnsi="宋体" w:eastAsia="宋体" w:cs="宋体"/>
                <w:sz w:val="21"/>
                <w:szCs w:val="21"/>
                <w:lang w:eastAsia="zh-CN"/>
              </w:rPr>
            </w:pPr>
            <w:r>
              <w:rPr>
                <w:rFonts w:ascii="宋体" w:hAnsi="宋体" w:eastAsia="宋体" w:cs="宋体"/>
                <w:spacing w:val="-1"/>
                <w:sz w:val="21"/>
                <w:szCs w:val="21"/>
              </w:rPr>
              <w:t>在水体中随时间的增加，会自动氧化分解</w:t>
            </w:r>
            <w:r>
              <w:rPr>
                <w:rFonts w:hint="eastAsia" w:ascii="宋体" w:hAnsi="宋体" w:eastAsia="宋体" w:cs="宋体"/>
                <w:spacing w:val="-1"/>
                <w:sz w:val="21"/>
                <w:szCs w:val="21"/>
                <w:lang w:eastAsia="zh-CN"/>
              </w:rPr>
              <w:t>。</w:t>
            </w:r>
          </w:p>
        </w:tc>
      </w:tr>
      <w:tr w14:paraId="08FD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6" w:hRule="atLeast"/>
        </w:trPr>
        <w:tc>
          <w:tcPr>
            <w:tcW w:w="1488" w:type="dxa"/>
            <w:vAlign w:val="top"/>
          </w:tcPr>
          <w:p w14:paraId="0151D093">
            <w:pPr>
              <w:pStyle w:val="1517"/>
              <w:spacing w:line="339" w:lineRule="auto"/>
            </w:pPr>
          </w:p>
          <w:p w14:paraId="1E9F824F">
            <w:pPr>
              <w:spacing w:before="69" w:line="221" w:lineRule="auto"/>
              <w:ind w:left="329"/>
              <w:rPr>
                <w:rFonts w:ascii="宋体" w:hAnsi="宋体" w:eastAsia="宋体" w:cs="宋体"/>
                <w:sz w:val="21"/>
                <w:szCs w:val="21"/>
              </w:rPr>
            </w:pPr>
            <w:r>
              <w:rPr>
                <w:rFonts w:ascii="宋体" w:hAnsi="宋体" w:eastAsia="宋体" w:cs="宋体"/>
                <w:spacing w:val="-2"/>
                <w:sz w:val="21"/>
                <w:szCs w:val="21"/>
              </w:rPr>
              <w:t>健康危害</w:t>
            </w:r>
          </w:p>
        </w:tc>
        <w:tc>
          <w:tcPr>
            <w:tcW w:w="7306" w:type="dxa"/>
            <w:gridSpan w:val="3"/>
            <w:vAlign w:val="top"/>
          </w:tcPr>
          <w:p w14:paraId="482020F8">
            <w:pPr>
              <w:spacing w:before="54" w:line="276" w:lineRule="auto"/>
              <w:ind w:left="12"/>
              <w:jc w:val="both"/>
              <w:rPr>
                <w:rFonts w:ascii="宋体" w:hAnsi="宋体" w:eastAsia="宋体" w:cs="宋体"/>
                <w:sz w:val="21"/>
                <w:szCs w:val="21"/>
              </w:rPr>
            </w:pPr>
            <w:r>
              <w:rPr>
                <w:rFonts w:ascii="宋体" w:hAnsi="宋体" w:eastAsia="宋体" w:cs="宋体"/>
                <w:spacing w:val="-8"/>
                <w:sz w:val="21"/>
                <w:szCs w:val="21"/>
              </w:rPr>
              <w:t>侵入途径：吸入、经皮、粘膜吸收。健康危害：可引起喉、食管、胃疼痛、腹痛、</w:t>
            </w:r>
            <w:r>
              <w:rPr>
                <w:rFonts w:ascii="宋体" w:hAnsi="宋体" w:eastAsia="宋体" w:cs="宋体"/>
                <w:spacing w:val="18"/>
                <w:sz w:val="21"/>
                <w:szCs w:val="21"/>
              </w:rPr>
              <w:t xml:space="preserve"> </w:t>
            </w:r>
            <w:r>
              <w:rPr>
                <w:rFonts w:ascii="宋体" w:hAnsi="宋体" w:eastAsia="宋体" w:cs="宋体"/>
                <w:spacing w:val="-4"/>
                <w:sz w:val="21"/>
                <w:szCs w:val="21"/>
              </w:rPr>
              <w:t>呕吐、腹泻、脸苍白、多汗、无力、头痛、头昏、耳鸣、少尿、尿呈暗色、直至</w:t>
            </w:r>
            <w:r>
              <w:rPr>
                <w:rFonts w:ascii="宋体" w:hAnsi="宋体" w:eastAsia="宋体" w:cs="宋体"/>
                <w:spacing w:val="4"/>
                <w:sz w:val="21"/>
                <w:szCs w:val="21"/>
              </w:rPr>
              <w:t xml:space="preserve"> </w:t>
            </w:r>
            <w:r>
              <w:rPr>
                <w:rFonts w:ascii="宋体" w:hAnsi="宋体" w:eastAsia="宋体" w:cs="宋体"/>
                <w:spacing w:val="-3"/>
                <w:sz w:val="21"/>
                <w:szCs w:val="21"/>
              </w:rPr>
              <w:t>无知觉；儿童则痉挛。</w:t>
            </w:r>
          </w:p>
        </w:tc>
      </w:tr>
      <w:tr w14:paraId="7B26F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488" w:type="dxa"/>
            <w:vAlign w:val="top"/>
          </w:tcPr>
          <w:p w14:paraId="49D6707A">
            <w:pPr>
              <w:pStyle w:val="1517"/>
              <w:spacing w:line="320" w:lineRule="auto"/>
            </w:pPr>
          </w:p>
          <w:p w14:paraId="39272A10">
            <w:pPr>
              <w:spacing w:before="68" w:line="221" w:lineRule="auto"/>
              <w:ind w:left="331"/>
              <w:rPr>
                <w:rFonts w:ascii="宋体" w:hAnsi="宋体" w:eastAsia="宋体" w:cs="宋体"/>
                <w:sz w:val="21"/>
                <w:szCs w:val="21"/>
              </w:rPr>
            </w:pPr>
            <w:r>
              <w:rPr>
                <w:rFonts w:ascii="宋体" w:hAnsi="宋体" w:eastAsia="宋体" w:cs="宋体"/>
                <w:spacing w:val="-2"/>
                <w:sz w:val="21"/>
                <w:szCs w:val="21"/>
              </w:rPr>
              <w:t>污染处理</w:t>
            </w:r>
          </w:p>
        </w:tc>
        <w:tc>
          <w:tcPr>
            <w:tcW w:w="7306" w:type="dxa"/>
            <w:gridSpan w:val="3"/>
            <w:vAlign w:val="top"/>
          </w:tcPr>
          <w:p w14:paraId="60E339B9">
            <w:pPr>
              <w:spacing w:before="56" w:line="271" w:lineRule="auto"/>
              <w:ind w:left="10" w:firstLine="12"/>
              <w:jc w:val="both"/>
              <w:rPr>
                <w:rFonts w:ascii="宋体" w:hAnsi="宋体" w:eastAsia="宋体" w:cs="宋体"/>
                <w:sz w:val="21"/>
                <w:szCs w:val="21"/>
              </w:rPr>
            </w:pPr>
            <w:r>
              <w:rPr>
                <w:rFonts w:ascii="宋体" w:hAnsi="宋体" w:eastAsia="宋体" w:cs="宋体"/>
                <w:spacing w:val="-4"/>
                <w:sz w:val="21"/>
                <w:szCs w:val="21"/>
              </w:rPr>
              <w:t>隔离泄漏污染区，限制出入。建议应急处理人员戴防毒面具（全面罩</w:t>
            </w:r>
            <w:r>
              <w:rPr>
                <w:rFonts w:ascii="宋体" w:hAnsi="宋体" w:eastAsia="宋体" w:cs="宋体"/>
                <w:spacing w:val="-6"/>
                <w:sz w:val="21"/>
                <w:szCs w:val="21"/>
              </w:rPr>
              <w:t>），</w:t>
            </w:r>
            <w:r>
              <w:rPr>
                <w:rFonts w:ascii="宋体" w:hAnsi="宋体" w:eastAsia="宋体" w:cs="宋体"/>
                <w:spacing w:val="-4"/>
                <w:sz w:val="21"/>
                <w:szCs w:val="21"/>
              </w:rPr>
              <w:t>穿防毒</w:t>
            </w:r>
            <w:r>
              <w:rPr>
                <w:rFonts w:ascii="宋体" w:hAnsi="宋体" w:eastAsia="宋体" w:cs="宋体"/>
                <w:spacing w:val="1"/>
                <w:sz w:val="21"/>
                <w:szCs w:val="21"/>
              </w:rPr>
              <w:t xml:space="preserve"> </w:t>
            </w:r>
            <w:r>
              <w:rPr>
                <w:rFonts w:ascii="宋体" w:hAnsi="宋体" w:eastAsia="宋体" w:cs="宋体"/>
                <w:spacing w:val="-5"/>
                <w:sz w:val="21"/>
                <w:szCs w:val="21"/>
              </w:rPr>
              <w:t>服。避免扬尘，小心扫起，置于袋中转移至安全场所。若大量泄 漏，用塑料布、</w:t>
            </w:r>
            <w:r>
              <w:rPr>
                <w:rFonts w:ascii="宋体" w:hAnsi="宋体" w:eastAsia="宋体" w:cs="宋体"/>
                <w:spacing w:val="17"/>
                <w:sz w:val="21"/>
                <w:szCs w:val="21"/>
              </w:rPr>
              <w:t xml:space="preserve"> </w:t>
            </w:r>
            <w:r>
              <w:rPr>
                <w:rFonts w:ascii="宋体" w:hAnsi="宋体" w:eastAsia="宋体" w:cs="宋体"/>
                <w:spacing w:val="-3"/>
                <w:sz w:val="21"/>
                <w:szCs w:val="21"/>
              </w:rPr>
              <w:t>帆布覆盖。收集回收或运至废物处理场所处置。</w:t>
            </w:r>
          </w:p>
        </w:tc>
      </w:tr>
      <w:tr w14:paraId="2E27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488" w:type="dxa"/>
            <w:vAlign w:val="top"/>
          </w:tcPr>
          <w:p w14:paraId="7ED9C474">
            <w:pPr>
              <w:pStyle w:val="1517"/>
              <w:spacing w:line="254" w:lineRule="auto"/>
            </w:pPr>
          </w:p>
          <w:p w14:paraId="001E8DBE">
            <w:pPr>
              <w:pStyle w:val="1517"/>
              <w:spacing w:line="254" w:lineRule="auto"/>
            </w:pPr>
          </w:p>
          <w:p w14:paraId="13E72093">
            <w:pPr>
              <w:spacing w:before="68" w:line="221" w:lineRule="auto"/>
              <w:ind w:left="343" w:leftChars="0"/>
              <w:rPr>
                <w:rFonts w:ascii="宋体" w:hAnsi="宋体" w:eastAsia="宋体" w:cs="宋体"/>
                <w:spacing w:val="-2"/>
                <w:sz w:val="21"/>
                <w:szCs w:val="21"/>
              </w:rPr>
            </w:pPr>
            <w:r>
              <w:rPr>
                <w:rFonts w:ascii="宋体" w:hAnsi="宋体" w:eastAsia="宋体" w:cs="宋体"/>
                <w:spacing w:val="-5"/>
                <w:sz w:val="21"/>
                <w:szCs w:val="21"/>
              </w:rPr>
              <w:t>防护措施</w:t>
            </w:r>
          </w:p>
        </w:tc>
        <w:tc>
          <w:tcPr>
            <w:tcW w:w="7306" w:type="dxa"/>
            <w:gridSpan w:val="3"/>
            <w:vAlign w:val="top"/>
          </w:tcPr>
          <w:p w14:paraId="1B7F403C">
            <w:pPr>
              <w:spacing w:before="55" w:line="220" w:lineRule="auto"/>
              <w:ind w:left="22"/>
              <w:rPr>
                <w:rFonts w:ascii="宋体" w:hAnsi="宋体" w:eastAsia="宋体" w:cs="宋体"/>
                <w:sz w:val="21"/>
                <w:szCs w:val="21"/>
              </w:rPr>
            </w:pPr>
            <w:r>
              <w:rPr>
                <w:rFonts w:ascii="宋体" w:hAnsi="宋体" w:eastAsia="宋体" w:cs="宋体"/>
                <w:spacing w:val="-1"/>
                <w:sz w:val="21"/>
                <w:szCs w:val="21"/>
              </w:rPr>
              <w:t>呼吸系统防护：立即脱去污染的衣着，用大量流动清水或肥皂水冲洗。</w:t>
            </w:r>
          </w:p>
          <w:p w14:paraId="27AE4A52">
            <w:pPr>
              <w:spacing w:before="61" w:line="220" w:lineRule="auto"/>
              <w:jc w:val="both"/>
              <w:rPr>
                <w:rFonts w:ascii="宋体" w:hAnsi="宋体" w:eastAsia="宋体" w:cs="宋体"/>
                <w:sz w:val="21"/>
                <w:szCs w:val="21"/>
              </w:rPr>
            </w:pPr>
            <w:r>
              <w:rPr>
                <w:rFonts w:ascii="宋体" w:hAnsi="宋体" w:eastAsia="宋体" w:cs="宋体"/>
                <w:spacing w:val="-8"/>
                <w:sz w:val="21"/>
                <w:szCs w:val="21"/>
              </w:rPr>
              <w:t>眼睛防护：开桶和使用时应使用护目镜镜、滤毒口罩。身体防护：穿静电工作服。</w:t>
            </w:r>
          </w:p>
          <w:p w14:paraId="057DD9AD">
            <w:pPr>
              <w:spacing w:before="62" w:line="276" w:lineRule="auto"/>
              <w:ind w:left="13" w:leftChars="0" w:right="2" w:rightChars="0" w:hanging="3" w:firstLineChars="0"/>
              <w:rPr>
                <w:rFonts w:ascii="宋体" w:hAnsi="宋体" w:eastAsia="宋体" w:cs="宋体"/>
                <w:spacing w:val="-2"/>
                <w:sz w:val="21"/>
                <w:szCs w:val="21"/>
              </w:rPr>
            </w:pPr>
            <w:r>
              <w:rPr>
                <w:rFonts w:ascii="宋体" w:hAnsi="宋体" w:eastAsia="宋体" w:cs="宋体"/>
                <w:spacing w:val="-2"/>
                <w:sz w:val="21"/>
                <w:szCs w:val="21"/>
              </w:rPr>
              <w:t>手防护：戴橡胶手套。</w:t>
            </w:r>
          </w:p>
          <w:p w14:paraId="08799FD4">
            <w:pPr>
              <w:spacing w:before="62" w:line="276" w:lineRule="auto"/>
              <w:ind w:left="13" w:leftChars="0" w:right="2" w:rightChars="0" w:hanging="3" w:firstLineChars="0"/>
              <w:rPr>
                <w:rFonts w:ascii="宋体" w:hAnsi="宋体" w:eastAsia="宋体" w:cs="宋体"/>
                <w:spacing w:val="-4"/>
                <w:sz w:val="21"/>
                <w:szCs w:val="21"/>
              </w:rPr>
            </w:pPr>
            <w:r>
              <w:rPr>
                <w:rFonts w:ascii="宋体" w:hAnsi="宋体" w:eastAsia="宋体" w:cs="宋体"/>
                <w:spacing w:val="-2"/>
                <w:sz w:val="21"/>
                <w:szCs w:val="21"/>
              </w:rPr>
              <w:t>其它：工作现场严禁进食和饮水。工作结束淋浴更衣。实</w:t>
            </w:r>
            <w:r>
              <w:rPr>
                <w:rFonts w:ascii="宋体" w:hAnsi="宋体" w:eastAsia="宋体" w:cs="宋体"/>
                <w:spacing w:val="-3"/>
                <w:sz w:val="21"/>
                <w:szCs w:val="21"/>
              </w:rPr>
              <w:t>行就业前和定期的体检。</w:t>
            </w:r>
          </w:p>
        </w:tc>
      </w:tr>
      <w:tr w14:paraId="4AE9C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trPr>
        <w:tc>
          <w:tcPr>
            <w:tcW w:w="1488" w:type="dxa"/>
            <w:vAlign w:val="top"/>
          </w:tcPr>
          <w:p w14:paraId="3AD62D9B">
            <w:pPr>
              <w:pStyle w:val="1517"/>
              <w:spacing w:line="256" w:lineRule="auto"/>
            </w:pPr>
          </w:p>
          <w:p w14:paraId="64887A30">
            <w:pPr>
              <w:pStyle w:val="1517"/>
              <w:spacing w:line="256" w:lineRule="auto"/>
            </w:pPr>
          </w:p>
          <w:p w14:paraId="345AC23E">
            <w:pPr>
              <w:pStyle w:val="1517"/>
              <w:spacing w:line="256" w:lineRule="auto"/>
            </w:pPr>
          </w:p>
          <w:p w14:paraId="5F4056E0">
            <w:pPr>
              <w:spacing w:before="68" w:line="221" w:lineRule="auto"/>
              <w:ind w:left="336" w:leftChars="0"/>
              <w:rPr>
                <w:rFonts w:ascii="宋体" w:hAnsi="宋体" w:eastAsia="宋体" w:cs="宋体"/>
                <w:spacing w:val="-2"/>
                <w:sz w:val="21"/>
                <w:szCs w:val="21"/>
              </w:rPr>
            </w:pPr>
            <w:r>
              <w:rPr>
                <w:rFonts w:ascii="宋体" w:hAnsi="宋体" w:eastAsia="宋体" w:cs="宋体"/>
                <w:spacing w:val="-3"/>
                <w:sz w:val="21"/>
                <w:szCs w:val="21"/>
              </w:rPr>
              <w:t>急救措施</w:t>
            </w:r>
          </w:p>
        </w:tc>
        <w:tc>
          <w:tcPr>
            <w:tcW w:w="7306" w:type="dxa"/>
            <w:gridSpan w:val="3"/>
            <w:vAlign w:val="top"/>
          </w:tcPr>
          <w:p w14:paraId="65660ADC">
            <w:pPr>
              <w:spacing w:before="62" w:line="274" w:lineRule="auto"/>
              <w:ind w:left="10" w:firstLine="3"/>
              <w:rPr>
                <w:rFonts w:ascii="宋体" w:hAnsi="宋体" w:eastAsia="宋体" w:cs="宋体"/>
                <w:sz w:val="21"/>
                <w:szCs w:val="21"/>
              </w:rPr>
            </w:pPr>
            <w:r>
              <w:rPr>
                <w:rFonts w:ascii="宋体" w:hAnsi="宋体" w:eastAsia="宋体" w:cs="宋体"/>
                <w:spacing w:val="-2"/>
                <w:sz w:val="21"/>
                <w:szCs w:val="21"/>
              </w:rPr>
              <w:t>皮肤接触：脱去被污染的衣着，用肥皂水和清水彻底冲洗皮肤，对小孩或老人要</w:t>
            </w:r>
            <w:r>
              <w:rPr>
                <w:rFonts w:ascii="宋体" w:hAnsi="宋体" w:eastAsia="宋体" w:cs="宋体"/>
                <w:spacing w:val="6"/>
                <w:sz w:val="21"/>
                <w:szCs w:val="21"/>
              </w:rPr>
              <w:t xml:space="preserve"> </w:t>
            </w:r>
            <w:r>
              <w:rPr>
                <w:rFonts w:ascii="宋体" w:hAnsi="宋体" w:eastAsia="宋体" w:cs="宋体"/>
                <w:spacing w:val="-3"/>
                <w:sz w:val="21"/>
                <w:szCs w:val="21"/>
              </w:rPr>
              <w:t>注意不可造成失温。</w:t>
            </w:r>
          </w:p>
          <w:p w14:paraId="4F1A4956">
            <w:pPr>
              <w:spacing w:line="274" w:lineRule="auto"/>
              <w:ind w:left="11" w:firstLine="12"/>
              <w:rPr>
                <w:rFonts w:ascii="宋体" w:hAnsi="宋体" w:eastAsia="宋体" w:cs="宋体"/>
                <w:spacing w:val="-7"/>
                <w:sz w:val="21"/>
                <w:szCs w:val="21"/>
              </w:rPr>
            </w:pPr>
            <w:r>
              <w:rPr>
                <w:rFonts w:ascii="宋体" w:hAnsi="宋体" w:eastAsia="宋体" w:cs="宋体"/>
                <w:spacing w:val="-6"/>
                <w:sz w:val="21"/>
                <w:szCs w:val="21"/>
              </w:rPr>
              <w:t>眼睛接触：提起眼睑，用流动清水或生理盐水冲洗</w:t>
            </w:r>
            <w:r>
              <w:rPr>
                <w:rFonts w:ascii="宋体" w:hAnsi="宋体" w:eastAsia="宋体" w:cs="宋体"/>
                <w:spacing w:val="-7"/>
                <w:sz w:val="21"/>
                <w:szCs w:val="21"/>
              </w:rPr>
              <w:t>。就医。</w:t>
            </w:r>
          </w:p>
          <w:p w14:paraId="353F7126">
            <w:pPr>
              <w:spacing w:line="274" w:lineRule="auto"/>
              <w:ind w:left="11" w:firstLine="12"/>
              <w:rPr>
                <w:rFonts w:ascii="宋体" w:hAnsi="宋体" w:eastAsia="宋体" w:cs="宋体"/>
                <w:sz w:val="21"/>
                <w:szCs w:val="21"/>
              </w:rPr>
            </w:pPr>
            <w:r>
              <w:rPr>
                <w:rFonts w:ascii="宋体" w:hAnsi="宋体" w:eastAsia="宋体" w:cs="宋体"/>
                <w:spacing w:val="-7"/>
                <w:sz w:val="21"/>
                <w:szCs w:val="21"/>
              </w:rPr>
              <w:t>吸入：脱离现场至空</w:t>
            </w:r>
            <w:r>
              <w:rPr>
                <w:rFonts w:ascii="宋体" w:hAnsi="宋体" w:eastAsia="宋体" w:cs="宋体"/>
                <w:sz w:val="21"/>
                <w:szCs w:val="21"/>
              </w:rPr>
              <w:t>气新鲜处。救护人员必须佩戴好防毒口罩，如呼吸困难，给输氧</w:t>
            </w:r>
            <w:r>
              <w:rPr>
                <w:rFonts w:ascii="宋体" w:hAnsi="宋体" w:eastAsia="宋体" w:cs="宋体"/>
                <w:spacing w:val="-1"/>
                <w:sz w:val="21"/>
                <w:szCs w:val="21"/>
              </w:rPr>
              <w:t>。就医。</w:t>
            </w:r>
          </w:p>
          <w:p w14:paraId="1A9D1CB6">
            <w:pPr>
              <w:spacing w:line="220" w:lineRule="auto"/>
              <w:ind w:left="10"/>
              <w:rPr>
                <w:rFonts w:ascii="宋体" w:hAnsi="宋体" w:eastAsia="宋体" w:cs="宋体"/>
                <w:sz w:val="21"/>
                <w:szCs w:val="21"/>
              </w:rPr>
            </w:pPr>
            <w:r>
              <w:rPr>
                <w:rFonts w:ascii="宋体" w:hAnsi="宋体" w:eastAsia="宋体" w:cs="宋体"/>
                <w:spacing w:val="-3"/>
                <w:sz w:val="21"/>
                <w:szCs w:val="21"/>
              </w:rPr>
              <w:t>食入：给饮大量水催吐。就医。</w:t>
            </w:r>
          </w:p>
          <w:p w14:paraId="132098F2">
            <w:pPr>
              <w:spacing w:before="61" w:line="220" w:lineRule="auto"/>
              <w:ind w:left="13" w:leftChars="0"/>
              <w:rPr>
                <w:rFonts w:ascii="宋体" w:hAnsi="宋体" w:eastAsia="宋体" w:cs="宋体"/>
                <w:spacing w:val="-4"/>
                <w:sz w:val="21"/>
                <w:szCs w:val="21"/>
              </w:rPr>
            </w:pPr>
            <w:r>
              <w:rPr>
                <w:rFonts w:ascii="宋体" w:hAnsi="宋体" w:eastAsia="宋体" w:cs="宋体"/>
                <w:spacing w:val="-1"/>
                <w:sz w:val="21"/>
                <w:szCs w:val="21"/>
              </w:rPr>
              <w:t>灭火方法：可用干粉灭火器、泡沫灭火器、沙土、水等扑救。</w:t>
            </w:r>
          </w:p>
        </w:tc>
      </w:tr>
    </w:tbl>
    <w:p w14:paraId="77BEE64A">
      <w:pPr>
        <w:rPr>
          <w:rFonts w:ascii="Arial"/>
          <w:sz w:val="21"/>
        </w:rPr>
      </w:pPr>
    </w:p>
    <w:p w14:paraId="3ABC618F">
      <w:pPr>
        <w:rPr>
          <w:rFonts w:ascii="Arial" w:hAnsi="Arial" w:eastAsia="Arial" w:cs="Arial"/>
          <w:sz w:val="21"/>
          <w:szCs w:val="21"/>
        </w:rPr>
        <w:sectPr>
          <w:headerReference r:id="rId20" w:type="default"/>
          <w:footerReference r:id="rId21" w:type="default"/>
          <w:pgSz w:w="11907" w:h="16839"/>
          <w:pgMar w:top="1531" w:right="1409" w:bottom="1387" w:left="1673" w:header="1227" w:footer="1016" w:gutter="0"/>
          <w:pgNumType w:fmt="decimal"/>
          <w:cols w:space="720" w:num="1"/>
        </w:sectPr>
      </w:pPr>
    </w:p>
    <w:p w14:paraId="4E7223AB">
      <w:pPr>
        <w:spacing w:line="170" w:lineRule="exact"/>
      </w:pPr>
    </w:p>
    <w:p w14:paraId="07762E87">
      <w:pPr>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lang w:val="en-US" w:eastAsia="zh-CN"/>
        </w:rPr>
        <w:t>生产设施风险识别</w:t>
      </w:r>
      <w:bookmarkEnd w:id="112"/>
    </w:p>
    <w:p w14:paraId="2F998B81">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sz w:val="24"/>
          <w:highlight w:val="none"/>
        </w:rPr>
      </w:pPr>
      <w:bookmarkStart w:id="113" w:name="_bookmark49"/>
      <w:bookmarkEnd w:id="113"/>
      <w:bookmarkStart w:id="114" w:name="_Toc19997"/>
      <w:bookmarkStart w:id="115" w:name="_Toc21120"/>
      <w:r>
        <w:rPr>
          <w:rFonts w:hint="default" w:ascii="Times New Roman" w:hAnsi="Times New Roman" w:cs="Times New Roman"/>
          <w:color w:val="auto"/>
          <w:sz w:val="24"/>
          <w:szCs w:val="24"/>
          <w:highlight w:val="none"/>
        </w:rPr>
        <w:t>生产设施风险识别范围：主要生产装置、储运系统、公用工程系统、工程环保设施及辅助生产设施等</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结合前文分析</w:t>
      </w:r>
      <w:r>
        <w:rPr>
          <w:rFonts w:hint="default" w:ascii="Times New Roman" w:hAnsi="Times New Roman" w:cs="Times New Roman"/>
          <w:color w:val="auto"/>
          <w:sz w:val="24"/>
          <w:highlight w:val="none"/>
          <w:lang w:eastAsia="zh-CN"/>
        </w:rPr>
        <w:t>，</w:t>
      </w:r>
      <w:r>
        <w:rPr>
          <w:rFonts w:hint="eastAsia" w:ascii="Times New Roman" w:hAnsi="Times New Roman" w:cs="Times New Roman"/>
          <w:color w:val="auto"/>
          <w:sz w:val="24"/>
          <w:highlight w:val="none"/>
          <w:lang w:val="en-US" w:eastAsia="zh-CN"/>
        </w:rPr>
        <w:t>本项目危险单元主要有药剂贮存区、危废贮存点，具体见下表</w:t>
      </w:r>
      <w:r>
        <w:rPr>
          <w:rFonts w:hint="default" w:ascii="Times New Roman" w:hAnsi="Times New Roman" w:cs="Times New Roman"/>
          <w:color w:val="auto"/>
          <w:sz w:val="24"/>
          <w:highlight w:val="none"/>
        </w:rPr>
        <w:t>。</w:t>
      </w:r>
    </w:p>
    <w:p w14:paraId="5EB444D0">
      <w:pPr>
        <w:pStyle w:val="31"/>
        <w:keepNext w:val="0"/>
        <w:keepLines w:val="0"/>
        <w:pageBreakBefore w:val="0"/>
        <w:widowControl w:val="0"/>
        <w:kinsoku/>
        <w:wordWrap/>
        <w:overflowPunct/>
        <w:topLinePunct w:val="0"/>
        <w:bidi w:val="0"/>
        <w:snapToGrid/>
        <w:spacing w:after="0" w:line="360" w:lineRule="auto"/>
        <w:ind w:left="640"/>
        <w:textAlignment w:val="auto"/>
        <w:rPr>
          <w:rFonts w:ascii="宋体" w:hAnsi="宋体" w:eastAsia="宋体" w:cs="宋体"/>
          <w:sz w:val="21"/>
          <w:szCs w:val="21"/>
        </w:rPr>
      </w:pPr>
      <w:r>
        <w:rPr>
          <w:rFonts w:ascii="宋体" w:hAnsi="宋体" w:eastAsia="宋体" w:cs="宋体"/>
          <w:b/>
          <w:bCs/>
          <w:sz w:val="24"/>
          <w:szCs w:val="24"/>
        </w:rPr>
        <w:t>表</w:t>
      </w:r>
      <w:r>
        <w:rPr>
          <w:rFonts w:ascii="宋体" w:hAnsi="宋体" w:eastAsia="宋体" w:cs="宋体"/>
          <w:spacing w:val="-43"/>
          <w:sz w:val="24"/>
          <w:szCs w:val="24"/>
        </w:rPr>
        <w:t xml:space="preserve"> </w:t>
      </w:r>
      <w:r>
        <w:rPr>
          <w:b/>
          <w:bCs/>
          <w:sz w:val="24"/>
          <w:szCs w:val="24"/>
        </w:rPr>
        <w:t xml:space="preserve">7.3-5    </w:t>
      </w:r>
      <w:r>
        <w:rPr>
          <w:rFonts w:hint="eastAsia"/>
          <w:b/>
          <w:bCs/>
          <w:sz w:val="24"/>
          <w:szCs w:val="24"/>
          <w:lang w:val="en-US" w:eastAsia="zh-CN"/>
        </w:rPr>
        <w:t xml:space="preserve">  </w:t>
      </w:r>
      <w:r>
        <w:rPr>
          <w:b/>
          <w:bCs/>
          <w:spacing w:val="-1"/>
          <w:sz w:val="24"/>
          <w:szCs w:val="24"/>
        </w:rPr>
        <w:t xml:space="preserve">  </w:t>
      </w:r>
      <w:r>
        <w:rPr>
          <w:rFonts w:ascii="宋体" w:hAnsi="宋体" w:eastAsia="宋体" w:cs="宋体"/>
          <w:b/>
          <w:bCs/>
          <w:spacing w:val="-1"/>
          <w:sz w:val="24"/>
          <w:szCs w:val="24"/>
        </w:rPr>
        <w:t>建设项目生产系统危险性识别表</w:t>
      </w:r>
    </w:p>
    <w:tbl>
      <w:tblPr>
        <w:tblStyle w:val="29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07"/>
        <w:gridCol w:w="1456"/>
        <w:gridCol w:w="2052"/>
        <w:gridCol w:w="1514"/>
        <w:gridCol w:w="1519"/>
        <w:gridCol w:w="1163"/>
      </w:tblGrid>
      <w:tr w14:paraId="1A417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2" w:hRule="atLeast"/>
          <w:jc w:val="center"/>
        </w:trPr>
        <w:tc>
          <w:tcPr>
            <w:tcW w:w="474" w:type="pct"/>
            <w:vAlign w:val="center"/>
          </w:tcPr>
          <w:p w14:paraId="213760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eastAsia="宋体"/>
                <w:sz w:val="21"/>
                <w:szCs w:val="21"/>
                <w:lang w:val="en-US" w:eastAsia="zh-CN"/>
              </w:rPr>
            </w:pPr>
            <w:r>
              <w:rPr>
                <w:rFonts w:hint="eastAsia"/>
                <w:sz w:val="21"/>
                <w:szCs w:val="21"/>
                <w:lang w:val="en-US" w:eastAsia="zh-CN"/>
              </w:rPr>
              <w:t>序号</w:t>
            </w:r>
          </w:p>
        </w:tc>
        <w:tc>
          <w:tcPr>
            <w:tcW w:w="855" w:type="pct"/>
            <w:vAlign w:val="center"/>
          </w:tcPr>
          <w:p w14:paraId="56EC67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风险单元</w:t>
            </w:r>
          </w:p>
        </w:tc>
        <w:tc>
          <w:tcPr>
            <w:tcW w:w="1205" w:type="pct"/>
            <w:vAlign w:val="center"/>
          </w:tcPr>
          <w:p w14:paraId="472C7A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危险物质</w:t>
            </w:r>
          </w:p>
        </w:tc>
        <w:tc>
          <w:tcPr>
            <w:tcW w:w="889" w:type="pct"/>
            <w:vAlign w:val="center"/>
          </w:tcPr>
          <w:p w14:paraId="3A7A6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环境风险类型</w:t>
            </w:r>
          </w:p>
        </w:tc>
        <w:tc>
          <w:tcPr>
            <w:tcW w:w="892" w:type="pct"/>
            <w:vAlign w:val="center"/>
          </w:tcPr>
          <w:p w14:paraId="06B0C6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环境影响途径</w:t>
            </w:r>
          </w:p>
        </w:tc>
        <w:tc>
          <w:tcPr>
            <w:tcW w:w="682" w:type="pct"/>
            <w:vAlign w:val="center"/>
          </w:tcPr>
          <w:p w14:paraId="752EBF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可能受</w:t>
            </w:r>
          </w:p>
          <w:p w14:paraId="64AE32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影响的</w:t>
            </w:r>
          </w:p>
          <w:p w14:paraId="72C44E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环境敏</w:t>
            </w:r>
          </w:p>
          <w:p w14:paraId="5AC347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感目标</w:t>
            </w:r>
          </w:p>
        </w:tc>
      </w:tr>
      <w:tr w14:paraId="28EEF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7" w:hRule="atLeast"/>
          <w:jc w:val="center"/>
        </w:trPr>
        <w:tc>
          <w:tcPr>
            <w:tcW w:w="474" w:type="pct"/>
            <w:vAlign w:val="center"/>
          </w:tcPr>
          <w:p w14:paraId="3848C5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p w14:paraId="6ED14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1</w:t>
            </w:r>
          </w:p>
        </w:tc>
        <w:tc>
          <w:tcPr>
            <w:tcW w:w="855" w:type="pct"/>
            <w:vAlign w:val="center"/>
          </w:tcPr>
          <w:p w14:paraId="780CC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rFonts w:hint="eastAsia"/>
                <w:sz w:val="21"/>
                <w:szCs w:val="21"/>
                <w:lang w:val="en-US" w:eastAsia="zh-CN"/>
              </w:rPr>
              <w:t>药剂贮存区</w:t>
            </w:r>
          </w:p>
        </w:tc>
        <w:tc>
          <w:tcPr>
            <w:tcW w:w="1205" w:type="pct"/>
            <w:vAlign w:val="center"/>
          </w:tcPr>
          <w:p w14:paraId="4BA88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丁基黄药、丁铵黑药、 二号油</w:t>
            </w:r>
          </w:p>
        </w:tc>
        <w:tc>
          <w:tcPr>
            <w:tcW w:w="889" w:type="pct"/>
            <w:vAlign w:val="center"/>
          </w:tcPr>
          <w:p w14:paraId="53F988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泄漏、火灾</w:t>
            </w:r>
          </w:p>
        </w:tc>
        <w:tc>
          <w:tcPr>
            <w:tcW w:w="892" w:type="pct"/>
            <w:vMerge w:val="restart"/>
            <w:vAlign w:val="center"/>
          </w:tcPr>
          <w:p w14:paraId="5F317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危险物质泄漏或火灾</w:t>
            </w:r>
            <w:r>
              <w:rPr>
                <w:rFonts w:hint="eastAsia"/>
                <w:sz w:val="21"/>
                <w:szCs w:val="21"/>
                <w:lang w:val="en-US" w:eastAsia="zh-CN"/>
              </w:rPr>
              <w:t>产生的</w:t>
            </w:r>
            <w:r>
              <w:rPr>
                <w:sz w:val="21"/>
                <w:szCs w:val="21"/>
              </w:rPr>
              <w:t>次生污染物影响环境</w:t>
            </w:r>
          </w:p>
          <w:p w14:paraId="5A04E1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空气及地表水</w:t>
            </w:r>
          </w:p>
        </w:tc>
        <w:tc>
          <w:tcPr>
            <w:tcW w:w="682" w:type="pct"/>
            <w:vMerge w:val="restart"/>
            <w:vAlign w:val="center"/>
          </w:tcPr>
          <w:p w14:paraId="78274E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sz w:val="21"/>
                <w:szCs w:val="21"/>
                <w:lang w:val="en-US" w:eastAsia="zh-CN"/>
              </w:rPr>
            </w:pPr>
            <w:r>
              <w:rPr>
                <w:sz w:val="21"/>
                <w:szCs w:val="21"/>
              </w:rPr>
              <w:t>项目周围居民</w:t>
            </w:r>
            <w:r>
              <w:rPr>
                <w:rFonts w:hint="eastAsia"/>
                <w:sz w:val="21"/>
                <w:szCs w:val="21"/>
                <w:lang w:eastAsia="zh-CN"/>
              </w:rPr>
              <w:t>、</w:t>
            </w:r>
            <w:r>
              <w:rPr>
                <w:rFonts w:hint="eastAsia"/>
                <w:sz w:val="21"/>
                <w:szCs w:val="21"/>
                <w:lang w:val="en-US" w:eastAsia="zh-CN"/>
              </w:rPr>
              <w:t>附近地表水体</w:t>
            </w:r>
          </w:p>
        </w:tc>
      </w:tr>
      <w:tr w14:paraId="2A91D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474" w:type="pct"/>
            <w:vMerge w:val="restart"/>
            <w:vAlign w:val="center"/>
          </w:tcPr>
          <w:p w14:paraId="015611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sz w:val="21"/>
                <w:szCs w:val="21"/>
                <w:lang w:eastAsia="zh-CN"/>
              </w:rPr>
            </w:pPr>
            <w:r>
              <w:rPr>
                <w:rFonts w:hint="eastAsia"/>
                <w:sz w:val="21"/>
                <w:szCs w:val="21"/>
                <w:lang w:val="en-US" w:eastAsia="zh-CN"/>
              </w:rPr>
              <w:t>2</w:t>
            </w:r>
          </w:p>
        </w:tc>
        <w:tc>
          <w:tcPr>
            <w:tcW w:w="855" w:type="pct"/>
            <w:vMerge w:val="restart"/>
            <w:vAlign w:val="center"/>
          </w:tcPr>
          <w:p w14:paraId="52F5DF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危废贮存</w:t>
            </w:r>
          </w:p>
          <w:p w14:paraId="218CB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点</w:t>
            </w:r>
          </w:p>
        </w:tc>
        <w:tc>
          <w:tcPr>
            <w:tcW w:w="1205" w:type="pct"/>
            <w:vAlign w:val="center"/>
          </w:tcPr>
          <w:p w14:paraId="1A513D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丁基黄药</w:t>
            </w:r>
          </w:p>
        </w:tc>
        <w:tc>
          <w:tcPr>
            <w:tcW w:w="889" w:type="pct"/>
            <w:vMerge w:val="restart"/>
            <w:vAlign w:val="center"/>
          </w:tcPr>
          <w:p w14:paraId="00E150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泄漏、火灾</w:t>
            </w:r>
          </w:p>
        </w:tc>
        <w:tc>
          <w:tcPr>
            <w:tcW w:w="892" w:type="pct"/>
            <w:vMerge w:val="continue"/>
            <w:vAlign w:val="center"/>
          </w:tcPr>
          <w:p w14:paraId="3DA17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82" w:type="pct"/>
            <w:vMerge w:val="continue"/>
            <w:vAlign w:val="center"/>
          </w:tcPr>
          <w:p w14:paraId="60A55A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r w14:paraId="14B7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6" w:hRule="atLeast"/>
          <w:jc w:val="center"/>
        </w:trPr>
        <w:tc>
          <w:tcPr>
            <w:tcW w:w="474" w:type="pct"/>
            <w:vMerge w:val="continue"/>
            <w:vAlign w:val="center"/>
          </w:tcPr>
          <w:p w14:paraId="4B85EE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55" w:type="pct"/>
            <w:vMerge w:val="continue"/>
            <w:vAlign w:val="center"/>
          </w:tcPr>
          <w:p w14:paraId="1EF461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205" w:type="pct"/>
            <w:vAlign w:val="center"/>
          </w:tcPr>
          <w:p w14:paraId="3B6B9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丁铵黑药</w:t>
            </w:r>
          </w:p>
        </w:tc>
        <w:tc>
          <w:tcPr>
            <w:tcW w:w="889" w:type="pct"/>
            <w:vMerge w:val="continue"/>
            <w:vAlign w:val="center"/>
          </w:tcPr>
          <w:p w14:paraId="51C079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92" w:type="pct"/>
            <w:vMerge w:val="continue"/>
            <w:vAlign w:val="center"/>
          </w:tcPr>
          <w:p w14:paraId="6A6F39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82" w:type="pct"/>
            <w:vMerge w:val="continue"/>
            <w:vAlign w:val="center"/>
          </w:tcPr>
          <w:p w14:paraId="7EAE2B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r w14:paraId="6A2ED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474" w:type="pct"/>
            <w:vMerge w:val="continue"/>
            <w:vAlign w:val="center"/>
          </w:tcPr>
          <w:p w14:paraId="136A46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55" w:type="pct"/>
            <w:vMerge w:val="continue"/>
            <w:vAlign w:val="center"/>
          </w:tcPr>
          <w:p w14:paraId="15B43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205" w:type="pct"/>
            <w:vAlign w:val="center"/>
          </w:tcPr>
          <w:p w14:paraId="6363A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二号油</w:t>
            </w:r>
          </w:p>
        </w:tc>
        <w:tc>
          <w:tcPr>
            <w:tcW w:w="889" w:type="pct"/>
            <w:vMerge w:val="continue"/>
            <w:vAlign w:val="center"/>
          </w:tcPr>
          <w:p w14:paraId="45A7C0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92" w:type="pct"/>
            <w:vMerge w:val="continue"/>
            <w:vAlign w:val="center"/>
          </w:tcPr>
          <w:p w14:paraId="511FE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82" w:type="pct"/>
            <w:vMerge w:val="continue"/>
            <w:vAlign w:val="center"/>
          </w:tcPr>
          <w:p w14:paraId="76B26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r w14:paraId="20644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474" w:type="pct"/>
            <w:vMerge w:val="continue"/>
            <w:vAlign w:val="center"/>
          </w:tcPr>
          <w:p w14:paraId="4DE3A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55" w:type="pct"/>
            <w:vMerge w:val="continue"/>
            <w:vAlign w:val="center"/>
          </w:tcPr>
          <w:p w14:paraId="03D2E4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205" w:type="pct"/>
            <w:vAlign w:val="center"/>
          </w:tcPr>
          <w:p w14:paraId="01CFA1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废机油</w:t>
            </w:r>
          </w:p>
        </w:tc>
        <w:tc>
          <w:tcPr>
            <w:tcW w:w="889" w:type="pct"/>
            <w:vMerge w:val="continue"/>
            <w:vAlign w:val="center"/>
          </w:tcPr>
          <w:p w14:paraId="45C19D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92" w:type="pct"/>
            <w:vMerge w:val="continue"/>
            <w:vAlign w:val="center"/>
          </w:tcPr>
          <w:p w14:paraId="05A50A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82" w:type="pct"/>
            <w:vMerge w:val="continue"/>
            <w:vAlign w:val="center"/>
          </w:tcPr>
          <w:p w14:paraId="210E8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tr w14:paraId="2EAB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474" w:type="pct"/>
            <w:vMerge w:val="continue"/>
            <w:vAlign w:val="center"/>
          </w:tcPr>
          <w:p w14:paraId="563398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55" w:type="pct"/>
            <w:vMerge w:val="continue"/>
            <w:vAlign w:val="center"/>
          </w:tcPr>
          <w:p w14:paraId="7B894C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1205" w:type="pct"/>
            <w:vAlign w:val="center"/>
          </w:tcPr>
          <w:p w14:paraId="36DCEB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sz w:val="21"/>
                <w:szCs w:val="21"/>
              </w:rPr>
              <w:t>废机油</w:t>
            </w:r>
          </w:p>
        </w:tc>
        <w:tc>
          <w:tcPr>
            <w:tcW w:w="889" w:type="pct"/>
            <w:vMerge w:val="continue"/>
            <w:vAlign w:val="center"/>
          </w:tcPr>
          <w:p w14:paraId="6879F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892" w:type="pct"/>
            <w:vMerge w:val="continue"/>
            <w:vAlign w:val="center"/>
          </w:tcPr>
          <w:p w14:paraId="5C1B95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c>
          <w:tcPr>
            <w:tcW w:w="682" w:type="pct"/>
            <w:vMerge w:val="continue"/>
            <w:vAlign w:val="center"/>
          </w:tcPr>
          <w:p w14:paraId="032646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p>
        </w:tc>
      </w:tr>
      <w:bookmarkEnd w:id="114"/>
      <w:bookmarkEnd w:id="115"/>
    </w:tbl>
    <w:p w14:paraId="0512012C">
      <w:pPr>
        <w:keepNext w:val="0"/>
        <w:keepLines w:val="0"/>
        <w:widowControl/>
        <w:suppressLineNumbers w:val="0"/>
        <w:spacing w:line="360" w:lineRule="auto"/>
        <w:jc w:val="left"/>
        <w:rPr>
          <w:b/>
          <w:bCs/>
          <w:sz w:val="24"/>
          <w:szCs w:val="24"/>
        </w:rPr>
      </w:pPr>
      <w:bookmarkStart w:id="116" w:name="_Toc1976"/>
      <w:bookmarkStart w:id="117" w:name="_Toc6332"/>
      <w:r>
        <w:rPr>
          <w:rFonts w:hint="default" w:ascii="Times New Roman" w:hAnsi="Times New Roman" w:eastAsia="宋体" w:cs="Times New Roman"/>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 xml:space="preserve">、影响途径 </w:t>
      </w:r>
    </w:p>
    <w:p w14:paraId="0190BE41">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本项目运营期涉及的主要风险物质由于某些原因导致泄漏，并且未得到及时有效的控制，造成污染事故及火灾造成的次生污染事故，污染项目区域地表水、大气、地下水、土壤等环境质量。</w:t>
      </w:r>
    </w:p>
    <w:p w14:paraId="6D70C5E3">
      <w:pPr>
        <w:pStyle w:val="4"/>
        <w:bidi w:val="0"/>
        <w:rPr>
          <w:rFonts w:hint="default" w:ascii="Times New Roman" w:hAnsi="Times New Roman" w:cs="Times New Roman" w:eastAsiaTheme="minorEastAsia"/>
          <w:lang w:val="en-US" w:eastAsia="zh-CN"/>
        </w:rPr>
      </w:pPr>
      <w:bookmarkStart w:id="118" w:name="_Toc22408"/>
      <w:r>
        <w:rPr>
          <w:rFonts w:hint="default" w:ascii="Times New Roman" w:hAnsi="Times New Roman" w:cs="Times New Roman" w:eastAsiaTheme="minorEastAsia"/>
          <w:lang w:val="en-US" w:eastAsia="zh-CN"/>
        </w:rPr>
        <w:t>7.</w:t>
      </w:r>
      <w:r>
        <w:rPr>
          <w:rFonts w:hint="eastAsia" w:ascii="Times New Roman" w:hAnsi="Times New Roman" w:cs="Times New Roman" w:eastAsiaTheme="minorEastAsia"/>
          <w:lang w:val="en-US" w:eastAsia="zh-CN"/>
        </w:rPr>
        <w:t>4</w:t>
      </w:r>
      <w:r>
        <w:rPr>
          <w:rFonts w:hint="default" w:ascii="Times New Roman" w:hAnsi="Times New Roman" w:cs="Times New Roman" w:eastAsiaTheme="minorEastAsia"/>
          <w:lang w:val="en-US" w:eastAsia="zh-CN"/>
        </w:rPr>
        <w:t>环境风险分析</w:t>
      </w:r>
      <w:bookmarkEnd w:id="118"/>
    </w:p>
    <w:p w14:paraId="62550111">
      <w:pPr>
        <w:keepNext w:val="0"/>
        <w:keepLines w:val="0"/>
        <w:widowControl/>
        <w:suppressLineNumbers w:val="0"/>
        <w:spacing w:line="360" w:lineRule="auto"/>
        <w:jc w:val="left"/>
        <w:rPr>
          <w:b/>
          <w:bCs/>
          <w:sz w:val="24"/>
          <w:szCs w:val="24"/>
        </w:rPr>
      </w:pPr>
      <w:r>
        <w:rPr>
          <w:rFonts w:hint="eastAsia" w:ascii="宋体" w:hAnsi="宋体" w:eastAsia="宋体" w:cs="宋体"/>
          <w:b/>
          <w:bCs/>
          <w:color w:val="000000"/>
          <w:kern w:val="0"/>
          <w:sz w:val="24"/>
          <w:szCs w:val="24"/>
          <w:lang w:val="en-US" w:eastAsia="zh-CN" w:bidi="ar"/>
        </w:rPr>
        <w:t xml:space="preserve">一、危险物质泄漏对地表水、地下水的影响分析 </w:t>
      </w:r>
    </w:p>
    <w:p w14:paraId="0F112BC4">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危险物质泄漏后收集于事故池内，事故池采取重点防渗，且泄漏可及时发现，因此不会对区域地下水、地表水环境质量造成明显不利影响。 </w:t>
      </w:r>
    </w:p>
    <w:p w14:paraId="0820FE0F">
      <w:pPr>
        <w:keepNext w:val="0"/>
        <w:keepLines w:val="0"/>
        <w:widowControl/>
        <w:suppressLineNumbers w:val="0"/>
        <w:spacing w:line="360" w:lineRule="auto"/>
        <w:jc w:val="left"/>
        <w:rPr>
          <w:b/>
          <w:bCs/>
          <w:sz w:val="24"/>
          <w:szCs w:val="24"/>
        </w:rPr>
      </w:pPr>
      <w:r>
        <w:rPr>
          <w:rFonts w:hint="eastAsia" w:ascii="宋体" w:hAnsi="宋体" w:eastAsia="宋体" w:cs="宋体"/>
          <w:b/>
          <w:bCs/>
          <w:color w:val="000000"/>
          <w:kern w:val="0"/>
          <w:sz w:val="24"/>
          <w:szCs w:val="24"/>
          <w:lang w:val="en-US" w:eastAsia="zh-CN" w:bidi="ar"/>
        </w:rPr>
        <w:t xml:space="preserve">二、火灾、爆炸事故对大气的影响分析 </w:t>
      </w:r>
    </w:p>
    <w:p w14:paraId="4711C80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爆炸、火灾必然将短时间内形成一定量的有毒有害气体，将导致大气环境中的有毒有害气体瞬时超标。爆炸产生的大量氮气、二氧化氮及火灾产生的次生污染物将会瞬间充斥于</w:t>
      </w:r>
      <w:r>
        <w:rPr>
          <w:rFonts w:hint="eastAsia" w:ascii="Times New Roman" w:hAnsi="Times New Roman"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大气环境中，给</w:t>
      </w:r>
      <w:r>
        <w:rPr>
          <w:rFonts w:hint="eastAsia" w:ascii="Times New Roman" w:hAnsi="Times New Roman" w:cs="Times New Roman"/>
          <w:color w:val="auto"/>
          <w:sz w:val="24"/>
          <w:szCs w:val="24"/>
          <w:lang w:val="en-US" w:eastAsia="zh-CN"/>
        </w:rPr>
        <w:t>厂区</w:t>
      </w:r>
      <w:r>
        <w:rPr>
          <w:rFonts w:hint="default" w:ascii="Times New Roman" w:hAnsi="Times New Roman" w:eastAsia="宋体" w:cs="Times New Roman"/>
          <w:color w:val="auto"/>
          <w:sz w:val="24"/>
          <w:szCs w:val="24"/>
          <w:lang w:val="en-US" w:eastAsia="zh-CN"/>
        </w:rPr>
        <w:t>大气环境带来污染</w:t>
      </w:r>
      <w:r>
        <w:rPr>
          <w:rFonts w:hint="eastAsia" w:ascii="Times New Roman" w:hAnsi="Times New Roman" w:eastAsia="宋体" w:cs="Times New Roman"/>
          <w:color w:val="auto"/>
          <w:sz w:val="24"/>
          <w:szCs w:val="24"/>
          <w:lang w:val="en-US" w:eastAsia="zh-CN"/>
        </w:rPr>
        <w:t>。</w:t>
      </w:r>
    </w:p>
    <w:bookmarkEnd w:id="116"/>
    <w:bookmarkEnd w:id="117"/>
    <w:p w14:paraId="1341EB66">
      <w:pPr>
        <w:pStyle w:val="4"/>
        <w:bidi w:val="0"/>
        <w:rPr>
          <w:rFonts w:hint="default" w:ascii="Times New Roman" w:hAnsi="Times New Roman" w:cs="Times New Roman" w:eastAsiaTheme="minorEastAsia"/>
          <w:lang w:eastAsia="zh-CN"/>
        </w:rPr>
      </w:pPr>
      <w:bookmarkStart w:id="119" w:name="_Toc12773"/>
      <w:r>
        <w:rPr>
          <w:rFonts w:hint="default" w:ascii="Times New Roman" w:hAnsi="Times New Roman" w:cs="Times New Roman" w:eastAsiaTheme="minorEastAsia"/>
          <w:lang w:val="en-US" w:eastAsia="zh-CN"/>
        </w:rPr>
        <w:t>7.</w:t>
      </w:r>
      <w:r>
        <w:rPr>
          <w:rFonts w:hint="eastAsia" w:ascii="Times New Roman" w:hAnsi="Times New Roman" w:cs="Times New Roman" w:eastAsiaTheme="minorEastAsia"/>
          <w:lang w:val="en-US" w:eastAsia="zh-CN"/>
        </w:rPr>
        <w:t>5</w:t>
      </w:r>
      <w:r>
        <w:rPr>
          <w:rFonts w:hint="default" w:ascii="Times New Roman" w:hAnsi="Times New Roman" w:cs="Times New Roman" w:eastAsiaTheme="minorEastAsia"/>
          <w:lang w:eastAsia="zh-CN"/>
        </w:rPr>
        <w:t>环境风险防范措施及应急要求</w:t>
      </w:r>
      <w:bookmarkEnd w:id="119"/>
    </w:p>
    <w:p w14:paraId="6BE18B08">
      <w:pPr>
        <w:keepNext w:val="0"/>
        <w:keepLines w:val="0"/>
        <w:pageBreakBefore w:val="0"/>
        <w:kinsoku/>
        <w:wordWrap/>
        <w:overflowPunct/>
        <w:topLinePunct w:val="0"/>
        <w:autoSpaceDE/>
        <w:autoSpaceDN/>
        <w:bidi w:val="0"/>
        <w:snapToGrid/>
        <w:spacing w:line="360" w:lineRule="auto"/>
        <w:textAlignment w:val="auto"/>
        <w:rPr>
          <w:rFonts w:hint="default" w:ascii="Times New Roman" w:hAnsi="Times New Roman" w:eastAsia="宋体"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（一）</w:t>
      </w:r>
      <w:r>
        <w:rPr>
          <w:rFonts w:hint="default" w:ascii="Times New Roman" w:hAnsi="Times New Roman" w:eastAsia="宋体" w:cs="Times New Roman"/>
          <w:b/>
          <w:bCs/>
          <w:color w:val="auto"/>
          <w:sz w:val="24"/>
          <w:szCs w:val="32"/>
          <w:lang w:val="en-US" w:eastAsia="zh-CN"/>
        </w:rPr>
        <w:t>风险防范措施</w:t>
      </w:r>
    </w:p>
    <w:p w14:paraId="15FF4279">
      <w:pPr>
        <w:keepNext w:val="0"/>
        <w:keepLines w:val="0"/>
        <w:pageBreakBefore w:val="0"/>
        <w:kinsoku/>
        <w:wordWrap/>
        <w:overflowPunct/>
        <w:topLinePunct w:val="0"/>
        <w:autoSpaceDE/>
        <w:autoSpaceDN/>
        <w:bidi w:val="0"/>
        <w:snapToGrid/>
        <w:spacing w:line="360" w:lineRule="auto"/>
        <w:textAlignment w:val="auto"/>
        <w:outlineLvl w:val="9"/>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、泄漏防范措施</w:t>
      </w:r>
    </w:p>
    <w:p w14:paraId="2C3A9B3E">
      <w:pPr>
        <w:pStyle w:val="1518"/>
        <w:keepNext w:val="0"/>
        <w:keepLines w:val="0"/>
        <w:pageBreakBefore w:val="0"/>
        <w:kinsoku/>
        <w:wordWrap/>
        <w:overflowPunct/>
        <w:topLinePunct w:val="0"/>
        <w:autoSpaceDE/>
        <w:autoSpaceDN/>
        <w:bidi w:val="0"/>
        <w:adjustRightInd w:val="0"/>
        <w:snapToGrid/>
        <w:spacing w:before="0" w:after="0" w:line="360" w:lineRule="auto"/>
        <w:ind w:firstLine="480"/>
        <w:textAlignment w:val="auto"/>
        <w:outlineLvl w:val="9"/>
        <w:rPr>
          <w:rFonts w:hint="default" w:ascii="Times New Roman" w:hAnsi="Times New Roman" w:eastAsia="宋体" w:cs="Times New Roman"/>
          <w:snapToGrid w:val="0"/>
          <w:color w:val="auto"/>
          <w:w w:val="100"/>
          <w:szCs w:val="24"/>
          <w:highlight w:val="none"/>
          <w:lang w:val="en-US" w:eastAsia="zh-CN"/>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危废贮存点、浮选药剂存放区</w:t>
      </w:r>
      <w:r>
        <w:rPr>
          <w:rFonts w:hint="default" w:ascii="Times New Roman" w:hAnsi="Times New Roman" w:cs="Times New Roman"/>
          <w:color w:val="auto"/>
          <w:sz w:val="24"/>
          <w:szCs w:val="24"/>
          <w:highlight w:val="none"/>
        </w:rPr>
        <w:t>采</w:t>
      </w:r>
      <w:r>
        <w:rPr>
          <w:rFonts w:hint="default" w:ascii="Times New Roman" w:hAnsi="Times New Roman" w:cs="Times New Roman"/>
          <w:color w:val="auto"/>
          <w:sz w:val="24"/>
          <w:highlight w:val="none"/>
        </w:rPr>
        <w:t>用防风、防雨、防晒、防渗处理，防止</w:t>
      </w:r>
      <w:r>
        <w:rPr>
          <w:rFonts w:hint="eastAsia" w:ascii="Times New Roman" w:hAnsi="Times New Roman" w:cs="Times New Roman"/>
          <w:color w:val="auto"/>
          <w:sz w:val="24"/>
          <w:highlight w:val="none"/>
          <w:lang w:val="en-US" w:eastAsia="zh-CN"/>
        </w:rPr>
        <w:t>风险物质</w:t>
      </w:r>
      <w:r>
        <w:rPr>
          <w:rFonts w:hint="default" w:ascii="Times New Roman" w:hAnsi="Times New Roman" w:cs="Times New Roman"/>
          <w:color w:val="auto"/>
          <w:sz w:val="24"/>
          <w:highlight w:val="none"/>
        </w:rPr>
        <w:t>在贮存时可能产生的废液渗漏对地下水的污染。</w:t>
      </w:r>
    </w:p>
    <w:p w14:paraId="61A2BFD4">
      <w:pPr>
        <w:pStyle w:val="1518"/>
        <w:keepNext w:val="0"/>
        <w:keepLines w:val="0"/>
        <w:pageBreakBefore w:val="0"/>
        <w:kinsoku/>
        <w:wordWrap/>
        <w:overflowPunct/>
        <w:topLinePunct w:val="0"/>
        <w:autoSpaceDE/>
        <w:autoSpaceDN/>
        <w:bidi w:val="0"/>
        <w:adjustRightInd w:val="0"/>
        <w:snapToGrid/>
        <w:spacing w:before="0" w:after="0" w:line="360" w:lineRule="auto"/>
        <w:ind w:firstLine="480"/>
        <w:textAlignment w:val="auto"/>
        <w:rPr>
          <w:rFonts w:hint="default" w:ascii="Times New Roman" w:hAnsi="Times New Roman" w:eastAsia="宋体" w:cs="Times New Roman"/>
          <w:snapToGrid w:val="0"/>
          <w:color w:val="auto"/>
          <w:w w:val="100"/>
          <w:szCs w:val="24"/>
          <w:highlight w:val="none"/>
          <w:lang w:val="en-US" w:eastAsia="zh-CN"/>
        </w:rPr>
      </w:pPr>
      <w:r>
        <w:rPr>
          <w:rFonts w:hint="default" w:ascii="Times New Roman" w:hAnsi="Times New Roman" w:cs="Times New Roman"/>
          <w:snapToGrid w:val="0"/>
          <w:color w:val="auto"/>
          <w:w w:val="100"/>
          <w:szCs w:val="24"/>
          <w:highlight w:val="none"/>
          <w:lang w:val="en-US" w:eastAsia="zh-CN"/>
        </w:rPr>
        <w:t>（2）</w:t>
      </w:r>
      <w:r>
        <w:rPr>
          <w:rFonts w:hint="eastAsia" w:ascii="Times New Roman" w:hAnsi="Times New Roman" w:cs="Times New Roman"/>
          <w:color w:val="auto"/>
          <w:sz w:val="24"/>
          <w:szCs w:val="24"/>
          <w:highlight w:val="none"/>
          <w:lang w:val="en-US" w:eastAsia="zh-CN"/>
        </w:rPr>
        <w:t>危废贮存点设</w:t>
      </w:r>
      <w:r>
        <w:rPr>
          <w:rFonts w:hint="default" w:ascii="Times New Roman" w:hAnsi="Times New Roman" w:eastAsia="宋体" w:cs="Times New Roman"/>
          <w:snapToGrid w:val="0"/>
          <w:color w:val="auto"/>
          <w:w w:val="100"/>
          <w:szCs w:val="24"/>
          <w:highlight w:val="none"/>
          <w:lang w:val="en-US" w:eastAsia="zh-CN"/>
        </w:rPr>
        <w:t>有标识，定期委托有资质单位</w:t>
      </w:r>
      <w:r>
        <w:rPr>
          <w:rFonts w:hint="default" w:ascii="Times New Roman" w:hAnsi="Times New Roman" w:cs="Times New Roman"/>
          <w:snapToGrid w:val="0"/>
          <w:color w:val="auto"/>
          <w:w w:val="100"/>
          <w:szCs w:val="24"/>
          <w:highlight w:val="none"/>
          <w:lang w:val="en-US" w:eastAsia="zh-CN"/>
        </w:rPr>
        <w:t>对</w:t>
      </w:r>
      <w:r>
        <w:rPr>
          <w:rFonts w:hint="eastAsia" w:ascii="Times New Roman" w:hAnsi="Times New Roman" w:cs="Times New Roman"/>
          <w:snapToGrid w:val="0"/>
          <w:color w:val="auto"/>
          <w:w w:val="100"/>
          <w:szCs w:val="24"/>
          <w:highlight w:val="none"/>
          <w:lang w:val="en-US" w:eastAsia="zh-CN"/>
        </w:rPr>
        <w:t>危废</w:t>
      </w:r>
      <w:r>
        <w:rPr>
          <w:rFonts w:hint="default" w:ascii="Times New Roman" w:hAnsi="Times New Roman" w:cs="Times New Roman"/>
          <w:snapToGrid w:val="0"/>
          <w:color w:val="auto"/>
          <w:w w:val="100"/>
          <w:szCs w:val="24"/>
          <w:highlight w:val="none"/>
          <w:lang w:val="en-US" w:eastAsia="zh-CN"/>
        </w:rPr>
        <w:t>进行</w:t>
      </w:r>
      <w:r>
        <w:rPr>
          <w:rFonts w:hint="default" w:ascii="Times New Roman" w:hAnsi="Times New Roman" w:eastAsia="宋体" w:cs="Times New Roman"/>
          <w:snapToGrid w:val="0"/>
          <w:color w:val="auto"/>
          <w:w w:val="100"/>
          <w:szCs w:val="24"/>
          <w:highlight w:val="none"/>
          <w:lang w:val="en-US" w:eastAsia="zh-CN"/>
        </w:rPr>
        <w:t>处置。</w:t>
      </w:r>
    </w:p>
    <w:p w14:paraId="50C92534">
      <w:pPr>
        <w:keepNext w:val="0"/>
        <w:keepLines w:val="0"/>
        <w:pageBreakBefore w:val="0"/>
        <w:kinsoku/>
        <w:wordWrap/>
        <w:overflowPunct/>
        <w:topLinePunct w:val="0"/>
        <w:autoSpaceDE/>
        <w:autoSpaceDN/>
        <w:bidi w:val="0"/>
        <w:snapToGrid/>
        <w:spacing w:line="360" w:lineRule="auto"/>
        <w:textAlignment w:val="auto"/>
        <w:rPr>
          <w:rFonts w:hint="default" w:ascii="Times New Roman" w:hAnsi="Times New Roman" w:eastAsia="宋体" w:cs="Times New Roman"/>
          <w:b/>
          <w:bCs/>
          <w:color w:val="auto"/>
          <w:sz w:val="24"/>
          <w:szCs w:val="32"/>
          <w:lang w:val="en-US" w:eastAsia="zh-CN"/>
        </w:rPr>
      </w:pPr>
      <w:r>
        <w:rPr>
          <w:rFonts w:hint="eastAsia" w:ascii="Times New Roman" w:hAnsi="Times New Roman" w:eastAsia="宋体" w:cs="Times New Roman"/>
          <w:b/>
          <w:bCs/>
          <w:color w:val="auto"/>
          <w:sz w:val="24"/>
          <w:szCs w:val="32"/>
          <w:lang w:val="en-US" w:eastAsia="zh-CN"/>
        </w:rPr>
        <w:t>2</w:t>
      </w:r>
      <w:r>
        <w:rPr>
          <w:rFonts w:hint="default" w:ascii="Times New Roman" w:hAnsi="Times New Roman" w:eastAsia="宋体" w:cs="Times New Roman"/>
          <w:b/>
          <w:bCs/>
          <w:color w:val="auto"/>
          <w:sz w:val="24"/>
          <w:szCs w:val="32"/>
          <w:lang w:val="en-US" w:eastAsia="zh-CN"/>
        </w:rPr>
        <w:t>、火灾防范措施</w:t>
      </w:r>
    </w:p>
    <w:p w14:paraId="3474008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rPr>
        <w:t>加强易燃品管理</w:t>
      </w:r>
    </w:p>
    <w:p w14:paraId="3567F7F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建筑符合《建筑设计防火规范》(GB 50016—2014)的有关规定；易燃原料统一管理，周围设置警示牌，配备消防器材，并由专人负责管理。</w:t>
      </w:r>
    </w:p>
    <w:p w14:paraId="26997C7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（2）</w:t>
      </w:r>
      <w:r>
        <w:rPr>
          <w:rFonts w:hint="default" w:ascii="Times New Roman" w:hAnsi="Times New Roman" w:cs="Times New Roman"/>
          <w:color w:val="auto"/>
          <w:kern w:val="0"/>
          <w:sz w:val="24"/>
          <w:szCs w:val="24"/>
          <w:highlight w:val="none"/>
        </w:rPr>
        <w:t xml:space="preserve">火灾应急处理措施 </w:t>
      </w:r>
    </w:p>
    <w:p w14:paraId="207E90C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一旦发生事故，应马上发出火灾警报，迅速疏散非应急人员；停止</w:t>
      </w:r>
      <w:r>
        <w:rPr>
          <w:rFonts w:hint="default" w:ascii="Times New Roman" w:hAnsi="Times New Roman" w:cs="Times New Roman"/>
          <w:color w:val="auto"/>
          <w:kern w:val="0"/>
          <w:sz w:val="24"/>
          <w:szCs w:val="24"/>
          <w:highlight w:val="none"/>
          <w:lang w:eastAsia="zh-CN"/>
        </w:rPr>
        <w:t>矿区内</w:t>
      </w:r>
      <w:r>
        <w:rPr>
          <w:rFonts w:hint="default" w:ascii="Times New Roman" w:hAnsi="Times New Roman" w:cs="Times New Roman"/>
          <w:color w:val="auto"/>
          <w:kern w:val="0"/>
          <w:sz w:val="24"/>
          <w:szCs w:val="24"/>
          <w:highlight w:val="none"/>
        </w:rPr>
        <w:t>的全部生产活动；向应急中心汇报事情的事态，初步预测可能对人员、管线和设备等造成的危害；调整应急人员及装备，组成火灾事故应急救援队，在现场指挥人员的指挥下，及时开展灭火行动；针对火灾现场的人员和管线设备等，采取保护性措施，如开启水喷淋为其他未燃烧的储存设施喷洒冷却水，降低火焰辐射强度，减轻人员伤亡和避免火灾蔓延；在条件允许的情况下，灭火队员应站在火焰的上风向或者侧风向，保证人员安全；灭火行动应坚持到火焰全部熄灭为止，并应仔细查看现场，防止死灰复燃现象发生。</w:t>
      </w:r>
    </w:p>
    <w:p w14:paraId="633357E4">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rPr>
        <w:t>消防抢险措施</w:t>
      </w:r>
    </w:p>
    <w:p w14:paraId="2134CD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消防人员到位，围出安全隔离区；调集启动消防水泵确保事故现场用水。救援人员发出火灾警报，疏散无关人员，停止</w:t>
      </w:r>
      <w:r>
        <w:rPr>
          <w:rFonts w:hint="eastAsia" w:ascii="Times New Roman" w:hAnsi="Times New Roman" w:cs="Times New Roman"/>
          <w:color w:val="auto"/>
          <w:kern w:val="0"/>
          <w:sz w:val="24"/>
          <w:szCs w:val="24"/>
          <w:highlight w:val="none"/>
          <w:lang w:val="en-US" w:eastAsia="zh-CN"/>
        </w:rPr>
        <w:t>厂区</w:t>
      </w:r>
      <w:r>
        <w:rPr>
          <w:rFonts w:hint="default" w:ascii="Times New Roman" w:hAnsi="Times New Roman" w:cs="Times New Roman"/>
          <w:color w:val="auto"/>
          <w:kern w:val="0"/>
          <w:sz w:val="24"/>
          <w:szCs w:val="24"/>
          <w:highlight w:val="none"/>
        </w:rPr>
        <w:t>一切生产活动。</w:t>
      </w:r>
    </w:p>
    <w:p w14:paraId="75D73A9B">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（二）</w:t>
      </w:r>
      <w:r>
        <w:rPr>
          <w:rFonts w:hint="default" w:ascii="Times New Roman" w:hAnsi="Times New Roman" w:eastAsia="宋体" w:cs="Times New Roman"/>
          <w:b/>
          <w:bCs/>
          <w:color w:val="auto"/>
          <w:sz w:val="24"/>
          <w:szCs w:val="24"/>
          <w:lang w:val="en-US" w:eastAsia="zh-CN"/>
        </w:rPr>
        <w:t>应急预案</w:t>
      </w:r>
    </w:p>
    <w:p w14:paraId="7EDB96F3">
      <w:pPr>
        <w:pStyle w:val="4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right="0" w:rightChars="0" w:firstLine="0" w:firstLine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环境风险应急预案</w:t>
      </w:r>
    </w:p>
    <w:p w14:paraId="6DF254A7">
      <w:pPr>
        <w:pStyle w:val="4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企业应编制环境</w:t>
      </w:r>
      <w:r>
        <w:rPr>
          <w:rFonts w:hint="eastAsia" w:ascii="Times New Roman" w:hAnsi="Times New Roman" w:eastAsia="宋体" w:cs="Times New Roman"/>
          <w:color w:val="auto"/>
          <w:sz w:val="24"/>
          <w:szCs w:val="24"/>
          <w:lang w:val="en-US" w:eastAsia="zh-CN"/>
        </w:rPr>
        <w:t>风险</w:t>
      </w:r>
      <w:r>
        <w:rPr>
          <w:rFonts w:hint="default" w:ascii="Times New Roman" w:hAnsi="Times New Roman" w:eastAsia="宋体" w:cs="Times New Roman"/>
          <w:color w:val="auto"/>
          <w:sz w:val="24"/>
          <w:szCs w:val="24"/>
          <w:lang w:val="en-US" w:eastAsia="zh-CN"/>
        </w:rPr>
        <w:t>应急预案，并定期演练，加强对重大环境风险事故的处理能力。</w:t>
      </w:r>
    </w:p>
    <w:p w14:paraId="25FFE377">
      <w:pPr>
        <w:pStyle w:val="4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事故应急响应</w:t>
      </w:r>
    </w:p>
    <w:p w14:paraId="26930F46">
      <w:pPr>
        <w:pStyle w:val="4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发生事故后企业有关人员应及时向主管部门报告，告知事故类型、发生地点、事故概况等，并立即采取紧急措施，进行相关人员撤离，设立警示牌。</w:t>
      </w:r>
    </w:p>
    <w:p w14:paraId="3C4BD6C0">
      <w:pPr>
        <w:pStyle w:val="4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0" w:firstLineChars="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事故应急处理</w:t>
      </w:r>
    </w:p>
    <w:p w14:paraId="4468F6D1">
      <w:pPr>
        <w:pStyle w:val="47"/>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0" w:leftChars="0" w:right="0" w:rightChars="0" w:firstLine="480" w:firstLineChars="200"/>
        <w:jc w:val="both"/>
        <w:textAlignment w:val="auto"/>
        <w:outlineLvl w:val="9"/>
        <w:rPr>
          <w:rFonts w:hint="default"/>
          <w:lang w:val="en-US" w:eastAsia="zh-CN"/>
        </w:rPr>
      </w:pPr>
      <w:r>
        <w:rPr>
          <w:rFonts w:hint="default" w:ascii="Times New Roman" w:hAnsi="Times New Roman" w:eastAsia="宋体" w:cs="Times New Roman"/>
          <w:color w:val="auto"/>
          <w:sz w:val="24"/>
          <w:szCs w:val="24"/>
          <w:lang w:val="en-US" w:eastAsia="zh-CN"/>
        </w:rPr>
        <w:t>根据本项目实际情况，设立事故应急小组，明确应急救援小组的组成、分工和职责，并配合专业救援队伍展开救援工作。事故救援结束后，展开事故调查。处理分析并总结经验，整理事故档案。</w:t>
      </w:r>
    </w:p>
    <w:p w14:paraId="7A7677B4">
      <w:pPr>
        <w:pStyle w:val="4"/>
        <w:bidi w:val="0"/>
        <w:rPr>
          <w:rFonts w:hint="default" w:ascii="Times New Roman" w:hAnsi="Times New Roman" w:cs="Times New Roman" w:eastAsiaTheme="minorEastAsia"/>
          <w:lang w:val="en-US" w:eastAsia="zh-CN"/>
        </w:rPr>
      </w:pPr>
      <w:bookmarkStart w:id="120" w:name="_bookmark52"/>
      <w:bookmarkEnd w:id="120"/>
      <w:bookmarkStart w:id="121" w:name="_Toc32139"/>
      <w:bookmarkStart w:id="122" w:name="_Toc32664"/>
      <w:bookmarkStart w:id="123" w:name="_Toc24358"/>
      <w:r>
        <w:rPr>
          <w:rFonts w:hint="default" w:ascii="Times New Roman" w:hAnsi="Times New Roman" w:cs="Times New Roman" w:eastAsiaTheme="minorEastAsia"/>
          <w:lang w:val="en-US" w:eastAsia="zh-CN"/>
        </w:rPr>
        <w:t>7.</w:t>
      </w:r>
      <w:r>
        <w:rPr>
          <w:rFonts w:hint="eastAsia" w:ascii="Times New Roman" w:hAnsi="Times New Roman" w:cs="Times New Roman" w:eastAsiaTheme="minorEastAsia"/>
          <w:lang w:val="en-US" w:eastAsia="zh-CN"/>
        </w:rPr>
        <w:t>6</w:t>
      </w:r>
      <w:r>
        <w:rPr>
          <w:rFonts w:hint="default" w:ascii="Times New Roman" w:hAnsi="Times New Roman" w:cs="Times New Roman" w:eastAsiaTheme="minorEastAsia"/>
          <w:lang w:val="en-US" w:eastAsia="zh-CN"/>
        </w:rPr>
        <w:t>环境风险分析结论</w:t>
      </w:r>
      <w:bookmarkEnd w:id="121"/>
      <w:bookmarkEnd w:id="122"/>
      <w:bookmarkEnd w:id="123"/>
    </w:p>
    <w:p w14:paraId="2109AB9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val="0"/>
        <w:autoSpaceDN w:val="0"/>
        <w:bidi w:val="0"/>
        <w:adjustRightInd w:val="0"/>
        <w:snapToGrid/>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根据</w:t>
      </w:r>
      <w:r>
        <w:rPr>
          <w:rFonts w:hint="default" w:ascii="Times New Roman" w:hAnsi="Times New Roman" w:cs="Times New Roman" w:eastAsiaTheme="minorEastAsia"/>
          <w:color w:val="auto"/>
          <w:sz w:val="24"/>
          <w:szCs w:val="24"/>
          <w:lang w:eastAsia="zh-CN"/>
        </w:rPr>
        <w:t>本次改扩建项目</w:t>
      </w:r>
      <w:r>
        <w:rPr>
          <w:rFonts w:hint="default" w:ascii="Times New Roman" w:hAnsi="Times New Roman" w:cs="Times New Roman" w:eastAsiaTheme="minorEastAsia"/>
          <w:color w:val="auto"/>
          <w:sz w:val="24"/>
          <w:szCs w:val="24"/>
        </w:rPr>
        <w:t>特点，环境风险类型主要为</w:t>
      </w:r>
      <w:r>
        <w:rPr>
          <w:rFonts w:hint="default" w:ascii="Times New Roman" w:hAnsi="Times New Roman" w:cs="Times New Roman" w:eastAsiaTheme="minorEastAsia"/>
          <w:color w:val="auto"/>
          <w:sz w:val="24"/>
          <w:szCs w:val="24"/>
          <w:lang w:eastAsia="zh-CN"/>
        </w:rPr>
        <w:t>废</w:t>
      </w:r>
      <w:r>
        <w:rPr>
          <w:rFonts w:hint="default" w:ascii="Times New Roman" w:hAnsi="Times New Roman" w:cs="Times New Roman" w:eastAsiaTheme="minorEastAsia"/>
          <w:color w:val="auto"/>
          <w:sz w:val="24"/>
          <w:szCs w:val="24"/>
        </w:rPr>
        <w:t>机油</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lang w:val="en-US" w:eastAsia="zh-CN"/>
        </w:rPr>
        <w:t>丁基黄药、丁铵黑药</w:t>
      </w:r>
      <w:r>
        <w:rPr>
          <w:rFonts w:hint="eastAsia" w:cs="Times New Roman" w:eastAsiaTheme="minorEastAsia"/>
          <w:color w:val="auto"/>
          <w:sz w:val="24"/>
          <w:szCs w:val="24"/>
          <w:lang w:val="en-US" w:eastAsia="zh-CN"/>
        </w:rPr>
        <w:t>等危险物质</w:t>
      </w:r>
      <w:r>
        <w:rPr>
          <w:rFonts w:hint="default" w:ascii="Times New Roman" w:hAnsi="Times New Roman" w:cs="Times New Roman" w:eastAsiaTheme="minorEastAsia"/>
          <w:color w:val="auto"/>
          <w:sz w:val="24"/>
          <w:szCs w:val="24"/>
        </w:rPr>
        <w:t>泄漏导致对周围环境造成影响，在落实好环境风险防范措施的前提下，</w:t>
      </w:r>
      <w:r>
        <w:rPr>
          <w:rFonts w:hint="default" w:ascii="Times New Roman" w:hAnsi="Times New Roman" w:cs="Times New Roman" w:eastAsiaTheme="minorEastAsia"/>
          <w:color w:val="auto"/>
          <w:sz w:val="24"/>
          <w:szCs w:val="24"/>
          <w:lang w:eastAsia="zh-CN"/>
        </w:rPr>
        <w:t>本次改扩建项目</w:t>
      </w:r>
      <w:r>
        <w:rPr>
          <w:rFonts w:hint="default" w:ascii="Times New Roman" w:hAnsi="Times New Roman" w:cs="Times New Roman" w:eastAsiaTheme="minorEastAsia"/>
          <w:color w:val="auto"/>
          <w:sz w:val="24"/>
          <w:szCs w:val="24"/>
        </w:rPr>
        <w:t>环境风险可防可控，环境风险值可控制在当地环境可接受水平范围内。</w:t>
      </w:r>
    </w:p>
    <w:p w14:paraId="68F78F87">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eastAsia="zh-CN"/>
        </w:rPr>
        <w:t>本次改扩建项目</w:t>
      </w:r>
      <w:r>
        <w:rPr>
          <w:rFonts w:hint="default" w:ascii="Times New Roman" w:hAnsi="Times New Roman" w:cs="Times New Roman" w:eastAsiaTheme="minorEastAsia"/>
          <w:color w:val="auto"/>
          <w:sz w:val="24"/>
          <w:szCs w:val="24"/>
        </w:rPr>
        <w:t>环境风险简单分析内容见</w:t>
      </w:r>
      <w:r>
        <w:rPr>
          <w:rFonts w:hint="eastAsia" w:cs="Times New Roman" w:eastAsiaTheme="minorEastAsia"/>
          <w:color w:val="auto"/>
          <w:sz w:val="24"/>
          <w:szCs w:val="24"/>
          <w:lang w:val="en-US" w:eastAsia="zh-CN"/>
        </w:rPr>
        <w:t>下表</w:t>
      </w:r>
      <w:r>
        <w:rPr>
          <w:rFonts w:hint="default" w:ascii="Times New Roman" w:hAnsi="Times New Roman" w:cs="Times New Roman" w:eastAsiaTheme="minorEastAsia"/>
          <w:color w:val="auto"/>
          <w:sz w:val="24"/>
          <w:szCs w:val="24"/>
        </w:rPr>
        <w:t>。</w:t>
      </w:r>
    </w:p>
    <w:p w14:paraId="5E31464E">
      <w:pPr>
        <w:pStyle w:val="1519"/>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eastAsiaTheme="minorEastAsia"/>
          <w:b/>
          <w:bCs/>
          <w:color w:val="auto"/>
          <w:sz w:val="24"/>
          <w:szCs w:val="24"/>
          <w:lang w:val="en-US" w:eastAsia="zh-CN"/>
        </w:rPr>
      </w:pPr>
      <w:r>
        <w:rPr>
          <w:rFonts w:hint="default" w:ascii="Times New Roman" w:hAnsi="Times New Roman" w:cs="Times New Roman" w:eastAsiaTheme="minorEastAsia"/>
          <w:b/>
          <w:bCs/>
          <w:color w:val="auto"/>
          <w:sz w:val="24"/>
          <w:szCs w:val="24"/>
          <w:lang w:val="en-US" w:eastAsia="zh-CN"/>
        </w:rPr>
        <w:t>表</w:t>
      </w:r>
      <w:r>
        <w:rPr>
          <w:rFonts w:hint="eastAsia" w:cs="Times New Roman" w:eastAsiaTheme="minorEastAsia"/>
          <w:b/>
          <w:bCs/>
          <w:color w:val="auto"/>
          <w:sz w:val="24"/>
          <w:szCs w:val="24"/>
          <w:lang w:val="en-US" w:eastAsia="zh-CN"/>
        </w:rPr>
        <w:t>7.6-1</w:t>
      </w:r>
      <w:r>
        <w:rPr>
          <w:rFonts w:hint="default" w:ascii="Times New Roman" w:hAnsi="Times New Roman" w:cs="Times New Roman" w:eastAsiaTheme="minorEastAsia"/>
          <w:b/>
          <w:bCs/>
          <w:color w:val="auto"/>
          <w:sz w:val="24"/>
          <w:szCs w:val="24"/>
          <w:lang w:val="en-US" w:eastAsia="zh-CN"/>
        </w:rPr>
        <w:t xml:space="preserve">  本项目环境风险简单分析内容表</w:t>
      </w:r>
    </w:p>
    <w:tbl>
      <w:tblPr>
        <w:tblStyle w:val="76"/>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9"/>
        <w:gridCol w:w="1270"/>
        <w:gridCol w:w="2114"/>
        <w:gridCol w:w="1366"/>
        <w:gridCol w:w="2079"/>
      </w:tblGrid>
      <w:tr w14:paraId="4AEEA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9" w:type="dxa"/>
            <w:tcBorders>
              <w:tl2br w:val="nil"/>
              <w:tr2bl w:val="nil"/>
            </w:tcBorders>
            <w:noWrap w:val="0"/>
            <w:vAlign w:val="center"/>
          </w:tcPr>
          <w:p w14:paraId="1C1994BC">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建设项目名称</w:t>
            </w:r>
          </w:p>
        </w:tc>
        <w:tc>
          <w:tcPr>
            <w:tcW w:w="6829" w:type="dxa"/>
            <w:gridSpan w:val="4"/>
            <w:tcBorders>
              <w:tl2br w:val="nil"/>
              <w:tr2bl w:val="nil"/>
            </w:tcBorders>
            <w:noWrap w:val="0"/>
            <w:vAlign w:val="center"/>
          </w:tcPr>
          <w:p w14:paraId="06199E2F">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北票市大力铁精粉精选厂改扩建项目</w:t>
            </w:r>
          </w:p>
        </w:tc>
      </w:tr>
      <w:tr w14:paraId="3637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9" w:type="dxa"/>
            <w:tcBorders>
              <w:tl2br w:val="nil"/>
              <w:tr2bl w:val="nil"/>
            </w:tcBorders>
            <w:noWrap w:val="0"/>
            <w:vAlign w:val="center"/>
          </w:tcPr>
          <w:p w14:paraId="214A9A66">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建设地点</w:t>
            </w:r>
          </w:p>
        </w:tc>
        <w:tc>
          <w:tcPr>
            <w:tcW w:w="1270" w:type="dxa"/>
            <w:tcBorders>
              <w:tl2br w:val="nil"/>
              <w:tr2bl w:val="nil"/>
            </w:tcBorders>
            <w:noWrap w:val="0"/>
            <w:vAlign w:val="center"/>
          </w:tcPr>
          <w:p w14:paraId="64036E67">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辽宁</w:t>
            </w:r>
            <w:r>
              <w:rPr>
                <w:rFonts w:hint="default" w:ascii="Times New Roman" w:hAnsi="Times New Roman" w:cs="Times New Roman"/>
                <w:color w:val="auto"/>
                <w:sz w:val="21"/>
                <w:szCs w:val="21"/>
                <w:vertAlign w:val="baseline"/>
                <w:lang w:val="en-US" w:eastAsia="zh-CN"/>
              </w:rPr>
              <w:t>省</w:t>
            </w:r>
          </w:p>
        </w:tc>
        <w:tc>
          <w:tcPr>
            <w:tcW w:w="2114" w:type="dxa"/>
            <w:tcBorders>
              <w:tl2br w:val="nil"/>
              <w:tr2bl w:val="nil"/>
            </w:tcBorders>
            <w:noWrap w:val="0"/>
            <w:vAlign w:val="center"/>
          </w:tcPr>
          <w:p w14:paraId="6047BE4A">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朝阳</w:t>
            </w:r>
            <w:r>
              <w:rPr>
                <w:rFonts w:hint="default" w:ascii="Times New Roman" w:hAnsi="Times New Roman" w:cs="Times New Roman"/>
                <w:color w:val="auto"/>
                <w:sz w:val="21"/>
                <w:szCs w:val="21"/>
                <w:vertAlign w:val="baseline"/>
                <w:lang w:val="en-US" w:eastAsia="zh-CN"/>
              </w:rPr>
              <w:t>市</w:t>
            </w:r>
          </w:p>
        </w:tc>
        <w:tc>
          <w:tcPr>
            <w:tcW w:w="1366" w:type="dxa"/>
            <w:tcBorders>
              <w:tl2br w:val="nil"/>
              <w:tr2bl w:val="nil"/>
            </w:tcBorders>
            <w:noWrap w:val="0"/>
            <w:vAlign w:val="center"/>
          </w:tcPr>
          <w:p w14:paraId="61389A31">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北票市</w:t>
            </w:r>
          </w:p>
        </w:tc>
        <w:tc>
          <w:tcPr>
            <w:tcW w:w="2079" w:type="dxa"/>
            <w:tcBorders>
              <w:tl2br w:val="nil"/>
              <w:tr2bl w:val="nil"/>
            </w:tcBorders>
            <w:noWrap w:val="0"/>
            <w:vAlign w:val="center"/>
          </w:tcPr>
          <w:p w14:paraId="78BFBB3A">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娄家店乡冯家营村</w:t>
            </w:r>
          </w:p>
        </w:tc>
      </w:tr>
      <w:tr w14:paraId="0D39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9" w:type="dxa"/>
            <w:tcBorders>
              <w:tl2br w:val="nil"/>
              <w:tr2bl w:val="nil"/>
            </w:tcBorders>
            <w:noWrap w:val="0"/>
            <w:vAlign w:val="center"/>
          </w:tcPr>
          <w:p w14:paraId="3D57F7F9">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地理坐标</w:t>
            </w:r>
          </w:p>
        </w:tc>
        <w:tc>
          <w:tcPr>
            <w:tcW w:w="1270" w:type="dxa"/>
            <w:tcBorders>
              <w:tl2br w:val="nil"/>
              <w:tr2bl w:val="nil"/>
            </w:tcBorders>
            <w:noWrap w:val="0"/>
            <w:vAlign w:val="center"/>
          </w:tcPr>
          <w:p w14:paraId="7794CCAA">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经度</w:t>
            </w:r>
          </w:p>
        </w:tc>
        <w:tc>
          <w:tcPr>
            <w:tcW w:w="2114" w:type="dxa"/>
            <w:tcBorders>
              <w:tl2br w:val="nil"/>
              <w:tr2bl w:val="nil"/>
            </w:tcBorders>
            <w:noWrap w:val="0"/>
            <w:vAlign w:val="center"/>
          </w:tcPr>
          <w:p w14:paraId="5588FD4F">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120.62018397°</w:t>
            </w:r>
          </w:p>
        </w:tc>
        <w:tc>
          <w:tcPr>
            <w:tcW w:w="1366" w:type="dxa"/>
            <w:tcBorders>
              <w:tl2br w:val="nil"/>
              <w:tr2bl w:val="nil"/>
            </w:tcBorders>
            <w:noWrap w:val="0"/>
            <w:vAlign w:val="center"/>
          </w:tcPr>
          <w:p w14:paraId="078FD6BE">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纬度</w:t>
            </w:r>
          </w:p>
        </w:tc>
        <w:tc>
          <w:tcPr>
            <w:tcW w:w="2079" w:type="dxa"/>
            <w:tcBorders>
              <w:tl2br w:val="nil"/>
              <w:tr2bl w:val="nil"/>
            </w:tcBorders>
            <w:noWrap w:val="0"/>
            <w:vAlign w:val="center"/>
          </w:tcPr>
          <w:p w14:paraId="4A21C5EF">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42.03525535°</w:t>
            </w:r>
          </w:p>
        </w:tc>
      </w:tr>
      <w:tr w14:paraId="4583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9" w:type="dxa"/>
            <w:tcBorders>
              <w:tl2br w:val="nil"/>
              <w:tr2bl w:val="nil"/>
            </w:tcBorders>
            <w:noWrap w:val="0"/>
            <w:vAlign w:val="center"/>
          </w:tcPr>
          <w:p w14:paraId="05C4EED7">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主要危险物质及分布</w:t>
            </w:r>
          </w:p>
        </w:tc>
        <w:tc>
          <w:tcPr>
            <w:tcW w:w="6829" w:type="dxa"/>
            <w:gridSpan w:val="4"/>
            <w:tcBorders>
              <w:tl2br w:val="nil"/>
              <w:tr2bl w:val="nil"/>
            </w:tcBorders>
            <w:noWrap w:val="0"/>
            <w:vAlign w:val="center"/>
          </w:tcPr>
          <w:p w14:paraId="116BA36A">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浮选药剂-药剂贮存区；废机油</w:t>
            </w:r>
            <w:r>
              <w:rPr>
                <w:rFonts w:hint="eastAsia" w:cs="Times New Roman"/>
                <w:color w:val="auto"/>
                <w:sz w:val="21"/>
                <w:szCs w:val="21"/>
                <w:vertAlign w:val="baseline"/>
                <w:lang w:val="en-US" w:eastAsia="zh-CN"/>
              </w:rPr>
              <w:t>、废油桶、浮选药剂废包装</w:t>
            </w:r>
            <w:r>
              <w:rPr>
                <w:rFonts w:hint="eastAsia" w:ascii="Times New Roman" w:hAnsi="Times New Roman" w:cs="Times New Roman"/>
                <w:color w:val="auto"/>
                <w:sz w:val="21"/>
                <w:szCs w:val="21"/>
                <w:vertAlign w:val="baseline"/>
                <w:lang w:val="en-US" w:eastAsia="zh-CN"/>
              </w:rPr>
              <w:t>-危废贮存点</w:t>
            </w:r>
          </w:p>
        </w:tc>
      </w:tr>
      <w:tr w14:paraId="6AB3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9" w:type="dxa"/>
            <w:tcBorders>
              <w:tl2br w:val="nil"/>
              <w:tr2bl w:val="nil"/>
            </w:tcBorders>
            <w:noWrap w:val="0"/>
            <w:vAlign w:val="center"/>
          </w:tcPr>
          <w:p w14:paraId="64563E2C">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环境影响途径及危害后果（大气、地表水、地下水等）</w:t>
            </w:r>
          </w:p>
        </w:tc>
        <w:tc>
          <w:tcPr>
            <w:tcW w:w="6829" w:type="dxa"/>
            <w:gridSpan w:val="4"/>
            <w:tcBorders>
              <w:tl2br w:val="nil"/>
              <w:tr2bl w:val="nil"/>
            </w:tcBorders>
            <w:noWrap w:val="0"/>
            <w:vAlign w:val="center"/>
          </w:tcPr>
          <w:p w14:paraId="25F35021">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①火灾、爆炸产生的危害主要是对地面生态环境的危害，将可能污染燃烧范围内的植物，造成植物死亡。</w:t>
            </w:r>
          </w:p>
          <w:p w14:paraId="3CE19225">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②火灾必然将短时间内形成一定量的有毒有害气体，将导致大气环境中的有毒有害气体瞬时超标。给</w:t>
            </w:r>
            <w:r>
              <w:rPr>
                <w:rFonts w:hint="eastAsia" w:ascii="Times New Roman" w:hAnsi="Times New Roman" w:cs="Times New Roman"/>
                <w:color w:val="auto"/>
                <w:sz w:val="21"/>
                <w:szCs w:val="21"/>
                <w:lang w:val="en-US" w:eastAsia="zh-CN"/>
              </w:rPr>
              <w:t>厂</w:t>
            </w:r>
            <w:r>
              <w:rPr>
                <w:rFonts w:hint="default" w:ascii="Times New Roman" w:hAnsi="Times New Roman" w:cs="Times New Roman"/>
                <w:color w:val="auto"/>
                <w:sz w:val="21"/>
                <w:szCs w:val="21"/>
                <w:lang w:val="en-US" w:eastAsia="zh-CN"/>
              </w:rPr>
              <w:t>区大气环境带来污染。</w:t>
            </w:r>
          </w:p>
          <w:p w14:paraId="12F5913C">
            <w:pPr>
              <w:pStyle w:val="7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③爆</w:t>
            </w:r>
            <w:r>
              <w:rPr>
                <w:rFonts w:hint="default" w:ascii="Times New Roman" w:hAnsi="Times New Roman" w:eastAsia="宋体" w:cs="Times New Roman"/>
                <w:color w:val="auto"/>
                <w:kern w:val="2"/>
                <w:sz w:val="21"/>
                <w:szCs w:val="21"/>
                <w:lang w:val="en-US" w:eastAsia="zh-CN" w:bidi="ar-SA"/>
              </w:rPr>
              <w:t>炸必然将短时间内形成大量氮气和二氧化氮，将会瞬间充斥于矿区大气环境中，给</w:t>
            </w:r>
            <w:r>
              <w:rPr>
                <w:rFonts w:hint="eastAsia" w:ascii="Times New Roman" w:hAnsi="Times New Roman" w:eastAsia="宋体" w:cs="Times New Roman"/>
                <w:color w:val="auto"/>
                <w:kern w:val="2"/>
                <w:sz w:val="21"/>
                <w:szCs w:val="21"/>
                <w:lang w:val="en-US" w:eastAsia="zh-CN" w:bidi="ar-SA"/>
              </w:rPr>
              <w:t>厂区</w:t>
            </w:r>
            <w:r>
              <w:rPr>
                <w:rFonts w:hint="default" w:ascii="Times New Roman" w:hAnsi="Times New Roman" w:eastAsia="宋体" w:cs="Times New Roman"/>
                <w:color w:val="auto"/>
                <w:kern w:val="2"/>
                <w:sz w:val="21"/>
                <w:szCs w:val="21"/>
                <w:lang w:val="en-US" w:eastAsia="zh-CN" w:bidi="ar-SA"/>
              </w:rPr>
              <w:t>大气环境带来污染。</w:t>
            </w:r>
          </w:p>
          <w:p w14:paraId="3B142552">
            <w:pPr>
              <w:keepNext w:val="0"/>
              <w:keepLines w:val="0"/>
              <w:pageBreakBefore w:val="0"/>
              <w:widowControl w:val="0"/>
              <w:kinsoku/>
              <w:wordWrap/>
              <w:overflowPunct/>
              <w:topLinePunct w:val="0"/>
              <w:autoSpaceDE/>
              <w:autoSpaceDN/>
              <w:bidi w:val="0"/>
              <w:spacing w:line="240" w:lineRule="auto"/>
              <w:textAlignment w:val="auto"/>
              <w:outlineLvl w:val="9"/>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1"/>
                <w:szCs w:val="21"/>
                <w:lang w:val="en-US" w:eastAsia="zh-CN" w:bidi="ar-SA"/>
              </w:rPr>
              <w:t>④废机油</w:t>
            </w:r>
            <w:r>
              <w:rPr>
                <w:rFonts w:hint="eastAsia" w:ascii="Times New Roman" w:hAnsi="Times New Roman" w:eastAsia="宋体" w:cs="Times New Roman"/>
                <w:color w:val="auto"/>
                <w:kern w:val="2"/>
                <w:sz w:val="21"/>
                <w:szCs w:val="21"/>
                <w:lang w:val="en-US" w:eastAsia="zh-CN" w:bidi="ar-SA"/>
              </w:rPr>
              <w:t>、浮选药剂</w:t>
            </w:r>
            <w:r>
              <w:rPr>
                <w:rFonts w:hint="eastAsia" w:cs="Times New Roman"/>
                <w:color w:val="auto"/>
                <w:kern w:val="2"/>
                <w:sz w:val="21"/>
                <w:szCs w:val="21"/>
                <w:lang w:val="en-US" w:eastAsia="zh-CN" w:bidi="ar-SA"/>
              </w:rPr>
              <w:t>等危险物质</w:t>
            </w:r>
            <w:r>
              <w:rPr>
                <w:rFonts w:hint="default" w:ascii="Times New Roman" w:hAnsi="Times New Roman" w:eastAsia="宋体" w:cs="Times New Roman"/>
                <w:color w:val="auto"/>
                <w:kern w:val="2"/>
                <w:sz w:val="21"/>
                <w:szCs w:val="21"/>
                <w:lang w:val="en-US" w:eastAsia="zh-CN" w:bidi="ar-SA"/>
              </w:rPr>
              <w:t>泄露可能造成项目区域地下水</w:t>
            </w:r>
            <w:r>
              <w:rPr>
                <w:rFonts w:hint="default" w:ascii="Times New Roman" w:hAnsi="Times New Roman" w:cs="Times New Roman"/>
                <w:color w:val="auto"/>
                <w:kern w:val="2"/>
                <w:sz w:val="21"/>
                <w:szCs w:val="21"/>
                <w:lang w:val="en-US" w:eastAsia="zh-CN" w:bidi="ar-SA"/>
              </w:rPr>
              <w:t>水质</w:t>
            </w:r>
            <w:r>
              <w:rPr>
                <w:rFonts w:hint="default" w:ascii="Times New Roman" w:hAnsi="Times New Roman" w:eastAsia="宋体" w:cs="Times New Roman"/>
                <w:color w:val="auto"/>
                <w:kern w:val="2"/>
                <w:sz w:val="21"/>
                <w:szCs w:val="21"/>
                <w:lang w:val="en-US" w:eastAsia="zh-CN" w:bidi="ar-SA"/>
              </w:rPr>
              <w:t>因子</w:t>
            </w:r>
            <w:r>
              <w:rPr>
                <w:rFonts w:hint="default" w:ascii="Times New Roman" w:hAnsi="Times New Roman" w:cs="Times New Roman"/>
                <w:color w:val="auto"/>
                <w:kern w:val="2"/>
                <w:sz w:val="21"/>
                <w:szCs w:val="21"/>
                <w:lang w:val="en-US" w:eastAsia="zh-CN" w:bidi="ar-SA"/>
              </w:rPr>
              <w:t>和土壤因子</w:t>
            </w:r>
            <w:r>
              <w:rPr>
                <w:rFonts w:hint="default" w:ascii="Times New Roman" w:hAnsi="Times New Roman" w:eastAsia="宋体" w:cs="Times New Roman"/>
                <w:color w:val="auto"/>
                <w:kern w:val="2"/>
                <w:sz w:val="21"/>
                <w:szCs w:val="21"/>
                <w:lang w:val="en-US" w:eastAsia="zh-CN" w:bidi="ar-SA"/>
              </w:rPr>
              <w:t>短时间内超标。</w:t>
            </w:r>
          </w:p>
        </w:tc>
      </w:tr>
      <w:tr w14:paraId="6FDC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9" w:type="dxa"/>
            <w:tcBorders>
              <w:tl2br w:val="nil"/>
              <w:tr2bl w:val="nil"/>
            </w:tcBorders>
            <w:noWrap w:val="0"/>
            <w:vAlign w:val="center"/>
          </w:tcPr>
          <w:p w14:paraId="32E2FF11">
            <w:pPr>
              <w:pStyle w:val="1519"/>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风险防</w:t>
            </w:r>
            <w:r>
              <w:rPr>
                <w:rFonts w:hint="eastAsia" w:cs="Times New Roman"/>
                <w:color w:val="auto"/>
                <w:sz w:val="21"/>
                <w:szCs w:val="21"/>
                <w:vertAlign w:val="baseline"/>
                <w:lang w:val="en-US" w:eastAsia="zh-CN"/>
              </w:rPr>
              <w:t>控</w:t>
            </w:r>
            <w:r>
              <w:rPr>
                <w:rFonts w:hint="default" w:ascii="Times New Roman" w:hAnsi="Times New Roman" w:cs="Times New Roman"/>
                <w:color w:val="auto"/>
                <w:sz w:val="21"/>
                <w:szCs w:val="21"/>
                <w:vertAlign w:val="baseline"/>
                <w:lang w:val="en-US" w:eastAsia="zh-CN"/>
              </w:rPr>
              <w:t>措施要求</w:t>
            </w:r>
          </w:p>
        </w:tc>
        <w:tc>
          <w:tcPr>
            <w:tcW w:w="6829" w:type="dxa"/>
            <w:gridSpan w:val="4"/>
            <w:tcBorders>
              <w:tl2br w:val="nil"/>
              <w:tr2bl w:val="nil"/>
            </w:tcBorders>
            <w:noWrap w:val="0"/>
            <w:vAlign w:val="center"/>
          </w:tcPr>
          <w:p w14:paraId="4D1DD4A7">
            <w:pPr>
              <w:keepNext w:val="0"/>
              <w:keepLines w:val="0"/>
              <w:pageBreakBefore w:val="0"/>
              <w:widowControl/>
              <w:kinsoku/>
              <w:wordWrap/>
              <w:overflowPunct/>
              <w:topLinePunct w:val="0"/>
              <w:autoSpaceDE/>
              <w:autoSpaceDN/>
              <w:bidi w:val="0"/>
              <w:spacing w:line="240" w:lineRule="auto"/>
              <w:jc w:val="left"/>
              <w:textAlignment w:val="auto"/>
              <w:outlineLvl w:val="9"/>
              <w:rPr>
                <w:rFonts w:hint="default" w:ascii="Times New Roman" w:hAnsi="Times New Roman" w:cs="Times New Roman"/>
                <w:color w:val="auto"/>
                <w:sz w:val="21"/>
                <w:szCs w:val="21"/>
                <w:highlight w:val="none"/>
                <w:lang w:eastAsia="zh-CN"/>
              </w:rPr>
            </w:pP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严禁作业人员穿化纤衣服；</w:t>
            </w:r>
          </w:p>
          <w:p w14:paraId="56A73B9D">
            <w:pPr>
              <w:keepNext w:val="0"/>
              <w:keepLines w:val="0"/>
              <w:pageBreakBefore w:val="0"/>
              <w:widowControl/>
              <w:kinsoku/>
              <w:wordWrap/>
              <w:overflowPunct/>
              <w:topLinePunct w:val="0"/>
              <w:autoSpaceDE/>
              <w:autoSpaceDN/>
              <w:bidi w:val="0"/>
              <w:spacing w:line="240" w:lineRule="auto"/>
              <w:jc w:val="left"/>
              <w:textAlignment w:val="auto"/>
              <w:outlineLvl w:val="9"/>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事故状态下，安排专员进行疏散通道，并进行安置；</w:t>
            </w:r>
          </w:p>
          <w:p w14:paraId="15BA6145">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危废贮存点和药剂贮存处</w:t>
            </w:r>
            <w:r>
              <w:rPr>
                <w:rFonts w:hint="default" w:ascii="Times New Roman" w:hAnsi="Times New Roman" w:cs="Times New Roman"/>
                <w:color w:val="auto"/>
                <w:sz w:val="21"/>
                <w:szCs w:val="21"/>
                <w:highlight w:val="none"/>
                <w:lang w:eastAsia="zh-CN"/>
              </w:rPr>
              <w:t>采用防风、防雨、防晒、防渗处理，防止</w:t>
            </w:r>
            <w:r>
              <w:rPr>
                <w:rFonts w:hint="eastAsia" w:ascii="Times New Roman" w:hAnsi="Times New Roman" w:cs="Times New Roman"/>
                <w:color w:val="auto"/>
                <w:sz w:val="21"/>
                <w:szCs w:val="21"/>
                <w:highlight w:val="none"/>
                <w:lang w:val="en-US" w:eastAsia="zh-CN"/>
              </w:rPr>
              <w:t>风险物质</w:t>
            </w:r>
            <w:r>
              <w:rPr>
                <w:rFonts w:hint="default" w:ascii="Times New Roman" w:hAnsi="Times New Roman" w:cs="Times New Roman"/>
                <w:color w:val="auto"/>
                <w:sz w:val="21"/>
                <w:szCs w:val="21"/>
                <w:highlight w:val="none"/>
                <w:lang w:eastAsia="zh-CN"/>
              </w:rPr>
              <w:t>在贮存时可能产生的废液渗漏对地下水的污染。</w:t>
            </w:r>
            <w:r>
              <w:rPr>
                <w:rFonts w:hint="eastAsia" w:ascii="Times New Roman" w:hAnsi="Times New Roman" w:cs="Times New Roman"/>
                <w:color w:val="auto"/>
                <w:sz w:val="21"/>
                <w:szCs w:val="21"/>
                <w:highlight w:val="none"/>
                <w:lang w:val="en-US" w:eastAsia="zh-CN"/>
              </w:rPr>
              <w:t>危废贮存点设置</w:t>
            </w:r>
            <w:r>
              <w:rPr>
                <w:rFonts w:hint="default" w:ascii="Times New Roman" w:hAnsi="Times New Roman" w:cs="Times New Roman"/>
                <w:color w:val="auto"/>
                <w:sz w:val="21"/>
                <w:szCs w:val="21"/>
                <w:highlight w:val="none"/>
                <w:lang w:val="en-US" w:eastAsia="zh-CN"/>
              </w:rPr>
              <w:t>标识，定期委托有资质单位对</w:t>
            </w:r>
            <w:r>
              <w:rPr>
                <w:rFonts w:hint="eastAsia" w:ascii="Times New Roman" w:hAnsi="Times New Roman" w:cs="Times New Roman"/>
                <w:color w:val="auto"/>
                <w:sz w:val="21"/>
                <w:szCs w:val="21"/>
                <w:highlight w:val="none"/>
                <w:lang w:val="en-US" w:eastAsia="zh-CN"/>
              </w:rPr>
              <w:t>危废</w:t>
            </w:r>
            <w:r>
              <w:rPr>
                <w:rFonts w:hint="default" w:ascii="Times New Roman" w:hAnsi="Times New Roman" w:cs="Times New Roman"/>
                <w:color w:val="auto"/>
                <w:sz w:val="21"/>
                <w:szCs w:val="21"/>
                <w:highlight w:val="none"/>
                <w:lang w:val="en-US" w:eastAsia="zh-CN"/>
              </w:rPr>
              <w:t>进行处置。</w:t>
            </w:r>
          </w:p>
          <w:p w14:paraId="0AC7CEC1">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eastAsia="宋体"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4</w:t>
            </w:r>
            <w:r>
              <w:rPr>
                <w:rFonts w:hint="default" w:ascii="Times New Roman" w:hAnsi="Times New Roman"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加强巡视。</w:t>
            </w:r>
          </w:p>
          <w:p w14:paraId="5FF826B6">
            <w:pPr>
              <w:keepNext w:val="0"/>
              <w:keepLines w:val="0"/>
              <w:pageBreakBefore w:val="0"/>
              <w:widowControl w:val="0"/>
              <w:kinsoku/>
              <w:wordWrap/>
              <w:overflowPunct/>
              <w:topLinePunct w:val="0"/>
              <w:autoSpaceDE/>
              <w:autoSpaceDN/>
              <w:bidi w:val="0"/>
              <w:adjustRightInd w:val="0"/>
              <w:snapToGrid w:val="0"/>
              <w:spacing w:line="240" w:lineRule="auto"/>
              <w:textAlignment w:val="auto"/>
              <w:outlineLvl w:val="9"/>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kern w:val="2"/>
                <w:sz w:val="21"/>
                <w:szCs w:val="21"/>
                <w:vertAlign w:val="baseline"/>
                <w:lang w:val="en-US" w:eastAsia="zh-CN" w:bidi="ar-SA"/>
              </w:rPr>
              <w:t>5</w:t>
            </w:r>
            <w:r>
              <w:rPr>
                <w:rFonts w:hint="default" w:ascii="Times New Roman" w:hAnsi="Times New Roman" w:cs="Times New Roman"/>
                <w:color w:val="auto"/>
                <w:kern w:val="2"/>
                <w:sz w:val="21"/>
                <w:szCs w:val="21"/>
                <w:vertAlign w:val="baseline"/>
                <w:lang w:val="en-US" w:eastAsia="zh-CN" w:bidi="ar-SA"/>
              </w:rPr>
              <w:t>、</w:t>
            </w:r>
            <w:r>
              <w:rPr>
                <w:rFonts w:hint="default" w:ascii="Times New Roman" w:hAnsi="Times New Roman" w:eastAsia="宋体" w:cs="Times New Roman"/>
                <w:color w:val="auto"/>
                <w:kern w:val="2"/>
                <w:sz w:val="21"/>
                <w:szCs w:val="21"/>
                <w:vertAlign w:val="baseline"/>
                <w:lang w:val="en-US" w:eastAsia="zh-CN" w:bidi="ar-SA"/>
              </w:rPr>
              <w:t>制订应急预案</w:t>
            </w:r>
            <w:r>
              <w:rPr>
                <w:rFonts w:hint="default" w:ascii="Times New Roman" w:hAnsi="Times New Roman" w:cs="Times New Roman"/>
                <w:color w:val="auto"/>
                <w:kern w:val="2"/>
                <w:sz w:val="21"/>
                <w:szCs w:val="21"/>
                <w:vertAlign w:val="baseline"/>
                <w:lang w:val="en-US" w:eastAsia="zh-CN" w:bidi="ar-SA"/>
              </w:rPr>
              <w:t>。</w:t>
            </w:r>
          </w:p>
        </w:tc>
      </w:tr>
    </w:tbl>
    <w:p w14:paraId="0220E99E">
      <w:pPr>
        <w:pStyle w:val="3"/>
        <w:bidi w:val="0"/>
        <w:rPr>
          <w:rFonts w:hint="default"/>
          <w:lang w:val="en-US" w:eastAsia="zh-CN"/>
        </w:rPr>
      </w:pPr>
      <w:bookmarkStart w:id="124" w:name="_Toc436571643"/>
      <w:bookmarkEnd w:id="124"/>
      <w:bookmarkStart w:id="125" w:name="_Toc3973"/>
      <w:r>
        <w:rPr>
          <w:rFonts w:hint="eastAsia"/>
          <w:lang w:val="en-US" w:eastAsia="zh-CN"/>
        </w:rPr>
        <w:t>8</w:t>
      </w:r>
      <w:r>
        <w:rPr>
          <w:rFonts w:hint="default"/>
          <w:lang w:val="en-US" w:eastAsia="zh-CN"/>
        </w:rPr>
        <w:t>环境保护措施及其可行性论证</w:t>
      </w:r>
      <w:bookmarkEnd w:id="125"/>
    </w:p>
    <w:p w14:paraId="2C257D5F">
      <w:pPr>
        <w:pStyle w:val="4"/>
        <w:bidi w:val="0"/>
        <w:rPr>
          <w:rFonts w:hint="default" w:ascii="Times New Roman" w:hAnsi="Times New Roman" w:cs="Times New Roman" w:eastAsiaTheme="minorEastAsia"/>
          <w:lang w:val="en-US" w:eastAsia="zh-CN"/>
        </w:rPr>
      </w:pPr>
      <w:bookmarkStart w:id="126" w:name="_Toc436571644"/>
      <w:bookmarkEnd w:id="126"/>
      <w:bookmarkStart w:id="127" w:name="_Toc20079"/>
      <w:r>
        <w:rPr>
          <w:rFonts w:hint="default" w:ascii="Times New Roman" w:hAnsi="Times New Roman" w:cs="Times New Roman" w:eastAsiaTheme="minorEastAsia"/>
          <w:lang w:val="en-US" w:eastAsia="zh-CN"/>
        </w:rPr>
        <w:t>8</w:t>
      </w:r>
      <w:r>
        <w:rPr>
          <w:rFonts w:hint="default" w:ascii="Times New Roman" w:hAnsi="Times New Roman" w:cs="Times New Roman" w:eastAsiaTheme="minorEastAsia"/>
        </w:rPr>
        <w:t>.1施工期污染防治措施</w:t>
      </w:r>
      <w:bookmarkEnd w:id="127"/>
    </w:p>
    <w:p w14:paraId="4B1D6B4B">
      <w:pPr>
        <w:bidi w:val="0"/>
        <w:spacing w:line="360" w:lineRule="auto"/>
        <w:rPr>
          <w:rFonts w:hint="default"/>
          <w:sz w:val="24"/>
          <w:szCs w:val="32"/>
          <w:lang w:val="en-US" w:eastAsia="zh-CN"/>
        </w:rPr>
      </w:pPr>
      <w:bookmarkStart w:id="128" w:name="_Toc436571645"/>
      <w:r>
        <w:rPr>
          <w:rFonts w:hint="eastAsia"/>
          <w:lang w:val="en-US" w:eastAsia="zh-CN"/>
        </w:rPr>
        <w:t xml:space="preserve">   </w:t>
      </w:r>
      <w:r>
        <w:rPr>
          <w:rFonts w:hint="eastAsia"/>
          <w:sz w:val="24"/>
          <w:szCs w:val="32"/>
          <w:lang w:val="en-US" w:eastAsia="zh-CN"/>
        </w:rPr>
        <w:t xml:space="preserve"> 企业施工期已过，在施工期间采取了相应的污染防治措施，有效减轻了施工期间产生的废气、废水、噪声和固废对项目区域的不利影响，具体措施如下。</w:t>
      </w:r>
    </w:p>
    <w:p w14:paraId="425D89E7">
      <w:pPr>
        <w:pStyle w:val="5"/>
        <w:bidi w:val="0"/>
        <w:rPr>
          <w:rFonts w:hint="eastAsia"/>
          <w:lang w:val="en-US" w:eastAsia="zh-CN"/>
        </w:rPr>
      </w:pPr>
      <w:r>
        <w:rPr>
          <w:rFonts w:hint="eastAsia"/>
          <w:lang w:val="en-US" w:eastAsia="zh-CN"/>
        </w:rPr>
        <w:t>8.1.1施工扬尘防治措施</w:t>
      </w:r>
    </w:p>
    <w:p w14:paraId="3293BCED">
      <w:pPr>
        <w:spacing w:line="360" w:lineRule="auto"/>
        <w:ind w:firstLine="480" w:firstLineChars="200"/>
        <w:rPr>
          <w:rFonts w:hint="default" w:eastAsiaTheme="minorEastAsia"/>
          <w:color w:val="auto"/>
          <w:sz w:val="24"/>
          <w:lang w:val="en-US" w:eastAsia="zh-CN"/>
        </w:rPr>
      </w:pPr>
      <w:r>
        <w:rPr>
          <w:rFonts w:hint="eastAsia" w:eastAsiaTheme="minorEastAsia"/>
          <w:color w:val="auto"/>
          <w:sz w:val="24"/>
        </w:rPr>
        <w:t>施工期扬尘主要来自土方开挖、堆放及建筑材料的运输、堆放和使用过程，为防止其对周围环境空气会造成不良影响，</w:t>
      </w:r>
      <w:r>
        <w:rPr>
          <w:rFonts w:hint="eastAsia" w:eastAsiaTheme="minorEastAsia"/>
          <w:color w:val="auto"/>
          <w:sz w:val="24"/>
          <w:lang w:val="en-US" w:eastAsia="zh-CN"/>
        </w:rPr>
        <w:t>企业采取了如下措施。</w:t>
      </w:r>
    </w:p>
    <w:p w14:paraId="22CB8E50">
      <w:pPr>
        <w:numPr>
          <w:ilvl w:val="0"/>
          <w:numId w:val="12"/>
        </w:numPr>
        <w:spacing w:line="360" w:lineRule="auto"/>
        <w:ind w:firstLine="480" w:firstLineChars="200"/>
        <w:rPr>
          <w:rFonts w:eastAsiaTheme="minorEastAsia"/>
          <w:color w:val="auto"/>
          <w:sz w:val="24"/>
        </w:rPr>
      </w:pPr>
      <w:r>
        <w:rPr>
          <w:rFonts w:hint="eastAsia" w:eastAsiaTheme="minorEastAsia"/>
          <w:color w:val="auto"/>
          <w:sz w:val="24"/>
        </w:rPr>
        <w:t>对于施工场地内易起尘的物料要采取表面加湿、设置工棚等遮挡措施，减少施工扬尘对环境的影响；</w:t>
      </w:r>
    </w:p>
    <w:p w14:paraId="1B0BC0E4">
      <w:pPr>
        <w:numPr>
          <w:ilvl w:val="0"/>
          <w:numId w:val="12"/>
        </w:numPr>
        <w:spacing w:line="360" w:lineRule="auto"/>
        <w:ind w:firstLine="480" w:firstLineChars="200"/>
        <w:rPr>
          <w:rFonts w:eastAsiaTheme="minorEastAsia"/>
          <w:color w:val="auto"/>
          <w:sz w:val="24"/>
        </w:rPr>
      </w:pPr>
      <w:r>
        <w:rPr>
          <w:rFonts w:hint="eastAsia" w:eastAsiaTheme="minorEastAsia"/>
          <w:color w:val="auto"/>
          <w:sz w:val="24"/>
        </w:rPr>
        <w:t>施工场地和施工道路定时洒水抑尘，减少物料露天堆放，运输易起尘物料的车辆遮盖篷布散落的物料及时清理；</w:t>
      </w:r>
    </w:p>
    <w:p w14:paraId="0F2960AE">
      <w:pPr>
        <w:numPr>
          <w:ilvl w:val="0"/>
          <w:numId w:val="12"/>
        </w:numPr>
        <w:spacing w:line="360" w:lineRule="auto"/>
        <w:ind w:firstLine="480" w:firstLineChars="200"/>
        <w:rPr>
          <w:rFonts w:eastAsiaTheme="minorEastAsia"/>
          <w:color w:val="auto"/>
          <w:sz w:val="24"/>
        </w:rPr>
      </w:pPr>
      <w:r>
        <w:rPr>
          <w:rFonts w:hint="eastAsia" w:eastAsiaTheme="minorEastAsia"/>
          <w:color w:val="auto"/>
          <w:sz w:val="24"/>
        </w:rPr>
        <w:t>施工场地出入口，厂区路面、主要施工点周围采取地面临时硬化措施；</w:t>
      </w:r>
    </w:p>
    <w:p w14:paraId="6EF2C4B2">
      <w:pPr>
        <w:numPr>
          <w:ilvl w:val="0"/>
          <w:numId w:val="12"/>
        </w:numPr>
        <w:spacing w:line="360" w:lineRule="auto"/>
        <w:ind w:firstLine="480" w:firstLineChars="200"/>
        <w:rPr>
          <w:rFonts w:eastAsiaTheme="minorEastAsia"/>
          <w:color w:val="auto"/>
          <w:sz w:val="24"/>
        </w:rPr>
      </w:pPr>
      <w:r>
        <w:rPr>
          <w:rFonts w:hint="eastAsia" w:eastAsiaTheme="minorEastAsia"/>
          <w:color w:val="auto"/>
          <w:sz w:val="24"/>
        </w:rPr>
        <w:t>土石方挖掘完后，要及时回填，剩余土方应及时运到尾矿库用于恢复治理，临时堆放在施工生活区主导风向的侧风向，减轻对施工生活区的影响，同时防止水土流失；</w:t>
      </w:r>
    </w:p>
    <w:p w14:paraId="07C33E38">
      <w:pPr>
        <w:numPr>
          <w:ilvl w:val="0"/>
          <w:numId w:val="12"/>
        </w:numPr>
        <w:spacing w:line="360" w:lineRule="auto"/>
        <w:ind w:firstLine="480" w:firstLineChars="200"/>
        <w:rPr>
          <w:rFonts w:eastAsiaTheme="minorEastAsia"/>
          <w:color w:val="auto"/>
          <w:sz w:val="24"/>
        </w:rPr>
      </w:pPr>
      <w:r>
        <w:rPr>
          <w:rFonts w:hint="eastAsia" w:eastAsiaTheme="minorEastAsia"/>
          <w:color w:val="auto"/>
          <w:sz w:val="24"/>
        </w:rPr>
        <w:t>制定合理的施工计划，采取集中力量逐项施工的方法，缩短施工周期，减少施工现场的作业面，减轻施工扬尘对环境的影响。</w:t>
      </w:r>
    </w:p>
    <w:p w14:paraId="545B9794">
      <w:pPr>
        <w:pStyle w:val="5"/>
        <w:bidi w:val="0"/>
        <w:rPr>
          <w:rFonts w:hint="eastAsia"/>
          <w:lang w:val="en-US" w:eastAsia="zh-CN"/>
        </w:rPr>
      </w:pPr>
      <w:r>
        <w:rPr>
          <w:rFonts w:hint="eastAsia"/>
          <w:lang w:val="en-US" w:eastAsia="zh-CN"/>
        </w:rPr>
        <w:t>8.1.2施工期废水污染防治措施</w:t>
      </w:r>
    </w:p>
    <w:p w14:paraId="2B6D220B">
      <w:pPr>
        <w:pStyle w:val="177"/>
        <w:ind w:firstLine="480"/>
        <w:rPr>
          <w:rFonts w:ascii="Times New Roman"/>
          <w:color w:val="auto"/>
        </w:rPr>
      </w:pPr>
      <w:r>
        <w:rPr>
          <w:rFonts w:ascii="Times New Roman"/>
          <w:color w:val="auto"/>
        </w:rPr>
        <w:t>（1）施工废水</w:t>
      </w:r>
    </w:p>
    <w:p w14:paraId="11D86EB0">
      <w:pPr>
        <w:pStyle w:val="177"/>
        <w:ind w:firstLine="480"/>
        <w:rPr>
          <w:rFonts w:ascii="Times New Roman"/>
          <w:color w:val="auto"/>
        </w:rPr>
      </w:pPr>
      <w:r>
        <w:rPr>
          <w:rFonts w:ascii="Times New Roman"/>
          <w:color w:val="auto"/>
        </w:rPr>
        <w:t>本项目采用商品混凝土，施工用水量较少，废水产生量相对较少。对施工废水主要是含有沙粒的废水，要求施工现场建立临时施工废水沉淀池（有效容积10m</w:t>
      </w:r>
      <w:r>
        <w:rPr>
          <w:rFonts w:ascii="Times New Roman"/>
          <w:color w:val="auto"/>
          <w:vertAlign w:val="superscript"/>
        </w:rPr>
        <w:t>3</w:t>
      </w:r>
      <w:r>
        <w:rPr>
          <w:rFonts w:ascii="Times New Roman"/>
          <w:color w:val="auto"/>
        </w:rPr>
        <w:t>），沉淀后优先回用于场地施工工序中，剩余部分回用于场地降，对地表水影响较小。</w:t>
      </w:r>
    </w:p>
    <w:p w14:paraId="79F4A6A8">
      <w:pPr>
        <w:pStyle w:val="177"/>
        <w:ind w:firstLine="480"/>
        <w:rPr>
          <w:rFonts w:ascii="Times New Roman"/>
          <w:color w:val="auto"/>
        </w:rPr>
      </w:pPr>
      <w:r>
        <w:rPr>
          <w:rFonts w:ascii="Times New Roman"/>
          <w:color w:val="auto"/>
        </w:rPr>
        <w:t>施工中，施工机械</w:t>
      </w:r>
      <w:r>
        <w:rPr>
          <w:rFonts w:hint="eastAsia" w:ascii="Times New Roman"/>
          <w:color w:val="auto"/>
          <w:lang w:val="en-US" w:eastAsia="zh-CN"/>
        </w:rPr>
        <w:t>进行</w:t>
      </w:r>
      <w:r>
        <w:rPr>
          <w:rFonts w:ascii="Times New Roman"/>
          <w:color w:val="auto"/>
        </w:rPr>
        <w:t>严格检查，防止油料</w:t>
      </w:r>
      <w:r>
        <w:rPr>
          <w:rFonts w:hint="eastAsia" w:ascii="Times New Roman"/>
          <w:color w:val="auto"/>
          <w:lang w:eastAsia="zh-CN"/>
        </w:rPr>
        <w:t>泄漏</w:t>
      </w:r>
      <w:r>
        <w:rPr>
          <w:rFonts w:ascii="Times New Roman"/>
          <w:color w:val="auto"/>
        </w:rPr>
        <w:t>，同时严禁将残油污水、废油随意倾倒。</w:t>
      </w:r>
    </w:p>
    <w:p w14:paraId="0DDD0E85">
      <w:pPr>
        <w:pStyle w:val="177"/>
        <w:ind w:firstLine="480"/>
        <w:rPr>
          <w:rFonts w:ascii="Times New Roman"/>
          <w:color w:val="auto"/>
        </w:rPr>
      </w:pPr>
      <w:r>
        <w:rPr>
          <w:rFonts w:ascii="Times New Roman"/>
          <w:color w:val="auto"/>
        </w:rPr>
        <w:t>做好</w:t>
      </w:r>
      <w:r>
        <w:rPr>
          <w:rFonts w:hint="eastAsia" w:ascii="Times New Roman"/>
          <w:color w:val="auto"/>
          <w:lang w:val="en-US" w:eastAsia="zh-CN"/>
        </w:rPr>
        <w:t>了</w:t>
      </w:r>
      <w:r>
        <w:rPr>
          <w:rFonts w:ascii="Times New Roman"/>
          <w:color w:val="auto"/>
        </w:rPr>
        <w:t>建筑材料和建筑废料的管理，避免地面水体二次污染。</w:t>
      </w:r>
    </w:p>
    <w:p w14:paraId="0EAF7972">
      <w:pPr>
        <w:pStyle w:val="177"/>
        <w:ind w:firstLine="480"/>
        <w:rPr>
          <w:rFonts w:ascii="Times New Roman"/>
          <w:color w:val="auto"/>
        </w:rPr>
      </w:pPr>
      <w:r>
        <w:rPr>
          <w:rFonts w:ascii="Times New Roman"/>
          <w:color w:val="auto"/>
        </w:rPr>
        <w:t>在施工过程中应加强对机械设备的检修，</w:t>
      </w:r>
      <w:r>
        <w:rPr>
          <w:rFonts w:hint="eastAsia" w:ascii="Times New Roman"/>
          <w:color w:val="auto"/>
          <w:lang w:val="en-US" w:eastAsia="zh-CN"/>
        </w:rPr>
        <w:t>有效</w:t>
      </w:r>
      <w:r>
        <w:rPr>
          <w:rFonts w:ascii="Times New Roman"/>
          <w:color w:val="auto"/>
        </w:rPr>
        <w:t>防止设备漏油现象发生。</w:t>
      </w:r>
    </w:p>
    <w:p w14:paraId="15ABEDB6">
      <w:pPr>
        <w:pStyle w:val="177"/>
        <w:ind w:firstLine="480"/>
        <w:rPr>
          <w:rFonts w:ascii="Times New Roman"/>
          <w:color w:val="auto"/>
        </w:rPr>
      </w:pPr>
      <w:r>
        <w:rPr>
          <w:rFonts w:ascii="Times New Roman"/>
          <w:color w:val="auto"/>
        </w:rPr>
        <w:t>（2）生活污水</w:t>
      </w:r>
    </w:p>
    <w:p w14:paraId="564E1886">
      <w:pPr>
        <w:pStyle w:val="177"/>
        <w:ind w:left="420" w:leftChars="200" w:firstLine="0" w:firstLineChars="0"/>
        <w:rPr>
          <w:rFonts w:ascii="Times New Roman"/>
          <w:color w:val="auto"/>
        </w:rPr>
      </w:pPr>
      <w:r>
        <w:rPr>
          <w:rFonts w:ascii="Times New Roman"/>
          <w:color w:val="auto"/>
        </w:rPr>
        <w:t>施工人员排放的生活污水</w:t>
      </w:r>
      <w:r>
        <w:rPr>
          <w:rFonts w:hint="eastAsia" w:ascii="Times New Roman"/>
          <w:color w:val="auto"/>
        </w:rPr>
        <w:t>依托</w:t>
      </w:r>
      <w:r>
        <w:rPr>
          <w:rFonts w:hint="eastAsia" w:ascii="Times New Roman"/>
          <w:color w:val="auto"/>
          <w:lang w:val="en-US" w:eastAsia="zh-CN"/>
        </w:rPr>
        <w:t>厂区现有旱厕</w:t>
      </w:r>
      <w:r>
        <w:rPr>
          <w:rFonts w:ascii="Times New Roman"/>
          <w:color w:val="auto"/>
        </w:rPr>
        <w:t>。</w:t>
      </w:r>
    </w:p>
    <w:p w14:paraId="0694F3C5">
      <w:pPr>
        <w:pStyle w:val="5"/>
        <w:bidi w:val="0"/>
        <w:rPr>
          <w:rFonts w:hint="eastAsia"/>
          <w:lang w:val="en-US" w:eastAsia="zh-CN"/>
        </w:rPr>
      </w:pPr>
      <w:r>
        <w:rPr>
          <w:rFonts w:hint="eastAsia"/>
          <w:lang w:val="en-US" w:eastAsia="zh-CN"/>
        </w:rPr>
        <w:t>8.1.3施工期噪声防治措施</w:t>
      </w:r>
    </w:p>
    <w:p w14:paraId="28B3F901">
      <w:pPr>
        <w:pStyle w:val="177"/>
        <w:ind w:firstLine="480"/>
        <w:rPr>
          <w:rFonts w:ascii="Times New Roman"/>
          <w:color w:val="auto"/>
        </w:rPr>
      </w:pPr>
      <w:r>
        <w:rPr>
          <w:rFonts w:ascii="Times New Roman"/>
          <w:color w:val="auto"/>
        </w:rPr>
        <w:t>建设单位加强管理，施工期采取以下噪声防治措施：</w:t>
      </w:r>
    </w:p>
    <w:p w14:paraId="14BC8C06">
      <w:pPr>
        <w:pStyle w:val="177"/>
        <w:ind w:firstLine="480"/>
        <w:rPr>
          <w:rFonts w:ascii="Times New Roman"/>
          <w:color w:val="auto"/>
        </w:rPr>
      </w:pPr>
      <w:r>
        <w:rPr>
          <w:rFonts w:hint="eastAsia" w:ascii="Times New Roman"/>
          <w:color w:val="auto"/>
        </w:rPr>
        <w:t>①</w:t>
      </w:r>
      <w:r>
        <w:rPr>
          <w:rFonts w:ascii="Times New Roman"/>
          <w:color w:val="auto"/>
        </w:rPr>
        <w:t>合理安排施工时间，尽可能避免高噪声设备同时施工。同时，高噪声设备施工时间尽量安排在日间，尽量避免高噪声设备在作息时间（中午或夜间）作业，夜间22时-次日6时之间严禁施工。</w:t>
      </w:r>
    </w:p>
    <w:p w14:paraId="079B6DFA">
      <w:pPr>
        <w:pStyle w:val="177"/>
        <w:ind w:firstLine="480"/>
        <w:rPr>
          <w:rFonts w:ascii="Times New Roman"/>
          <w:color w:val="auto"/>
        </w:rPr>
      </w:pPr>
      <w:r>
        <w:rPr>
          <w:rFonts w:hint="eastAsia" w:ascii="Times New Roman"/>
          <w:color w:val="auto"/>
        </w:rPr>
        <w:t>②</w:t>
      </w:r>
      <w:r>
        <w:rPr>
          <w:rFonts w:ascii="Times New Roman"/>
          <w:color w:val="auto"/>
        </w:rPr>
        <w:t>选用较先进、噪声较小的施工设备或带隔声、消声的设备，加强对施工设备的维修保养。缩短一次开机时间、避免集中作业等，以减少噪声污染。</w:t>
      </w:r>
    </w:p>
    <w:p w14:paraId="332B5330">
      <w:pPr>
        <w:pStyle w:val="177"/>
        <w:ind w:firstLine="480"/>
        <w:rPr>
          <w:rFonts w:ascii="Times New Roman"/>
          <w:color w:val="auto"/>
        </w:rPr>
      </w:pPr>
      <w:r>
        <w:rPr>
          <w:rFonts w:hint="eastAsia" w:ascii="Times New Roman"/>
          <w:color w:val="auto"/>
        </w:rPr>
        <w:t>③</w:t>
      </w:r>
      <w:r>
        <w:rPr>
          <w:rFonts w:ascii="Times New Roman"/>
          <w:color w:val="auto"/>
        </w:rPr>
        <w:t>合理疏导进入施工区的车辆，</w:t>
      </w:r>
      <w:r>
        <w:rPr>
          <w:rFonts w:hint="eastAsia" w:ascii="Times New Roman"/>
          <w:color w:val="auto"/>
        </w:rPr>
        <w:t>减速慢行</w:t>
      </w:r>
      <w:r>
        <w:rPr>
          <w:rFonts w:ascii="Times New Roman"/>
          <w:color w:val="auto"/>
        </w:rPr>
        <w:t>。</w:t>
      </w:r>
    </w:p>
    <w:p w14:paraId="2C9A8FD7">
      <w:pPr>
        <w:pStyle w:val="177"/>
        <w:ind w:firstLine="480"/>
        <w:rPr>
          <w:rFonts w:ascii="Times New Roman"/>
          <w:color w:val="auto"/>
        </w:rPr>
      </w:pPr>
      <w:r>
        <w:rPr>
          <w:rFonts w:hint="eastAsia" w:ascii="Times New Roman"/>
          <w:color w:val="auto"/>
        </w:rPr>
        <w:t>④尽量避开敏感点路段运输，不可避免时减速慢行，禁止鸣笛。</w:t>
      </w:r>
    </w:p>
    <w:p w14:paraId="190789FC">
      <w:pPr>
        <w:pStyle w:val="5"/>
        <w:bidi w:val="0"/>
        <w:rPr>
          <w:rFonts w:hint="eastAsia"/>
          <w:lang w:val="en-US" w:eastAsia="zh-CN"/>
        </w:rPr>
      </w:pPr>
      <w:r>
        <w:rPr>
          <w:rFonts w:hint="eastAsia"/>
          <w:lang w:val="en-US" w:eastAsia="zh-CN"/>
        </w:rPr>
        <w:t>8.1.4施工期固体废物污染防治措施</w:t>
      </w:r>
    </w:p>
    <w:p w14:paraId="4EDF7B05">
      <w:pPr>
        <w:numPr>
          <w:ilvl w:val="0"/>
          <w:numId w:val="13"/>
        </w:numPr>
        <w:spacing w:line="360" w:lineRule="auto"/>
        <w:ind w:firstLine="480" w:firstLineChars="200"/>
        <w:rPr>
          <w:rFonts w:eastAsiaTheme="minorEastAsia"/>
          <w:color w:val="auto"/>
          <w:sz w:val="24"/>
        </w:rPr>
      </w:pPr>
      <w:r>
        <w:rPr>
          <w:rFonts w:hint="eastAsia" w:eastAsiaTheme="minorEastAsia"/>
          <w:color w:val="auto"/>
          <w:sz w:val="24"/>
        </w:rPr>
        <w:t>基建期产生施工渣土建议均加以利用，可用于平整场地、铺路等；</w:t>
      </w:r>
    </w:p>
    <w:p w14:paraId="2D31463E">
      <w:pPr>
        <w:numPr>
          <w:ilvl w:val="0"/>
          <w:numId w:val="13"/>
        </w:numPr>
        <w:spacing w:line="360" w:lineRule="auto"/>
        <w:ind w:firstLine="480" w:firstLineChars="200"/>
        <w:rPr>
          <w:rFonts w:eastAsiaTheme="minorEastAsia"/>
          <w:color w:val="auto"/>
          <w:sz w:val="24"/>
        </w:rPr>
      </w:pPr>
      <w:r>
        <w:rPr>
          <w:rFonts w:hint="eastAsia" w:eastAsiaTheme="minorEastAsia"/>
          <w:color w:val="auto"/>
          <w:sz w:val="24"/>
        </w:rPr>
        <w:t>施工现场废弃的建筑垃圾宜分类回收，施工中产生的碎砖、石、砼块、黄沙等建筑垃圾，应及时收集作为地基的填筑料。各类建材的包装箱袋应派专人负责收集分类存放，统一运往废品站回收利用。力求做到工程施工安全文明，整洁卫生，创造一个良好的施工环境；</w:t>
      </w:r>
    </w:p>
    <w:p w14:paraId="43644648">
      <w:pPr>
        <w:spacing w:line="360" w:lineRule="auto"/>
        <w:ind w:firstLine="480" w:firstLineChars="200"/>
        <w:rPr>
          <w:color w:val="auto"/>
          <w:kern w:val="0"/>
          <w:sz w:val="24"/>
        </w:rPr>
      </w:pPr>
      <w:r>
        <w:rPr>
          <w:rFonts w:hint="eastAsia" w:eastAsiaTheme="minorEastAsia"/>
          <w:color w:val="auto"/>
          <w:sz w:val="24"/>
        </w:rPr>
        <w:t>（</w:t>
      </w:r>
      <w:r>
        <w:rPr>
          <w:rFonts w:eastAsiaTheme="minorEastAsia"/>
          <w:color w:val="auto"/>
          <w:sz w:val="24"/>
        </w:rPr>
        <w:t>3</w:t>
      </w:r>
      <w:r>
        <w:rPr>
          <w:rFonts w:hint="eastAsia" w:eastAsiaTheme="minorEastAsia"/>
          <w:color w:val="auto"/>
          <w:sz w:val="24"/>
        </w:rPr>
        <w:t>）生活垃圾</w:t>
      </w:r>
      <w:r>
        <w:rPr>
          <w:rFonts w:hint="eastAsia" w:eastAsiaTheme="minorEastAsia"/>
          <w:color w:val="auto"/>
          <w:sz w:val="24"/>
          <w:lang w:val="en-US" w:eastAsia="zh-CN"/>
        </w:rPr>
        <w:t>未</w:t>
      </w:r>
      <w:r>
        <w:rPr>
          <w:rFonts w:hint="eastAsia" w:eastAsiaTheme="minorEastAsia"/>
          <w:color w:val="auto"/>
          <w:sz w:val="24"/>
        </w:rPr>
        <w:t>随意丢弃，</w:t>
      </w:r>
      <w:r>
        <w:rPr>
          <w:rFonts w:hint="eastAsia"/>
          <w:color w:val="auto"/>
          <w:kern w:val="0"/>
          <w:sz w:val="24"/>
        </w:rPr>
        <w:t>施工作业区、生活区固定点设置活动式生活垃圾收集箱，并在人员相对集中的施工点设施移动式垃圾桶。生活垃圾做到箱（桶）满即清，并及时运走；</w:t>
      </w:r>
    </w:p>
    <w:p w14:paraId="336EF668">
      <w:pPr>
        <w:spacing w:line="360" w:lineRule="auto"/>
        <w:ind w:firstLine="480" w:firstLineChars="200"/>
        <w:rPr>
          <w:rFonts w:eastAsiaTheme="minorEastAsia"/>
          <w:color w:val="auto"/>
          <w:sz w:val="24"/>
        </w:rPr>
      </w:pPr>
      <w:r>
        <w:rPr>
          <w:rFonts w:hint="eastAsia" w:eastAsiaTheme="minorEastAsia"/>
          <w:color w:val="auto"/>
          <w:sz w:val="24"/>
          <w:lang w:val="en-US" w:eastAsia="zh-CN"/>
        </w:rPr>
        <w:t>企业采取的</w:t>
      </w:r>
      <w:r>
        <w:rPr>
          <w:rFonts w:hint="eastAsia" w:eastAsiaTheme="minorEastAsia"/>
          <w:color w:val="auto"/>
          <w:sz w:val="24"/>
        </w:rPr>
        <w:t>以上措施均为施工场地常用措施，环评认为施工期采取的各项污染防治措施合理可行。</w:t>
      </w:r>
    </w:p>
    <w:bookmarkEnd w:id="128"/>
    <w:p w14:paraId="0315C84C">
      <w:pPr>
        <w:pStyle w:val="4"/>
        <w:bidi w:val="0"/>
        <w:rPr>
          <w:rFonts w:hint="default" w:ascii="Times New Roman" w:hAnsi="Times New Roman" w:cs="Times New Roman" w:eastAsiaTheme="minorEastAsia"/>
          <w:lang w:val="en-US" w:eastAsia="zh-CN"/>
        </w:rPr>
      </w:pPr>
      <w:bookmarkStart w:id="129" w:name="_Toc30799"/>
      <w:r>
        <w:rPr>
          <w:rFonts w:hint="default" w:ascii="Times New Roman" w:hAnsi="Times New Roman" w:cs="Times New Roman" w:eastAsiaTheme="minorEastAsia"/>
          <w:lang w:val="en-US" w:eastAsia="zh-CN"/>
        </w:rPr>
        <w:t>8.2营运期污染防治措施</w:t>
      </w:r>
      <w:bookmarkEnd w:id="129"/>
    </w:p>
    <w:p w14:paraId="342E491F">
      <w:pPr>
        <w:pStyle w:val="5"/>
        <w:bidi w:val="0"/>
        <w:rPr>
          <w:rFonts w:hint="eastAsia"/>
          <w:lang w:val="en-US" w:eastAsia="zh-CN"/>
        </w:rPr>
      </w:pPr>
      <w:r>
        <w:rPr>
          <w:rFonts w:hint="eastAsia"/>
          <w:lang w:val="en-US" w:eastAsia="zh-CN"/>
        </w:rPr>
        <w:t>8.2.1环境空气污染防治</w:t>
      </w:r>
    </w:p>
    <w:p w14:paraId="08DEFE06">
      <w:pPr>
        <w:keepNext w:val="0"/>
        <w:keepLines w:val="0"/>
        <w:widowControl/>
        <w:suppressLineNumbers w:val="0"/>
        <w:spacing w:line="360" w:lineRule="auto"/>
        <w:jc w:val="left"/>
        <w:rPr>
          <w:b/>
          <w:bCs/>
        </w:rPr>
      </w:pP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、有组织粉尘污染防治措施</w:t>
      </w:r>
    </w:p>
    <w:p w14:paraId="250B2F44">
      <w:pPr>
        <w:spacing w:line="360" w:lineRule="auto"/>
        <w:rPr>
          <w:rFonts w:hint="default"/>
          <w:color w:val="auto"/>
          <w:kern w:val="0"/>
          <w:sz w:val="24"/>
          <w:lang w:val="en-US" w:eastAsia="zh-CN"/>
        </w:rPr>
      </w:pPr>
      <w:r>
        <w:rPr>
          <w:rFonts w:hint="eastAsia"/>
          <w:color w:val="auto"/>
          <w:kern w:val="0"/>
          <w:sz w:val="24"/>
          <w:lang w:val="en-US" w:eastAsia="zh-CN"/>
        </w:rPr>
        <w:t xml:space="preserve">    项目有组织废气排放源包括破碎区、球磨工序，企业依托现有布袋除尘器，粉尘经处理后通过1根15m高排气筒有组织排放，具体设置情况如下。</w:t>
      </w:r>
    </w:p>
    <w:p w14:paraId="28A469CC">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企业在破碎区、球磨机各产尘节点上设置集气罩，依托现有风机，风机风量为15</w:t>
      </w:r>
      <w:r>
        <w:rPr>
          <w:rFonts w:hint="default"/>
          <w:color w:val="auto"/>
          <w:kern w:val="0"/>
          <w:sz w:val="24"/>
          <w:lang w:val="en-US" w:eastAsia="zh-CN"/>
        </w:rPr>
        <w:t>000m</w:t>
      </w:r>
      <w:r>
        <w:rPr>
          <w:rFonts w:hint="default"/>
          <w:color w:val="auto"/>
          <w:kern w:val="0"/>
          <w:sz w:val="24"/>
          <w:vertAlign w:val="superscript"/>
          <w:lang w:val="en-US" w:eastAsia="zh-CN"/>
        </w:rPr>
        <w:t>3</w:t>
      </w:r>
      <w:r>
        <w:rPr>
          <w:rFonts w:hint="default"/>
          <w:color w:val="auto"/>
          <w:kern w:val="0"/>
          <w:sz w:val="24"/>
          <w:lang w:val="en-US" w:eastAsia="zh-CN"/>
        </w:rPr>
        <w:t>/h</w:t>
      </w:r>
      <w:r>
        <w:rPr>
          <w:rFonts w:hint="eastAsia"/>
          <w:color w:val="auto"/>
          <w:kern w:val="0"/>
          <w:sz w:val="24"/>
          <w:lang w:val="en-US" w:eastAsia="zh-CN"/>
        </w:rPr>
        <w:t>，粉尘经收集后引至布袋除尘器（TA001），集气罩收集效率为90%，除尘效率为99%，粉尘经处理后，通过1根15m高排气筒（DA001）有组织排放。经前文计算，排气筒出口颗粒物排放浓度为9.23mg/m</w:t>
      </w:r>
      <w:r>
        <w:rPr>
          <w:rFonts w:hint="eastAsia"/>
          <w:color w:val="auto"/>
          <w:kern w:val="0"/>
          <w:sz w:val="24"/>
          <w:vertAlign w:val="superscript"/>
          <w:lang w:val="en-US" w:eastAsia="zh-CN"/>
        </w:rPr>
        <w:t>3</w:t>
      </w:r>
      <w:r>
        <w:rPr>
          <w:rFonts w:hint="default"/>
          <w:color w:val="auto"/>
          <w:kern w:val="0"/>
          <w:sz w:val="24"/>
          <w:lang w:val="en-US" w:eastAsia="zh-CN"/>
        </w:rPr>
        <w:t>，</w:t>
      </w:r>
      <w:r>
        <w:rPr>
          <w:rFonts w:hint="eastAsia"/>
          <w:color w:val="auto"/>
          <w:kern w:val="0"/>
          <w:sz w:val="24"/>
          <w:lang w:val="en-US" w:eastAsia="zh-CN"/>
        </w:rPr>
        <w:t>排放速率为0.1385kg/h，可满足</w:t>
      </w:r>
      <w:r>
        <w:rPr>
          <w:rFonts w:hint="default" w:ascii="Times New Roman" w:hAnsi="Times New Roman" w:cs="Times New Roman"/>
          <w:color w:val="000000" w:themeColor="text1"/>
          <w:sz w:val="24"/>
          <w:lang w:val="en-US" w:eastAsia="zh-CN"/>
          <w14:textFill>
            <w14:solidFill>
              <w14:schemeClr w14:val="tx1"/>
            </w14:solidFill>
          </w14:textFill>
        </w:rPr>
        <w:t>《大气污染物综合排放标准》(GB16297-1996)表2标准要求</w:t>
      </w:r>
      <w:r>
        <w:rPr>
          <w:rFonts w:hint="eastAsia" w:cs="Times New Roman"/>
          <w:color w:val="000000" w:themeColor="text1"/>
          <w:sz w:val="24"/>
          <w:lang w:val="en-US" w:eastAsia="zh-CN"/>
          <w14:textFill>
            <w14:solidFill>
              <w14:schemeClr w14:val="tx1"/>
            </w14:solidFill>
          </w14:textFill>
        </w:rPr>
        <w:t>，即</w:t>
      </w:r>
      <w:r>
        <w:rPr>
          <w:rFonts w:hint="default" w:ascii="Times New Roman" w:hAnsi="Times New Roman" w:cs="Times New Roman"/>
          <w:color w:val="000000" w:themeColor="text1"/>
          <w:sz w:val="24"/>
          <w:lang w:val="en-US" w:eastAsia="zh-CN"/>
          <w14:textFill>
            <w14:solidFill>
              <w14:schemeClr w14:val="tx1"/>
            </w14:solidFill>
          </w14:textFill>
        </w:rPr>
        <w:t>120mg/m</w:t>
      </w:r>
      <w:r>
        <w:rPr>
          <w:rFonts w:hint="default" w:ascii="Times New Roman" w:hAnsi="Times New Roman" w:cs="Times New Roman"/>
          <w:color w:val="000000" w:themeColor="text1"/>
          <w:sz w:val="24"/>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4"/>
          <w:lang w:val="en-US" w:eastAsia="zh-CN"/>
          <w14:textFill>
            <w14:solidFill>
              <w14:schemeClr w14:val="tx1"/>
            </w14:solidFill>
          </w14:textFill>
        </w:rPr>
        <w:t>、3.5kg/h</w:t>
      </w:r>
      <w:r>
        <w:rPr>
          <w:rFonts w:hint="eastAsia"/>
          <w:color w:val="auto"/>
          <w:kern w:val="0"/>
          <w:sz w:val="24"/>
          <w:lang w:val="en-US" w:eastAsia="zh-CN"/>
        </w:rPr>
        <w:t>，做到达标排放。</w:t>
      </w:r>
    </w:p>
    <w:p w14:paraId="1DFE7AE1">
      <w:pPr>
        <w:spacing w:line="360" w:lineRule="auto"/>
        <w:rPr>
          <w:rFonts w:hint="eastAsia"/>
          <w:b/>
          <w:bCs/>
          <w:color w:val="auto"/>
          <w:kern w:val="0"/>
          <w:sz w:val="24"/>
          <w:lang w:val="en-US" w:eastAsia="zh-CN"/>
        </w:rPr>
      </w:pPr>
      <w:r>
        <w:rPr>
          <w:rFonts w:hint="eastAsia"/>
          <w:b/>
          <w:bCs/>
          <w:color w:val="auto"/>
          <w:kern w:val="0"/>
          <w:sz w:val="24"/>
          <w:lang w:val="en-US" w:eastAsia="zh-CN"/>
        </w:rPr>
        <w:t>·布袋除尘可行性分析：</w:t>
      </w:r>
    </w:p>
    <w:p w14:paraId="4F97D763">
      <w:pPr>
        <w:spacing w:line="360" w:lineRule="auto"/>
        <w:ind w:firstLine="480" w:firstLineChars="200"/>
        <w:rPr>
          <w:rFonts w:hint="default"/>
          <w:color w:val="auto"/>
          <w:kern w:val="0"/>
          <w:sz w:val="24"/>
          <w:lang w:val="en-US" w:eastAsia="zh-CN"/>
        </w:rPr>
      </w:pPr>
      <w:r>
        <w:rPr>
          <w:rFonts w:hint="default"/>
          <w:color w:val="auto"/>
          <w:kern w:val="0"/>
          <w:sz w:val="24"/>
          <w:lang w:val="en-US" w:eastAsia="zh-CN"/>
        </w:rPr>
        <w:t>布袋除尘器是一种对含尘气体进行微孔过滤的净化装置，适用于湿式和干式微细粉尘 (烟气)的净化和物理回收。工作原理是含尘烟气通过过滤材料，尘粒被过滤下来，过滤材料捕集粗粒粉尘主要靠惯性碰撞作用，捕集细粒粉尘主要靠扩散和筛分作用。滤料的粉尘层也有一定的过滤作用。</w:t>
      </w:r>
    </w:p>
    <w:p w14:paraId="61D7FC48">
      <w:pPr>
        <w:spacing w:line="360" w:lineRule="auto"/>
        <w:ind w:firstLine="480" w:firstLineChars="200"/>
        <w:rPr>
          <w:rFonts w:hint="default"/>
          <w:color w:val="auto"/>
          <w:kern w:val="0"/>
          <w:sz w:val="24"/>
          <w:lang w:val="en-US" w:eastAsia="zh-CN"/>
        </w:rPr>
      </w:pPr>
      <w:r>
        <w:rPr>
          <w:rFonts w:hint="default"/>
          <w:color w:val="auto"/>
          <w:kern w:val="0"/>
          <w:sz w:val="24"/>
          <w:lang w:val="en-US" w:eastAsia="zh-CN"/>
        </w:rPr>
        <w:t>布袋除尘器是一种处理风量大、清灰效果好、除尘效率高、工艺成熟、运行可靠、维护方便、占地面积小的除尘设备，目前广泛应用于锅炉行业除尘，市场反馈效果良好，除尘效率能达到</w:t>
      </w:r>
      <w:r>
        <w:rPr>
          <w:rFonts w:hint="default"/>
          <w:color w:val="auto"/>
          <w:kern w:val="0"/>
          <w:sz w:val="24"/>
          <w:highlight w:val="none"/>
          <w:lang w:val="en-US" w:eastAsia="zh-CN"/>
        </w:rPr>
        <w:t>99％以上。本</w:t>
      </w:r>
      <w:r>
        <w:rPr>
          <w:rFonts w:hint="default"/>
          <w:color w:val="auto"/>
          <w:kern w:val="0"/>
          <w:sz w:val="24"/>
          <w:lang w:val="en-US" w:eastAsia="zh-CN"/>
        </w:rPr>
        <w:t>项目在采取布袋除尘器除尘后，筛分风选系统粉尘排放浓度完全可满足达标排放要求。</w:t>
      </w:r>
    </w:p>
    <w:p w14:paraId="4186DF41">
      <w:pPr>
        <w:keepNext w:val="0"/>
        <w:keepLines w:val="0"/>
        <w:widowControl/>
        <w:suppressLineNumbers w:val="0"/>
        <w:spacing w:line="360" w:lineRule="auto"/>
        <w:jc w:val="left"/>
        <w:rPr>
          <w:b/>
          <w:bCs/>
        </w:rPr>
      </w:pPr>
      <w:r>
        <w:rPr>
          <w:rFonts w:hint="eastAsia"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、无组织粉尘污染防治措施</w:t>
      </w:r>
    </w:p>
    <w:p w14:paraId="55A15A5D">
      <w:pPr>
        <w:spacing w:line="360" w:lineRule="auto"/>
        <w:ind w:firstLine="480" w:firstLineChars="200"/>
        <w:rPr>
          <w:rFonts w:hint="default"/>
          <w:color w:val="auto"/>
          <w:kern w:val="0"/>
          <w:sz w:val="24"/>
          <w:highlight w:val="none"/>
          <w:lang w:val="en-US" w:eastAsia="zh-CN"/>
        </w:rPr>
      </w:pPr>
      <w:r>
        <w:rPr>
          <w:rFonts w:hint="eastAsia"/>
          <w:color w:val="auto"/>
          <w:kern w:val="0"/>
          <w:sz w:val="24"/>
          <w:lang w:val="en-US" w:eastAsia="zh-CN"/>
        </w:rPr>
        <w:t>项目无组织废气排放源包括原矿、尾矿装卸、道路运输、皮带输送环节，企业采取了洒水降尘、降低卸料高度等措施，可保证废气达标排放，具体设置情况</w:t>
      </w:r>
      <w:r>
        <w:rPr>
          <w:rFonts w:hint="eastAsia"/>
          <w:color w:val="auto"/>
          <w:kern w:val="0"/>
          <w:sz w:val="24"/>
          <w:highlight w:val="none"/>
          <w:lang w:val="en-US" w:eastAsia="zh-CN"/>
        </w:rPr>
        <w:t>如下。</w:t>
      </w:r>
    </w:p>
    <w:p w14:paraId="0003A15F">
      <w:pPr>
        <w:spacing w:line="360" w:lineRule="auto"/>
        <w:rPr>
          <w:rFonts w:hint="eastAsia"/>
          <w:color w:val="auto"/>
          <w:kern w:val="0"/>
          <w:sz w:val="24"/>
          <w:highlight w:val="none"/>
          <w:lang w:val="en-US" w:eastAsia="zh-CN"/>
        </w:rPr>
      </w:pPr>
      <w:r>
        <w:rPr>
          <w:rFonts w:hint="eastAsia"/>
          <w:color w:val="auto"/>
          <w:kern w:val="0"/>
          <w:sz w:val="24"/>
          <w:highlight w:val="none"/>
          <w:lang w:val="en-US" w:eastAsia="zh-CN"/>
        </w:rPr>
        <w:t>（1）原矿、尾矿装卸</w:t>
      </w:r>
    </w:p>
    <w:p w14:paraId="4624E512">
      <w:pPr>
        <w:spacing w:line="360" w:lineRule="auto"/>
        <w:rPr>
          <w:rFonts w:hint="default"/>
          <w:color w:val="auto"/>
          <w:kern w:val="0"/>
          <w:sz w:val="24"/>
          <w:lang w:val="en-US" w:eastAsia="zh-CN"/>
        </w:rPr>
      </w:pPr>
      <w:r>
        <w:rPr>
          <w:rFonts w:hint="eastAsia"/>
          <w:color w:val="auto"/>
          <w:kern w:val="0"/>
          <w:sz w:val="24"/>
          <w:lang w:val="en-US" w:eastAsia="zh-CN"/>
        </w:rPr>
        <w:t xml:space="preserve">    项目原矿暂存于厂区内，采取加盖苫布、洒水降尘、降低卸料高度等措施，可有效降低粉尘产生量。尾矿暂存于干排车间尾矿暂存处，干排车间为封闭结构，且采取洒水降尘、降低卸料高度等措施，可有效控制粉尘产生量。</w:t>
      </w:r>
    </w:p>
    <w:p w14:paraId="5AF1CFDB">
      <w:pPr>
        <w:spacing w:line="360" w:lineRule="auto"/>
        <w:rPr>
          <w:rFonts w:hint="eastAsia"/>
          <w:color w:val="auto"/>
          <w:kern w:val="0"/>
          <w:sz w:val="24"/>
          <w:lang w:val="en-US" w:eastAsia="zh-CN"/>
        </w:rPr>
      </w:pPr>
      <w:r>
        <w:rPr>
          <w:rFonts w:hint="eastAsia"/>
          <w:color w:val="auto"/>
          <w:kern w:val="0"/>
          <w:sz w:val="24"/>
          <w:lang w:val="en-US" w:eastAsia="zh-CN"/>
        </w:rPr>
        <w:t>（2）道路运输</w:t>
      </w:r>
    </w:p>
    <w:p w14:paraId="4415FCA2">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 xml:space="preserve">①本次评价要求，建设单位按照国家道路清洁运输车辆，截止2025年底实现外部道路运输车辆80%以上采用新能源运输车辆，实现清洁运输。 </w:t>
      </w:r>
    </w:p>
    <w:p w14:paraId="3DD13E7A">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 xml:space="preserve">②车辆篷布密闭、车辆轮胎冲洗出厂。限制车速，车速在20km/以下，可有效抑制粉尘的产生；同时严格控制运输车辆超载超限行为。 </w:t>
      </w:r>
    </w:p>
    <w:p w14:paraId="72D3BC84">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 xml:space="preserve">③运输道路进行硬化，同时定期对路面进行清扫及洒水，保持路面清洁和相对湿度；加强道路两侧绿化，在道路两侧种植树木，选用适宜当地生长且对有害气体抗吸性及滞留力强的树种。 </w:t>
      </w:r>
    </w:p>
    <w:p w14:paraId="6C9558EF">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 xml:space="preserve">④装卸过程中文明作业，减少物料散落，轻装轻卸，防止扬尘；大风恶劣天气，停止物料装卸。 </w:t>
      </w:r>
    </w:p>
    <w:p w14:paraId="2EF05788">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⑤建立管控运输车辆的门禁和视频监控系统，在重污染天气预警期间，禁止柴油货车进出厂区。</w:t>
      </w:r>
    </w:p>
    <w:p w14:paraId="0ED2F637">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道路硬化、及时清洁、洒水降尘，可以从源头降低路面扬尘；道路两侧绿化，可以吸收一定的扬尘；清洁车辆、轮胎冲洗、篷布密闭、限值车速等措施，可以降低车辆扬尘；恶劣天气停止作业，减少了大规模扬尘发生的概率。因此，本次评价认为上述道路扬尘污染防治措施时可行的。</w:t>
      </w:r>
    </w:p>
    <w:p w14:paraId="13E36B9B">
      <w:pPr>
        <w:spacing w:line="360" w:lineRule="auto"/>
        <w:rPr>
          <w:rFonts w:hint="eastAsia"/>
          <w:color w:val="auto"/>
          <w:kern w:val="0"/>
          <w:sz w:val="24"/>
          <w:highlight w:val="none"/>
          <w:lang w:val="en-US" w:eastAsia="zh-CN"/>
        </w:rPr>
      </w:pPr>
      <w:r>
        <w:rPr>
          <w:rFonts w:hint="eastAsia"/>
          <w:color w:val="auto"/>
          <w:kern w:val="0"/>
          <w:sz w:val="24"/>
          <w:highlight w:val="none"/>
          <w:lang w:val="en-US" w:eastAsia="zh-CN"/>
        </w:rPr>
        <w:t>（3）皮带输送</w:t>
      </w:r>
    </w:p>
    <w:p w14:paraId="1C38093A">
      <w:pPr>
        <w:spacing w:line="360" w:lineRule="auto"/>
        <w:ind w:firstLine="480" w:firstLineChars="200"/>
        <w:rPr>
          <w:rFonts w:hint="eastAsia"/>
          <w:color w:val="auto"/>
          <w:kern w:val="0"/>
          <w:sz w:val="24"/>
          <w:highlight w:val="none"/>
          <w:lang w:val="en-US" w:eastAsia="zh-CN"/>
        </w:rPr>
      </w:pPr>
      <w:r>
        <w:rPr>
          <w:rFonts w:hint="eastAsia"/>
          <w:color w:val="auto"/>
          <w:kern w:val="0"/>
          <w:sz w:val="24"/>
          <w:highlight w:val="none"/>
          <w:lang w:val="en-US" w:eastAsia="zh-CN"/>
        </w:rPr>
        <w:t>车间内各设备间物料输送采用密闭皮带输送通廊，且各转载点均设置喷淋抑尘措施，可有效控制物料转运过程中粉尘产生量。</w:t>
      </w:r>
    </w:p>
    <w:p w14:paraId="46BD7606">
      <w:pPr>
        <w:spacing w:line="360" w:lineRule="auto"/>
        <w:rPr>
          <w:rFonts w:hint="default"/>
          <w:color w:val="auto"/>
          <w:kern w:val="0"/>
          <w:sz w:val="24"/>
          <w:highlight w:val="none"/>
          <w:lang w:val="en-US" w:eastAsia="zh-CN"/>
        </w:rPr>
      </w:pPr>
      <w:r>
        <w:rPr>
          <w:rFonts w:hint="eastAsia"/>
          <w:color w:val="auto"/>
          <w:kern w:val="0"/>
          <w:sz w:val="24"/>
          <w:highlight w:val="none"/>
          <w:lang w:val="en-US" w:eastAsia="zh-CN"/>
        </w:rPr>
        <w:t xml:space="preserve">    综上所述，企业运营期采取相应的治理措施，强化日常管理，可有效减少厂区内颗粒物的无组织排放，并且，经上文对无组织颗粒物的预测，颗粒物无组织排放浓度可满足排放标准，做到达标排放。</w:t>
      </w:r>
    </w:p>
    <w:p w14:paraId="1BD57CE2">
      <w:pPr>
        <w:keepNext w:val="0"/>
        <w:keepLines w:val="0"/>
        <w:widowControl/>
        <w:suppressLineNumbers w:val="0"/>
        <w:spacing w:line="360" w:lineRule="auto"/>
        <w:jc w:val="left"/>
        <w:rPr>
          <w:b/>
          <w:bCs/>
        </w:rPr>
      </w:pPr>
      <w:r>
        <w:rPr>
          <w:rFonts w:hint="eastAsia"/>
          <w:b/>
          <w:bCs/>
          <w:color w:val="auto"/>
          <w:kern w:val="0"/>
          <w:sz w:val="24"/>
          <w:highlight w:val="none"/>
          <w:lang w:val="en-US" w:eastAsia="zh-CN"/>
        </w:rPr>
        <w:t>·</w:t>
      </w:r>
      <w:r>
        <w:rPr>
          <w:rFonts w:hint="eastAsia" w:ascii="宋体" w:hAnsi="宋体" w:eastAsia="宋体" w:cs="宋体"/>
          <w:b/>
          <w:bCs/>
          <w:color w:val="000000"/>
          <w:kern w:val="0"/>
          <w:sz w:val="24"/>
          <w:szCs w:val="24"/>
          <w:highlight w:val="none"/>
          <w:lang w:val="en-US" w:eastAsia="zh-CN" w:bidi="ar"/>
        </w:rPr>
        <w:t>喷雾抑尘</w:t>
      </w:r>
      <w:r>
        <w:rPr>
          <w:rFonts w:hint="eastAsia" w:ascii="宋体" w:hAnsi="宋体" w:eastAsia="宋体" w:cs="宋体"/>
          <w:b/>
          <w:bCs/>
          <w:color w:val="000000"/>
          <w:kern w:val="0"/>
          <w:sz w:val="24"/>
          <w:szCs w:val="24"/>
          <w:lang w:val="en-US" w:eastAsia="zh-CN" w:bidi="ar"/>
        </w:rPr>
        <w:t>装置可行性分析：</w:t>
      </w:r>
    </w:p>
    <w:p w14:paraId="15E0F63C">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 xml:space="preserve">本工程在选矿车间、转载点、卸载点机头机尾均采用喷雾抑尘成套设备控制粉尘。喷雾系统由水系统和控制系统组成，水系统由水源、管路、阀门、过滤器和除尘雾化喷嘴组成；控制系统由电磁阀、传感器、控制器等构成。 </w:t>
      </w:r>
    </w:p>
    <w:p w14:paraId="1DEBA5E8">
      <w:pPr>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项目生产环节均采用喷雾抑尘措施，其原理是水雾颗粒与尘埃颗粒大小相近时吸附、过滤、凝结的概率最大，微米级干雾抑尘装置能够产生直径在</w:t>
      </w:r>
      <w:r>
        <w:rPr>
          <w:rFonts w:hint="default"/>
          <w:color w:val="auto"/>
          <w:kern w:val="0"/>
          <w:sz w:val="24"/>
          <w:lang w:val="en-US" w:eastAsia="zh-CN"/>
        </w:rPr>
        <w:t>1-10</w:t>
      </w:r>
      <w:r>
        <w:rPr>
          <w:rFonts w:hint="eastAsia"/>
          <w:color w:val="auto"/>
          <w:kern w:val="0"/>
          <w:sz w:val="24"/>
          <w:lang w:val="en-US" w:eastAsia="zh-CN"/>
        </w:rPr>
        <w:t>微米的水雾颗粒，对悬浮在空气中的粉尘（特别是直径在</w:t>
      </w:r>
      <w:r>
        <w:rPr>
          <w:rFonts w:hint="default"/>
          <w:color w:val="auto"/>
          <w:kern w:val="0"/>
          <w:sz w:val="24"/>
          <w:lang w:val="en-US" w:eastAsia="zh-CN"/>
        </w:rPr>
        <w:t>5</w:t>
      </w:r>
      <w:r>
        <w:rPr>
          <w:rFonts w:hint="eastAsia"/>
          <w:color w:val="auto"/>
          <w:kern w:val="0"/>
          <w:sz w:val="24"/>
          <w:lang w:val="en-US" w:eastAsia="zh-CN"/>
        </w:rPr>
        <w:t>微米粉尘颗粒）进行有效的吸附而聚结成团，受重力作用而沉降，从而达到抑尘作用。微米级干雾抑尘装置具有：在污染的起尘点进行粉尘治理；水雾颗粒为干雾，在抑尘点形成浓而密的雾池，有效控制小颗粒粉尘随空气流动逃逸；抑尘效率高，针对</w:t>
      </w:r>
      <w:r>
        <w:rPr>
          <w:rFonts w:hint="default"/>
          <w:color w:val="auto"/>
          <w:kern w:val="0"/>
          <w:sz w:val="24"/>
          <w:lang w:val="en-US" w:eastAsia="zh-CN"/>
        </w:rPr>
        <w:t>10</w:t>
      </w:r>
      <w:r>
        <w:rPr>
          <w:rFonts w:hint="eastAsia"/>
          <w:color w:val="auto"/>
          <w:kern w:val="0"/>
          <w:sz w:val="24"/>
          <w:lang w:val="en-US" w:eastAsia="zh-CN"/>
        </w:rPr>
        <w:t>微米以下可吸入性粉尘治理效果高达85</w:t>
      </w:r>
      <w:r>
        <w:rPr>
          <w:rFonts w:hint="default"/>
          <w:color w:val="auto"/>
          <w:kern w:val="0"/>
          <w:sz w:val="24"/>
          <w:lang w:val="en-US" w:eastAsia="zh-CN"/>
        </w:rPr>
        <w:t>%</w:t>
      </w:r>
      <w:r>
        <w:rPr>
          <w:rFonts w:hint="eastAsia"/>
          <w:color w:val="auto"/>
          <w:kern w:val="0"/>
          <w:sz w:val="24"/>
          <w:lang w:val="en-US" w:eastAsia="zh-CN"/>
        </w:rPr>
        <w:t>；物料湿度增加重量比</w:t>
      </w:r>
      <w:r>
        <w:rPr>
          <w:rFonts w:hint="default"/>
          <w:color w:val="auto"/>
          <w:kern w:val="0"/>
          <w:sz w:val="24"/>
          <w:lang w:val="en-US" w:eastAsia="zh-CN"/>
        </w:rPr>
        <w:t>0.05%-0.1%</w:t>
      </w:r>
      <w:r>
        <w:rPr>
          <w:rFonts w:hint="eastAsia"/>
          <w:color w:val="auto"/>
          <w:kern w:val="0"/>
          <w:sz w:val="24"/>
          <w:lang w:val="en-US" w:eastAsia="zh-CN"/>
        </w:rPr>
        <w:t xml:space="preserve">，无二次污染；操作方便，全自动控制；设备投入少，运行、维护费用低；大大降低粉尘爆炸几率，可以减少消防设备投入，冬季使用时车间温度基本不变（其它传统的除尘设备，使用负压原理操作，带走车间内大量热量，不得不增加车间供热量）。 </w:t>
      </w:r>
    </w:p>
    <w:p w14:paraId="0281081E">
      <w:pPr>
        <w:spacing w:line="360" w:lineRule="auto"/>
        <w:ind w:firstLine="480" w:firstLineChars="200"/>
        <w:rPr>
          <w:color w:val="auto"/>
          <w:sz w:val="24"/>
        </w:rPr>
      </w:pPr>
      <w:r>
        <w:rPr>
          <w:rFonts w:hint="eastAsia"/>
          <w:color w:val="auto"/>
          <w:kern w:val="0"/>
          <w:sz w:val="24"/>
          <w:lang w:val="en-US" w:eastAsia="zh-CN"/>
        </w:rPr>
        <w:t>喷雾抑尘装置普遍应用于矿类采选行业，具有操作方便、免维护、快捷灵活、技术成熟的特点，并在实践中取得了极佳的降尘效果，本项目在粉尘集中产生点采用喷雾抑尘装置可行。</w:t>
      </w:r>
    </w:p>
    <w:p w14:paraId="6F8E52F9">
      <w:pPr>
        <w:pStyle w:val="5"/>
        <w:bidi w:val="0"/>
        <w:rPr>
          <w:rFonts w:hint="eastAsia"/>
          <w:lang w:val="en-US" w:eastAsia="zh-CN"/>
        </w:rPr>
      </w:pPr>
      <w:r>
        <w:rPr>
          <w:rFonts w:hint="eastAsia"/>
          <w:lang w:val="en-US" w:eastAsia="zh-CN"/>
        </w:rPr>
        <w:t>8.2.2废水污染治理措施</w:t>
      </w:r>
    </w:p>
    <w:p w14:paraId="2B266C02">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default" w:eastAsia="宋体"/>
          <w:color w:val="auto"/>
          <w:sz w:val="24"/>
          <w:lang w:val="en-US" w:eastAsia="zh-CN"/>
        </w:rPr>
      </w:pPr>
      <w:r>
        <w:rPr>
          <w:rFonts w:hint="eastAsia"/>
          <w:color w:val="auto"/>
          <w:sz w:val="24"/>
          <w:lang w:val="en-US" w:eastAsia="zh-CN"/>
        </w:rPr>
        <w:t>本项目产生的废水主要为生产废水及生活污水，均采取了可行有效的污染防治措施，可满足相应标准要求，具体如下：</w:t>
      </w:r>
    </w:p>
    <w:p w14:paraId="1DC2F0BE">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b/>
          <w:bCs/>
          <w:color w:val="auto"/>
          <w:sz w:val="24"/>
        </w:rPr>
      </w:pPr>
      <w:r>
        <w:rPr>
          <w:b/>
          <w:bCs/>
          <w:color w:val="auto"/>
          <w:sz w:val="24"/>
        </w:rPr>
        <w:t>（1）生活污水</w:t>
      </w:r>
    </w:p>
    <w:p w14:paraId="7241A01C">
      <w:pPr>
        <w:pStyle w:val="21"/>
        <w:keepNext w:val="0"/>
        <w:keepLines w:val="0"/>
        <w:pageBreakBefore w:val="0"/>
        <w:widowControl w:val="0"/>
        <w:kinsoku/>
        <w:wordWrap/>
        <w:overflowPunct/>
        <w:topLinePunct w:val="0"/>
        <w:autoSpaceDE/>
        <w:autoSpaceDN/>
        <w:bidi w:val="0"/>
        <w:adjustRightInd w:val="0"/>
        <w:snapToGrid/>
        <w:spacing w:line="360" w:lineRule="auto"/>
        <w:ind w:left="0" w:leftChars="0" w:firstLine="480" w:firstLineChars="200"/>
        <w:textAlignment w:val="auto"/>
        <w:rPr>
          <w:color w:val="auto"/>
          <w:sz w:val="24"/>
        </w:rPr>
      </w:pPr>
      <w:r>
        <w:rPr>
          <w:rFonts w:hint="eastAsia"/>
          <w:color w:val="auto"/>
          <w:sz w:val="24"/>
          <w:lang w:val="en-US" w:eastAsia="zh-CN"/>
        </w:rPr>
        <w:t>本项目雇佣工人均为周边村民，生活用水主要为饮用水及一般生活用水，产生的生活污水全部排入现有旱厕，定期清掏，不外排，建设单位运营期做好旱厕防渗措施的前提下，本项目采取的生活污水治理措施合理可行</w:t>
      </w:r>
      <w:r>
        <w:rPr>
          <w:color w:val="auto"/>
          <w:sz w:val="24"/>
        </w:rPr>
        <w:t>。</w:t>
      </w:r>
    </w:p>
    <w:p w14:paraId="525599DB">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b/>
          <w:bCs/>
          <w:color w:val="auto"/>
          <w:sz w:val="24"/>
        </w:rPr>
      </w:pPr>
      <w:r>
        <w:rPr>
          <w:b/>
          <w:bCs/>
          <w:color w:val="auto"/>
          <w:sz w:val="24"/>
        </w:rPr>
        <w:t>（2）</w:t>
      </w:r>
      <w:r>
        <w:rPr>
          <w:rFonts w:hint="eastAsia"/>
          <w:b/>
          <w:bCs/>
          <w:color w:val="auto"/>
          <w:sz w:val="24"/>
          <w:lang w:eastAsia="zh-CN"/>
        </w:rPr>
        <w:t>选矿</w:t>
      </w:r>
      <w:r>
        <w:rPr>
          <w:b/>
          <w:bCs/>
          <w:color w:val="auto"/>
          <w:sz w:val="24"/>
        </w:rPr>
        <w:t>废水</w:t>
      </w:r>
    </w:p>
    <w:p w14:paraId="4F95B22F">
      <w:pPr>
        <w:pStyle w:val="21"/>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eastAsia" w:eastAsiaTheme="minorEastAsia"/>
          <w:color w:val="auto"/>
          <w:sz w:val="24"/>
          <w:highlight w:val="none"/>
        </w:rPr>
      </w:pPr>
      <w:r>
        <w:rPr>
          <w:rFonts w:hint="eastAsia" w:eastAsiaTheme="minorEastAsia"/>
          <w:color w:val="auto"/>
          <w:sz w:val="24"/>
          <w:highlight w:val="none"/>
          <w:lang w:val="en-US" w:eastAsia="zh-CN"/>
        </w:rPr>
        <w:t>本项目生产过程生产用水添加在球磨工序，球磨后水随工序进入后续工序，配制药剂添加的水进入浮选工序，矿浆经过浮选后，经浓密后溢流水941.26m</w:t>
      </w:r>
      <w:r>
        <w:rPr>
          <w:rFonts w:hint="eastAsia" w:eastAsiaTheme="minorEastAsia"/>
          <w:color w:val="auto"/>
          <w:sz w:val="24"/>
          <w:highlight w:val="none"/>
          <w:vertAlign w:val="superscript"/>
          <w:lang w:val="en-US" w:eastAsia="zh-CN"/>
        </w:rPr>
        <w:t>3</w:t>
      </w:r>
      <w:r>
        <w:rPr>
          <w:rFonts w:hint="eastAsia" w:eastAsiaTheme="minorEastAsia"/>
          <w:color w:val="auto"/>
          <w:sz w:val="24"/>
          <w:highlight w:val="none"/>
          <w:lang w:val="en-US" w:eastAsia="zh-CN"/>
        </w:rPr>
        <w:t>/d进入循环水池，回用选矿工艺循环利用，精矿浆经压滤脱水后产品中含水率约10%，精矿压滤水371.673m</w:t>
      </w:r>
      <w:r>
        <w:rPr>
          <w:rFonts w:hint="eastAsia" w:eastAsiaTheme="minorEastAsia"/>
          <w:color w:val="auto"/>
          <w:sz w:val="24"/>
          <w:highlight w:val="none"/>
          <w:vertAlign w:val="superscript"/>
          <w:lang w:val="en-US" w:eastAsia="zh-CN"/>
        </w:rPr>
        <w:t>3</w:t>
      </w:r>
      <w:r>
        <w:rPr>
          <w:rFonts w:hint="eastAsia" w:eastAsiaTheme="minorEastAsia"/>
          <w:color w:val="auto"/>
          <w:sz w:val="24"/>
          <w:highlight w:val="none"/>
          <w:lang w:val="en-US" w:eastAsia="zh-CN"/>
        </w:rPr>
        <w:t>/d进入循环水池复用生产；尾矿浆由管道输送至尾矿干排车间，尾矿压滤水490.382m</w:t>
      </w:r>
      <w:r>
        <w:rPr>
          <w:rFonts w:hint="eastAsia" w:eastAsiaTheme="minorEastAsia"/>
          <w:color w:val="auto"/>
          <w:sz w:val="24"/>
          <w:highlight w:val="none"/>
          <w:vertAlign w:val="superscript"/>
          <w:lang w:val="en-US" w:eastAsia="zh-CN"/>
        </w:rPr>
        <w:t>3</w:t>
      </w:r>
      <w:r>
        <w:rPr>
          <w:rFonts w:hint="eastAsia" w:eastAsiaTheme="minorEastAsia"/>
          <w:color w:val="auto"/>
          <w:sz w:val="24"/>
          <w:highlight w:val="none"/>
          <w:lang w:val="en-US" w:eastAsia="zh-CN"/>
        </w:rPr>
        <w:t xml:space="preserve">/d进入循环水池复用选矿工艺。 </w:t>
      </w:r>
    </w:p>
    <w:p w14:paraId="4CDFD7D4">
      <w:pPr>
        <w:pStyle w:val="21"/>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eastAsia" w:eastAsiaTheme="minorEastAsia"/>
          <w:color w:val="auto"/>
          <w:sz w:val="24"/>
          <w:highlight w:val="none"/>
        </w:rPr>
      </w:pPr>
      <w:r>
        <w:rPr>
          <w:color w:val="auto"/>
          <w:sz w:val="24"/>
        </w:rPr>
        <w:t>选矿废水是一个累积的过程，</w:t>
      </w:r>
      <w:r>
        <w:rPr>
          <w:rFonts w:hint="eastAsia"/>
          <w:color w:val="auto"/>
          <w:sz w:val="24"/>
        </w:rPr>
        <w:t>选矿</w:t>
      </w:r>
      <w:r>
        <w:rPr>
          <w:color w:val="auto"/>
          <w:sz w:val="24"/>
        </w:rPr>
        <w:t>废水</w:t>
      </w:r>
      <w:r>
        <w:rPr>
          <w:rFonts w:hint="eastAsia"/>
          <w:color w:val="auto"/>
          <w:sz w:val="24"/>
        </w:rPr>
        <w:t>水质源强的</w:t>
      </w:r>
      <w:r>
        <w:rPr>
          <w:color w:val="auto"/>
          <w:sz w:val="24"/>
        </w:rPr>
        <w:t>确定，</w:t>
      </w:r>
      <w:r>
        <w:rPr>
          <w:rFonts w:hint="eastAsia"/>
          <w:color w:val="auto"/>
          <w:sz w:val="24"/>
        </w:rPr>
        <w:t>部分</w:t>
      </w:r>
      <w:r>
        <w:rPr>
          <w:color w:val="auto"/>
          <w:sz w:val="24"/>
        </w:rPr>
        <w:t>污染因子</w:t>
      </w:r>
      <w:r>
        <w:rPr>
          <w:rFonts w:hint="eastAsia"/>
          <w:color w:val="auto"/>
          <w:sz w:val="24"/>
        </w:rPr>
        <w:t>经类比</w:t>
      </w:r>
      <w:r>
        <w:rPr>
          <w:rFonts w:hint="eastAsia"/>
          <w:color w:val="auto"/>
          <w:sz w:val="24"/>
          <w:lang w:eastAsia="zh-CN"/>
        </w:rPr>
        <w:t>《</w:t>
      </w:r>
      <w:r>
        <w:rPr>
          <w:rFonts w:hint="eastAsia"/>
          <w:color w:val="auto"/>
          <w:sz w:val="24"/>
          <w:lang w:val="en-US" w:eastAsia="zh-CN"/>
        </w:rPr>
        <w:t>北票市龙兴矿业有限公司选矿试验中尾矿废水检测报告</w:t>
      </w:r>
      <w:r>
        <w:rPr>
          <w:rFonts w:hint="eastAsia"/>
          <w:color w:val="auto"/>
          <w:sz w:val="24"/>
          <w:lang w:eastAsia="zh-CN"/>
        </w:rPr>
        <w:t>》</w:t>
      </w:r>
      <w:r>
        <w:rPr>
          <w:color w:val="auto"/>
          <w:sz w:val="24"/>
        </w:rPr>
        <w:t>，</w:t>
      </w:r>
      <w:r>
        <w:rPr>
          <w:rFonts w:hint="eastAsia"/>
          <w:color w:val="auto"/>
          <w:sz w:val="24"/>
        </w:rPr>
        <w:t>该选厂选矿原料、</w:t>
      </w:r>
      <w:r>
        <w:rPr>
          <w:color w:val="auto"/>
          <w:sz w:val="24"/>
        </w:rPr>
        <w:t>生产产品、</w:t>
      </w:r>
      <w:r>
        <w:rPr>
          <w:rFonts w:hint="eastAsia"/>
          <w:color w:val="auto"/>
          <w:sz w:val="24"/>
        </w:rPr>
        <w:t>所用</w:t>
      </w:r>
      <w:r>
        <w:rPr>
          <w:color w:val="auto"/>
          <w:sz w:val="24"/>
        </w:rPr>
        <w:t>工艺</w:t>
      </w:r>
      <w:r>
        <w:rPr>
          <w:rFonts w:hint="eastAsia"/>
          <w:color w:val="auto"/>
          <w:sz w:val="24"/>
        </w:rPr>
        <w:t>、原料</w:t>
      </w:r>
      <w:r>
        <w:rPr>
          <w:color w:val="auto"/>
          <w:sz w:val="24"/>
        </w:rPr>
        <w:t>及浮选药剂和本项目相近</w:t>
      </w:r>
      <w:r>
        <w:rPr>
          <w:rFonts w:hint="eastAsia" w:eastAsiaTheme="minorEastAsia"/>
          <w:color w:val="auto"/>
          <w:sz w:val="24"/>
          <w:highlight w:val="none"/>
          <w:lang w:val="en-US" w:eastAsia="zh-CN"/>
        </w:rPr>
        <w:t>，本项目选矿废水水质情况满足《城市污水再生利用工业用水水质》（GB/T19923-2005） 工艺用水水质标准，则本项目废水处理及回用方案可行。</w:t>
      </w:r>
    </w:p>
    <w:p w14:paraId="447BE6F6">
      <w:pPr>
        <w:pStyle w:val="21"/>
        <w:keepNext w:val="0"/>
        <w:keepLines w:val="0"/>
        <w:pageBreakBefore w:val="0"/>
        <w:widowControl w:val="0"/>
        <w:numPr>
          <w:ilvl w:val="0"/>
          <w:numId w:val="13"/>
        </w:numPr>
        <w:kinsoku/>
        <w:wordWrap/>
        <w:overflowPunct/>
        <w:topLinePunct w:val="0"/>
        <w:autoSpaceDE/>
        <w:autoSpaceDN/>
        <w:bidi w:val="0"/>
        <w:adjustRightInd w:val="0"/>
        <w:snapToGrid/>
        <w:spacing w:line="360" w:lineRule="auto"/>
        <w:ind w:left="0" w:leftChars="0" w:firstLine="482" w:firstLineChars="200"/>
        <w:jc w:val="left"/>
        <w:textAlignment w:val="auto"/>
        <w:rPr>
          <w:rFonts w:hint="eastAsia" w:eastAsiaTheme="minorEastAsia"/>
          <w:b/>
          <w:bCs/>
          <w:color w:val="auto"/>
          <w:sz w:val="24"/>
          <w:lang w:val="en-US" w:eastAsia="zh-CN"/>
        </w:rPr>
      </w:pPr>
      <w:r>
        <w:rPr>
          <w:rFonts w:hint="eastAsia" w:eastAsiaTheme="minorEastAsia"/>
          <w:b/>
          <w:bCs/>
          <w:color w:val="auto"/>
          <w:sz w:val="24"/>
          <w:lang w:val="en-US" w:eastAsia="zh-CN"/>
        </w:rPr>
        <w:t>车间地面冲洗水</w:t>
      </w:r>
    </w:p>
    <w:p w14:paraId="1DD81D3F">
      <w:pPr>
        <w:numPr>
          <w:ilvl w:val="0"/>
          <w:numId w:val="0"/>
        </w:numPr>
        <w:spacing w:line="360" w:lineRule="auto"/>
        <w:rPr>
          <w:rFonts w:hint="default"/>
          <w:lang w:val="en-US" w:eastAsia="zh-CN"/>
        </w:rPr>
      </w:pPr>
      <w:r>
        <w:rPr>
          <w:rFonts w:hint="eastAsia"/>
          <w:lang w:val="en-US" w:eastAsia="zh-CN"/>
        </w:rPr>
        <w:t xml:space="preserve">    </w:t>
      </w:r>
      <w:r>
        <w:rPr>
          <w:rFonts w:hint="eastAsia"/>
          <w:sz w:val="24"/>
          <w:szCs w:val="32"/>
          <w:lang w:val="en-US" w:eastAsia="zh-CN"/>
        </w:rPr>
        <w:t>项目生产运营过程中，选矿车间和干排车间地面需定期清洗，产生的清洗废水排至循环水池，回用于选矿生产工序。</w:t>
      </w:r>
    </w:p>
    <w:p w14:paraId="71298DC9">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default" w:eastAsiaTheme="minorEastAsia"/>
          <w:b/>
          <w:bCs/>
          <w:color w:val="auto"/>
          <w:sz w:val="24"/>
          <w:lang w:val="en-US" w:eastAsia="zh-CN"/>
        </w:rPr>
      </w:pPr>
      <w:r>
        <w:rPr>
          <w:rFonts w:hint="eastAsia" w:eastAsiaTheme="minorEastAsia"/>
          <w:b/>
          <w:bCs/>
          <w:color w:val="auto"/>
          <w:sz w:val="24"/>
          <w:lang w:eastAsia="zh-CN"/>
        </w:rPr>
        <w:t>（</w:t>
      </w:r>
      <w:r>
        <w:rPr>
          <w:rFonts w:hint="eastAsia" w:eastAsiaTheme="minorEastAsia"/>
          <w:b/>
          <w:bCs/>
          <w:color w:val="auto"/>
          <w:sz w:val="24"/>
          <w:lang w:val="en-US" w:eastAsia="zh-CN"/>
        </w:rPr>
        <w:t>4）事故废水</w:t>
      </w:r>
    </w:p>
    <w:p w14:paraId="40B7BB60">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eastAsiaTheme="minorEastAsia"/>
          <w:color w:val="auto"/>
          <w:sz w:val="24"/>
        </w:rPr>
      </w:pPr>
      <w:r>
        <w:rPr>
          <w:rFonts w:hint="eastAsia" w:eastAsiaTheme="minorEastAsia"/>
          <w:color w:val="auto"/>
          <w:sz w:val="24"/>
          <w:lang w:val="en-US" w:eastAsia="zh-CN"/>
        </w:rPr>
        <w:t>非正常情况主要为管线或者阀门泄漏，导致矿浆泄露。</w:t>
      </w:r>
      <w:r>
        <w:rPr>
          <w:rFonts w:hint="eastAsia" w:eastAsiaTheme="minorEastAsia"/>
          <w:color w:val="auto"/>
          <w:sz w:val="24"/>
        </w:rPr>
        <w:t>为控制尾矿矿浆跑冒造成地表水污染，设计主要采取以下措施：</w:t>
      </w:r>
    </w:p>
    <w:p w14:paraId="2938E584">
      <w:pPr>
        <w:pStyle w:val="21"/>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eastAsiaTheme="minorEastAsia"/>
          <w:color w:val="auto"/>
          <w:sz w:val="24"/>
        </w:rPr>
      </w:pPr>
      <w:r>
        <w:rPr>
          <w:rFonts w:hint="eastAsia" w:eastAsiaTheme="minorEastAsia"/>
          <w:color w:val="auto"/>
          <w:sz w:val="24"/>
        </w:rPr>
        <w:t>a</w:t>
      </w:r>
      <w:r>
        <w:rPr>
          <w:rFonts w:eastAsiaTheme="minorEastAsia"/>
          <w:color w:val="auto"/>
          <w:sz w:val="24"/>
        </w:rPr>
        <w:t>.</w:t>
      </w:r>
      <w:r>
        <w:rPr>
          <w:rFonts w:hint="eastAsia" w:eastAsiaTheme="minorEastAsia"/>
          <w:color w:val="auto"/>
          <w:sz w:val="24"/>
        </w:rPr>
        <w:t>选择质量良好的耐磨、</w:t>
      </w:r>
      <w:r>
        <w:rPr>
          <w:color w:val="auto"/>
          <w:sz w:val="24"/>
        </w:rPr>
        <w:t>耐腐蚀、防冻管道输送矿浆</w:t>
      </w:r>
      <w:r>
        <w:rPr>
          <w:rFonts w:hint="eastAsia"/>
          <w:color w:val="auto"/>
          <w:sz w:val="24"/>
        </w:rPr>
        <w:t>，</w:t>
      </w:r>
      <w:r>
        <w:rPr>
          <w:color w:val="auto"/>
          <w:sz w:val="24"/>
        </w:rPr>
        <w:t>并设置备用管道</w:t>
      </w:r>
      <w:r>
        <w:rPr>
          <w:rFonts w:hint="eastAsia" w:eastAsiaTheme="minorEastAsia"/>
          <w:color w:val="auto"/>
          <w:sz w:val="24"/>
        </w:rPr>
        <w:t>。管理上应安排专人定期沿线巡逻，发现问题及时尽早解决。</w:t>
      </w:r>
    </w:p>
    <w:p w14:paraId="394A5174">
      <w:pPr>
        <w:pStyle w:val="21"/>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eastAsia" w:hAnsi="宋体"/>
          <w:bCs/>
          <w:color w:val="auto"/>
          <w:kern w:val="0"/>
          <w:sz w:val="24"/>
          <w:lang w:val="en-US" w:eastAsia="zh-CN"/>
        </w:rPr>
      </w:pPr>
      <w:r>
        <w:rPr>
          <w:rFonts w:hint="eastAsia" w:hAnsi="宋体"/>
          <w:color w:val="auto"/>
          <w:sz w:val="24"/>
        </w:rPr>
        <w:t>b</w:t>
      </w:r>
      <w:r>
        <w:rPr>
          <w:rFonts w:hAnsi="宋体"/>
          <w:color w:val="auto"/>
          <w:sz w:val="24"/>
        </w:rPr>
        <w:t>.</w:t>
      </w:r>
      <w:r>
        <w:rPr>
          <w:rFonts w:hint="eastAsia" w:hAnsi="宋体"/>
          <w:color w:val="auto"/>
          <w:sz w:val="24"/>
          <w:lang w:val="en-US" w:eastAsia="zh-CN"/>
        </w:rPr>
        <w:t>依托现有</w:t>
      </w:r>
      <w:r>
        <w:rPr>
          <w:rFonts w:hint="eastAsia" w:hAnsi="宋体"/>
          <w:bCs/>
          <w:color w:val="auto"/>
          <w:kern w:val="0"/>
          <w:sz w:val="24"/>
        </w:rPr>
        <w:t>事故水池</w:t>
      </w:r>
      <w:r>
        <w:rPr>
          <w:rFonts w:hint="eastAsia" w:hAnsi="宋体"/>
          <w:bCs/>
          <w:color w:val="auto"/>
          <w:kern w:val="0"/>
          <w:sz w:val="24"/>
          <w:lang w:eastAsia="zh-CN"/>
        </w:rPr>
        <w:t>，</w:t>
      </w:r>
      <w:r>
        <w:rPr>
          <w:color w:val="auto"/>
          <w:sz w:val="24"/>
          <w:highlight w:val="none"/>
        </w:rPr>
        <w:t>容积</w:t>
      </w:r>
      <w:r>
        <w:rPr>
          <w:rFonts w:hint="eastAsia"/>
          <w:color w:val="auto"/>
          <w:sz w:val="24"/>
          <w:highlight w:val="none"/>
          <w:lang w:val="en-US" w:eastAsia="zh-CN"/>
        </w:rPr>
        <w:t>1000</w:t>
      </w:r>
      <w:r>
        <w:rPr>
          <w:color w:val="auto"/>
          <w:sz w:val="24"/>
          <w:highlight w:val="none"/>
        </w:rPr>
        <w:t>m</w:t>
      </w:r>
      <w:r>
        <w:rPr>
          <w:color w:val="auto"/>
          <w:sz w:val="24"/>
          <w:highlight w:val="none"/>
          <w:vertAlign w:val="superscript"/>
        </w:rPr>
        <w:t>3</w:t>
      </w:r>
      <w:r>
        <w:rPr>
          <w:rFonts w:hAnsi="宋体"/>
          <w:bCs/>
          <w:color w:val="auto"/>
          <w:kern w:val="0"/>
          <w:sz w:val="24"/>
          <w:highlight w:val="none"/>
        </w:rPr>
        <w:t>，</w:t>
      </w:r>
      <w:r>
        <w:rPr>
          <w:rFonts w:hint="eastAsia" w:hAnsi="宋体"/>
          <w:bCs/>
          <w:color w:val="auto"/>
          <w:kern w:val="0"/>
          <w:sz w:val="24"/>
          <w:highlight w:val="none"/>
          <w:lang w:val="en-US" w:eastAsia="zh-CN"/>
        </w:rPr>
        <w:t>并做好重点防渗，事故时立即停止生产，按最不利情况考虑，</w:t>
      </w:r>
      <w:r>
        <w:rPr>
          <w:rFonts w:hint="eastAsia" w:ascii="Times New Roman" w:hAnsi="Times New Roman" w:cs="Times New Roman" w:eastAsiaTheme="minorEastAsia"/>
          <w:b w:val="0"/>
          <w:bCs w:val="0"/>
          <w:color w:val="auto"/>
          <w:kern w:val="2"/>
          <w:sz w:val="24"/>
          <w:szCs w:val="24"/>
          <w:lang w:val="en-US" w:eastAsia="zh-CN" w:bidi="ar-SA"/>
        </w:rPr>
        <w:t>事故废水总产生量为526.67</w:t>
      </w:r>
      <w:r>
        <w:rPr>
          <w:spacing w:val="-3"/>
          <w:sz w:val="24"/>
          <w:szCs w:val="24"/>
        </w:rPr>
        <w:t>m</w:t>
      </w:r>
      <w:r>
        <w:rPr>
          <w:rFonts w:hint="eastAsia"/>
          <w:spacing w:val="-3"/>
          <w:sz w:val="24"/>
          <w:szCs w:val="24"/>
          <w:vertAlign w:val="superscript"/>
          <w:lang w:val="en-US" w:eastAsia="zh-CN"/>
        </w:rPr>
        <w:t>3</w:t>
      </w:r>
      <w:r>
        <w:rPr>
          <w:rFonts w:hint="eastAsia" w:hAnsi="宋体"/>
          <w:bCs/>
          <w:color w:val="auto"/>
          <w:kern w:val="0"/>
          <w:sz w:val="24"/>
          <w:lang w:val="en-US" w:eastAsia="zh-CN"/>
        </w:rPr>
        <w:t>，本项目24小时监控，事故发现后保证1h内停止生产，影响范围不会超过厂区，能满足非正常工况废水不外排。</w:t>
      </w:r>
    </w:p>
    <w:p w14:paraId="3B22016A">
      <w:pPr>
        <w:pStyle w:val="21"/>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eastAsia" w:hAnsi="宋体"/>
          <w:b/>
          <w:bCs w:val="0"/>
          <w:color w:val="auto"/>
          <w:kern w:val="0"/>
          <w:sz w:val="24"/>
          <w:lang w:val="en-US" w:eastAsia="zh-CN"/>
        </w:rPr>
      </w:pPr>
      <w:r>
        <w:rPr>
          <w:rFonts w:hint="eastAsia" w:hAnsi="宋体"/>
          <w:b/>
          <w:bCs w:val="0"/>
          <w:color w:val="auto"/>
          <w:kern w:val="0"/>
          <w:sz w:val="24"/>
          <w:lang w:val="en-US" w:eastAsia="zh-CN"/>
        </w:rPr>
        <w:t>（5）消防废水</w:t>
      </w:r>
    </w:p>
    <w:p w14:paraId="20392673">
      <w:pPr>
        <w:pStyle w:val="21"/>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default" w:hAnsi="宋体"/>
          <w:bCs/>
          <w:color w:val="auto"/>
          <w:kern w:val="0"/>
          <w:sz w:val="24"/>
          <w:highlight w:val="none"/>
          <w:lang w:val="en-US" w:eastAsia="zh-CN"/>
        </w:rPr>
      </w:pPr>
      <w:r>
        <w:rPr>
          <w:rFonts w:hint="eastAsia" w:hAnsi="宋体"/>
          <w:bCs/>
          <w:color w:val="auto"/>
          <w:kern w:val="0"/>
          <w:sz w:val="24"/>
          <w:highlight w:val="none"/>
          <w:lang w:val="en-US" w:eastAsia="zh-CN"/>
        </w:rPr>
        <w:t>依托现有事故池，</w:t>
      </w:r>
      <w:r>
        <w:rPr>
          <w:rFonts w:hint="eastAsia" w:hAnsi="宋体"/>
          <w:bCs/>
          <w:color w:val="auto"/>
          <w:kern w:val="0"/>
          <w:sz w:val="24"/>
          <w:lang w:val="en-US" w:eastAsia="zh-CN"/>
        </w:rPr>
        <w:t>可容纳一起火灾产生的消防废水排放量，在消防事故状态下，消防废水可自流事故池内，最后复用选矿生产，不会外漏至厂区外，对周围地表水环境质量影响</w:t>
      </w:r>
      <w:r>
        <w:rPr>
          <w:rFonts w:hint="eastAsia" w:hAnsi="宋体"/>
          <w:bCs/>
          <w:color w:val="auto"/>
          <w:kern w:val="0"/>
          <w:sz w:val="24"/>
          <w:highlight w:val="none"/>
          <w:lang w:val="en-US" w:eastAsia="zh-CN"/>
        </w:rPr>
        <w:t>较小。</w:t>
      </w:r>
    </w:p>
    <w:p w14:paraId="6554EB89">
      <w:pPr>
        <w:pStyle w:val="5"/>
        <w:bidi w:val="0"/>
        <w:rPr>
          <w:rFonts w:hint="eastAsia"/>
          <w:lang w:val="en-US" w:eastAsia="zh-CN"/>
        </w:rPr>
      </w:pPr>
      <w:r>
        <w:rPr>
          <w:rFonts w:hint="eastAsia"/>
          <w:lang w:val="en-US" w:eastAsia="zh-CN"/>
        </w:rPr>
        <w:t>8.2.3土壤环境保护措施</w:t>
      </w:r>
    </w:p>
    <w:p w14:paraId="758312F7">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 xml:space="preserve">建设项目生产运行过程中，土壤环境影响途径主要包括大气沉降、垂直入渗、地表水径流等方式。其中针对大气沉降，主要落实项目各项废气污染防治措施，确保项目建成运行后废气做到稳定达标排放，建设大气沉降对区域土壤环境造成的影响，拟建项目采取的大气污染物防治措施在前述章节已进行了论证，此处不再重复赘述。 </w:t>
      </w:r>
    </w:p>
    <w:p w14:paraId="6A2C808C">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针对可能发生的地下水渗漏造成土壤污染，本项目土壤污染防治措施将按照</w:t>
      </w:r>
      <w:r>
        <w:rPr>
          <w:rFonts w:hint="default" w:eastAsiaTheme="minorEastAsia"/>
          <w:color w:val="auto"/>
          <w:sz w:val="24"/>
          <w:lang w:val="en-US" w:eastAsia="zh-CN"/>
        </w:rPr>
        <w:t>“</w:t>
      </w:r>
      <w:r>
        <w:rPr>
          <w:rFonts w:hint="eastAsia" w:eastAsiaTheme="minorEastAsia"/>
          <w:color w:val="auto"/>
          <w:sz w:val="24"/>
          <w:lang w:val="en-US" w:eastAsia="zh-CN"/>
        </w:rPr>
        <w:t>源头控制、过程防控、跟踪监测</w:t>
      </w:r>
      <w:r>
        <w:rPr>
          <w:rFonts w:hint="default" w:eastAsiaTheme="minorEastAsia"/>
          <w:color w:val="auto"/>
          <w:sz w:val="24"/>
          <w:lang w:val="en-US" w:eastAsia="zh-CN"/>
        </w:rPr>
        <w:t>”</w:t>
      </w:r>
      <w:r>
        <w:rPr>
          <w:rFonts w:hint="eastAsia" w:eastAsiaTheme="minorEastAsia"/>
          <w:color w:val="auto"/>
          <w:sz w:val="24"/>
          <w:lang w:val="en-US" w:eastAsia="zh-CN"/>
        </w:rPr>
        <w:t xml:space="preserve">相结合的原则，即采取主动控制和被动控制相结合的措施，从污染物产生、入渗、扩散全方位进行防控。 </w:t>
      </w:r>
    </w:p>
    <w:p w14:paraId="5D449B7C">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b/>
          <w:bCs/>
          <w:color w:val="auto"/>
          <w:sz w:val="24"/>
        </w:rPr>
      </w:pPr>
      <w:r>
        <w:rPr>
          <w:rFonts w:hint="default" w:eastAsiaTheme="minorEastAsia"/>
          <w:b/>
          <w:bCs/>
          <w:color w:val="auto"/>
          <w:sz w:val="24"/>
          <w:lang w:val="en-US" w:eastAsia="zh-CN"/>
        </w:rPr>
        <w:t xml:space="preserve">7.4.2.1 </w:t>
      </w:r>
      <w:r>
        <w:rPr>
          <w:rFonts w:hint="eastAsia" w:eastAsiaTheme="minorEastAsia"/>
          <w:b/>
          <w:bCs/>
          <w:color w:val="auto"/>
          <w:sz w:val="24"/>
          <w:lang w:val="en-US" w:eastAsia="zh-CN"/>
        </w:rPr>
        <w:t xml:space="preserve">源头控制措施 </w:t>
      </w:r>
    </w:p>
    <w:p w14:paraId="04AF328C">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本项目选用了国内较为先进的生产工艺以及清洁的原辅材料，清洁生产水平达到国内先进水平。生产过程中积极采用闭路循环，减少了污染物的排放，从源头上减少污染物的产生和排放；在废水收集过程中从严要求，管道铺设采用架空铺设，能够做到污染物</w:t>
      </w:r>
      <w:r>
        <w:rPr>
          <w:rFonts w:hint="default" w:eastAsiaTheme="minorEastAsia"/>
          <w:color w:val="auto"/>
          <w:sz w:val="24"/>
          <w:lang w:val="en-US" w:eastAsia="zh-CN"/>
        </w:rPr>
        <w:t>“</w:t>
      </w:r>
      <w:r>
        <w:rPr>
          <w:rFonts w:hint="eastAsia" w:eastAsiaTheme="minorEastAsia"/>
          <w:color w:val="auto"/>
          <w:sz w:val="24"/>
          <w:lang w:val="en-US" w:eastAsia="zh-CN"/>
        </w:rPr>
        <w:t>早发现、早处理</w:t>
      </w:r>
      <w:r>
        <w:rPr>
          <w:rFonts w:hint="default" w:eastAsiaTheme="minorEastAsia"/>
          <w:color w:val="auto"/>
          <w:sz w:val="24"/>
          <w:lang w:val="en-US" w:eastAsia="zh-CN"/>
        </w:rPr>
        <w:t>”</w:t>
      </w:r>
      <w:r>
        <w:rPr>
          <w:rFonts w:hint="eastAsia" w:eastAsiaTheme="minorEastAsia"/>
          <w:color w:val="auto"/>
          <w:sz w:val="24"/>
          <w:lang w:val="en-US" w:eastAsia="zh-CN"/>
        </w:rPr>
        <w:t xml:space="preserve">；根据输送物质不同，采用不同类型的管道，管道内外均采用防腐处理，并定期对管道进行捡漏，从源头控制废水下渗污染土壤；危险废物暂存场所按照国家相关规范要求，采取严格的防泄漏、防溢流、防腐蚀、防雨淋等措施，严防污染物下渗到土壤中污染土壤等。 </w:t>
      </w:r>
    </w:p>
    <w:p w14:paraId="25C501F9">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b/>
          <w:bCs/>
          <w:color w:val="auto"/>
          <w:sz w:val="24"/>
        </w:rPr>
      </w:pPr>
      <w:r>
        <w:rPr>
          <w:rFonts w:hint="default" w:eastAsiaTheme="minorEastAsia"/>
          <w:b/>
          <w:bCs/>
          <w:color w:val="auto"/>
          <w:sz w:val="24"/>
          <w:lang w:val="en-US" w:eastAsia="zh-CN"/>
        </w:rPr>
        <w:t xml:space="preserve">7.4.2.2 </w:t>
      </w:r>
      <w:r>
        <w:rPr>
          <w:rFonts w:hint="eastAsia" w:eastAsiaTheme="minorEastAsia"/>
          <w:b/>
          <w:bCs/>
          <w:color w:val="auto"/>
          <w:sz w:val="24"/>
          <w:lang w:val="en-US" w:eastAsia="zh-CN"/>
        </w:rPr>
        <w:t xml:space="preserve">过程控制措施 </w:t>
      </w:r>
    </w:p>
    <w:p w14:paraId="70D1D7EB">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 xml:space="preserve">针对主要土壤污染的途径大气沉降、地表漫流以及垂直入渗，提出相应针对性的土壤污染防治措施如下： </w:t>
      </w:r>
    </w:p>
    <w:p w14:paraId="67751B99">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w:t>
      </w:r>
      <w:r>
        <w:rPr>
          <w:rFonts w:hint="default" w:eastAsiaTheme="minorEastAsia"/>
          <w:color w:val="auto"/>
          <w:sz w:val="24"/>
          <w:lang w:val="en-US" w:eastAsia="zh-CN"/>
        </w:rPr>
        <w:t>1</w:t>
      </w:r>
      <w:r>
        <w:rPr>
          <w:rFonts w:hint="eastAsia" w:eastAsiaTheme="minorEastAsia"/>
          <w:color w:val="auto"/>
          <w:sz w:val="24"/>
          <w:lang w:val="en-US" w:eastAsia="zh-CN"/>
        </w:rPr>
        <w:t xml:space="preserve">）工程运营期产生的选矿废水全部回用至选矿工艺； </w:t>
      </w:r>
    </w:p>
    <w:p w14:paraId="7946B8F2">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w:t>
      </w:r>
      <w:r>
        <w:rPr>
          <w:rFonts w:hint="default" w:eastAsiaTheme="minorEastAsia"/>
          <w:color w:val="auto"/>
          <w:sz w:val="24"/>
          <w:lang w:val="en-US" w:eastAsia="zh-CN"/>
        </w:rPr>
        <w:t>2</w:t>
      </w:r>
      <w:r>
        <w:rPr>
          <w:rFonts w:hint="eastAsia" w:eastAsiaTheme="minorEastAsia"/>
          <w:color w:val="auto"/>
          <w:sz w:val="24"/>
          <w:lang w:val="en-US" w:eastAsia="zh-CN"/>
        </w:rPr>
        <w:t xml:space="preserve">）在破碎、球磨等产尘环节采取布袋除尘器、洒水降尘等污染防治措施，可有效减少颗粒物的排放量； </w:t>
      </w:r>
    </w:p>
    <w:p w14:paraId="6C15196A">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w:t>
      </w:r>
      <w:r>
        <w:rPr>
          <w:rFonts w:hint="default" w:eastAsiaTheme="minorEastAsia"/>
          <w:color w:val="auto"/>
          <w:sz w:val="24"/>
          <w:lang w:val="en-US" w:eastAsia="zh-CN"/>
        </w:rPr>
        <w:t>3</w:t>
      </w:r>
      <w:r>
        <w:rPr>
          <w:rFonts w:hint="eastAsia" w:eastAsiaTheme="minorEastAsia"/>
          <w:color w:val="auto"/>
          <w:sz w:val="24"/>
          <w:lang w:val="en-US" w:eastAsia="zh-CN"/>
        </w:rPr>
        <w:t xml:space="preserve">）厂区内采取绿化措施，种植具有较强吸附能力的植物为主； </w:t>
      </w:r>
    </w:p>
    <w:p w14:paraId="6D970F15">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w:t>
      </w:r>
      <w:r>
        <w:rPr>
          <w:rFonts w:hint="default" w:eastAsiaTheme="minorEastAsia"/>
          <w:color w:val="auto"/>
          <w:sz w:val="24"/>
          <w:lang w:val="en-US" w:eastAsia="zh-CN"/>
        </w:rPr>
        <w:t>4</w:t>
      </w:r>
      <w:r>
        <w:rPr>
          <w:rFonts w:hint="eastAsia" w:eastAsiaTheme="minorEastAsia"/>
          <w:color w:val="auto"/>
          <w:sz w:val="24"/>
          <w:lang w:val="en-US" w:eastAsia="zh-CN"/>
        </w:rPr>
        <w:t xml:space="preserve">）现有废水处理措施做好相应的防渗措施，减少发生泄漏的风险； </w:t>
      </w:r>
    </w:p>
    <w:p w14:paraId="1F9BC14A">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w:t>
      </w:r>
      <w:r>
        <w:rPr>
          <w:rFonts w:hint="default" w:eastAsiaTheme="minorEastAsia"/>
          <w:color w:val="auto"/>
          <w:sz w:val="24"/>
          <w:lang w:val="en-US" w:eastAsia="zh-CN"/>
        </w:rPr>
        <w:t>5</w:t>
      </w:r>
      <w:r>
        <w:rPr>
          <w:rFonts w:hint="eastAsia" w:eastAsiaTheme="minorEastAsia"/>
          <w:color w:val="auto"/>
          <w:sz w:val="24"/>
          <w:lang w:val="en-US" w:eastAsia="zh-CN"/>
        </w:rPr>
        <w:t xml:space="preserve">）矿石运输采用汽车运输，汽车运输时要求加盖篷布，并对运输道路洒水降尘，减少汽车运输时物料的洒落； </w:t>
      </w:r>
    </w:p>
    <w:p w14:paraId="6DB8D03D">
      <w:pPr>
        <w:pStyle w:val="21"/>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eastAsia" w:eastAsiaTheme="minorEastAsia"/>
          <w:color w:val="auto"/>
          <w:sz w:val="24"/>
        </w:rPr>
      </w:pPr>
      <w:r>
        <w:rPr>
          <w:rFonts w:hint="eastAsia" w:eastAsiaTheme="minorEastAsia"/>
          <w:color w:val="auto"/>
          <w:sz w:val="24"/>
          <w:lang w:val="en-US" w:eastAsia="zh-CN"/>
        </w:rPr>
        <w:t>（</w:t>
      </w:r>
      <w:r>
        <w:rPr>
          <w:rFonts w:hint="default" w:eastAsiaTheme="minorEastAsia"/>
          <w:color w:val="auto"/>
          <w:sz w:val="24"/>
          <w:lang w:val="en-US" w:eastAsia="zh-CN"/>
        </w:rPr>
        <w:t>6</w:t>
      </w:r>
      <w:r>
        <w:rPr>
          <w:rFonts w:hint="eastAsia" w:eastAsiaTheme="minorEastAsia"/>
          <w:color w:val="auto"/>
          <w:sz w:val="24"/>
          <w:lang w:val="en-US" w:eastAsia="zh-CN"/>
        </w:rPr>
        <w:t>）按设计对厂区进行分区防渗，同时布设监控井，定期对地下水进行监测，降低防渗工程损坏事故排放的风险，减小事故排放对土壤的影响</w:t>
      </w:r>
      <w:r>
        <w:rPr>
          <w:rFonts w:hint="eastAsia" w:eastAsiaTheme="minorEastAsia"/>
          <w:color w:val="auto"/>
          <w:sz w:val="24"/>
        </w:rPr>
        <w:t>。</w:t>
      </w:r>
    </w:p>
    <w:p w14:paraId="0964F590">
      <w:pPr>
        <w:pStyle w:val="5"/>
        <w:bidi w:val="0"/>
        <w:rPr>
          <w:rFonts w:hint="eastAsia"/>
          <w:lang w:val="en-US" w:eastAsia="zh-CN"/>
        </w:rPr>
      </w:pPr>
      <w:r>
        <w:rPr>
          <w:rFonts w:hint="eastAsia"/>
          <w:lang w:val="en-US" w:eastAsia="zh-CN"/>
        </w:rPr>
        <w:t>8.2.4地下水环境保护措施</w:t>
      </w:r>
    </w:p>
    <w:p w14:paraId="1DDCEDDD">
      <w:pPr>
        <w:pStyle w:val="177"/>
        <w:adjustRightInd/>
        <w:snapToGrid/>
        <w:ind w:firstLine="480"/>
        <w:rPr>
          <w:highlight w:val="none"/>
        </w:rPr>
      </w:pPr>
      <w:r>
        <w:rPr>
          <w:rFonts w:hint="eastAsia"/>
          <w:highlight w:val="none"/>
        </w:rPr>
        <w:t>根据《环境影响评价技术导则</w:t>
      </w:r>
      <w:r>
        <w:rPr>
          <w:highlight w:val="none"/>
        </w:rPr>
        <w:t>-地下水环境》（HJ610-2016）的要求，</w:t>
      </w:r>
      <w:r>
        <w:rPr>
          <w:rFonts w:hint="eastAsia"/>
          <w:highlight w:val="none"/>
        </w:rPr>
        <w:t>地下水环境保护措施与对策应符合《中华人民共和国水污染防治法》和《中华人民共和国环境影响评价法》的相关规定，按照“源头控制、分区防控、污染监控、应急响应”，重点突出饮用水水质安全的原则确定。</w:t>
      </w:r>
    </w:p>
    <w:p w14:paraId="101CC912">
      <w:pPr>
        <w:bidi w:val="0"/>
        <w:spacing w:line="360" w:lineRule="auto"/>
        <w:rPr>
          <w:b/>
          <w:bCs/>
          <w:sz w:val="24"/>
          <w:szCs w:val="24"/>
        </w:rPr>
      </w:pPr>
      <w:bookmarkStart w:id="130" w:name="_Toc3931194"/>
      <w:bookmarkStart w:id="131" w:name="_Toc15482"/>
      <w:bookmarkStart w:id="132" w:name="_Toc15571"/>
      <w:bookmarkStart w:id="133" w:name="_Toc491247205"/>
      <w:bookmarkStart w:id="134" w:name="_Toc26131"/>
      <w:r>
        <w:rPr>
          <w:rFonts w:hint="eastAsia"/>
          <w:b/>
          <w:bCs/>
          <w:sz w:val="24"/>
          <w:szCs w:val="24"/>
          <w:lang w:val="en-US" w:eastAsia="zh-CN"/>
        </w:rPr>
        <w:t>8.2.3.1</w:t>
      </w:r>
      <w:r>
        <w:rPr>
          <w:rFonts w:hint="eastAsia"/>
          <w:b/>
          <w:bCs/>
          <w:sz w:val="24"/>
          <w:szCs w:val="24"/>
        </w:rPr>
        <w:t>保护原则</w:t>
      </w:r>
      <w:bookmarkEnd w:id="130"/>
      <w:bookmarkEnd w:id="131"/>
      <w:bookmarkEnd w:id="132"/>
      <w:bookmarkEnd w:id="133"/>
      <w:bookmarkEnd w:id="134"/>
    </w:p>
    <w:p w14:paraId="609555FF">
      <w:pPr>
        <w:pStyle w:val="177"/>
        <w:adjustRightInd/>
        <w:snapToGrid/>
        <w:ind w:firstLine="480"/>
        <w:rPr>
          <w:highlight w:val="none"/>
        </w:rPr>
      </w:pPr>
      <w:r>
        <w:rPr>
          <w:rFonts w:hint="eastAsia"/>
          <w:highlight w:val="none"/>
        </w:rPr>
        <w:t>地下水污染的防治措施主要是将被动和主动控制两种方法相互结合起来来考虑。</w:t>
      </w:r>
      <w:r>
        <w:rPr>
          <w:highlight w:val="none"/>
        </w:rPr>
        <w:t xml:space="preserve"> </w:t>
      </w:r>
    </w:p>
    <w:p w14:paraId="2AC0229B">
      <w:pPr>
        <w:pStyle w:val="177"/>
        <w:adjustRightInd/>
        <w:snapToGrid/>
        <w:ind w:firstLine="480"/>
        <w:rPr>
          <w:highlight w:val="none"/>
        </w:rPr>
      </w:pPr>
      <w:r>
        <w:rPr>
          <w:rFonts w:hint="eastAsia"/>
          <w:highlight w:val="none"/>
        </w:rPr>
        <w:t>（</w:t>
      </w:r>
      <w:r>
        <w:rPr>
          <w:highlight w:val="none"/>
        </w:rPr>
        <w:t>1</w:t>
      </w:r>
      <w:r>
        <w:rPr>
          <w:rFonts w:hint="eastAsia"/>
          <w:highlight w:val="none"/>
        </w:rPr>
        <w:t>）主动控制，即控制污染的源头，主要是在生产、传输、储存的过程中尽量的较少</w:t>
      </w:r>
      <w:r>
        <w:rPr>
          <w:rFonts w:hint="eastAsia"/>
          <w:highlight w:val="none"/>
          <w:lang w:eastAsia="zh-CN"/>
        </w:rPr>
        <w:t>入渗</w:t>
      </w:r>
      <w:r>
        <w:rPr>
          <w:rFonts w:hint="eastAsia"/>
          <w:highlight w:val="none"/>
        </w:rPr>
        <w:t>问题，被动控制，即管好末端的方法，主要做好</w:t>
      </w:r>
      <w:r>
        <w:rPr>
          <w:rFonts w:hint="eastAsia"/>
          <w:highlight w:val="none"/>
          <w:lang w:eastAsia="zh-CN"/>
        </w:rPr>
        <w:t>厂区</w:t>
      </w:r>
      <w:r>
        <w:rPr>
          <w:rFonts w:hint="eastAsia"/>
          <w:highlight w:val="none"/>
        </w:rPr>
        <w:t>污染区的防渗工作和应急措施。</w:t>
      </w:r>
      <w:r>
        <w:rPr>
          <w:highlight w:val="none"/>
        </w:rPr>
        <w:t xml:space="preserve"> </w:t>
      </w:r>
    </w:p>
    <w:p w14:paraId="32A18817">
      <w:pPr>
        <w:pStyle w:val="177"/>
        <w:adjustRightInd/>
        <w:snapToGrid/>
        <w:ind w:firstLine="480"/>
        <w:rPr>
          <w:highlight w:val="none"/>
        </w:rPr>
      </w:pPr>
      <w:r>
        <w:rPr>
          <w:rFonts w:hint="eastAsia"/>
          <w:highlight w:val="none"/>
        </w:rPr>
        <w:t>（</w:t>
      </w:r>
      <w:r>
        <w:rPr>
          <w:highlight w:val="none"/>
        </w:rPr>
        <w:t>2</w:t>
      </w:r>
      <w:r>
        <w:rPr>
          <w:rFonts w:hint="eastAsia"/>
          <w:highlight w:val="none"/>
        </w:rPr>
        <w:t>）主要对特殊装置区要有严格的防渗措施，在一般的污染不大的地方也要做好防渗工作，主要重点在特殊装置区。</w:t>
      </w:r>
      <w:r>
        <w:rPr>
          <w:highlight w:val="none"/>
        </w:rPr>
        <w:t xml:space="preserve"> </w:t>
      </w:r>
    </w:p>
    <w:p w14:paraId="23AA9DA9">
      <w:pPr>
        <w:pStyle w:val="177"/>
        <w:adjustRightInd/>
        <w:snapToGrid/>
        <w:ind w:firstLine="480"/>
        <w:rPr>
          <w:highlight w:val="none"/>
        </w:rPr>
      </w:pPr>
      <w:r>
        <w:rPr>
          <w:rFonts w:hint="eastAsia"/>
          <w:highlight w:val="none"/>
        </w:rPr>
        <w:t>（</w:t>
      </w:r>
      <w:r>
        <w:rPr>
          <w:highlight w:val="none"/>
        </w:rPr>
        <w:t>3</w:t>
      </w:r>
      <w:r>
        <w:rPr>
          <w:rFonts w:hint="eastAsia"/>
          <w:highlight w:val="none"/>
        </w:rPr>
        <w:t>）进行污染物的监测，主要是对水池进行，要有完善的监测制度、先进的设备和装置，这种监测必须采用全面的覆盖的形式，这样才能更好的进行监测，使得监测结果更加的全面。</w:t>
      </w:r>
      <w:r>
        <w:rPr>
          <w:highlight w:val="none"/>
        </w:rPr>
        <w:t xml:space="preserve"> </w:t>
      </w:r>
    </w:p>
    <w:p w14:paraId="0AFE18CE">
      <w:pPr>
        <w:pStyle w:val="177"/>
        <w:adjustRightInd/>
        <w:snapToGrid/>
        <w:ind w:firstLine="480"/>
        <w:rPr>
          <w:highlight w:val="none"/>
        </w:rPr>
      </w:pPr>
      <w:r>
        <w:rPr>
          <w:rFonts w:hint="eastAsia"/>
          <w:highlight w:val="none"/>
        </w:rPr>
        <w:t>（</w:t>
      </w:r>
      <w:r>
        <w:rPr>
          <w:highlight w:val="none"/>
        </w:rPr>
        <w:t>4</w:t>
      </w:r>
      <w:r>
        <w:rPr>
          <w:rFonts w:hint="eastAsia"/>
          <w:highlight w:val="none"/>
        </w:rPr>
        <w:t>）应急响应措施，一旦发现有疑似污染的情况，需立即启动应急方案，对污染的下水进行收集处理。</w:t>
      </w:r>
      <w:r>
        <w:rPr>
          <w:highlight w:val="none"/>
        </w:rPr>
        <w:t xml:space="preserve"> </w:t>
      </w:r>
    </w:p>
    <w:p w14:paraId="63785F33">
      <w:pPr>
        <w:pStyle w:val="177"/>
        <w:adjustRightInd/>
        <w:snapToGrid/>
        <w:ind w:firstLine="480"/>
        <w:rPr>
          <w:highlight w:val="none"/>
        </w:rPr>
      </w:pPr>
      <w:r>
        <w:rPr>
          <w:rFonts w:hint="eastAsia"/>
          <w:highlight w:val="none"/>
        </w:rPr>
        <w:t>（</w:t>
      </w:r>
      <w:r>
        <w:rPr>
          <w:highlight w:val="none"/>
        </w:rPr>
        <w:t>5</w:t>
      </w:r>
      <w:r>
        <w:rPr>
          <w:rFonts w:hint="eastAsia"/>
          <w:highlight w:val="none"/>
        </w:rPr>
        <w:t>）污染区防渗措施的设计原测一般是建立地上和地下两种污染防治措施，尽可能做到地上的污染地上防，地下的污染地下防，这样能够更好的防止地下水的污染。</w:t>
      </w:r>
      <w:r>
        <w:rPr>
          <w:highlight w:val="none"/>
        </w:rPr>
        <w:t xml:space="preserve"> </w:t>
      </w:r>
    </w:p>
    <w:p w14:paraId="3823592A">
      <w:pPr>
        <w:bidi w:val="0"/>
        <w:spacing w:line="360" w:lineRule="auto"/>
        <w:rPr>
          <w:rFonts w:hint="eastAsia" w:ascii="Times New Roman" w:hAnsi="Times New Roman" w:eastAsia="宋体" w:cs="Times New Roman"/>
          <w:b/>
          <w:bCs/>
          <w:sz w:val="24"/>
          <w:szCs w:val="24"/>
          <w:lang w:val="en-US" w:eastAsia="zh-CN"/>
        </w:rPr>
      </w:pPr>
      <w:bookmarkStart w:id="135" w:name="_Toc20998"/>
      <w:bookmarkStart w:id="136" w:name="_Toc7966"/>
      <w:r>
        <w:rPr>
          <w:rFonts w:hint="eastAsia" w:ascii="Times New Roman" w:hAnsi="Times New Roman" w:eastAsia="宋体" w:cs="Times New Roman"/>
          <w:b/>
          <w:bCs/>
          <w:sz w:val="24"/>
          <w:szCs w:val="24"/>
          <w:lang w:val="en-US" w:eastAsia="zh-CN"/>
        </w:rPr>
        <w:t>8.2.3.2分区防渗</w:t>
      </w:r>
      <w:bookmarkEnd w:id="135"/>
      <w:bookmarkEnd w:id="136"/>
    </w:p>
    <w:p w14:paraId="79449FE7">
      <w:pPr>
        <w:pStyle w:val="177"/>
        <w:adjustRightInd/>
        <w:snapToGrid/>
        <w:ind w:firstLine="480"/>
        <w:rPr>
          <w:rFonts w:hint="eastAsia"/>
        </w:rPr>
      </w:pPr>
      <w:r>
        <w:rPr>
          <w:rFonts w:hint="eastAsia"/>
        </w:rPr>
        <w:t>分区防控措施是指结合地下水环境影响评价结果，对工程设计或可行性研究报告提出的地下水污染防控方案提出优化调整的建议，给出不同分区的具体防渗技术要求。一般情况下，防控措施应以水平防渗为主，已颁布污染控制国家标准或防渗技术规范的行业，水平防渗技术要求按照相应标准或规范执行。</w:t>
      </w:r>
    </w:p>
    <w:p w14:paraId="3F2D40D8">
      <w:pPr>
        <w:pStyle w:val="235"/>
        <w:keepNext w:val="0"/>
        <w:keepLines w:val="0"/>
        <w:pageBreakBefore w:val="0"/>
        <w:widowControl/>
        <w:kinsoku/>
        <w:wordWrap/>
        <w:overflowPunct/>
        <w:topLinePunct w:val="0"/>
        <w:autoSpaceDE/>
        <w:autoSpaceDN/>
        <w:bidi w:val="0"/>
        <w:adjustRightInd/>
        <w:snapToGrid/>
        <w:spacing w:line="360" w:lineRule="auto"/>
        <w:jc w:val="center"/>
        <w:textAlignment w:val="auto"/>
        <w:rPr>
          <w:rFonts w:eastAsia="宋体"/>
          <w:sz w:val="24"/>
          <w:szCs w:val="24"/>
        </w:rPr>
      </w:pPr>
      <w:r>
        <w:rPr>
          <w:rFonts w:eastAsia="宋体"/>
          <w:sz w:val="24"/>
          <w:szCs w:val="24"/>
        </w:rPr>
        <w:t>表</w:t>
      </w:r>
      <w:r>
        <w:rPr>
          <w:rFonts w:hint="eastAsia" w:eastAsia="宋体"/>
          <w:sz w:val="24"/>
          <w:szCs w:val="24"/>
          <w:lang w:val="en-US" w:eastAsia="zh-CN"/>
        </w:rPr>
        <w:t>8.2-1</w:t>
      </w:r>
      <w:r>
        <w:rPr>
          <w:rFonts w:eastAsia="宋体"/>
          <w:sz w:val="24"/>
          <w:szCs w:val="24"/>
        </w:rPr>
        <w:t xml:space="preserve">  污染控制难易程度分级参照表</w:t>
      </w:r>
    </w:p>
    <w:tbl>
      <w:tblPr>
        <w:tblStyle w:val="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3730"/>
        <w:gridCol w:w="2900"/>
      </w:tblGrid>
      <w:tr w14:paraId="6243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tcBorders>
              <w:tl2br w:val="nil"/>
              <w:tr2bl w:val="nil"/>
            </w:tcBorders>
            <w:noWrap w:val="0"/>
            <w:vAlign w:val="center"/>
          </w:tcPr>
          <w:p w14:paraId="08F69C1E">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污染控制难易程度</w:t>
            </w:r>
          </w:p>
        </w:tc>
        <w:tc>
          <w:tcPr>
            <w:tcW w:w="2138" w:type="pct"/>
            <w:tcBorders>
              <w:tl2br w:val="nil"/>
              <w:tr2bl w:val="nil"/>
            </w:tcBorders>
            <w:noWrap w:val="0"/>
            <w:vAlign w:val="center"/>
          </w:tcPr>
          <w:p w14:paraId="67E7AC90">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主要特征</w:t>
            </w:r>
          </w:p>
        </w:tc>
        <w:tc>
          <w:tcPr>
            <w:tcW w:w="1662" w:type="pct"/>
            <w:tcBorders>
              <w:tl2br w:val="nil"/>
              <w:tr2bl w:val="nil"/>
            </w:tcBorders>
            <w:noWrap w:val="0"/>
            <w:vAlign w:val="center"/>
          </w:tcPr>
          <w:p w14:paraId="0146F6C3">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本项目</w:t>
            </w:r>
          </w:p>
        </w:tc>
      </w:tr>
      <w:tr w14:paraId="57DB6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tcBorders>
              <w:tl2br w:val="nil"/>
              <w:tr2bl w:val="nil"/>
            </w:tcBorders>
            <w:noWrap w:val="0"/>
            <w:vAlign w:val="center"/>
          </w:tcPr>
          <w:p w14:paraId="0538E6F7">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难</w:t>
            </w:r>
          </w:p>
        </w:tc>
        <w:tc>
          <w:tcPr>
            <w:tcW w:w="2138" w:type="pct"/>
            <w:tcBorders>
              <w:tl2br w:val="nil"/>
              <w:tr2bl w:val="nil"/>
            </w:tcBorders>
            <w:noWrap w:val="0"/>
            <w:vAlign w:val="center"/>
          </w:tcPr>
          <w:p w14:paraId="145C48BF">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对地下水环境有污染的物料或污染物泄漏后，不能及时发现处理。</w:t>
            </w:r>
          </w:p>
        </w:tc>
        <w:tc>
          <w:tcPr>
            <w:tcW w:w="1662" w:type="pct"/>
            <w:tcBorders>
              <w:tl2br w:val="nil"/>
              <w:tr2bl w:val="nil"/>
            </w:tcBorders>
            <w:noWrap w:val="0"/>
            <w:vAlign w:val="center"/>
          </w:tcPr>
          <w:p w14:paraId="656DD92D">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hint="default" w:ascii="Times New Roman" w:hAnsi="Times New Roman"/>
                <w:b w:val="0"/>
                <w:bCs w:val="0"/>
                <w:sz w:val="21"/>
                <w:szCs w:val="21"/>
                <w:lang w:val="en-US" w:eastAsia="zh-CN"/>
              </w:rPr>
            </w:pPr>
            <w:r>
              <w:rPr>
                <w:rFonts w:hint="eastAsia"/>
                <w:b w:val="0"/>
                <w:bCs w:val="0"/>
                <w:sz w:val="21"/>
                <w:szCs w:val="21"/>
                <w:lang w:val="en-US" w:eastAsia="zh-CN"/>
              </w:rPr>
              <w:t>/</w:t>
            </w:r>
          </w:p>
        </w:tc>
      </w:tr>
      <w:tr w14:paraId="0249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8" w:type="pct"/>
            <w:tcBorders>
              <w:tl2br w:val="nil"/>
              <w:tr2bl w:val="nil"/>
            </w:tcBorders>
            <w:noWrap w:val="0"/>
            <w:vAlign w:val="center"/>
          </w:tcPr>
          <w:p w14:paraId="4C9545F6">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易</w:t>
            </w:r>
          </w:p>
        </w:tc>
        <w:tc>
          <w:tcPr>
            <w:tcW w:w="2138" w:type="pct"/>
            <w:tcBorders>
              <w:tl2br w:val="nil"/>
              <w:tr2bl w:val="nil"/>
            </w:tcBorders>
            <w:noWrap w:val="0"/>
            <w:vAlign w:val="center"/>
          </w:tcPr>
          <w:p w14:paraId="5D7C0540">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对地下水环境有污染的物料或污染泄漏后，可以及时发现和处理。</w:t>
            </w:r>
          </w:p>
        </w:tc>
        <w:tc>
          <w:tcPr>
            <w:tcW w:w="1662" w:type="pct"/>
            <w:tcBorders>
              <w:tl2br w:val="nil"/>
              <w:tr2bl w:val="nil"/>
            </w:tcBorders>
            <w:noWrap w:val="0"/>
            <w:vAlign w:val="center"/>
          </w:tcPr>
          <w:p w14:paraId="0206002D">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hint="default" w:ascii="Times New Roman" w:hAnsi="Times New Roman"/>
                <w:b w:val="0"/>
                <w:bCs w:val="0"/>
                <w:sz w:val="21"/>
                <w:szCs w:val="21"/>
                <w:lang w:val="en-US" w:eastAsia="zh-CN"/>
              </w:rPr>
            </w:pPr>
            <w:r>
              <w:rPr>
                <w:rFonts w:hint="eastAsia"/>
                <w:b w:val="0"/>
                <w:bCs w:val="0"/>
                <w:sz w:val="21"/>
                <w:szCs w:val="21"/>
                <w:lang w:val="en-US" w:eastAsia="zh-CN"/>
              </w:rPr>
              <w:t>本项目运营期间定期检查维护，可及时发现地面裂痕、管线泄露情况，并可立刻采取相应的污染防治措施。可做到</w:t>
            </w:r>
            <w:r>
              <w:rPr>
                <w:rFonts w:ascii="Times New Roman"/>
                <w:b w:val="0"/>
                <w:bCs w:val="0"/>
                <w:sz w:val="21"/>
                <w:szCs w:val="21"/>
                <w:lang w:val="en-US" w:eastAsia="zh-CN"/>
              </w:rPr>
              <w:t>及时发现和处理。</w:t>
            </w:r>
          </w:p>
        </w:tc>
      </w:tr>
    </w:tbl>
    <w:p w14:paraId="6A4DB5CF">
      <w:pPr>
        <w:pStyle w:val="235"/>
        <w:keepNext w:val="0"/>
        <w:keepLines w:val="0"/>
        <w:pageBreakBefore w:val="0"/>
        <w:widowControl/>
        <w:kinsoku/>
        <w:wordWrap/>
        <w:overflowPunct/>
        <w:topLinePunct w:val="0"/>
        <w:autoSpaceDE/>
        <w:autoSpaceDN/>
        <w:bidi w:val="0"/>
        <w:adjustRightInd/>
        <w:snapToGrid/>
        <w:spacing w:line="360" w:lineRule="auto"/>
        <w:jc w:val="center"/>
        <w:textAlignment w:val="auto"/>
        <w:rPr>
          <w:rFonts w:eastAsia="宋体"/>
          <w:sz w:val="24"/>
          <w:szCs w:val="24"/>
        </w:rPr>
      </w:pPr>
      <w:r>
        <w:rPr>
          <w:rFonts w:eastAsia="宋体"/>
          <w:sz w:val="24"/>
          <w:szCs w:val="24"/>
        </w:rPr>
        <w:t>表</w:t>
      </w:r>
      <w:r>
        <w:rPr>
          <w:rFonts w:hint="eastAsia" w:eastAsia="宋体"/>
          <w:sz w:val="24"/>
          <w:szCs w:val="24"/>
          <w:lang w:val="en-US" w:eastAsia="zh-CN"/>
        </w:rPr>
        <w:t>8.2-2</w:t>
      </w:r>
      <w:r>
        <w:rPr>
          <w:rFonts w:eastAsia="宋体"/>
          <w:sz w:val="24"/>
          <w:szCs w:val="24"/>
        </w:rPr>
        <w:t xml:space="preserve">  天然包气带防污性能分级参照表</w:t>
      </w:r>
    </w:p>
    <w:tbl>
      <w:tblPr>
        <w:tblStyle w:val="7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4421"/>
        <w:gridCol w:w="2923"/>
      </w:tblGrid>
      <w:tr w14:paraId="235D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Borders>
              <w:tl2br w:val="nil"/>
              <w:tr2bl w:val="nil"/>
            </w:tcBorders>
            <w:noWrap w:val="0"/>
            <w:vAlign w:val="center"/>
          </w:tcPr>
          <w:p w14:paraId="4339A563">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hAnsi="Times New Roman"/>
                <w:b w:val="0"/>
                <w:bCs w:val="0"/>
                <w:sz w:val="21"/>
                <w:szCs w:val="21"/>
                <w:lang w:val="en-US" w:eastAsia="zh-CN"/>
              </w:rPr>
              <w:t>分级</w:t>
            </w:r>
          </w:p>
        </w:tc>
        <w:tc>
          <w:tcPr>
            <w:tcW w:w="2535" w:type="pct"/>
            <w:tcBorders>
              <w:tl2br w:val="nil"/>
              <w:tr2bl w:val="nil"/>
            </w:tcBorders>
            <w:noWrap w:val="0"/>
            <w:vAlign w:val="center"/>
          </w:tcPr>
          <w:p w14:paraId="532EDAEA">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hAnsi="Times New Roman"/>
                <w:b w:val="0"/>
                <w:bCs w:val="0"/>
                <w:sz w:val="21"/>
                <w:szCs w:val="21"/>
                <w:lang w:val="en-US" w:eastAsia="zh-CN"/>
              </w:rPr>
              <w:t>包气带岩土的渗透性能</w:t>
            </w:r>
          </w:p>
        </w:tc>
        <w:tc>
          <w:tcPr>
            <w:tcW w:w="1676" w:type="pct"/>
            <w:tcBorders>
              <w:tl2br w:val="nil"/>
              <w:tr2bl w:val="nil"/>
            </w:tcBorders>
            <w:noWrap w:val="0"/>
            <w:vAlign w:val="center"/>
          </w:tcPr>
          <w:p w14:paraId="44B420D6">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hAnsi="Times New Roman"/>
                <w:b w:val="0"/>
                <w:bCs w:val="0"/>
                <w:sz w:val="21"/>
                <w:szCs w:val="21"/>
                <w:lang w:val="en-US" w:eastAsia="zh-CN"/>
              </w:rPr>
              <w:t>本项目</w:t>
            </w:r>
          </w:p>
        </w:tc>
      </w:tr>
      <w:tr w14:paraId="3270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Borders>
              <w:tl2br w:val="nil"/>
              <w:tr2bl w:val="nil"/>
            </w:tcBorders>
            <w:noWrap w:val="0"/>
            <w:vAlign w:val="center"/>
          </w:tcPr>
          <w:p w14:paraId="74F785A2">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强</w:t>
            </w:r>
          </w:p>
        </w:tc>
        <w:tc>
          <w:tcPr>
            <w:tcW w:w="2535" w:type="pct"/>
            <w:tcBorders>
              <w:tl2br w:val="nil"/>
              <w:tr2bl w:val="nil"/>
            </w:tcBorders>
            <w:noWrap w:val="0"/>
            <w:vAlign w:val="center"/>
          </w:tcPr>
          <w:p w14:paraId="3AD91566">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岩（土）层单层厚度</w:t>
            </w:r>
            <w:r>
              <w:rPr>
                <w:rFonts w:ascii="Times New Roman" w:hAnsi="Times New Roman"/>
                <w:b w:val="0"/>
                <w:bCs w:val="0"/>
                <w:sz w:val="21"/>
                <w:szCs w:val="21"/>
                <w:lang w:val="en-US" w:eastAsia="zh-CN"/>
              </w:rPr>
              <w:t>Mb≥1.0m</w:t>
            </w:r>
            <w:r>
              <w:rPr>
                <w:rFonts w:ascii="Times New Roman"/>
                <w:b w:val="0"/>
                <w:bCs w:val="0"/>
                <w:sz w:val="21"/>
                <w:szCs w:val="21"/>
                <w:lang w:val="en-US" w:eastAsia="zh-CN"/>
              </w:rPr>
              <w:t>，渗透系数</w:t>
            </w:r>
            <w:r>
              <w:rPr>
                <w:rFonts w:ascii="Times New Roman" w:hAnsi="Times New Roman"/>
                <w:b w:val="0"/>
                <w:bCs w:val="0"/>
                <w:sz w:val="21"/>
                <w:szCs w:val="21"/>
                <w:lang w:val="en-US" w:eastAsia="zh-CN"/>
              </w:rPr>
              <w:t>K≤1*10-6cm/s</w:t>
            </w:r>
            <w:r>
              <w:rPr>
                <w:rFonts w:ascii="Times New Roman"/>
                <w:b w:val="0"/>
                <w:bCs w:val="0"/>
                <w:sz w:val="21"/>
                <w:szCs w:val="21"/>
                <w:lang w:val="en-US" w:eastAsia="zh-CN"/>
              </w:rPr>
              <w:t>，且分布连续、稳定。</w:t>
            </w:r>
          </w:p>
        </w:tc>
        <w:tc>
          <w:tcPr>
            <w:tcW w:w="1676" w:type="pct"/>
            <w:tcBorders>
              <w:tl2br w:val="nil"/>
              <w:tr2bl w:val="nil"/>
            </w:tcBorders>
            <w:noWrap w:val="0"/>
            <w:vAlign w:val="center"/>
          </w:tcPr>
          <w:p w14:paraId="124C4A6A">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无</w:t>
            </w:r>
          </w:p>
        </w:tc>
      </w:tr>
      <w:tr w14:paraId="10AF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Borders>
              <w:tl2br w:val="nil"/>
              <w:tr2bl w:val="nil"/>
            </w:tcBorders>
            <w:noWrap w:val="0"/>
            <w:vAlign w:val="center"/>
          </w:tcPr>
          <w:p w14:paraId="03184625">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中</w:t>
            </w:r>
          </w:p>
        </w:tc>
        <w:tc>
          <w:tcPr>
            <w:tcW w:w="2535" w:type="pct"/>
            <w:tcBorders>
              <w:tl2br w:val="nil"/>
              <w:tr2bl w:val="nil"/>
            </w:tcBorders>
            <w:noWrap w:val="0"/>
            <w:vAlign w:val="center"/>
          </w:tcPr>
          <w:p w14:paraId="4DC50435">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岩（土）层单层厚度</w:t>
            </w:r>
            <w:r>
              <w:rPr>
                <w:rFonts w:ascii="Times New Roman" w:hAnsi="Times New Roman"/>
                <w:b w:val="0"/>
                <w:bCs w:val="0"/>
                <w:sz w:val="21"/>
                <w:szCs w:val="21"/>
                <w:lang w:val="en-US" w:eastAsia="zh-CN"/>
              </w:rPr>
              <w:t>0.5m≤Mb</w:t>
            </w:r>
            <w:r>
              <w:rPr>
                <w:rFonts w:ascii="Times New Roman"/>
                <w:b w:val="0"/>
                <w:bCs w:val="0"/>
                <w:sz w:val="21"/>
                <w:szCs w:val="21"/>
                <w:lang w:val="en-US" w:eastAsia="zh-CN"/>
              </w:rPr>
              <w:t>＜</w:t>
            </w:r>
            <w:r>
              <w:rPr>
                <w:rFonts w:ascii="Times New Roman" w:hAnsi="Times New Roman"/>
                <w:b w:val="0"/>
                <w:bCs w:val="0"/>
                <w:sz w:val="21"/>
                <w:szCs w:val="21"/>
                <w:lang w:val="en-US" w:eastAsia="zh-CN"/>
              </w:rPr>
              <w:t>1.0m</w:t>
            </w:r>
            <w:r>
              <w:rPr>
                <w:rFonts w:ascii="Times New Roman"/>
                <w:b w:val="0"/>
                <w:bCs w:val="0"/>
                <w:sz w:val="21"/>
                <w:szCs w:val="21"/>
                <w:lang w:val="en-US" w:eastAsia="zh-CN"/>
              </w:rPr>
              <w:t>，渗透系数</w:t>
            </w:r>
            <w:r>
              <w:rPr>
                <w:rFonts w:ascii="Times New Roman" w:hAnsi="Times New Roman"/>
                <w:b w:val="0"/>
                <w:bCs w:val="0"/>
                <w:sz w:val="21"/>
                <w:szCs w:val="21"/>
                <w:lang w:val="en-US" w:eastAsia="zh-CN"/>
              </w:rPr>
              <w:t>K≤1*10</w:t>
            </w:r>
            <w:r>
              <w:rPr>
                <w:rFonts w:ascii="Times New Roman" w:hAnsi="Times New Roman"/>
                <w:b w:val="0"/>
                <w:bCs w:val="0"/>
                <w:sz w:val="21"/>
                <w:szCs w:val="21"/>
                <w:vertAlign w:val="superscript"/>
                <w:lang w:val="en-US" w:eastAsia="zh-CN"/>
              </w:rPr>
              <w:t>-6</w:t>
            </w:r>
            <w:r>
              <w:rPr>
                <w:rFonts w:ascii="Times New Roman" w:hAnsi="Times New Roman"/>
                <w:b w:val="0"/>
                <w:bCs w:val="0"/>
                <w:sz w:val="21"/>
                <w:szCs w:val="21"/>
                <w:lang w:val="en-US" w:eastAsia="zh-CN"/>
              </w:rPr>
              <w:t>cm/s</w:t>
            </w:r>
            <w:r>
              <w:rPr>
                <w:rFonts w:ascii="Times New Roman"/>
                <w:b w:val="0"/>
                <w:bCs w:val="0"/>
                <w:sz w:val="21"/>
                <w:szCs w:val="21"/>
                <w:lang w:val="en-US" w:eastAsia="zh-CN"/>
              </w:rPr>
              <w:t>，且分布连续、稳定。岩（土）层单层厚度</w:t>
            </w:r>
            <w:r>
              <w:rPr>
                <w:rFonts w:ascii="Times New Roman" w:hAnsi="Times New Roman"/>
                <w:b w:val="0"/>
                <w:bCs w:val="0"/>
                <w:sz w:val="21"/>
                <w:szCs w:val="21"/>
                <w:lang w:val="en-US" w:eastAsia="zh-CN"/>
              </w:rPr>
              <w:t>Mb≥1.0m</w:t>
            </w:r>
            <w:r>
              <w:rPr>
                <w:rFonts w:ascii="Times New Roman"/>
                <w:b w:val="0"/>
                <w:bCs w:val="0"/>
                <w:sz w:val="21"/>
                <w:szCs w:val="21"/>
                <w:lang w:val="en-US" w:eastAsia="zh-CN"/>
              </w:rPr>
              <w:t>，渗透系数</w:t>
            </w:r>
            <w:r>
              <w:rPr>
                <w:rFonts w:ascii="Times New Roman" w:hAnsi="Times New Roman"/>
                <w:b w:val="0"/>
                <w:bCs w:val="0"/>
                <w:sz w:val="21"/>
                <w:szCs w:val="21"/>
                <w:lang w:val="en-US" w:eastAsia="zh-CN"/>
              </w:rPr>
              <w:t>1*10</w:t>
            </w:r>
            <w:r>
              <w:rPr>
                <w:rFonts w:ascii="Times New Roman" w:hAnsi="Times New Roman"/>
                <w:b w:val="0"/>
                <w:bCs w:val="0"/>
                <w:sz w:val="21"/>
                <w:szCs w:val="21"/>
                <w:vertAlign w:val="superscript"/>
                <w:lang w:val="en-US" w:eastAsia="zh-CN"/>
              </w:rPr>
              <w:t>-6</w:t>
            </w:r>
            <w:r>
              <w:rPr>
                <w:rFonts w:ascii="Times New Roman"/>
                <w:b w:val="0"/>
                <w:bCs w:val="0"/>
                <w:sz w:val="21"/>
                <w:szCs w:val="21"/>
                <w:lang w:val="en-US" w:eastAsia="zh-CN"/>
              </w:rPr>
              <w:t>＜</w:t>
            </w:r>
            <w:r>
              <w:rPr>
                <w:rFonts w:ascii="Times New Roman" w:hAnsi="Times New Roman"/>
                <w:b w:val="0"/>
                <w:bCs w:val="0"/>
                <w:sz w:val="21"/>
                <w:szCs w:val="21"/>
                <w:lang w:val="en-US" w:eastAsia="zh-CN"/>
              </w:rPr>
              <w:t>K≤1*10</w:t>
            </w:r>
            <w:r>
              <w:rPr>
                <w:rFonts w:ascii="Times New Roman" w:hAnsi="Times New Roman"/>
                <w:b w:val="0"/>
                <w:bCs w:val="0"/>
                <w:sz w:val="21"/>
                <w:szCs w:val="21"/>
                <w:vertAlign w:val="superscript"/>
                <w:lang w:val="en-US" w:eastAsia="zh-CN"/>
              </w:rPr>
              <w:t>-4</w:t>
            </w:r>
            <w:r>
              <w:rPr>
                <w:rFonts w:ascii="Times New Roman" w:hAnsi="Times New Roman"/>
                <w:b w:val="0"/>
                <w:bCs w:val="0"/>
                <w:sz w:val="21"/>
                <w:szCs w:val="21"/>
                <w:lang w:val="en-US" w:eastAsia="zh-CN"/>
              </w:rPr>
              <w:t>cm/s</w:t>
            </w:r>
            <w:r>
              <w:rPr>
                <w:rFonts w:ascii="Times New Roman"/>
                <w:b w:val="0"/>
                <w:bCs w:val="0"/>
                <w:sz w:val="21"/>
                <w:szCs w:val="21"/>
                <w:lang w:val="en-US" w:eastAsia="zh-CN"/>
              </w:rPr>
              <w:t>，且分布连续、稳定。</w:t>
            </w:r>
          </w:p>
        </w:tc>
        <w:tc>
          <w:tcPr>
            <w:tcW w:w="1676" w:type="pct"/>
            <w:tcBorders>
              <w:tl2br w:val="nil"/>
              <w:tr2bl w:val="nil"/>
            </w:tcBorders>
            <w:noWrap w:val="0"/>
            <w:vAlign w:val="center"/>
          </w:tcPr>
          <w:p w14:paraId="5BDEFC01">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无</w:t>
            </w:r>
          </w:p>
        </w:tc>
      </w:tr>
      <w:tr w14:paraId="6F71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Borders>
              <w:tl2br w:val="nil"/>
              <w:tr2bl w:val="nil"/>
            </w:tcBorders>
            <w:noWrap w:val="0"/>
            <w:vAlign w:val="center"/>
          </w:tcPr>
          <w:p w14:paraId="16B003A3">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弱</w:t>
            </w:r>
          </w:p>
        </w:tc>
        <w:tc>
          <w:tcPr>
            <w:tcW w:w="2535" w:type="pct"/>
            <w:tcBorders>
              <w:tl2br w:val="nil"/>
              <w:tr2bl w:val="nil"/>
            </w:tcBorders>
            <w:noWrap w:val="0"/>
            <w:vAlign w:val="center"/>
          </w:tcPr>
          <w:p w14:paraId="5017D6E7">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ascii="Times New Roman"/>
                <w:b w:val="0"/>
                <w:bCs w:val="0"/>
                <w:sz w:val="21"/>
                <w:szCs w:val="21"/>
                <w:lang w:val="en-US" w:eastAsia="zh-CN"/>
              </w:rPr>
              <w:t>岩（土）层不满足上述</w:t>
            </w:r>
            <w:r>
              <w:rPr>
                <w:rFonts w:ascii="Times New Roman" w:hAnsi="Times New Roman"/>
                <w:b w:val="0"/>
                <w:bCs w:val="0"/>
                <w:sz w:val="21"/>
                <w:szCs w:val="21"/>
                <w:lang w:val="en-US" w:eastAsia="zh-CN"/>
              </w:rPr>
              <w:t>“</w:t>
            </w:r>
            <w:r>
              <w:rPr>
                <w:rFonts w:ascii="Times New Roman"/>
                <w:b w:val="0"/>
                <w:bCs w:val="0"/>
                <w:sz w:val="21"/>
                <w:szCs w:val="21"/>
                <w:lang w:val="en-US" w:eastAsia="zh-CN"/>
              </w:rPr>
              <w:t>强</w:t>
            </w:r>
            <w:r>
              <w:rPr>
                <w:rFonts w:ascii="Times New Roman" w:hAnsi="Times New Roman"/>
                <w:b w:val="0"/>
                <w:bCs w:val="0"/>
                <w:sz w:val="21"/>
                <w:szCs w:val="21"/>
                <w:lang w:val="en-US" w:eastAsia="zh-CN"/>
              </w:rPr>
              <w:t>”</w:t>
            </w:r>
            <w:r>
              <w:rPr>
                <w:rFonts w:ascii="Times New Roman"/>
                <w:b w:val="0"/>
                <w:bCs w:val="0"/>
                <w:sz w:val="21"/>
                <w:szCs w:val="21"/>
                <w:lang w:val="en-US" w:eastAsia="zh-CN"/>
              </w:rPr>
              <w:t>和</w:t>
            </w:r>
            <w:r>
              <w:rPr>
                <w:rFonts w:ascii="Times New Roman" w:hAnsi="Times New Roman"/>
                <w:b w:val="0"/>
                <w:bCs w:val="0"/>
                <w:sz w:val="21"/>
                <w:szCs w:val="21"/>
                <w:lang w:val="en-US" w:eastAsia="zh-CN"/>
              </w:rPr>
              <w:t>“</w:t>
            </w:r>
            <w:r>
              <w:rPr>
                <w:rFonts w:ascii="Times New Roman"/>
                <w:b w:val="0"/>
                <w:bCs w:val="0"/>
                <w:sz w:val="21"/>
                <w:szCs w:val="21"/>
                <w:lang w:val="en-US" w:eastAsia="zh-CN"/>
              </w:rPr>
              <w:t>中</w:t>
            </w:r>
            <w:r>
              <w:rPr>
                <w:rFonts w:ascii="Times New Roman" w:hAnsi="Times New Roman"/>
                <w:b w:val="0"/>
                <w:bCs w:val="0"/>
                <w:sz w:val="21"/>
                <w:szCs w:val="21"/>
                <w:lang w:val="en-US" w:eastAsia="zh-CN"/>
              </w:rPr>
              <w:t>”</w:t>
            </w:r>
            <w:r>
              <w:rPr>
                <w:rFonts w:ascii="Times New Roman"/>
                <w:b w:val="0"/>
                <w:bCs w:val="0"/>
                <w:sz w:val="21"/>
                <w:szCs w:val="21"/>
                <w:lang w:val="en-US" w:eastAsia="zh-CN"/>
              </w:rPr>
              <w:t>条件。</w:t>
            </w:r>
          </w:p>
        </w:tc>
        <w:tc>
          <w:tcPr>
            <w:tcW w:w="1676" w:type="pct"/>
            <w:tcBorders>
              <w:tl2br w:val="nil"/>
              <w:tr2bl w:val="nil"/>
            </w:tcBorders>
            <w:noWrap w:val="0"/>
            <w:vAlign w:val="center"/>
          </w:tcPr>
          <w:p w14:paraId="481E733B">
            <w:pPr>
              <w:pStyle w:val="171"/>
              <w:tabs>
                <w:tab w:val="left" w:pos="522"/>
                <w:tab w:val="left" w:pos="628"/>
                <w:tab w:val="left" w:pos="681"/>
                <w:tab w:val="left" w:pos="1200"/>
                <w:tab w:val="left" w:pos="1558"/>
                <w:tab w:val="left" w:pos="1884"/>
                <w:tab w:val="left" w:pos="1985"/>
              </w:tabs>
              <w:adjustRightInd/>
              <w:snapToGrid/>
              <w:spacing w:line="240" w:lineRule="auto"/>
              <w:ind w:left="0" w:right="0"/>
              <w:rPr>
                <w:rFonts w:ascii="Times New Roman" w:hAnsi="Times New Roman"/>
                <w:b w:val="0"/>
                <w:bCs w:val="0"/>
                <w:sz w:val="21"/>
                <w:szCs w:val="21"/>
                <w:lang w:val="en-US" w:eastAsia="zh-CN"/>
              </w:rPr>
            </w:pPr>
            <w:r>
              <w:rPr>
                <w:rFonts w:hint="eastAsia" w:ascii="Times New Roman"/>
                <w:b w:val="0"/>
                <w:bCs w:val="0"/>
                <w:sz w:val="21"/>
                <w:szCs w:val="21"/>
                <w:highlight w:val="none"/>
                <w:lang w:val="en-US" w:eastAsia="zh-CN"/>
              </w:rPr>
              <w:t>本项目天然包气带为弱级抗污</w:t>
            </w:r>
          </w:p>
        </w:tc>
      </w:tr>
    </w:tbl>
    <w:p w14:paraId="4272A921">
      <w:pPr>
        <w:pStyle w:val="235"/>
        <w:keepNext w:val="0"/>
        <w:keepLines w:val="0"/>
        <w:pageBreakBefore w:val="0"/>
        <w:widowControl/>
        <w:kinsoku/>
        <w:wordWrap/>
        <w:overflowPunct/>
        <w:topLinePunct w:val="0"/>
        <w:autoSpaceDE/>
        <w:autoSpaceDN/>
        <w:bidi w:val="0"/>
        <w:adjustRightInd/>
        <w:snapToGrid/>
        <w:spacing w:line="360" w:lineRule="auto"/>
        <w:jc w:val="center"/>
        <w:textAlignment w:val="auto"/>
        <w:rPr>
          <w:rFonts w:eastAsia="宋体"/>
          <w:sz w:val="24"/>
          <w:szCs w:val="24"/>
        </w:rPr>
      </w:pPr>
      <w:r>
        <w:rPr>
          <w:rFonts w:eastAsia="宋体"/>
          <w:sz w:val="24"/>
          <w:szCs w:val="24"/>
        </w:rPr>
        <w:t>表</w:t>
      </w:r>
      <w:r>
        <w:rPr>
          <w:rFonts w:hint="eastAsia" w:eastAsia="宋体"/>
          <w:sz w:val="24"/>
          <w:szCs w:val="24"/>
          <w:lang w:val="en-US" w:eastAsia="zh-CN"/>
        </w:rPr>
        <w:t>8.2-3</w:t>
      </w:r>
      <w:r>
        <w:rPr>
          <w:rFonts w:eastAsia="宋体"/>
          <w:sz w:val="24"/>
          <w:szCs w:val="24"/>
        </w:rPr>
        <w:t xml:space="preserve">  地下水污染防渗分区参照表</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1413"/>
        <w:gridCol w:w="1411"/>
        <w:gridCol w:w="1736"/>
        <w:gridCol w:w="2925"/>
      </w:tblGrid>
      <w:tr w14:paraId="176E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tcBorders>
              <w:tl2br w:val="nil"/>
              <w:tr2bl w:val="nil"/>
            </w:tcBorders>
            <w:noWrap w:val="0"/>
            <w:vAlign w:val="center"/>
          </w:tcPr>
          <w:p w14:paraId="0DC6CB8A">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firstLine="0" w:firstLineChars="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防渗分区</w:t>
            </w:r>
          </w:p>
        </w:tc>
        <w:tc>
          <w:tcPr>
            <w:tcW w:w="810" w:type="pct"/>
            <w:tcBorders>
              <w:tl2br w:val="nil"/>
              <w:tr2bl w:val="nil"/>
            </w:tcBorders>
            <w:noWrap w:val="0"/>
            <w:vAlign w:val="center"/>
          </w:tcPr>
          <w:p w14:paraId="7F53D4A5">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firstLine="0" w:firstLineChars="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天然包气带防污性能</w:t>
            </w:r>
          </w:p>
        </w:tc>
        <w:tc>
          <w:tcPr>
            <w:tcW w:w="809" w:type="pct"/>
            <w:tcBorders>
              <w:tl2br w:val="nil"/>
              <w:tr2bl w:val="nil"/>
            </w:tcBorders>
            <w:noWrap w:val="0"/>
            <w:vAlign w:val="center"/>
          </w:tcPr>
          <w:p w14:paraId="5E090F2E">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firstLine="0" w:firstLineChars="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污染控制难易程度</w:t>
            </w:r>
          </w:p>
        </w:tc>
        <w:tc>
          <w:tcPr>
            <w:tcW w:w="995" w:type="pct"/>
            <w:tcBorders>
              <w:tl2br w:val="nil"/>
              <w:tr2bl w:val="nil"/>
            </w:tcBorders>
            <w:noWrap w:val="0"/>
            <w:vAlign w:val="center"/>
          </w:tcPr>
          <w:p w14:paraId="1CAE6F83">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firstLine="0" w:firstLineChars="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污染物类型</w:t>
            </w:r>
          </w:p>
        </w:tc>
        <w:tc>
          <w:tcPr>
            <w:tcW w:w="1677" w:type="pct"/>
            <w:tcBorders>
              <w:tl2br w:val="nil"/>
              <w:tr2bl w:val="nil"/>
            </w:tcBorders>
            <w:noWrap w:val="0"/>
            <w:vAlign w:val="center"/>
          </w:tcPr>
          <w:p w14:paraId="60472DA9">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防渗技术要求</w:t>
            </w:r>
          </w:p>
        </w:tc>
      </w:tr>
      <w:tr w14:paraId="2DAB0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Merge w:val="restart"/>
            <w:tcBorders>
              <w:tl2br w:val="nil"/>
              <w:tr2bl w:val="nil"/>
            </w:tcBorders>
            <w:noWrap w:val="0"/>
            <w:vAlign w:val="center"/>
          </w:tcPr>
          <w:p w14:paraId="005CF551">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重点防渗区</w:t>
            </w:r>
          </w:p>
        </w:tc>
        <w:tc>
          <w:tcPr>
            <w:tcW w:w="810" w:type="pct"/>
            <w:tcBorders>
              <w:tl2br w:val="nil"/>
              <w:tr2bl w:val="nil"/>
            </w:tcBorders>
            <w:noWrap w:val="0"/>
            <w:vAlign w:val="center"/>
          </w:tcPr>
          <w:p w14:paraId="32F59D5B">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弱</w:t>
            </w:r>
          </w:p>
        </w:tc>
        <w:tc>
          <w:tcPr>
            <w:tcW w:w="809" w:type="pct"/>
            <w:tcBorders>
              <w:tl2br w:val="nil"/>
              <w:tr2bl w:val="nil"/>
            </w:tcBorders>
            <w:noWrap w:val="0"/>
            <w:vAlign w:val="center"/>
          </w:tcPr>
          <w:p w14:paraId="57723152">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hint="eastAsia"/>
                <w:b w:val="0"/>
                <w:bCs w:val="0"/>
                <w:sz w:val="21"/>
                <w:szCs w:val="21"/>
                <w:lang w:val="en-US" w:eastAsia="zh-CN"/>
              </w:rPr>
              <w:t>易—</w:t>
            </w:r>
            <w:r>
              <w:rPr>
                <w:rFonts w:ascii="Times New Roman"/>
                <w:b w:val="0"/>
                <w:bCs w:val="0"/>
                <w:sz w:val="21"/>
                <w:szCs w:val="21"/>
                <w:lang w:val="en-US" w:eastAsia="zh-CN"/>
              </w:rPr>
              <w:t>难</w:t>
            </w:r>
          </w:p>
        </w:tc>
        <w:tc>
          <w:tcPr>
            <w:tcW w:w="995" w:type="pct"/>
            <w:vMerge w:val="restart"/>
            <w:tcBorders>
              <w:tl2br w:val="nil"/>
              <w:tr2bl w:val="nil"/>
            </w:tcBorders>
            <w:noWrap w:val="0"/>
            <w:vAlign w:val="center"/>
          </w:tcPr>
          <w:p w14:paraId="32472027">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firstLine="0" w:firstLineChars="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重金属、持久性有机物污染物</w:t>
            </w:r>
          </w:p>
        </w:tc>
        <w:tc>
          <w:tcPr>
            <w:tcW w:w="1677" w:type="pct"/>
            <w:vMerge w:val="restart"/>
            <w:tcBorders>
              <w:tl2br w:val="nil"/>
              <w:tr2bl w:val="nil"/>
            </w:tcBorders>
            <w:noWrap w:val="0"/>
            <w:vAlign w:val="center"/>
          </w:tcPr>
          <w:p w14:paraId="2ED2BBAA">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firstLine="0" w:firstLineChars="0"/>
              <w:jc w:val="center"/>
              <w:textAlignment w:val="auto"/>
              <w:rPr>
                <w:rFonts w:ascii="Times New Roman" w:hAnsi="Times New Roman"/>
                <w:b w:val="0"/>
                <w:bCs w:val="0"/>
                <w:sz w:val="21"/>
                <w:szCs w:val="21"/>
                <w:lang w:val="en-US" w:eastAsia="zh-CN"/>
              </w:rPr>
            </w:pPr>
            <w:r>
              <w:rPr>
                <w:rFonts w:hint="eastAsia" w:ascii="Times New Roman" w:hAnsi="Times New Roman"/>
                <w:b w:val="0"/>
                <w:bCs w:val="0"/>
                <w:sz w:val="21"/>
                <w:szCs w:val="21"/>
                <w:lang w:val="en-US" w:eastAsia="zh-CN"/>
              </w:rPr>
              <w:t>等效黏土防渗层 Mb≥6.0m，K≤1.0×10</w:t>
            </w:r>
            <w:r>
              <w:rPr>
                <w:rFonts w:hint="eastAsia" w:ascii="Times New Roman" w:hAnsi="Times New Roman"/>
                <w:b w:val="0"/>
                <w:bCs w:val="0"/>
                <w:sz w:val="21"/>
                <w:szCs w:val="21"/>
                <w:vertAlign w:val="superscript"/>
                <w:lang w:val="en-US" w:eastAsia="zh-CN"/>
              </w:rPr>
              <w:t>-7</w:t>
            </w:r>
            <w:r>
              <w:rPr>
                <w:rFonts w:hint="eastAsia" w:ascii="Times New Roman" w:hAnsi="Times New Roman"/>
                <w:b w:val="0"/>
                <w:bCs w:val="0"/>
                <w:sz w:val="21"/>
                <w:szCs w:val="21"/>
                <w:lang w:val="en-US" w:eastAsia="zh-CN"/>
              </w:rPr>
              <w:t>cm/s；或参照GB 18598执行</w:t>
            </w:r>
          </w:p>
        </w:tc>
      </w:tr>
      <w:tr w14:paraId="3DE6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Merge w:val="continue"/>
            <w:tcBorders>
              <w:tl2br w:val="nil"/>
              <w:tr2bl w:val="nil"/>
            </w:tcBorders>
            <w:noWrap w:val="0"/>
            <w:vAlign w:val="center"/>
          </w:tcPr>
          <w:p w14:paraId="42A37510">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c>
          <w:tcPr>
            <w:tcW w:w="810" w:type="pct"/>
            <w:tcBorders>
              <w:tl2br w:val="nil"/>
              <w:tr2bl w:val="nil"/>
            </w:tcBorders>
            <w:noWrap w:val="0"/>
            <w:vAlign w:val="center"/>
          </w:tcPr>
          <w:p w14:paraId="31641B7C">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中</w:t>
            </w:r>
            <w:r>
              <w:rPr>
                <w:rFonts w:hint="eastAsia"/>
                <w:b w:val="0"/>
                <w:bCs w:val="0"/>
                <w:sz w:val="21"/>
                <w:szCs w:val="21"/>
                <w:lang w:val="en-US" w:eastAsia="zh-CN"/>
              </w:rPr>
              <w:t>—</w:t>
            </w:r>
            <w:r>
              <w:rPr>
                <w:rFonts w:ascii="Times New Roman"/>
                <w:b w:val="0"/>
                <w:bCs w:val="0"/>
                <w:sz w:val="21"/>
                <w:szCs w:val="21"/>
                <w:lang w:val="en-US" w:eastAsia="zh-CN"/>
              </w:rPr>
              <w:t>强</w:t>
            </w:r>
          </w:p>
        </w:tc>
        <w:tc>
          <w:tcPr>
            <w:tcW w:w="809" w:type="pct"/>
            <w:tcBorders>
              <w:tl2br w:val="nil"/>
              <w:tr2bl w:val="nil"/>
            </w:tcBorders>
            <w:noWrap w:val="0"/>
            <w:vAlign w:val="center"/>
          </w:tcPr>
          <w:p w14:paraId="11E69D6B">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难</w:t>
            </w:r>
          </w:p>
        </w:tc>
        <w:tc>
          <w:tcPr>
            <w:tcW w:w="995" w:type="pct"/>
            <w:vMerge w:val="continue"/>
            <w:tcBorders>
              <w:tl2br w:val="nil"/>
              <w:tr2bl w:val="nil"/>
            </w:tcBorders>
            <w:noWrap w:val="0"/>
            <w:vAlign w:val="center"/>
          </w:tcPr>
          <w:p w14:paraId="43477713">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c>
          <w:tcPr>
            <w:tcW w:w="1677" w:type="pct"/>
            <w:vMerge w:val="continue"/>
            <w:tcBorders>
              <w:tl2br w:val="nil"/>
              <w:tr2bl w:val="nil"/>
            </w:tcBorders>
            <w:noWrap w:val="0"/>
            <w:vAlign w:val="center"/>
          </w:tcPr>
          <w:p w14:paraId="626ED784">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r>
      <w:tr w14:paraId="1D552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Merge w:val="restart"/>
            <w:tcBorders>
              <w:tl2br w:val="nil"/>
              <w:tr2bl w:val="nil"/>
            </w:tcBorders>
            <w:noWrap w:val="0"/>
            <w:vAlign w:val="center"/>
          </w:tcPr>
          <w:p w14:paraId="58A24DF5">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一般防渗区</w:t>
            </w:r>
          </w:p>
        </w:tc>
        <w:tc>
          <w:tcPr>
            <w:tcW w:w="810" w:type="pct"/>
            <w:tcBorders>
              <w:tl2br w:val="nil"/>
              <w:tr2bl w:val="nil"/>
            </w:tcBorders>
            <w:noWrap w:val="0"/>
            <w:vAlign w:val="center"/>
          </w:tcPr>
          <w:p w14:paraId="029F6101">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中—强</w:t>
            </w:r>
          </w:p>
        </w:tc>
        <w:tc>
          <w:tcPr>
            <w:tcW w:w="809" w:type="pct"/>
            <w:tcBorders>
              <w:tl2br w:val="nil"/>
              <w:tr2bl w:val="nil"/>
            </w:tcBorders>
            <w:noWrap w:val="0"/>
            <w:vAlign w:val="center"/>
          </w:tcPr>
          <w:p w14:paraId="21722765">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易</w:t>
            </w:r>
          </w:p>
        </w:tc>
        <w:tc>
          <w:tcPr>
            <w:tcW w:w="995" w:type="pct"/>
            <w:vMerge w:val="restart"/>
            <w:tcBorders>
              <w:tl2br w:val="nil"/>
              <w:tr2bl w:val="nil"/>
            </w:tcBorders>
            <w:noWrap w:val="0"/>
            <w:vAlign w:val="center"/>
          </w:tcPr>
          <w:p w14:paraId="3E492656">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重金属、持久性有机物污染物</w:t>
            </w:r>
          </w:p>
        </w:tc>
        <w:tc>
          <w:tcPr>
            <w:tcW w:w="1677" w:type="pct"/>
            <w:vMerge w:val="restart"/>
            <w:tcBorders>
              <w:tl2br w:val="nil"/>
              <w:tr2bl w:val="nil"/>
            </w:tcBorders>
            <w:noWrap w:val="0"/>
            <w:vAlign w:val="center"/>
          </w:tcPr>
          <w:p w14:paraId="3AE8E5E9">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hint="eastAsia" w:ascii="Times New Roman" w:hAnsi="Times New Roman"/>
                <w:b w:val="0"/>
                <w:bCs w:val="0"/>
                <w:sz w:val="21"/>
                <w:szCs w:val="21"/>
                <w:lang w:val="en-US" w:eastAsia="zh-CN"/>
              </w:rPr>
              <w:t>等效黏土防渗层 Mb≥1.5m，K≤1.0×10</w:t>
            </w:r>
            <w:r>
              <w:rPr>
                <w:rFonts w:hint="eastAsia" w:ascii="Times New Roman" w:hAnsi="Times New Roman"/>
                <w:b w:val="0"/>
                <w:bCs w:val="0"/>
                <w:sz w:val="21"/>
                <w:szCs w:val="21"/>
                <w:vertAlign w:val="superscript"/>
                <w:lang w:val="en-US" w:eastAsia="zh-CN"/>
              </w:rPr>
              <w:t>-7</w:t>
            </w:r>
            <w:r>
              <w:rPr>
                <w:rFonts w:hint="eastAsia" w:ascii="Times New Roman" w:hAnsi="Times New Roman"/>
                <w:b w:val="0"/>
                <w:bCs w:val="0"/>
                <w:sz w:val="21"/>
                <w:szCs w:val="21"/>
                <w:lang w:val="en-US" w:eastAsia="zh-CN"/>
              </w:rPr>
              <w:t>cm/s；或参照GB 16889执行</w:t>
            </w:r>
          </w:p>
        </w:tc>
      </w:tr>
      <w:tr w14:paraId="5E8DA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Merge w:val="continue"/>
            <w:tcBorders>
              <w:tl2br w:val="nil"/>
              <w:tr2bl w:val="nil"/>
            </w:tcBorders>
            <w:noWrap w:val="0"/>
            <w:vAlign w:val="center"/>
          </w:tcPr>
          <w:p w14:paraId="6486EE15">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c>
          <w:tcPr>
            <w:tcW w:w="810" w:type="pct"/>
            <w:tcBorders>
              <w:tl2br w:val="nil"/>
              <w:tr2bl w:val="nil"/>
            </w:tcBorders>
            <w:noWrap w:val="0"/>
            <w:vAlign w:val="center"/>
          </w:tcPr>
          <w:p w14:paraId="5EAE1763">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弱</w:t>
            </w:r>
          </w:p>
        </w:tc>
        <w:tc>
          <w:tcPr>
            <w:tcW w:w="809" w:type="pct"/>
            <w:tcBorders>
              <w:tl2br w:val="nil"/>
              <w:tr2bl w:val="nil"/>
            </w:tcBorders>
            <w:noWrap w:val="0"/>
            <w:vAlign w:val="center"/>
          </w:tcPr>
          <w:p w14:paraId="236DEBA5">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jc w:val="center"/>
              <w:textAlignment w:val="auto"/>
              <w:rPr>
                <w:rFonts w:ascii="Times New Roman" w:hAnsi="Times New Roman"/>
                <w:b w:val="0"/>
                <w:bCs w:val="0"/>
                <w:sz w:val="21"/>
                <w:szCs w:val="21"/>
                <w:lang w:val="en-US" w:eastAsia="zh-CN"/>
              </w:rPr>
            </w:pPr>
            <w:r>
              <w:rPr>
                <w:rFonts w:hint="eastAsia"/>
                <w:b w:val="0"/>
                <w:bCs w:val="0"/>
                <w:sz w:val="21"/>
                <w:szCs w:val="21"/>
                <w:lang w:val="en-US" w:eastAsia="zh-CN"/>
              </w:rPr>
              <w:t>易—</w:t>
            </w:r>
            <w:r>
              <w:rPr>
                <w:rFonts w:ascii="Times New Roman"/>
                <w:b w:val="0"/>
                <w:bCs w:val="0"/>
                <w:sz w:val="21"/>
                <w:szCs w:val="21"/>
                <w:lang w:val="en-US" w:eastAsia="zh-CN"/>
              </w:rPr>
              <w:t>难</w:t>
            </w:r>
          </w:p>
        </w:tc>
        <w:tc>
          <w:tcPr>
            <w:tcW w:w="995" w:type="pct"/>
            <w:vMerge w:val="continue"/>
            <w:tcBorders>
              <w:tl2br w:val="nil"/>
              <w:tr2bl w:val="nil"/>
            </w:tcBorders>
            <w:noWrap w:val="0"/>
            <w:vAlign w:val="center"/>
          </w:tcPr>
          <w:p w14:paraId="0EC0FD64">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c>
          <w:tcPr>
            <w:tcW w:w="1677" w:type="pct"/>
            <w:vMerge w:val="continue"/>
            <w:tcBorders>
              <w:tl2br w:val="nil"/>
              <w:tr2bl w:val="nil"/>
            </w:tcBorders>
            <w:noWrap w:val="0"/>
            <w:vAlign w:val="center"/>
          </w:tcPr>
          <w:p w14:paraId="14ABBC5C">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r>
      <w:tr w14:paraId="2A0B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vMerge w:val="continue"/>
            <w:tcBorders>
              <w:tl2br w:val="nil"/>
              <w:tr2bl w:val="nil"/>
            </w:tcBorders>
            <w:noWrap w:val="0"/>
            <w:vAlign w:val="center"/>
          </w:tcPr>
          <w:p w14:paraId="034BF3EE">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c>
          <w:tcPr>
            <w:tcW w:w="810" w:type="pct"/>
            <w:tcBorders>
              <w:tl2br w:val="nil"/>
              <w:tr2bl w:val="nil"/>
            </w:tcBorders>
            <w:noWrap w:val="0"/>
            <w:vAlign w:val="center"/>
          </w:tcPr>
          <w:p w14:paraId="55A31D3E">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hint="eastAsia"/>
                <w:b w:val="0"/>
                <w:bCs w:val="0"/>
                <w:sz w:val="21"/>
                <w:szCs w:val="21"/>
                <w:lang w:val="en-US" w:eastAsia="zh-CN"/>
              </w:rPr>
              <w:t>中—强</w:t>
            </w:r>
          </w:p>
        </w:tc>
        <w:tc>
          <w:tcPr>
            <w:tcW w:w="809" w:type="pct"/>
            <w:tcBorders>
              <w:tl2br w:val="nil"/>
              <w:tr2bl w:val="nil"/>
            </w:tcBorders>
            <w:noWrap w:val="0"/>
            <w:vAlign w:val="center"/>
          </w:tcPr>
          <w:p w14:paraId="6B9CA967">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leftChars="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难</w:t>
            </w:r>
          </w:p>
        </w:tc>
        <w:tc>
          <w:tcPr>
            <w:tcW w:w="995" w:type="pct"/>
            <w:tcBorders>
              <w:tl2br w:val="nil"/>
              <w:tr2bl w:val="nil"/>
            </w:tcBorders>
            <w:noWrap w:val="0"/>
            <w:vAlign w:val="center"/>
          </w:tcPr>
          <w:p w14:paraId="25B0E16A">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hint="default" w:ascii="Times New Roman" w:hAnsi="Times New Roman"/>
                <w:b w:val="0"/>
                <w:bCs w:val="0"/>
                <w:sz w:val="21"/>
                <w:szCs w:val="21"/>
                <w:lang w:val="en-US" w:eastAsia="zh-CN"/>
              </w:rPr>
            </w:pPr>
            <w:r>
              <w:rPr>
                <w:rFonts w:hint="eastAsia"/>
                <w:b w:val="0"/>
                <w:bCs w:val="0"/>
                <w:sz w:val="21"/>
                <w:szCs w:val="21"/>
                <w:lang w:val="en-US" w:eastAsia="zh-CN"/>
              </w:rPr>
              <w:t>其他类型</w:t>
            </w:r>
          </w:p>
        </w:tc>
        <w:tc>
          <w:tcPr>
            <w:tcW w:w="1677" w:type="pct"/>
            <w:vMerge w:val="continue"/>
            <w:tcBorders>
              <w:tl2br w:val="nil"/>
              <w:tr2bl w:val="nil"/>
            </w:tcBorders>
            <w:noWrap w:val="0"/>
            <w:vAlign w:val="center"/>
          </w:tcPr>
          <w:p w14:paraId="32AA235C">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p>
        </w:tc>
      </w:tr>
      <w:tr w14:paraId="40394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8" w:type="pct"/>
            <w:tcBorders>
              <w:tl2br w:val="nil"/>
              <w:tr2bl w:val="nil"/>
            </w:tcBorders>
            <w:noWrap w:val="0"/>
            <w:vAlign w:val="center"/>
          </w:tcPr>
          <w:p w14:paraId="3022EB8A">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简单防渗区</w:t>
            </w:r>
          </w:p>
        </w:tc>
        <w:tc>
          <w:tcPr>
            <w:tcW w:w="810" w:type="pct"/>
            <w:tcBorders>
              <w:tl2br w:val="nil"/>
              <w:tr2bl w:val="nil"/>
            </w:tcBorders>
            <w:noWrap w:val="0"/>
            <w:vAlign w:val="center"/>
          </w:tcPr>
          <w:p w14:paraId="1DBEED8A">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中</w:t>
            </w:r>
            <w:r>
              <w:rPr>
                <w:rFonts w:ascii="Times New Roman" w:hAnsi="Times New Roman"/>
                <w:b w:val="0"/>
                <w:bCs w:val="0"/>
                <w:sz w:val="21"/>
                <w:szCs w:val="21"/>
                <w:lang w:val="en-US" w:eastAsia="zh-CN"/>
              </w:rPr>
              <w:t>-</w:t>
            </w:r>
            <w:r>
              <w:rPr>
                <w:rFonts w:ascii="Times New Roman"/>
                <w:b w:val="0"/>
                <w:bCs w:val="0"/>
                <w:sz w:val="21"/>
                <w:szCs w:val="21"/>
                <w:lang w:val="en-US" w:eastAsia="zh-CN"/>
              </w:rPr>
              <w:t>强</w:t>
            </w:r>
          </w:p>
        </w:tc>
        <w:tc>
          <w:tcPr>
            <w:tcW w:w="809" w:type="pct"/>
            <w:tcBorders>
              <w:tl2br w:val="nil"/>
              <w:tr2bl w:val="nil"/>
            </w:tcBorders>
            <w:noWrap w:val="0"/>
            <w:vAlign w:val="center"/>
          </w:tcPr>
          <w:p w14:paraId="598A334F">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易</w:t>
            </w:r>
          </w:p>
        </w:tc>
        <w:tc>
          <w:tcPr>
            <w:tcW w:w="995" w:type="pct"/>
            <w:tcBorders>
              <w:tl2br w:val="nil"/>
              <w:tr2bl w:val="nil"/>
            </w:tcBorders>
            <w:noWrap w:val="0"/>
            <w:vAlign w:val="center"/>
          </w:tcPr>
          <w:p w14:paraId="2DB59C14">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其他类型</w:t>
            </w:r>
          </w:p>
        </w:tc>
        <w:tc>
          <w:tcPr>
            <w:tcW w:w="1677" w:type="pct"/>
            <w:tcBorders>
              <w:tl2br w:val="nil"/>
              <w:tr2bl w:val="nil"/>
            </w:tcBorders>
            <w:noWrap w:val="0"/>
            <w:vAlign w:val="center"/>
          </w:tcPr>
          <w:p w14:paraId="259FE7FB">
            <w:pPr>
              <w:pStyle w:val="171"/>
              <w:keepNext w:val="0"/>
              <w:keepLines w:val="0"/>
              <w:pageBreakBefore w:val="0"/>
              <w:widowControl w:val="0"/>
              <w:tabs>
                <w:tab w:val="left" w:pos="522"/>
                <w:tab w:val="left" w:pos="628"/>
                <w:tab w:val="left" w:pos="681"/>
                <w:tab w:val="left" w:pos="1200"/>
                <w:tab w:val="left" w:pos="1558"/>
                <w:tab w:val="left" w:pos="1884"/>
                <w:tab w:val="left" w:pos="1985"/>
              </w:tabs>
              <w:kinsoku/>
              <w:wordWrap/>
              <w:overflowPunct/>
              <w:topLinePunct w:val="0"/>
              <w:autoSpaceDE w:val="0"/>
              <w:autoSpaceDN w:val="0"/>
              <w:bidi w:val="0"/>
              <w:adjustRightInd w:val="0"/>
              <w:snapToGrid w:val="0"/>
              <w:spacing w:before="0" w:after="0" w:line="360" w:lineRule="auto"/>
              <w:ind w:left="0"/>
              <w:jc w:val="center"/>
              <w:textAlignment w:val="auto"/>
              <w:rPr>
                <w:rFonts w:ascii="Times New Roman" w:hAnsi="Times New Roman"/>
                <w:b w:val="0"/>
                <w:bCs w:val="0"/>
                <w:sz w:val="21"/>
                <w:szCs w:val="21"/>
                <w:lang w:val="en-US" w:eastAsia="zh-CN"/>
              </w:rPr>
            </w:pPr>
            <w:r>
              <w:rPr>
                <w:rFonts w:ascii="Times New Roman"/>
                <w:b w:val="0"/>
                <w:bCs w:val="0"/>
                <w:sz w:val="21"/>
                <w:szCs w:val="21"/>
                <w:lang w:val="en-US" w:eastAsia="zh-CN"/>
              </w:rPr>
              <w:t>一般地面硬化</w:t>
            </w:r>
          </w:p>
        </w:tc>
      </w:tr>
    </w:tbl>
    <w:p w14:paraId="1C47607E">
      <w:pPr>
        <w:pStyle w:val="1451"/>
        <w:spacing w:line="360" w:lineRule="auto"/>
        <w:rPr>
          <w:kern w:val="0"/>
          <w:highlight w:val="none"/>
        </w:rPr>
      </w:pPr>
      <w:r>
        <w:rPr>
          <w:kern w:val="0"/>
          <w:highlight w:val="none"/>
        </w:rPr>
        <w:t>根据《环境影响评价技术导则 地下水环境》（HJ610-2016）给出不同分区的具体防渗技术要求，应以水平防渗为主，已颁布污染控制国家标准或防渗技术规范的行业，按行业规范执行。根据厂区内各生产、生活功能单元可能产生污染的地区</w:t>
      </w:r>
      <w:r>
        <w:rPr>
          <w:rFonts w:hint="eastAsia"/>
          <w:kern w:val="0"/>
          <w:highlight w:val="none"/>
          <w:lang w:val="en-US" w:eastAsia="zh-CN"/>
        </w:rPr>
        <w:t>，本项目区域</w:t>
      </w:r>
      <w:r>
        <w:rPr>
          <w:kern w:val="0"/>
          <w:highlight w:val="none"/>
        </w:rPr>
        <w:t>划分为重点防渗区</w:t>
      </w:r>
      <w:r>
        <w:rPr>
          <w:rFonts w:hint="eastAsia"/>
          <w:kern w:val="0"/>
          <w:highlight w:val="none"/>
          <w:lang w:eastAsia="zh-CN"/>
        </w:rPr>
        <w:t>、一般防渗区</w:t>
      </w:r>
      <w:r>
        <w:rPr>
          <w:kern w:val="0"/>
          <w:highlight w:val="none"/>
        </w:rPr>
        <w:t>和</w:t>
      </w:r>
      <w:r>
        <w:rPr>
          <w:rFonts w:hint="eastAsia"/>
          <w:kern w:val="0"/>
          <w:highlight w:val="none"/>
          <w:lang w:eastAsia="zh-CN"/>
        </w:rPr>
        <w:t>简单</w:t>
      </w:r>
      <w:r>
        <w:rPr>
          <w:kern w:val="0"/>
          <w:highlight w:val="none"/>
        </w:rPr>
        <w:t>防渗区。</w:t>
      </w:r>
    </w:p>
    <w:p w14:paraId="3AC14C0A">
      <w:pPr>
        <w:adjustRightInd w:val="0"/>
        <w:snapToGrid w:val="0"/>
        <w:spacing w:beforeLines="50" w:line="360" w:lineRule="auto"/>
        <w:jc w:val="center"/>
        <w:rPr>
          <w:rFonts w:hint="eastAsia" w:ascii="Times New Roman" w:hAnsi="Times New Roman" w:eastAsia="宋体" w:cs="Times New Roman"/>
          <w:b/>
          <w:bCs/>
          <w:color w:val="auto"/>
          <w:sz w:val="24"/>
          <w:szCs w:val="32"/>
          <w:highlight w:val="none"/>
        </w:rPr>
      </w:pPr>
      <w:r>
        <w:rPr>
          <w:rFonts w:hint="eastAsia" w:ascii="Times New Roman" w:hAnsi="Times New Roman" w:eastAsia="宋体" w:cs="Times New Roman"/>
          <w:b/>
          <w:bCs/>
          <w:color w:val="auto"/>
          <w:sz w:val="24"/>
          <w:szCs w:val="32"/>
          <w:highlight w:val="none"/>
        </w:rPr>
        <w:t>表</w:t>
      </w:r>
      <w:r>
        <w:rPr>
          <w:rFonts w:hint="eastAsia" w:ascii="Times New Roman" w:hAnsi="Times New Roman" w:cs="Times New Roman"/>
          <w:b/>
          <w:bCs/>
          <w:color w:val="auto"/>
          <w:sz w:val="24"/>
          <w:szCs w:val="32"/>
          <w:highlight w:val="none"/>
          <w:lang w:val="en-US" w:eastAsia="zh-CN"/>
        </w:rPr>
        <w:t>8.2-</w:t>
      </w:r>
      <w:r>
        <w:rPr>
          <w:rFonts w:hint="eastAsia" w:cs="Times New Roman"/>
          <w:b/>
          <w:bCs/>
          <w:color w:val="auto"/>
          <w:sz w:val="24"/>
          <w:szCs w:val="32"/>
          <w:highlight w:val="none"/>
          <w:lang w:val="en-US" w:eastAsia="zh-CN"/>
        </w:rPr>
        <w:t>4</w:t>
      </w:r>
      <w:r>
        <w:rPr>
          <w:rFonts w:hint="eastAsia" w:ascii="Times New Roman" w:hAnsi="Times New Roman" w:eastAsia="宋体" w:cs="Times New Roman"/>
          <w:b/>
          <w:bCs/>
          <w:color w:val="auto"/>
          <w:sz w:val="24"/>
          <w:szCs w:val="32"/>
          <w:highlight w:val="none"/>
        </w:rPr>
        <w:t xml:space="preserve">  地下水污染防控分区一览表</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966"/>
        <w:gridCol w:w="2529"/>
        <w:gridCol w:w="1641"/>
        <w:gridCol w:w="3079"/>
      </w:tblGrid>
      <w:tr w14:paraId="54692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Borders>
              <w:tl2br w:val="nil"/>
              <w:tr2bl w:val="nil"/>
            </w:tcBorders>
            <w:noWrap w:val="0"/>
            <w:vAlign w:val="center"/>
          </w:tcPr>
          <w:p w14:paraId="618D9BA2">
            <w:pPr>
              <w:jc w:val="center"/>
              <w:rPr>
                <w:caps/>
                <w:szCs w:val="21"/>
              </w:rPr>
            </w:pPr>
            <w:r>
              <w:rPr>
                <w:rFonts w:hint="eastAsia"/>
                <w:caps/>
                <w:szCs w:val="21"/>
              </w:rPr>
              <w:t>序号</w:t>
            </w:r>
          </w:p>
        </w:tc>
        <w:tc>
          <w:tcPr>
            <w:tcW w:w="554" w:type="pct"/>
            <w:tcBorders>
              <w:tl2br w:val="nil"/>
              <w:tr2bl w:val="nil"/>
            </w:tcBorders>
            <w:noWrap w:val="0"/>
            <w:vAlign w:val="center"/>
          </w:tcPr>
          <w:p w14:paraId="7452A8B0">
            <w:pPr>
              <w:jc w:val="center"/>
              <w:rPr>
                <w:caps/>
                <w:szCs w:val="21"/>
              </w:rPr>
            </w:pPr>
            <w:r>
              <w:rPr>
                <w:rFonts w:hint="eastAsia"/>
                <w:caps/>
                <w:szCs w:val="21"/>
              </w:rPr>
              <w:t>污染防控分区</w:t>
            </w:r>
          </w:p>
        </w:tc>
        <w:tc>
          <w:tcPr>
            <w:tcW w:w="1450" w:type="pct"/>
            <w:tcBorders>
              <w:tl2br w:val="nil"/>
              <w:tr2bl w:val="nil"/>
            </w:tcBorders>
            <w:noWrap w:val="0"/>
            <w:vAlign w:val="center"/>
          </w:tcPr>
          <w:p w14:paraId="22CB4B75">
            <w:pPr>
              <w:jc w:val="center"/>
              <w:rPr>
                <w:caps/>
                <w:szCs w:val="21"/>
              </w:rPr>
            </w:pPr>
            <w:r>
              <w:rPr>
                <w:rFonts w:hint="eastAsia"/>
                <w:caps/>
                <w:szCs w:val="21"/>
              </w:rPr>
              <w:t>生产装置、单元名称</w:t>
            </w:r>
          </w:p>
        </w:tc>
        <w:tc>
          <w:tcPr>
            <w:tcW w:w="2706" w:type="pct"/>
            <w:gridSpan w:val="2"/>
            <w:tcBorders>
              <w:tl2br w:val="nil"/>
              <w:tr2bl w:val="nil"/>
            </w:tcBorders>
            <w:noWrap w:val="0"/>
            <w:vAlign w:val="center"/>
          </w:tcPr>
          <w:p w14:paraId="11798236">
            <w:pPr>
              <w:jc w:val="center"/>
              <w:rPr>
                <w:caps/>
                <w:szCs w:val="21"/>
              </w:rPr>
            </w:pPr>
            <w:r>
              <w:rPr>
                <w:rFonts w:hint="eastAsia"/>
                <w:caps/>
                <w:szCs w:val="21"/>
              </w:rPr>
              <w:t>防渗要求</w:t>
            </w:r>
          </w:p>
        </w:tc>
      </w:tr>
      <w:tr w14:paraId="58C3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88" w:type="pct"/>
            <w:tcBorders>
              <w:tl2br w:val="nil"/>
              <w:tr2bl w:val="nil"/>
            </w:tcBorders>
            <w:noWrap w:val="0"/>
            <w:vAlign w:val="center"/>
          </w:tcPr>
          <w:p w14:paraId="74AD3AB7">
            <w:pPr>
              <w:jc w:val="center"/>
              <w:rPr>
                <w:szCs w:val="21"/>
              </w:rPr>
            </w:pPr>
            <w:r>
              <w:rPr>
                <w:rFonts w:hint="eastAsia"/>
                <w:szCs w:val="21"/>
              </w:rPr>
              <w:t>1</w:t>
            </w:r>
          </w:p>
        </w:tc>
        <w:tc>
          <w:tcPr>
            <w:tcW w:w="554" w:type="pct"/>
            <w:tcBorders>
              <w:tl2br w:val="nil"/>
              <w:tr2bl w:val="nil"/>
            </w:tcBorders>
            <w:noWrap w:val="0"/>
            <w:vAlign w:val="center"/>
          </w:tcPr>
          <w:p w14:paraId="0FD1FEF2">
            <w:pPr>
              <w:jc w:val="center"/>
              <w:rPr>
                <w:rFonts w:hint="eastAsia" w:eastAsia="宋体"/>
                <w:szCs w:val="21"/>
                <w:lang w:eastAsia="zh-CN"/>
              </w:rPr>
            </w:pPr>
            <w:r>
              <w:rPr>
                <w:rFonts w:hint="eastAsia"/>
                <w:szCs w:val="21"/>
                <w:lang w:eastAsia="zh-CN"/>
              </w:rPr>
              <w:t>一般防渗区</w:t>
            </w:r>
          </w:p>
        </w:tc>
        <w:tc>
          <w:tcPr>
            <w:tcW w:w="1450" w:type="pct"/>
            <w:tcBorders>
              <w:tl2br w:val="nil"/>
              <w:tr2bl w:val="nil"/>
            </w:tcBorders>
            <w:noWrap w:val="0"/>
            <w:vAlign w:val="center"/>
          </w:tcPr>
          <w:p w14:paraId="180724F6">
            <w:pPr>
              <w:jc w:val="center"/>
              <w:rPr>
                <w:rFonts w:hint="default" w:eastAsia="宋体"/>
                <w:szCs w:val="21"/>
                <w:lang w:val="en-US" w:eastAsia="zh-CN"/>
              </w:rPr>
            </w:pPr>
            <w:r>
              <w:rPr>
                <w:rFonts w:hint="eastAsia"/>
                <w:szCs w:val="21"/>
                <w:lang w:val="en-US" w:eastAsia="zh-CN"/>
              </w:rPr>
              <w:t>破碎区</w:t>
            </w:r>
          </w:p>
        </w:tc>
        <w:tc>
          <w:tcPr>
            <w:tcW w:w="941" w:type="pct"/>
            <w:tcBorders>
              <w:tl2br w:val="nil"/>
              <w:tr2bl w:val="nil"/>
            </w:tcBorders>
            <w:noWrap w:val="0"/>
            <w:vAlign w:val="center"/>
          </w:tcPr>
          <w:p w14:paraId="43E016E7">
            <w:pPr>
              <w:jc w:val="center"/>
              <w:rPr>
                <w:szCs w:val="21"/>
              </w:rPr>
            </w:pPr>
            <w:r>
              <w:rPr>
                <w:rFonts w:hint="eastAsia"/>
                <w:szCs w:val="21"/>
              </w:rPr>
              <w:t>防渗性能不应低于</w:t>
            </w:r>
            <w:r>
              <w:rPr>
                <w:szCs w:val="21"/>
              </w:rPr>
              <w:t>1.5m厚渗透系数为1.0×10</w:t>
            </w:r>
            <w:r>
              <w:rPr>
                <w:szCs w:val="21"/>
                <w:vertAlign w:val="superscript"/>
              </w:rPr>
              <w:t>-7</w:t>
            </w:r>
            <w:r>
              <w:rPr>
                <w:szCs w:val="21"/>
              </w:rPr>
              <w:t>cm/s的粘土层的防渗性能。</w:t>
            </w:r>
          </w:p>
        </w:tc>
        <w:tc>
          <w:tcPr>
            <w:tcW w:w="1765" w:type="pct"/>
            <w:tcBorders>
              <w:tl2br w:val="nil"/>
              <w:tr2bl w:val="nil"/>
            </w:tcBorders>
            <w:noWrap w:val="0"/>
            <w:vAlign w:val="center"/>
          </w:tcPr>
          <w:p w14:paraId="7988A3EB">
            <w:pPr>
              <w:jc w:val="center"/>
            </w:pPr>
            <w:r>
              <w:rPr>
                <w:rFonts w:hint="eastAsia"/>
                <w:szCs w:val="21"/>
              </w:rPr>
              <w:t>地面防渗层可采用粘土、抗渗混凝土、高密度聚乙烯</w:t>
            </w:r>
            <w:r>
              <w:rPr>
                <w:rFonts w:hint="eastAsia"/>
                <w:szCs w:val="21"/>
                <w:lang w:eastAsia="zh-CN"/>
              </w:rPr>
              <w:t>（</w:t>
            </w:r>
            <w:r>
              <w:rPr>
                <w:szCs w:val="21"/>
              </w:rPr>
              <w:t>HDPE</w:t>
            </w:r>
            <w:r>
              <w:rPr>
                <w:rFonts w:hint="eastAsia"/>
                <w:szCs w:val="21"/>
                <w:lang w:eastAsia="zh-CN"/>
              </w:rPr>
              <w:t>）</w:t>
            </w:r>
            <w:r>
              <w:rPr>
                <w:szCs w:val="21"/>
              </w:rPr>
              <w:t>膜、钠基膨润土防水毯或其他防渗性能等效的材料</w:t>
            </w:r>
            <w:r>
              <w:rPr>
                <w:rFonts w:hint="eastAsia"/>
              </w:rPr>
              <w:t>。</w:t>
            </w:r>
          </w:p>
        </w:tc>
      </w:tr>
      <w:tr w14:paraId="57FC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288" w:type="pct"/>
            <w:vMerge w:val="restart"/>
            <w:tcBorders>
              <w:tl2br w:val="nil"/>
              <w:tr2bl w:val="nil"/>
            </w:tcBorders>
            <w:noWrap w:val="0"/>
            <w:vAlign w:val="center"/>
          </w:tcPr>
          <w:p w14:paraId="1CBC719E">
            <w:pPr>
              <w:jc w:val="center"/>
              <w:rPr>
                <w:rFonts w:hint="default"/>
                <w:szCs w:val="21"/>
                <w:lang w:val="en-US" w:eastAsia="zh-CN"/>
              </w:rPr>
            </w:pPr>
            <w:r>
              <w:rPr>
                <w:rFonts w:hint="eastAsia"/>
                <w:szCs w:val="21"/>
                <w:lang w:val="en-US" w:eastAsia="zh-CN"/>
              </w:rPr>
              <w:t>2</w:t>
            </w:r>
          </w:p>
        </w:tc>
        <w:tc>
          <w:tcPr>
            <w:tcW w:w="554" w:type="pct"/>
            <w:vMerge w:val="restart"/>
            <w:tcBorders>
              <w:tl2br w:val="nil"/>
              <w:tr2bl w:val="nil"/>
            </w:tcBorders>
            <w:noWrap w:val="0"/>
            <w:vAlign w:val="center"/>
          </w:tcPr>
          <w:p w14:paraId="3C83C94A">
            <w:pPr>
              <w:jc w:val="center"/>
              <w:rPr>
                <w:rFonts w:hint="eastAsia" w:eastAsia="宋体"/>
                <w:szCs w:val="21"/>
                <w:lang w:eastAsia="zh-CN"/>
              </w:rPr>
            </w:pPr>
            <w:r>
              <w:rPr>
                <w:rFonts w:hint="eastAsia"/>
                <w:szCs w:val="21"/>
                <w:lang w:eastAsia="zh-CN"/>
              </w:rPr>
              <w:t>重点防渗区</w:t>
            </w:r>
          </w:p>
        </w:tc>
        <w:tc>
          <w:tcPr>
            <w:tcW w:w="1450" w:type="pct"/>
            <w:tcBorders>
              <w:tl2br w:val="nil"/>
              <w:tr2bl w:val="nil"/>
            </w:tcBorders>
            <w:noWrap w:val="0"/>
            <w:vAlign w:val="center"/>
          </w:tcPr>
          <w:p w14:paraId="0AD59F53">
            <w:pPr>
              <w:jc w:val="center"/>
              <w:rPr>
                <w:rFonts w:hint="default"/>
                <w:szCs w:val="21"/>
                <w:lang w:val="en-US" w:eastAsia="zh-CN"/>
              </w:rPr>
            </w:pPr>
            <w:r>
              <w:rPr>
                <w:rFonts w:hint="eastAsia"/>
                <w:szCs w:val="21"/>
                <w:lang w:val="en-US" w:eastAsia="zh-CN"/>
              </w:rPr>
              <w:t>干排车间、危废贮存点、选矿车间</w:t>
            </w:r>
          </w:p>
        </w:tc>
        <w:tc>
          <w:tcPr>
            <w:tcW w:w="941" w:type="pct"/>
            <w:vMerge w:val="restart"/>
            <w:tcBorders>
              <w:tl2br w:val="nil"/>
              <w:tr2bl w:val="nil"/>
            </w:tcBorders>
            <w:noWrap w:val="0"/>
            <w:vAlign w:val="center"/>
          </w:tcPr>
          <w:p w14:paraId="72E4D15E">
            <w:pPr>
              <w:jc w:val="center"/>
              <w:rPr>
                <w:szCs w:val="21"/>
              </w:rPr>
            </w:pPr>
            <w:r>
              <w:rPr>
                <w:rFonts w:hint="eastAsia"/>
                <w:szCs w:val="21"/>
              </w:rPr>
              <w:t>防渗性能不应低于</w:t>
            </w:r>
            <w:r>
              <w:rPr>
                <w:szCs w:val="21"/>
              </w:rPr>
              <w:t>6.0m厚渗透系数为1.0×10</w:t>
            </w:r>
            <w:r>
              <w:rPr>
                <w:szCs w:val="21"/>
                <w:vertAlign w:val="superscript"/>
              </w:rPr>
              <w:t>-7</w:t>
            </w:r>
            <w:r>
              <w:rPr>
                <w:szCs w:val="21"/>
              </w:rPr>
              <w:t>cm/s的粘土层的防渗性能</w:t>
            </w:r>
            <w:r>
              <w:rPr>
                <w:rFonts w:hint="eastAsia"/>
                <w:szCs w:val="21"/>
              </w:rPr>
              <w:t>。</w:t>
            </w:r>
          </w:p>
        </w:tc>
        <w:tc>
          <w:tcPr>
            <w:tcW w:w="1765" w:type="pct"/>
            <w:tcBorders>
              <w:tl2br w:val="nil"/>
              <w:tr2bl w:val="nil"/>
            </w:tcBorders>
            <w:noWrap w:val="0"/>
            <w:vAlign w:val="center"/>
          </w:tcPr>
          <w:p w14:paraId="4CA28D80">
            <w:pPr>
              <w:jc w:val="center"/>
              <w:rPr>
                <w:szCs w:val="21"/>
              </w:rPr>
            </w:pPr>
            <w:r>
              <w:rPr>
                <w:rFonts w:hint="eastAsia"/>
                <w:szCs w:val="21"/>
              </w:rPr>
              <w:t>地面防渗层可采用粘土、抗渗混凝土、高密度聚乙烯</w:t>
            </w:r>
            <w:r>
              <w:rPr>
                <w:rFonts w:hint="eastAsia"/>
                <w:szCs w:val="21"/>
                <w:lang w:eastAsia="zh-CN"/>
              </w:rPr>
              <w:t>（</w:t>
            </w:r>
            <w:r>
              <w:rPr>
                <w:szCs w:val="21"/>
              </w:rPr>
              <w:t>HDPE</w:t>
            </w:r>
            <w:r>
              <w:rPr>
                <w:rFonts w:hint="eastAsia"/>
                <w:szCs w:val="21"/>
                <w:lang w:eastAsia="zh-CN"/>
              </w:rPr>
              <w:t>）</w:t>
            </w:r>
            <w:r>
              <w:rPr>
                <w:szCs w:val="21"/>
              </w:rPr>
              <w:t>膜、钠基膨润土防水毯或其他防渗性能等效的材料</w:t>
            </w:r>
            <w:r>
              <w:rPr>
                <w:rFonts w:hint="eastAsia"/>
              </w:rPr>
              <w:t>。</w:t>
            </w:r>
          </w:p>
        </w:tc>
      </w:tr>
      <w:tr w14:paraId="6DBEC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288" w:type="pct"/>
            <w:vMerge w:val="continue"/>
            <w:tcBorders>
              <w:tl2br w:val="nil"/>
              <w:tr2bl w:val="nil"/>
            </w:tcBorders>
            <w:noWrap w:val="0"/>
            <w:vAlign w:val="center"/>
          </w:tcPr>
          <w:p w14:paraId="3AB532F8">
            <w:pPr>
              <w:jc w:val="center"/>
              <w:rPr>
                <w:rFonts w:hint="eastAsia" w:eastAsia="宋体"/>
                <w:szCs w:val="21"/>
                <w:lang w:eastAsia="zh-CN"/>
              </w:rPr>
            </w:pPr>
          </w:p>
        </w:tc>
        <w:tc>
          <w:tcPr>
            <w:tcW w:w="554" w:type="pct"/>
            <w:vMerge w:val="continue"/>
            <w:tcBorders>
              <w:tl2br w:val="nil"/>
              <w:tr2bl w:val="nil"/>
            </w:tcBorders>
            <w:noWrap w:val="0"/>
            <w:vAlign w:val="center"/>
          </w:tcPr>
          <w:p w14:paraId="4275D7CC">
            <w:pPr>
              <w:jc w:val="center"/>
              <w:rPr>
                <w:rFonts w:hint="eastAsia" w:eastAsia="宋体"/>
                <w:szCs w:val="21"/>
                <w:lang w:eastAsia="zh-CN"/>
              </w:rPr>
            </w:pPr>
          </w:p>
        </w:tc>
        <w:tc>
          <w:tcPr>
            <w:tcW w:w="1450" w:type="pct"/>
            <w:tcBorders>
              <w:tl2br w:val="nil"/>
              <w:tr2bl w:val="nil"/>
            </w:tcBorders>
            <w:noWrap w:val="0"/>
            <w:vAlign w:val="center"/>
          </w:tcPr>
          <w:p w14:paraId="4445438E">
            <w:pPr>
              <w:jc w:val="center"/>
              <w:rPr>
                <w:rFonts w:hint="default" w:eastAsia="宋体"/>
                <w:szCs w:val="21"/>
                <w:lang w:val="en-US" w:eastAsia="zh-CN"/>
              </w:rPr>
            </w:pPr>
            <w:r>
              <w:rPr>
                <w:rFonts w:hint="eastAsia"/>
                <w:szCs w:val="21"/>
                <w:lang w:val="en-US" w:eastAsia="zh-CN"/>
              </w:rPr>
              <w:t>循环水池、事故池</w:t>
            </w:r>
          </w:p>
        </w:tc>
        <w:tc>
          <w:tcPr>
            <w:tcW w:w="941" w:type="pct"/>
            <w:vMerge w:val="continue"/>
            <w:tcBorders>
              <w:tl2br w:val="nil"/>
              <w:tr2bl w:val="nil"/>
            </w:tcBorders>
            <w:noWrap w:val="0"/>
            <w:vAlign w:val="center"/>
          </w:tcPr>
          <w:p w14:paraId="18C3BCB7">
            <w:pPr>
              <w:jc w:val="center"/>
              <w:rPr>
                <w:szCs w:val="21"/>
              </w:rPr>
            </w:pPr>
          </w:p>
        </w:tc>
        <w:tc>
          <w:tcPr>
            <w:tcW w:w="1765" w:type="pct"/>
            <w:tcBorders>
              <w:tl2br w:val="nil"/>
              <w:tr2bl w:val="nil"/>
            </w:tcBorders>
            <w:noWrap w:val="0"/>
            <w:vAlign w:val="center"/>
          </w:tcPr>
          <w:p w14:paraId="7F1D4FA3">
            <w:pPr>
              <w:jc w:val="center"/>
              <w:rPr>
                <w:rFonts w:hint="eastAsia" w:eastAsia="宋体"/>
                <w:szCs w:val="21"/>
                <w:lang w:eastAsia="zh-CN"/>
              </w:rPr>
            </w:pPr>
            <w:r>
              <w:rPr>
                <w:rFonts w:hint="eastAsia"/>
                <w:szCs w:val="21"/>
              </w:rPr>
              <w:t>内表面应涂刷水泥基渗透结晶型防水涂料，或在混凝土内掺加水泥基渗透结晶型防水剂</w:t>
            </w:r>
            <w:r>
              <w:rPr>
                <w:rFonts w:hint="eastAsia"/>
                <w:szCs w:val="21"/>
                <w:lang w:eastAsia="zh-CN"/>
              </w:rPr>
              <w:t>。</w:t>
            </w:r>
          </w:p>
        </w:tc>
      </w:tr>
      <w:tr w14:paraId="6338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 w:type="pct"/>
            <w:tcBorders>
              <w:tl2br w:val="nil"/>
              <w:tr2bl w:val="nil"/>
            </w:tcBorders>
            <w:noWrap w:val="0"/>
            <w:vAlign w:val="center"/>
          </w:tcPr>
          <w:p w14:paraId="7E024E8C">
            <w:pPr>
              <w:jc w:val="center"/>
              <w:rPr>
                <w:rFonts w:hint="default" w:eastAsia="宋体"/>
                <w:szCs w:val="21"/>
                <w:lang w:val="en-US" w:eastAsia="zh-CN"/>
              </w:rPr>
            </w:pPr>
            <w:r>
              <w:rPr>
                <w:rFonts w:hint="eastAsia"/>
                <w:szCs w:val="21"/>
                <w:lang w:val="en-US" w:eastAsia="zh-CN"/>
              </w:rPr>
              <w:t>3</w:t>
            </w:r>
          </w:p>
        </w:tc>
        <w:tc>
          <w:tcPr>
            <w:tcW w:w="554" w:type="pct"/>
            <w:tcBorders>
              <w:tl2br w:val="nil"/>
              <w:tr2bl w:val="nil"/>
            </w:tcBorders>
            <w:noWrap w:val="0"/>
            <w:vAlign w:val="center"/>
          </w:tcPr>
          <w:p w14:paraId="7C5F3FE2">
            <w:pPr>
              <w:jc w:val="center"/>
              <w:rPr>
                <w:rFonts w:hint="eastAsia" w:eastAsia="宋体"/>
                <w:szCs w:val="21"/>
                <w:lang w:eastAsia="zh-CN"/>
              </w:rPr>
            </w:pPr>
            <w:r>
              <w:rPr>
                <w:rFonts w:hint="eastAsia"/>
                <w:szCs w:val="21"/>
                <w:lang w:eastAsia="zh-CN"/>
              </w:rPr>
              <w:t>简单防渗区</w:t>
            </w:r>
          </w:p>
        </w:tc>
        <w:tc>
          <w:tcPr>
            <w:tcW w:w="1450" w:type="pct"/>
            <w:tcBorders>
              <w:tl2br w:val="nil"/>
              <w:tr2bl w:val="nil"/>
            </w:tcBorders>
            <w:noWrap w:val="0"/>
            <w:vAlign w:val="center"/>
          </w:tcPr>
          <w:p w14:paraId="15421A06">
            <w:pPr>
              <w:jc w:val="center"/>
              <w:rPr>
                <w:szCs w:val="21"/>
              </w:rPr>
            </w:pPr>
            <w:r>
              <w:rPr>
                <w:rFonts w:hint="eastAsia"/>
                <w:szCs w:val="21"/>
                <w:lang w:eastAsia="zh-CN"/>
              </w:rPr>
              <w:t>绿化、道路、</w:t>
            </w:r>
            <w:r>
              <w:rPr>
                <w:rFonts w:hint="eastAsia"/>
                <w:szCs w:val="21"/>
              </w:rPr>
              <w:t>配电室等</w:t>
            </w:r>
          </w:p>
        </w:tc>
        <w:tc>
          <w:tcPr>
            <w:tcW w:w="2706" w:type="pct"/>
            <w:gridSpan w:val="2"/>
            <w:tcBorders>
              <w:tl2br w:val="nil"/>
              <w:tr2bl w:val="nil"/>
            </w:tcBorders>
            <w:noWrap w:val="0"/>
            <w:vAlign w:val="center"/>
          </w:tcPr>
          <w:p w14:paraId="7F9C6A34">
            <w:pPr>
              <w:jc w:val="center"/>
              <w:rPr>
                <w:szCs w:val="21"/>
              </w:rPr>
            </w:pPr>
            <w:r>
              <w:rPr>
                <w:rFonts w:hint="eastAsia"/>
                <w:bCs/>
                <w:color w:val="auto"/>
                <w:spacing w:val="-10"/>
                <w:sz w:val="21"/>
                <w:szCs w:val="21"/>
                <w:lang w:eastAsia="zh-CN"/>
              </w:rPr>
              <w:t>一般地面硬化</w:t>
            </w:r>
          </w:p>
        </w:tc>
      </w:tr>
    </w:tbl>
    <w:p w14:paraId="34862AF4">
      <w:pPr>
        <w:pStyle w:val="177"/>
        <w:ind w:firstLine="482"/>
        <w:rPr>
          <w:rFonts w:hint="eastAsia" w:eastAsia="宋体"/>
          <w:b/>
          <w:lang w:eastAsia="zh-CN"/>
        </w:rPr>
      </w:pPr>
      <w:r>
        <w:rPr>
          <w:rFonts w:hint="eastAsia"/>
          <w:b/>
        </w:rPr>
        <w:t>一、</w:t>
      </w:r>
      <w:r>
        <w:rPr>
          <w:rFonts w:hint="eastAsia"/>
          <w:b/>
          <w:lang w:eastAsia="zh-CN"/>
        </w:rPr>
        <w:t>简单防渗区</w:t>
      </w:r>
    </w:p>
    <w:p w14:paraId="04936E7F">
      <w:pPr>
        <w:pStyle w:val="177"/>
        <w:ind w:firstLine="480"/>
      </w:pPr>
      <w:r>
        <w:rPr>
          <w:rFonts w:hint="eastAsia"/>
        </w:rPr>
        <w:t>厂区道路、办公区、绿化带、变配电站等一般不会产生地下水污染的区域为</w:t>
      </w:r>
      <w:r>
        <w:rPr>
          <w:rFonts w:hint="eastAsia"/>
          <w:lang w:eastAsia="zh-CN"/>
        </w:rPr>
        <w:t>简单防渗区</w:t>
      </w:r>
      <w:r>
        <w:rPr>
          <w:rFonts w:hint="eastAsia"/>
        </w:rPr>
        <w:t>。</w:t>
      </w:r>
      <w:r>
        <w:rPr>
          <w:rFonts w:hint="eastAsia"/>
          <w:lang w:eastAsia="zh-CN"/>
        </w:rPr>
        <w:t>简单防渗区</w:t>
      </w:r>
      <w:r>
        <w:rPr>
          <w:rFonts w:hint="eastAsia"/>
        </w:rPr>
        <w:t>一般不需要采取防渗措施，为防止污染区的污染物漫流到</w:t>
      </w:r>
      <w:r>
        <w:rPr>
          <w:rFonts w:hint="eastAsia"/>
          <w:lang w:eastAsia="zh-CN"/>
        </w:rPr>
        <w:t>简单防渗区</w:t>
      </w:r>
      <w:r>
        <w:rPr>
          <w:rFonts w:hint="eastAsia"/>
        </w:rPr>
        <w:t>，需要采取有效的措施，</w:t>
      </w:r>
      <w:r>
        <w:rPr>
          <w:rFonts w:hint="eastAsia"/>
          <w:lang w:val="en-US" w:eastAsia="zh-CN"/>
        </w:rPr>
        <w:t>可</w:t>
      </w:r>
      <w:r>
        <w:rPr>
          <w:rFonts w:hint="eastAsia"/>
        </w:rPr>
        <w:t>设置一定高度的围堰、边沟等。</w:t>
      </w:r>
    </w:p>
    <w:p w14:paraId="5EFE3CBF">
      <w:pPr>
        <w:pStyle w:val="177"/>
        <w:ind w:firstLine="482"/>
        <w:rPr>
          <w:rFonts w:hint="eastAsia" w:eastAsia="宋体"/>
          <w:b/>
          <w:lang w:eastAsia="zh-CN"/>
        </w:rPr>
      </w:pPr>
      <w:r>
        <w:rPr>
          <w:rFonts w:hint="eastAsia"/>
          <w:b/>
        </w:rPr>
        <w:t>二、</w:t>
      </w:r>
      <w:r>
        <w:rPr>
          <w:rFonts w:hint="eastAsia"/>
          <w:b/>
          <w:lang w:eastAsia="zh-CN"/>
        </w:rPr>
        <w:t>一般防渗区</w:t>
      </w:r>
    </w:p>
    <w:p w14:paraId="6F68584A">
      <w:pPr>
        <w:pStyle w:val="177"/>
        <w:ind w:firstLine="480"/>
      </w:pPr>
      <w:r>
        <w:rPr>
          <w:rFonts w:hint="eastAsia"/>
          <w:lang w:eastAsia="zh-CN"/>
        </w:rPr>
        <w:t>一般防渗区</w:t>
      </w:r>
      <w:r>
        <w:rPr>
          <w:rFonts w:hint="eastAsia"/>
        </w:rPr>
        <w:t>是对地下水环境有污染的物料或污染物泄漏后，可及时发现和处理的区域。</w:t>
      </w:r>
      <w:r>
        <w:rPr>
          <w:rFonts w:hint="eastAsia"/>
          <w:lang w:eastAsia="zh-CN"/>
        </w:rPr>
        <w:t>一般防渗区</w:t>
      </w:r>
      <w:r>
        <w:rPr>
          <w:rFonts w:hint="eastAsia"/>
          <w:lang w:val="en-US" w:eastAsia="zh-CN"/>
        </w:rPr>
        <w:t>为</w:t>
      </w:r>
      <w:r>
        <w:rPr>
          <w:rFonts w:hint="eastAsia"/>
          <w:szCs w:val="21"/>
          <w:lang w:val="en-US" w:eastAsia="zh-CN"/>
        </w:rPr>
        <w:t>破碎区</w:t>
      </w:r>
      <w:r>
        <w:rPr>
          <w:rFonts w:hint="eastAsia"/>
        </w:rPr>
        <w:t>。</w:t>
      </w:r>
    </w:p>
    <w:p w14:paraId="1B580015">
      <w:pPr>
        <w:pStyle w:val="177"/>
        <w:ind w:firstLine="482"/>
        <w:rPr>
          <w:b/>
        </w:rPr>
      </w:pPr>
      <w:r>
        <w:rPr>
          <w:rFonts w:hint="eastAsia"/>
          <w:b/>
          <w:lang w:eastAsia="zh-CN"/>
        </w:rPr>
        <w:t>一般防渗区</w:t>
      </w:r>
      <w:r>
        <w:rPr>
          <w:rFonts w:hint="eastAsia"/>
          <w:b/>
        </w:rPr>
        <w:t>的防渗要求：</w:t>
      </w:r>
    </w:p>
    <w:p w14:paraId="0D2E1D5D">
      <w:pPr>
        <w:pStyle w:val="177"/>
        <w:ind w:firstLine="480"/>
        <w:rPr>
          <w:rFonts w:hint="default" w:ascii="Times New Roman" w:hAnsi="Times New Roman" w:cs="Times New Roman"/>
        </w:rPr>
      </w:pPr>
      <w:r>
        <w:rPr>
          <w:rFonts w:hint="default" w:ascii="Times New Roman" w:hAnsi="Times New Roman" w:cs="Times New Roman"/>
        </w:rPr>
        <w:t>参照</w:t>
      </w:r>
      <w:r>
        <w:rPr>
          <w:rFonts w:hint="default" w:ascii="Times New Roman" w:hAnsi="Times New Roman" w:cs="Times New Roman"/>
          <w:color w:val="000000"/>
          <w:kern w:val="2"/>
        </w:rPr>
        <w:t>《环境影响评价技术导则 地下水环境》（HJ610-2016）</w:t>
      </w:r>
      <w:r>
        <w:rPr>
          <w:rFonts w:hint="default" w:ascii="Times New Roman" w:hAnsi="Times New Roman" w:cs="Times New Roman"/>
        </w:rPr>
        <w:t>，防渗性能不应低于1.5m厚渗透系数为1.0×10</w:t>
      </w:r>
      <w:r>
        <w:rPr>
          <w:rFonts w:hint="default" w:ascii="Times New Roman" w:hAnsi="Times New Roman" w:cs="Times New Roman"/>
          <w:vertAlign w:val="superscript"/>
        </w:rPr>
        <w:t>-7</w:t>
      </w:r>
      <w:r>
        <w:rPr>
          <w:rFonts w:hint="default" w:ascii="Times New Roman" w:hAnsi="Times New Roman" w:cs="Times New Roman"/>
        </w:rPr>
        <w:t>cm/s的粘土层的防渗性能。</w:t>
      </w:r>
    </w:p>
    <w:p w14:paraId="27B872D4">
      <w:pPr>
        <w:pStyle w:val="177"/>
        <w:ind w:firstLine="480"/>
        <w:rPr>
          <w:rFonts w:hint="default" w:ascii="Times New Roman" w:hAnsi="Times New Roman" w:cs="Times New Roman"/>
        </w:rPr>
      </w:pPr>
      <w:r>
        <w:rPr>
          <w:rFonts w:hint="default" w:ascii="Times New Roman" w:hAnsi="Times New Roman" w:cs="Times New Roman"/>
        </w:rPr>
        <w:t>地面防渗层可采用粘土、抗渗混凝土、高密度聚乙烯</w:t>
      </w:r>
      <w:r>
        <w:rPr>
          <w:rFonts w:hint="default" w:ascii="Times New Roman" w:hAnsi="Times New Roman" w:cs="Times New Roman"/>
          <w:lang w:eastAsia="zh-CN"/>
        </w:rPr>
        <w:t>（</w:t>
      </w:r>
      <w:r>
        <w:rPr>
          <w:rFonts w:hint="default" w:ascii="Times New Roman" w:hAnsi="Times New Roman" w:cs="Times New Roman"/>
        </w:rPr>
        <w:t>HDPE</w:t>
      </w:r>
      <w:r>
        <w:rPr>
          <w:rFonts w:hint="default" w:ascii="Times New Roman" w:hAnsi="Times New Roman" w:cs="Times New Roman"/>
          <w:lang w:eastAsia="zh-CN"/>
        </w:rPr>
        <w:t>）</w:t>
      </w:r>
      <w:r>
        <w:rPr>
          <w:rFonts w:hint="default" w:ascii="Times New Roman" w:hAnsi="Times New Roman" w:cs="Times New Roman"/>
        </w:rPr>
        <w:t>膜、钠基膨润土防水毯或其他防渗性能等效的材料：</w:t>
      </w:r>
    </w:p>
    <w:p w14:paraId="24D69F9F">
      <w:pPr>
        <w:pStyle w:val="177"/>
        <w:ind w:firstLine="480"/>
        <w:rPr>
          <w:rFonts w:hint="default" w:ascii="Times New Roman" w:hAnsi="Times New Roman" w:cs="Times New Roman"/>
        </w:rPr>
      </w:pPr>
      <w:r>
        <w:rPr>
          <w:rFonts w:hint="default" w:ascii="Times New Roman" w:hAnsi="Times New Roman" w:cs="Times New Roman"/>
        </w:rPr>
        <w:t>（1）采用粘土防渗层时防渗层顶面宜采用混凝土地面或设置厚度不小于200mm的砂石层；</w:t>
      </w:r>
    </w:p>
    <w:p w14:paraId="0BC4964E">
      <w:pPr>
        <w:pStyle w:val="177"/>
        <w:ind w:firstLine="480"/>
      </w:pPr>
      <w:r>
        <w:rPr>
          <w:rFonts w:hint="default" w:ascii="Times New Roman" w:hAnsi="Times New Roman" w:cs="Times New Roman"/>
        </w:rPr>
        <w:t>（2）采用混凝土防渗层时混凝土的强度等级不应低于C25，抗渗等级不应低于P6，厚度不应小于100mm；</w:t>
      </w:r>
    </w:p>
    <w:p w14:paraId="3AC70E83">
      <w:pPr>
        <w:pStyle w:val="177"/>
        <w:ind w:firstLine="480"/>
        <w:rPr>
          <w:rFonts w:hint="default" w:ascii="Times New Roman" w:hAnsi="Times New Roman" w:cs="Times New Roman"/>
        </w:rPr>
      </w:pPr>
      <w:r>
        <w:rPr>
          <w:rFonts w:hint="default" w:ascii="Times New Roman" w:hAnsi="Times New Roman" w:cs="Times New Roman"/>
        </w:rPr>
        <w:t>（3）采用高密度聚乙烯</w:t>
      </w:r>
      <w:r>
        <w:rPr>
          <w:rFonts w:hint="default" w:ascii="Times New Roman" w:hAnsi="Times New Roman" w:cs="Times New Roman"/>
          <w:lang w:eastAsia="zh-CN"/>
        </w:rPr>
        <w:t>（</w:t>
      </w:r>
      <w:r>
        <w:rPr>
          <w:rFonts w:hint="default" w:ascii="Times New Roman" w:hAnsi="Times New Roman" w:cs="Times New Roman"/>
        </w:rPr>
        <w:t>HDPE</w:t>
      </w:r>
      <w:r>
        <w:rPr>
          <w:rFonts w:hint="default" w:ascii="Times New Roman" w:hAnsi="Times New Roman" w:cs="Times New Roman"/>
          <w:lang w:eastAsia="zh-CN"/>
        </w:rPr>
        <w:t>）</w:t>
      </w:r>
      <w:r>
        <w:rPr>
          <w:rFonts w:hint="default" w:ascii="Times New Roman" w:hAnsi="Times New Roman" w:cs="Times New Roman"/>
        </w:rPr>
        <w:t>膜防渗层，厚度不宜小于1.50mm，埋深不宜小于300mm。膜上、膜下应设置保护层，保护层可采用长丝无纺土工布，膜下保护层也可采用不含尖锐颗粒的砂层，厚度不宜小于l00mm。膜上保护层以上应设置砂石层，厚度不宜小于200mm。</w:t>
      </w:r>
    </w:p>
    <w:p w14:paraId="1C9EE9F5">
      <w:pPr>
        <w:pStyle w:val="177"/>
        <w:ind w:firstLine="480"/>
        <w:rPr>
          <w:rFonts w:hint="default" w:ascii="Times New Roman" w:hAnsi="Times New Roman" w:cs="Times New Roman"/>
        </w:rPr>
      </w:pPr>
      <w:r>
        <w:rPr>
          <w:rFonts w:hint="default" w:ascii="Times New Roman" w:hAnsi="Times New Roman" w:cs="Times New Roman"/>
        </w:rPr>
        <w:t>一般污染防治区的典型防渗结构见</w:t>
      </w:r>
      <w:r>
        <w:rPr>
          <w:rFonts w:hint="eastAsia" w:ascii="Times New Roman" w:cs="Times New Roman"/>
          <w:lang w:val="en-US" w:eastAsia="zh-CN"/>
        </w:rPr>
        <w:t>下图</w:t>
      </w:r>
      <w:r>
        <w:rPr>
          <w:rFonts w:hint="default" w:ascii="Times New Roman" w:hAnsi="Times New Roman" w:cs="Times New Roman"/>
        </w:rPr>
        <w:t>。</w:t>
      </w:r>
    </w:p>
    <w:p w14:paraId="61F33780">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color w:val="000000"/>
        </w:rPr>
      </w:pPr>
      <w:r>
        <w:rPr>
          <w:color w:val="000000"/>
        </w:rPr>
        <w:drawing>
          <wp:inline distT="0" distB="0" distL="114300" distR="114300">
            <wp:extent cx="2738755" cy="2066290"/>
            <wp:effectExtent l="0" t="0" r="0" b="10160"/>
            <wp:docPr id="7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图片 17"/>
                    <pic:cNvPicPr>
                      <a:picLocks noChangeAspect="1"/>
                    </pic:cNvPicPr>
                  </pic:nvPicPr>
                  <pic:blipFill>
                    <a:blip r:embed="rId50"/>
                    <a:srcRect l="38393" t="36133" r="37646" b="34518"/>
                    <a:stretch>
                      <a:fillRect/>
                    </a:stretch>
                  </pic:blipFill>
                  <pic:spPr>
                    <a:xfrm>
                      <a:off x="0" y="0"/>
                      <a:ext cx="2738755" cy="2066290"/>
                    </a:xfrm>
                    <a:prstGeom prst="rect">
                      <a:avLst/>
                    </a:prstGeom>
                    <a:noFill/>
                    <a:ln>
                      <a:noFill/>
                    </a:ln>
                  </pic:spPr>
                </pic:pic>
              </a:graphicData>
            </a:graphic>
          </wp:inline>
        </w:drawing>
      </w:r>
    </w:p>
    <w:p w14:paraId="1E9978DC">
      <w:pPr>
        <w:keepNext w:val="0"/>
        <w:keepLines w:val="0"/>
        <w:pageBreakBefore w:val="0"/>
        <w:widowControl w:val="0"/>
        <w:kinsoku/>
        <w:wordWrap/>
        <w:overflowPunct/>
        <w:topLinePunct w:val="0"/>
        <w:autoSpaceDE/>
        <w:autoSpaceDN/>
        <w:bidi w:val="0"/>
        <w:adjustRightInd w:val="0"/>
        <w:snapToGrid w:val="0"/>
        <w:ind w:left="0" w:leftChars="0"/>
        <w:jc w:val="center"/>
        <w:textAlignment w:val="auto"/>
        <w:rPr>
          <w:rFonts w:hint="eastAsia"/>
          <w:b/>
          <w:bCs/>
        </w:rPr>
      </w:pPr>
      <w:r>
        <w:rPr>
          <w:rFonts w:hint="eastAsia"/>
          <w:b/>
          <w:bCs/>
        </w:rPr>
        <w:t>图</w:t>
      </w:r>
      <w:r>
        <w:rPr>
          <w:rFonts w:hint="eastAsia"/>
          <w:b/>
          <w:bCs/>
          <w:lang w:val="en-US" w:eastAsia="zh-CN"/>
        </w:rPr>
        <w:t>8.2-1</w:t>
      </w:r>
      <w:r>
        <w:rPr>
          <w:rFonts w:hint="eastAsia"/>
          <w:b/>
          <w:bCs/>
        </w:rPr>
        <w:t xml:space="preserve">  一般污染防治区典型防渗结构示意图</w:t>
      </w:r>
    </w:p>
    <w:p w14:paraId="2721E76B">
      <w:pPr>
        <w:pStyle w:val="177"/>
        <w:ind w:firstLine="482"/>
        <w:rPr>
          <w:rFonts w:hint="eastAsia" w:eastAsia="宋体"/>
          <w:b/>
          <w:lang w:eastAsia="zh-CN"/>
        </w:rPr>
      </w:pPr>
      <w:r>
        <w:rPr>
          <w:rFonts w:hint="eastAsia"/>
          <w:b/>
        </w:rPr>
        <w:t>三、</w:t>
      </w:r>
      <w:r>
        <w:rPr>
          <w:rFonts w:hint="eastAsia"/>
          <w:b/>
          <w:lang w:eastAsia="zh-CN"/>
        </w:rPr>
        <w:t>重点防渗区</w:t>
      </w:r>
    </w:p>
    <w:p w14:paraId="48E83700">
      <w:pPr>
        <w:pStyle w:val="177"/>
        <w:ind w:firstLine="480"/>
      </w:pPr>
      <w:r>
        <w:rPr>
          <w:color w:val="000000"/>
        </w:rPr>
        <w:t>重点污染防治区</w:t>
      </w:r>
      <w:r>
        <w:rPr>
          <w:rFonts w:hint="eastAsia"/>
          <w:color w:val="000000"/>
        </w:rPr>
        <w:t>指</w:t>
      </w:r>
      <w:r>
        <w:rPr>
          <w:color w:val="000000"/>
        </w:rPr>
        <w:t>位于地下或半地下的生产功能单元，污染地下水环境的物料泄漏不容易及时发现和处理的区域</w:t>
      </w:r>
      <w:r>
        <w:rPr>
          <w:rFonts w:hint="eastAsia"/>
          <w:color w:val="000000"/>
        </w:rPr>
        <w:t>，</w:t>
      </w:r>
      <w:r>
        <w:rPr>
          <w:color w:val="000000"/>
        </w:rPr>
        <w:t>主要</w:t>
      </w:r>
      <w:r>
        <w:rPr>
          <w:rFonts w:hint="eastAsia"/>
          <w:color w:val="000000"/>
        </w:rPr>
        <w:t>为</w:t>
      </w:r>
      <w:r>
        <w:rPr>
          <w:rFonts w:hint="eastAsia"/>
          <w:szCs w:val="21"/>
          <w:lang w:val="en-US" w:eastAsia="zh-CN"/>
        </w:rPr>
        <w:t>干排车间、危废贮存点、选矿车间</w:t>
      </w:r>
      <w:r>
        <w:rPr>
          <w:rFonts w:hint="eastAsia"/>
          <w:color w:val="000000"/>
        </w:rPr>
        <w:t>等设施。</w:t>
      </w:r>
    </w:p>
    <w:p w14:paraId="76FFCCC8">
      <w:pPr>
        <w:pStyle w:val="177"/>
        <w:ind w:firstLine="482"/>
      </w:pPr>
      <w:r>
        <w:rPr>
          <w:rFonts w:hint="eastAsia"/>
          <w:b w:val="0"/>
          <w:bCs/>
          <w:lang w:eastAsia="zh-CN"/>
        </w:rPr>
        <w:t>重点防渗区</w:t>
      </w:r>
      <w:r>
        <w:rPr>
          <w:rFonts w:hint="eastAsia"/>
          <w:b w:val="0"/>
          <w:bCs/>
        </w:rPr>
        <w:t>防渗层的</w:t>
      </w:r>
      <w:r>
        <w:rPr>
          <w:rFonts w:hint="eastAsia"/>
        </w:rPr>
        <w:t>防</w:t>
      </w:r>
      <w:r>
        <w:rPr>
          <w:rFonts w:hint="default" w:ascii="Times New Roman" w:hAnsi="Times New Roman" w:cs="Times New Roman"/>
        </w:rPr>
        <w:t>渗参照</w:t>
      </w:r>
      <w:r>
        <w:rPr>
          <w:rFonts w:hint="default" w:ascii="Times New Roman" w:hAnsi="Times New Roman" w:cs="Times New Roman"/>
          <w:color w:val="000000"/>
          <w:kern w:val="2"/>
        </w:rPr>
        <w:t>《环境影响评价技术导则 地下水环境》（HJ610-2016）</w:t>
      </w:r>
      <w:r>
        <w:rPr>
          <w:rFonts w:hint="default" w:ascii="Times New Roman" w:hAnsi="Times New Roman" w:cs="Times New Roman"/>
        </w:rPr>
        <w:t>，防渗性能不应低于6.0m厚渗透系数为1.0×10</w:t>
      </w:r>
      <w:r>
        <w:rPr>
          <w:rFonts w:hint="default" w:ascii="Times New Roman" w:hAnsi="Times New Roman" w:cs="Times New Roman"/>
          <w:vertAlign w:val="superscript"/>
        </w:rPr>
        <w:t>-7</w:t>
      </w:r>
      <w:r>
        <w:rPr>
          <w:rFonts w:hint="default" w:ascii="Times New Roman" w:hAnsi="Times New Roman" w:cs="Times New Roman"/>
        </w:rPr>
        <w:t>cm/s的粘土层的防渗性能。</w:t>
      </w:r>
    </w:p>
    <w:p w14:paraId="15702EBB">
      <w:pPr>
        <w:pStyle w:val="177"/>
        <w:ind w:firstLine="480"/>
        <w:jc w:val="center"/>
        <w:rPr>
          <w:color w:val="000000"/>
        </w:rPr>
      </w:pPr>
      <w:r>
        <w:rPr>
          <w:snapToGrid/>
          <w:color w:val="000000"/>
        </w:rPr>
        <w:drawing>
          <wp:inline distT="0" distB="0" distL="114300" distR="114300">
            <wp:extent cx="2781300" cy="2005330"/>
            <wp:effectExtent l="0" t="0" r="0" b="13970"/>
            <wp:docPr id="7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图片 18"/>
                    <pic:cNvPicPr>
                      <a:picLocks noChangeAspect="1"/>
                    </pic:cNvPicPr>
                  </pic:nvPicPr>
                  <pic:blipFill>
                    <a:blip r:embed="rId51"/>
                    <a:srcRect l="36386" t="37796" r="40779" b="30855"/>
                    <a:stretch>
                      <a:fillRect/>
                    </a:stretch>
                  </pic:blipFill>
                  <pic:spPr>
                    <a:xfrm>
                      <a:off x="0" y="0"/>
                      <a:ext cx="2781300" cy="2005330"/>
                    </a:xfrm>
                    <a:prstGeom prst="rect">
                      <a:avLst/>
                    </a:prstGeom>
                    <a:noFill/>
                    <a:ln>
                      <a:noFill/>
                    </a:ln>
                  </pic:spPr>
                </pic:pic>
              </a:graphicData>
            </a:graphic>
          </wp:inline>
        </w:drawing>
      </w:r>
    </w:p>
    <w:p w14:paraId="1B027E66">
      <w:pPr>
        <w:jc w:val="center"/>
        <w:rPr>
          <w:b/>
          <w:bCs/>
        </w:rPr>
      </w:pPr>
      <w:r>
        <w:rPr>
          <w:rFonts w:hint="eastAsia"/>
          <w:b/>
          <w:bCs/>
        </w:rPr>
        <w:t>图</w:t>
      </w:r>
      <w:r>
        <w:rPr>
          <w:rFonts w:hint="eastAsia"/>
          <w:b/>
          <w:bCs/>
          <w:lang w:val="en-US" w:eastAsia="zh-CN"/>
        </w:rPr>
        <w:t>8.2-2</w:t>
      </w:r>
      <w:r>
        <w:rPr>
          <w:rFonts w:hint="eastAsia"/>
          <w:b/>
          <w:bCs/>
        </w:rPr>
        <w:t xml:space="preserve">  重点污染防治区典型防渗结构示意图</w:t>
      </w:r>
    </w:p>
    <w:p w14:paraId="17C9F3BA">
      <w:pPr>
        <w:jc w:val="center"/>
        <w:rPr>
          <w:b/>
          <w:bCs/>
        </w:rPr>
      </w:pPr>
    </w:p>
    <w:p w14:paraId="02A92677">
      <w:pPr>
        <w:pStyle w:val="177"/>
        <w:adjustRightInd/>
        <w:snapToGrid/>
        <w:ind w:left="0" w:leftChars="0" w:firstLine="0" w:firstLineChars="0"/>
        <w:rPr>
          <w:b/>
        </w:rPr>
      </w:pPr>
      <w:r>
        <w:rPr>
          <w:rFonts w:hint="eastAsia"/>
          <w:b/>
        </w:rPr>
        <w:t>危废贮存设施管理要求</w:t>
      </w:r>
    </w:p>
    <w:p w14:paraId="5E9C6849">
      <w:pPr>
        <w:pStyle w:val="177"/>
        <w:adjustRightInd/>
        <w:snapToGrid/>
        <w:ind w:firstLine="480"/>
        <w:rPr>
          <w:b/>
          <w:bCs/>
        </w:rPr>
      </w:pPr>
      <w:r>
        <w:rPr>
          <w:rFonts w:hint="eastAsia"/>
          <w:b/>
          <w:bCs/>
        </w:rPr>
        <w:t>（1）</w:t>
      </w:r>
      <w:r>
        <w:rPr>
          <w:b/>
          <w:bCs/>
        </w:rPr>
        <w:t>危险废物贮存设施的设计原则</w:t>
      </w:r>
    </w:p>
    <w:p w14:paraId="2007D500">
      <w:pPr>
        <w:pStyle w:val="177"/>
        <w:adjustRightInd/>
        <w:snapToGrid/>
        <w:ind w:firstLine="480"/>
        <w:rPr>
          <w:rFonts w:hint="default" w:ascii="Times New Roman" w:hAnsi="Times New Roman" w:cs="Times New Roman"/>
        </w:rPr>
      </w:pPr>
      <w:r>
        <w:t>①地面</w:t>
      </w:r>
      <w:r>
        <w:rPr>
          <w:rFonts w:hint="default" w:ascii="Times New Roman" w:hAnsi="Times New Roman" w:cs="Times New Roman"/>
        </w:rPr>
        <w:t>与裙脚要用坚固、防渗的材料建造，建材必须与危险废物相容。</w:t>
      </w:r>
    </w:p>
    <w:p w14:paraId="61B9EDDE">
      <w:pPr>
        <w:pStyle w:val="177"/>
        <w:adjustRightInd/>
        <w:snapToGrid/>
        <w:ind w:firstLine="480"/>
        <w:rPr>
          <w:rFonts w:hint="default" w:ascii="Times New Roman" w:hAnsi="Times New Roman" w:cs="Times New Roman"/>
        </w:rPr>
      </w:pPr>
      <w:r>
        <w:rPr>
          <w:rFonts w:hint="default" w:ascii="Times New Roman" w:hAnsi="Times New Roman" w:cs="Times New Roman"/>
        </w:rPr>
        <w:t>②设施内要有安全照明设施和观察窗口。</w:t>
      </w:r>
    </w:p>
    <w:p w14:paraId="57B7A7FA">
      <w:pPr>
        <w:pStyle w:val="177"/>
        <w:adjustRightInd/>
        <w:snapToGrid/>
        <w:ind w:firstLine="480"/>
        <w:rPr>
          <w:rFonts w:hint="default" w:ascii="Times New Roman" w:hAnsi="Times New Roman" w:cs="Times New Roman"/>
        </w:rPr>
      </w:pPr>
      <w:r>
        <w:rPr>
          <w:rFonts w:hint="default" w:ascii="Times New Roman" w:hAnsi="Times New Roman" w:cs="Times New Roman"/>
        </w:rPr>
        <w:t>③用以存放装载液体、半固体危险废物容器的地方，必须有耐腐蚀的硬化地面，且表面无裂隙。</w:t>
      </w:r>
    </w:p>
    <w:p w14:paraId="7A507185">
      <w:pPr>
        <w:pStyle w:val="177"/>
        <w:adjustRightInd/>
        <w:snapToGrid/>
        <w:ind w:firstLine="480"/>
        <w:rPr>
          <w:rFonts w:hint="default" w:ascii="Times New Roman" w:hAnsi="Times New Roman" w:cs="Times New Roman"/>
        </w:rPr>
      </w:pPr>
      <w:r>
        <w:rPr>
          <w:rFonts w:hint="default" w:ascii="Times New Roman" w:hAnsi="Times New Roman" w:cs="Times New Roman"/>
        </w:rPr>
        <w:t>④应设计堵截泄漏的裙脚，地面与裙脚所围建的容积不低于堵截最大容器的最大储量或总储量的1/5。</w:t>
      </w:r>
    </w:p>
    <w:p w14:paraId="0BD0E148">
      <w:pPr>
        <w:pStyle w:val="177"/>
        <w:adjustRightInd/>
        <w:snapToGrid/>
        <w:ind w:firstLine="480"/>
      </w:pPr>
      <w:r>
        <w:rPr>
          <w:rFonts w:hint="default" w:ascii="Times New Roman" w:hAnsi="Times New Roman" w:cs="Times New Roman"/>
        </w:rPr>
        <w:t>⑤不相容的危险废物必须分开</w:t>
      </w:r>
      <w:r>
        <w:t>存放，并设有隔离间隔断。</w:t>
      </w:r>
    </w:p>
    <w:p w14:paraId="62B9C7F1">
      <w:pPr>
        <w:pStyle w:val="177"/>
        <w:adjustRightInd/>
        <w:snapToGrid/>
        <w:ind w:firstLine="480"/>
        <w:rPr>
          <w:b/>
          <w:bCs/>
        </w:rPr>
      </w:pPr>
      <w:r>
        <w:rPr>
          <w:rFonts w:hint="eastAsia"/>
          <w:b/>
          <w:bCs/>
        </w:rPr>
        <w:t>（2）</w:t>
      </w:r>
      <w:r>
        <w:rPr>
          <w:b/>
          <w:bCs/>
        </w:rPr>
        <w:t>危险废物贮存设施的运行与管理</w:t>
      </w:r>
    </w:p>
    <w:p w14:paraId="17BBA7E2">
      <w:pPr>
        <w:pStyle w:val="177"/>
        <w:adjustRightInd/>
        <w:snapToGrid/>
        <w:ind w:firstLine="480"/>
        <w:rPr>
          <w:rFonts w:hint="default" w:ascii="Times New Roman" w:hAnsi="Times New Roman" w:cs="Times New Roman"/>
        </w:rPr>
      </w:pPr>
      <w:r>
        <w:t>①危险</w:t>
      </w:r>
      <w:r>
        <w:rPr>
          <w:rFonts w:hint="default" w:ascii="Times New Roman" w:hAnsi="Times New Roman" w:cs="Times New Roman"/>
        </w:rPr>
        <w:t>废物贮存前应进行检验，确保同预定接收的危险废物一致，并登记注册。</w:t>
      </w:r>
    </w:p>
    <w:p w14:paraId="3D27235D">
      <w:pPr>
        <w:pStyle w:val="177"/>
        <w:adjustRightInd/>
        <w:snapToGrid/>
        <w:ind w:firstLine="480"/>
        <w:rPr>
          <w:rFonts w:hint="default" w:ascii="Times New Roman" w:hAnsi="Times New Roman" w:cs="Times New Roman"/>
        </w:rPr>
      </w:pPr>
      <w:r>
        <w:rPr>
          <w:rFonts w:hint="default" w:ascii="Times New Roman" w:hAnsi="Times New Roman" w:cs="Times New Roman"/>
        </w:rPr>
        <w:t>②按规定的标签填写的危险废物。</w:t>
      </w:r>
    </w:p>
    <w:p w14:paraId="00A65BAA">
      <w:pPr>
        <w:pStyle w:val="177"/>
        <w:adjustRightInd/>
        <w:snapToGrid/>
        <w:ind w:firstLine="480"/>
        <w:rPr>
          <w:rFonts w:hint="default" w:ascii="Times New Roman" w:hAnsi="Times New Roman" w:cs="Times New Roman"/>
        </w:rPr>
      </w:pPr>
      <w:r>
        <w:rPr>
          <w:rFonts w:hint="default" w:ascii="Times New Roman" w:hAnsi="Times New Roman" w:cs="Times New Roman"/>
        </w:rPr>
        <w:t>③盛装在容器内的同类危险废物可以堆叠存放。</w:t>
      </w:r>
    </w:p>
    <w:p w14:paraId="46F63068">
      <w:pPr>
        <w:pStyle w:val="177"/>
        <w:adjustRightInd/>
        <w:snapToGrid/>
        <w:ind w:firstLine="480"/>
        <w:rPr>
          <w:rFonts w:hint="default" w:ascii="Times New Roman" w:hAnsi="Times New Roman" w:cs="Times New Roman"/>
        </w:rPr>
      </w:pPr>
      <w:r>
        <w:rPr>
          <w:rFonts w:hint="default" w:ascii="Times New Roman" w:hAnsi="Times New Roman" w:cs="Times New Roman"/>
        </w:rPr>
        <w:t>④每个堆间应留有搬运通道。</w:t>
      </w:r>
    </w:p>
    <w:p w14:paraId="2EBB8FE0">
      <w:pPr>
        <w:pStyle w:val="177"/>
        <w:adjustRightInd/>
        <w:snapToGrid/>
        <w:ind w:firstLine="480"/>
        <w:rPr>
          <w:rFonts w:hint="default" w:ascii="Times New Roman" w:hAnsi="Times New Roman" w:cs="Times New Roman"/>
        </w:rPr>
      </w:pPr>
      <w:r>
        <w:rPr>
          <w:rFonts w:hint="default" w:ascii="Times New Roman" w:hAnsi="Times New Roman" w:cs="Times New Roman"/>
        </w:rPr>
        <w:t>⑤不得将不相容的废物混合或合并存放。</w:t>
      </w:r>
    </w:p>
    <w:p w14:paraId="76A9ABA2">
      <w:pPr>
        <w:pStyle w:val="177"/>
        <w:adjustRightInd/>
        <w:snapToGrid/>
        <w:ind w:firstLine="480"/>
        <w:rPr>
          <w:rFonts w:hint="default" w:ascii="Times New Roman" w:hAnsi="Times New Roman" w:cs="Times New Roman"/>
        </w:rPr>
      </w:pPr>
      <w:r>
        <w:rPr>
          <w:rFonts w:hint="default" w:ascii="Times New Roman" w:hAnsi="Times New Roman" w:cs="Times New Roman"/>
        </w:rPr>
        <w:t>⑥作好危险废物情况的记录，记录上须注明危险废物的名称、来源、数量、特性和包装容器的类别、入库日期、存放库位、废物出库日期及接收单位名称。</w:t>
      </w:r>
    </w:p>
    <w:p w14:paraId="77E40DEC">
      <w:pPr>
        <w:pStyle w:val="177"/>
        <w:adjustRightInd/>
        <w:snapToGrid/>
        <w:ind w:firstLine="480"/>
        <w:rPr>
          <w:rFonts w:hint="default" w:ascii="Times New Roman" w:hAnsi="Times New Roman" w:cs="Times New Roman"/>
        </w:rPr>
      </w:pPr>
      <w:r>
        <w:rPr>
          <w:rFonts w:hint="default" w:ascii="Times New Roman" w:hAnsi="Times New Roman" w:cs="Times New Roman"/>
        </w:rPr>
        <w:t>⑦危险废物的记录和货单在危险废物回取后应继续保留3a。</w:t>
      </w:r>
    </w:p>
    <w:p w14:paraId="19BAEAB5">
      <w:pPr>
        <w:pStyle w:val="177"/>
        <w:adjustRightInd/>
        <w:snapToGrid/>
        <w:ind w:firstLine="480"/>
        <w:rPr>
          <w:rFonts w:hint="default" w:ascii="Times New Roman" w:hAnsi="Times New Roman" w:cs="Times New Roman"/>
        </w:rPr>
      </w:pPr>
      <w:r>
        <w:rPr>
          <w:rFonts w:hint="default" w:ascii="Times New Roman" w:hAnsi="Times New Roman" w:cs="Times New Roman"/>
        </w:rPr>
        <w:t>⑧必须定期对所贮存的危险废物包装容器及贮存设施进行检查，发现破损，应及时采取措施清理更换。</w:t>
      </w:r>
    </w:p>
    <w:p w14:paraId="44950442">
      <w:pPr>
        <w:pStyle w:val="177"/>
        <w:adjustRightInd/>
        <w:snapToGrid/>
        <w:ind w:firstLine="480"/>
        <w:rPr>
          <w:rFonts w:hint="default" w:ascii="Times New Roman" w:hAnsi="Times New Roman" w:cs="Times New Roman"/>
        </w:rPr>
      </w:pPr>
      <w:r>
        <w:rPr>
          <w:rFonts w:hint="default" w:ascii="Times New Roman" w:hAnsi="Times New Roman" w:cs="Times New Roman"/>
        </w:rPr>
        <w:t>（3）危险废物贮存设施的安全防护</w:t>
      </w:r>
    </w:p>
    <w:p w14:paraId="73C139C9">
      <w:pPr>
        <w:pStyle w:val="177"/>
        <w:adjustRightInd/>
        <w:snapToGrid/>
        <w:ind w:firstLine="480"/>
        <w:rPr>
          <w:rFonts w:hint="default" w:ascii="Times New Roman" w:hAnsi="Times New Roman" w:cs="Times New Roman"/>
        </w:rPr>
      </w:pPr>
      <w:r>
        <w:rPr>
          <w:rFonts w:hint="default" w:ascii="Times New Roman" w:hAnsi="Times New Roman" w:cs="Times New Roman"/>
        </w:rPr>
        <w:t>①危险废物贮存设施都必须按GB15562.2的规定设置警示标志。</w:t>
      </w:r>
    </w:p>
    <w:p w14:paraId="2E39E418">
      <w:pPr>
        <w:pStyle w:val="177"/>
        <w:adjustRightInd/>
        <w:snapToGrid/>
        <w:ind w:firstLine="480"/>
        <w:rPr>
          <w:rFonts w:hint="default" w:ascii="Times New Roman" w:hAnsi="Times New Roman" w:cs="Times New Roman"/>
        </w:rPr>
      </w:pPr>
      <w:r>
        <w:rPr>
          <w:rFonts w:hint="default" w:ascii="Times New Roman" w:hAnsi="Times New Roman" w:cs="Times New Roman"/>
        </w:rPr>
        <w:t>②危险废物贮存设施周围应设置围墙或其他防护栅栏。</w:t>
      </w:r>
    </w:p>
    <w:p w14:paraId="4A6818FE">
      <w:pPr>
        <w:pStyle w:val="177"/>
        <w:adjustRightInd/>
        <w:snapToGrid/>
        <w:ind w:firstLine="480"/>
        <w:rPr>
          <w:rFonts w:hint="default" w:ascii="Times New Roman" w:hAnsi="Times New Roman" w:cs="Times New Roman"/>
        </w:rPr>
      </w:pPr>
      <w:r>
        <w:rPr>
          <w:rFonts w:hint="default" w:ascii="Times New Roman" w:hAnsi="Times New Roman" w:cs="Times New Roman"/>
        </w:rPr>
        <w:t>③危险废物贮存设施应配备通讯设备、照明设施、安全防护服装及工具，并设有应急防护设施。</w:t>
      </w:r>
    </w:p>
    <w:p w14:paraId="677E42DC">
      <w:pPr>
        <w:pStyle w:val="177"/>
        <w:adjustRightInd/>
        <w:snapToGrid/>
        <w:ind w:firstLine="480"/>
      </w:pPr>
      <w:r>
        <w:rPr>
          <w:rFonts w:hint="default" w:ascii="Times New Roman" w:hAnsi="Times New Roman" w:cs="Times New Roman"/>
        </w:rPr>
        <w:t>④危险废物贮存设施内清理出来的泄漏物，一律按危险</w:t>
      </w:r>
      <w:r>
        <w:t>废物处理。</w:t>
      </w:r>
    </w:p>
    <w:p w14:paraId="470ACF8D">
      <w:pPr>
        <w:pStyle w:val="177"/>
        <w:adjustRightInd/>
        <w:snapToGrid/>
        <w:ind w:firstLine="480"/>
      </w:pPr>
      <w:r>
        <w:t>⑤按国家污染源管理要求对危险废物贮存设施进行监测。</w:t>
      </w:r>
    </w:p>
    <w:p w14:paraId="5CBA8507">
      <w:pPr>
        <w:pStyle w:val="177"/>
        <w:adjustRightInd/>
        <w:snapToGrid/>
        <w:ind w:firstLine="480"/>
        <w:rPr>
          <w:b/>
          <w:bCs/>
        </w:rPr>
      </w:pPr>
      <w:r>
        <w:rPr>
          <w:b/>
          <w:bCs/>
        </w:rPr>
        <w:t>（</w:t>
      </w:r>
      <w:r>
        <w:rPr>
          <w:rFonts w:hint="eastAsia"/>
          <w:b/>
          <w:bCs/>
          <w:lang w:val="en-US" w:eastAsia="zh-CN"/>
        </w:rPr>
        <w:t>3</w:t>
      </w:r>
      <w:r>
        <w:rPr>
          <w:b/>
          <w:bCs/>
        </w:rPr>
        <w:t>）</w:t>
      </w:r>
      <w:r>
        <w:rPr>
          <w:rFonts w:hint="eastAsia"/>
          <w:b/>
          <w:bCs/>
        </w:rPr>
        <w:t>危险废物</w:t>
      </w:r>
      <w:r>
        <w:rPr>
          <w:b/>
          <w:bCs/>
        </w:rPr>
        <w:t>临时贮存设施防渗漏措施</w:t>
      </w:r>
    </w:p>
    <w:p w14:paraId="05E6C993">
      <w:pPr>
        <w:pStyle w:val="177"/>
        <w:adjustRightInd/>
        <w:snapToGrid/>
        <w:ind w:firstLine="480"/>
        <w:rPr>
          <w:rFonts w:hint="eastAsia" w:ascii="Times New Roman" w:hAnsi="宋体" w:cs="Times New Roman"/>
          <w:color w:val="000000"/>
          <w:highlight w:val="none"/>
        </w:rPr>
      </w:pPr>
      <w:r>
        <w:rPr>
          <w:rFonts w:hint="eastAsia" w:ascii="Times New Roman" w:hAnsi="Times New Roman" w:eastAsia="宋体" w:cs="Times New Roman"/>
        </w:rPr>
        <w:t>危险废物临时贮存设施/场所属于重点防治污染区。参照《危险废物贮存污染控制标准》执行地面防渗设计；要求防渗等级不大于1.0×10</w:t>
      </w:r>
      <w:r>
        <w:rPr>
          <w:rFonts w:hint="eastAsia" w:ascii="Times New Roman" w:hAnsi="Times New Roman" w:eastAsia="宋体" w:cs="Times New Roman"/>
          <w:vertAlign w:val="superscript"/>
        </w:rPr>
        <w:t>-1</w:t>
      </w:r>
      <w:r>
        <w:rPr>
          <w:rFonts w:hint="eastAsia" w:eastAsia="宋体" w:cs="Times New Roman"/>
          <w:vertAlign w:val="superscript"/>
          <w:lang w:val="en-US" w:eastAsia="zh-CN"/>
        </w:rPr>
        <w:t>0</w:t>
      </w:r>
      <w:r>
        <w:rPr>
          <w:rFonts w:hint="eastAsia" w:ascii="Times New Roman" w:hAnsi="Times New Roman" w:eastAsia="宋体" w:cs="Times New Roman"/>
        </w:rPr>
        <w:t>cm/s，可采用现浇防渗钢筋钢纤维混凝土层（渗透系数不大于1.0×10</w:t>
      </w:r>
      <w:r>
        <w:rPr>
          <w:rFonts w:hint="eastAsia" w:ascii="Times New Roman" w:hAnsi="Times New Roman" w:eastAsia="宋体" w:cs="Times New Roman"/>
          <w:vertAlign w:val="superscript"/>
        </w:rPr>
        <w:t>-1</w:t>
      </w:r>
      <w:r>
        <w:rPr>
          <w:rFonts w:hint="eastAsia" w:eastAsia="宋体" w:cs="Times New Roman"/>
          <w:vertAlign w:val="superscript"/>
          <w:lang w:val="en-US" w:eastAsia="zh-CN"/>
        </w:rPr>
        <w:t>0</w:t>
      </w:r>
      <w:r>
        <w:rPr>
          <w:rFonts w:hint="eastAsia" w:ascii="Times New Roman" w:hAnsi="Times New Roman" w:eastAsia="宋体" w:cs="Times New Roman"/>
        </w:rPr>
        <w:t>cm/s）、防渗涂料面层（渗透系数不大于1.0×10</w:t>
      </w:r>
      <w:r>
        <w:rPr>
          <w:rFonts w:hint="eastAsia" w:ascii="Times New Roman" w:hAnsi="Times New Roman" w:eastAsia="宋体" w:cs="Times New Roman"/>
          <w:vertAlign w:val="superscript"/>
        </w:rPr>
        <w:t>-1</w:t>
      </w:r>
      <w:r>
        <w:rPr>
          <w:rFonts w:hint="eastAsia" w:eastAsia="宋体" w:cs="Times New Roman"/>
          <w:vertAlign w:val="superscript"/>
          <w:lang w:val="en-US" w:eastAsia="zh-CN"/>
        </w:rPr>
        <w:t>0</w:t>
      </w:r>
      <w:r>
        <w:rPr>
          <w:rFonts w:hint="eastAsia" w:ascii="Times New Roman" w:hAnsi="Times New Roman" w:eastAsia="宋体" w:cs="Times New Roman"/>
        </w:rPr>
        <w:t>cm/s）。</w:t>
      </w:r>
    </w:p>
    <w:p w14:paraId="350E30D3">
      <w:pPr>
        <w:bidi w:val="0"/>
        <w:spacing w:line="360" w:lineRule="auto"/>
        <w:rPr>
          <w:rFonts w:hint="eastAsia" w:ascii="Times New Roman" w:hAnsi="Times New Roman" w:eastAsia="宋体" w:cs="Times New Roman"/>
          <w:b/>
          <w:bCs/>
          <w:sz w:val="24"/>
          <w:szCs w:val="24"/>
          <w:lang w:val="en-US" w:eastAsia="zh-CN"/>
        </w:rPr>
      </w:pPr>
      <w:bookmarkStart w:id="137" w:name="_Toc460309959"/>
      <w:bookmarkStart w:id="138" w:name="_Toc4418"/>
      <w:bookmarkStart w:id="139" w:name="_Toc22911"/>
      <w:bookmarkStart w:id="140" w:name="_Toc22633"/>
      <w:bookmarkStart w:id="141" w:name="_Toc16425"/>
      <w:bookmarkStart w:id="142" w:name="_Toc491247207"/>
      <w:bookmarkStart w:id="143" w:name="_Toc18430"/>
      <w:bookmarkStart w:id="144" w:name="_Toc6244"/>
      <w:bookmarkStart w:id="145" w:name="_Toc481176255"/>
      <w:r>
        <w:rPr>
          <w:rFonts w:hint="eastAsia" w:ascii="Times New Roman" w:hAnsi="Times New Roman" w:eastAsia="宋体" w:cs="Times New Roman"/>
          <w:b/>
          <w:bCs/>
          <w:sz w:val="24"/>
          <w:szCs w:val="24"/>
          <w:lang w:val="en-US" w:eastAsia="zh-CN"/>
        </w:rPr>
        <w:t>8.2.3.3地下水环境监测与管理</w:t>
      </w:r>
      <w:bookmarkEnd w:id="137"/>
      <w:bookmarkEnd w:id="138"/>
      <w:bookmarkEnd w:id="139"/>
      <w:bookmarkEnd w:id="140"/>
      <w:bookmarkEnd w:id="141"/>
      <w:bookmarkEnd w:id="142"/>
      <w:bookmarkEnd w:id="143"/>
      <w:bookmarkEnd w:id="144"/>
      <w:bookmarkEnd w:id="145"/>
    </w:p>
    <w:p w14:paraId="780D65CB">
      <w:pPr>
        <w:bidi w:val="0"/>
        <w:spacing w:line="360" w:lineRule="auto"/>
        <w:ind w:firstLine="482" w:firstLineChars="200"/>
        <w:rPr>
          <w:rFonts w:hint="eastAsia" w:ascii="Times New Roman" w:hAnsi="Times New Roman" w:eastAsia="宋体" w:cs="Times New Roman"/>
          <w:b/>
          <w:bCs/>
          <w:sz w:val="24"/>
          <w:szCs w:val="24"/>
          <w:lang w:val="en-US" w:eastAsia="zh-CN"/>
        </w:rPr>
      </w:pPr>
      <w:bookmarkStart w:id="146" w:name="_Toc13594"/>
      <w:bookmarkStart w:id="147" w:name="_Toc460309960"/>
      <w:bookmarkStart w:id="148" w:name="_Toc10870"/>
      <w:bookmarkStart w:id="149" w:name="_Toc2529"/>
      <w:bookmarkStart w:id="150" w:name="_Toc481168514"/>
      <w:bookmarkStart w:id="151" w:name="_Toc23016"/>
      <w:bookmarkStart w:id="152" w:name="_Toc407"/>
      <w:bookmarkStart w:id="153" w:name="_Toc8108"/>
      <w:bookmarkStart w:id="154" w:name="_Toc12011"/>
      <w:bookmarkStart w:id="155" w:name="_Toc24453"/>
      <w:bookmarkStart w:id="156" w:name="_Toc32402"/>
      <w:r>
        <w:rPr>
          <w:rFonts w:hint="eastAsia" w:ascii="Times New Roman" w:hAnsi="Times New Roman" w:eastAsia="宋体" w:cs="Times New Roman"/>
          <w:b/>
          <w:bCs/>
          <w:sz w:val="24"/>
          <w:szCs w:val="24"/>
          <w:lang w:val="en-US" w:eastAsia="zh-CN"/>
        </w:rPr>
        <w:t>（1）建立地下水环境监测管理体系</w:t>
      </w:r>
      <w:bookmarkEnd w:id="146"/>
      <w:bookmarkEnd w:id="147"/>
      <w:bookmarkEnd w:id="148"/>
      <w:bookmarkEnd w:id="149"/>
      <w:bookmarkEnd w:id="150"/>
      <w:bookmarkEnd w:id="151"/>
      <w:bookmarkEnd w:id="152"/>
      <w:bookmarkEnd w:id="153"/>
      <w:bookmarkEnd w:id="154"/>
      <w:bookmarkEnd w:id="155"/>
      <w:bookmarkEnd w:id="156"/>
    </w:p>
    <w:p w14:paraId="536617E5">
      <w:pPr>
        <w:pStyle w:val="177"/>
        <w:ind w:firstLine="480"/>
        <w:rPr>
          <w:highlight w:val="none"/>
        </w:rPr>
      </w:pPr>
      <w:r>
        <w:rPr>
          <w:rFonts w:hint="eastAsia"/>
          <w:highlight w:val="none"/>
        </w:rPr>
        <w:t>为及时而准确的掌握拟建项目区及周边地下水环境质量状况，发现问题及时解决，切实加强环境保护与环境管理，建设项目地下水污染监测工作应纳入到整个厂区的监测体系中。即建立地下水环境监测管理体系，包括制定地下水环境影响跟踪监测计划、建立地下水环境影响跟踪监测制度、配备相应的监测人员、配置先进的监测仪器和设备、建立完善地下水监测制度。按照浅层地下水监测为主、装置区上下游同步对比监测、抽水井与监测井兼顾和</w:t>
      </w:r>
      <w:r>
        <w:rPr>
          <w:rFonts w:hint="eastAsia"/>
          <w:highlight w:val="none"/>
          <w:lang w:eastAsia="zh-CN"/>
        </w:rPr>
        <w:t>重点防渗区</w:t>
      </w:r>
      <w:r>
        <w:rPr>
          <w:rFonts w:hint="eastAsia"/>
          <w:highlight w:val="none"/>
        </w:rPr>
        <w:t>加密监测的原则进行监测。</w:t>
      </w:r>
    </w:p>
    <w:p w14:paraId="786FD92C">
      <w:pPr>
        <w:bidi w:val="0"/>
        <w:spacing w:line="360" w:lineRule="auto"/>
        <w:ind w:firstLine="482" w:firstLineChars="200"/>
        <w:rPr>
          <w:rFonts w:hint="eastAsia" w:ascii="Times New Roman" w:hAnsi="Times New Roman" w:eastAsia="宋体" w:cs="Times New Roman"/>
          <w:b/>
          <w:bCs/>
          <w:sz w:val="24"/>
          <w:szCs w:val="24"/>
          <w:lang w:val="en-US" w:eastAsia="zh-CN"/>
        </w:rPr>
      </w:pPr>
      <w:bookmarkStart w:id="157" w:name="_Toc13587"/>
      <w:bookmarkStart w:id="158" w:name="_Toc16381"/>
      <w:bookmarkStart w:id="159" w:name="_Toc22654"/>
      <w:bookmarkStart w:id="160" w:name="_Toc22363"/>
      <w:bookmarkStart w:id="161" w:name="_Toc23957"/>
      <w:bookmarkStart w:id="162" w:name="_Toc481168515"/>
      <w:bookmarkStart w:id="163" w:name="_Toc21707"/>
      <w:bookmarkStart w:id="164" w:name="_Toc9053"/>
      <w:bookmarkStart w:id="165" w:name="_Toc460309961"/>
      <w:bookmarkStart w:id="166" w:name="_Toc1371"/>
      <w:bookmarkStart w:id="167" w:name="_Toc9906"/>
      <w:r>
        <w:rPr>
          <w:rFonts w:hint="eastAsia" w:ascii="Times New Roman" w:hAnsi="Times New Roman" w:eastAsia="宋体" w:cs="Times New Roman"/>
          <w:b/>
          <w:bCs/>
          <w:sz w:val="24"/>
          <w:szCs w:val="24"/>
          <w:lang w:val="en-US" w:eastAsia="zh-CN"/>
        </w:rPr>
        <w:t>（2）地下水跟踪监测计划</w:t>
      </w:r>
      <w:bookmarkEnd w:id="157"/>
      <w:bookmarkEnd w:id="158"/>
      <w:bookmarkEnd w:id="159"/>
      <w:bookmarkEnd w:id="160"/>
      <w:bookmarkEnd w:id="161"/>
      <w:bookmarkEnd w:id="162"/>
      <w:bookmarkEnd w:id="163"/>
      <w:bookmarkEnd w:id="164"/>
      <w:bookmarkEnd w:id="165"/>
      <w:bookmarkEnd w:id="166"/>
      <w:bookmarkEnd w:id="167"/>
    </w:p>
    <w:p w14:paraId="688B3F83">
      <w:pPr>
        <w:pStyle w:val="177"/>
        <w:adjustRightInd/>
        <w:snapToGrid/>
        <w:ind w:firstLine="480"/>
        <w:rPr>
          <w:rFonts w:hint="default" w:ascii="Times New Roman" w:hAnsi="Times New Roman" w:cs="Times New Roman"/>
          <w:color w:val="auto"/>
          <w:highlight w:val="none"/>
        </w:rPr>
      </w:pPr>
      <w:r>
        <w:rPr>
          <w:rFonts w:hint="eastAsia"/>
          <w:color w:val="auto"/>
          <w:highlight w:val="none"/>
        </w:rPr>
        <w:t>根据《环境影响评价技术导则</w:t>
      </w:r>
      <w:r>
        <w:rPr>
          <w:rFonts w:hint="default" w:ascii="Times New Roman" w:hAnsi="Times New Roman" w:cs="Times New Roman"/>
          <w:color w:val="auto"/>
          <w:highlight w:val="none"/>
        </w:rPr>
        <w:t>-地下水环境》（HJ610-2016）</w:t>
      </w:r>
      <w:r>
        <w:rPr>
          <w:rFonts w:hint="default" w:ascii="Times New Roman" w:hAnsi="Times New Roman" w:cs="Times New Roman"/>
          <w:color w:val="auto"/>
          <w:highlight w:val="none"/>
          <w:lang w:val="en-US" w:eastAsia="zh-CN"/>
        </w:rPr>
        <w:t>及《工业企业土壤和地下水自行监测 技术指南（试行）》（HJ1209-2021）</w:t>
      </w:r>
      <w:r>
        <w:rPr>
          <w:rFonts w:hint="default" w:ascii="Times New Roman" w:hAnsi="Times New Roman" w:cs="Times New Roman"/>
          <w:color w:val="auto"/>
          <w:highlight w:val="none"/>
        </w:rPr>
        <w:t>要求，在建设项目及周边地区设置一定数量地下水质污染监控井，建立地下水水质污染监控、预警体系。</w:t>
      </w:r>
    </w:p>
    <w:p w14:paraId="087A878E">
      <w:pPr>
        <w:pStyle w:val="177"/>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1）跟踪监测点布设</w:t>
      </w:r>
    </w:p>
    <w:p w14:paraId="72E626A5">
      <w:pPr>
        <w:pStyle w:val="177"/>
        <w:adjustRightInd/>
        <w:snapToGrid/>
        <w:ind w:firstLine="480"/>
        <w:rPr>
          <w:rFonts w:hint="default" w:ascii="Times New Roman" w:hAnsi="Times New Roman" w:cs="Times New Roman"/>
          <w:color w:val="auto"/>
          <w:highlight w:val="none"/>
        </w:rPr>
      </w:pPr>
      <w:r>
        <w:rPr>
          <w:rFonts w:hint="default" w:ascii="Times New Roman" w:hAnsi="Times New Roman" w:cs="Times New Roman"/>
          <w:highlight w:val="none"/>
        </w:rPr>
        <w:t>拟布设</w:t>
      </w:r>
      <w:r>
        <w:rPr>
          <w:rFonts w:hint="default" w:ascii="Times New Roman" w:hAnsi="Times New Roman" w:cs="Times New Roman"/>
          <w:highlight w:val="none"/>
          <w:lang w:val="en-US" w:eastAsia="zh-CN"/>
        </w:rPr>
        <w:t>3</w:t>
      </w:r>
      <w:r>
        <w:rPr>
          <w:rFonts w:hint="default" w:ascii="Times New Roman" w:hAnsi="Times New Roman" w:cs="Times New Roman"/>
          <w:highlight w:val="none"/>
        </w:rPr>
        <w:t>个跟踪监测点，厂区上游1个，下游</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个、厂区内</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个。</w:t>
      </w:r>
    </w:p>
    <w:p w14:paraId="19BC9C22">
      <w:pPr>
        <w:pStyle w:val="177"/>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2）监测层位及井深：第四系潜水含水层，井深</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25</w:t>
      </w:r>
      <w:r>
        <w:rPr>
          <w:rFonts w:hint="default" w:ascii="Times New Roman" w:hAnsi="Times New Roman" w:cs="Times New Roman"/>
          <w:color w:val="auto"/>
          <w:highlight w:val="none"/>
        </w:rPr>
        <w:t>m左右。</w:t>
      </w:r>
    </w:p>
    <w:p w14:paraId="6087043D">
      <w:pPr>
        <w:pStyle w:val="177"/>
        <w:adjustRightInd/>
        <w:snapToGrid/>
        <w:ind w:firstLine="480"/>
        <w:rPr>
          <w:color w:val="auto"/>
          <w:highlight w:val="none"/>
        </w:rPr>
      </w:pPr>
      <w:r>
        <w:rPr>
          <w:rFonts w:hint="eastAsia"/>
          <w:color w:val="auto"/>
          <w:highlight w:val="none"/>
        </w:rPr>
        <w:t>3）监测项目</w:t>
      </w:r>
    </w:p>
    <w:p w14:paraId="67BE1E1C">
      <w:pPr>
        <w:pStyle w:val="177"/>
        <w:adjustRightInd/>
        <w:snapToGrid/>
        <w:ind w:firstLine="480"/>
        <w:rPr>
          <w:color w:val="auto"/>
          <w:highlight w:val="none"/>
        </w:rPr>
      </w:pPr>
      <w:r>
        <w:rPr>
          <w:rFonts w:hint="eastAsia"/>
          <w:color w:val="auto"/>
          <w:highlight w:val="none"/>
        </w:rPr>
        <w:t>确定</w:t>
      </w:r>
      <w:r>
        <w:rPr>
          <w:rFonts w:hint="default" w:ascii="Times New Roman" w:hAnsi="Times New Roman" w:cs="Times New Roman"/>
          <w:color w:val="auto"/>
          <w:highlight w:val="none"/>
        </w:rPr>
        <w:t>地下水监测项目为：</w:t>
      </w:r>
      <w:r>
        <w:rPr>
          <w:rFonts w:hint="eastAsia" w:ascii="Times New Roman" w:hAnsi="Times New Roman" w:cs="Times New Roman"/>
          <w:highlight w:val="none"/>
          <w:lang w:val="en-US" w:eastAsia="zh-CN"/>
        </w:rPr>
        <w:t>pH、耗氧量、氨氮、硝酸盐、亚硝酸盐、挥发酚、氰化物、硫酸盐、溶解性总固体、总硬度、氯化物、氟化物、铁、锰、铅、汞、六价铬、镉、砷、总大肠菌群、菌落总数、石油类、硫化物，同时监测地下水位、水温</w:t>
      </w:r>
      <w:r>
        <w:rPr>
          <w:rFonts w:hint="default" w:ascii="Times New Roman" w:hAnsi="Times New Roman" w:cs="Times New Roman"/>
          <w:highlight w:val="none"/>
        </w:rPr>
        <w:t>。</w:t>
      </w:r>
      <w:r>
        <w:rPr>
          <w:rFonts w:hint="default" w:ascii="Times New Roman" w:hAnsi="Times New Roman" w:cs="Times New Roman"/>
          <w:color w:val="auto"/>
          <w:highlight w:val="none"/>
        </w:rPr>
        <w:t>水质标准执行《地下水质量标准》（GB/T14848-2017）</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 3 \* ROMAN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III</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类标准。</w:t>
      </w:r>
    </w:p>
    <w:p w14:paraId="3A8E29BA">
      <w:pPr>
        <w:pStyle w:val="177"/>
        <w:adjustRightInd/>
        <w:snapToGrid/>
        <w:ind w:firstLine="480"/>
        <w:rPr>
          <w:color w:val="auto"/>
          <w:highlight w:val="none"/>
        </w:rPr>
      </w:pPr>
      <w:r>
        <w:rPr>
          <w:rFonts w:hint="eastAsia"/>
          <w:color w:val="auto"/>
          <w:highlight w:val="none"/>
        </w:rPr>
        <w:t>4）监测频率</w:t>
      </w:r>
    </w:p>
    <w:p w14:paraId="7C966976">
      <w:pPr>
        <w:pStyle w:val="177"/>
        <w:adjustRightInd/>
        <w:snapToGrid/>
        <w:ind w:firstLine="480"/>
        <w:rPr>
          <w:rFonts w:hint="default" w:ascii="Times New Roman" w:hAnsi="Times New Roman" w:cs="Times New Roman"/>
          <w:color w:val="auto"/>
          <w:highlight w:val="none"/>
        </w:rPr>
      </w:pPr>
      <w:r>
        <w:rPr>
          <w:rFonts w:hint="eastAsia"/>
          <w:color w:val="auto"/>
          <w:highlight w:val="none"/>
        </w:rPr>
        <w:t>根据地下</w:t>
      </w:r>
      <w:r>
        <w:rPr>
          <w:rFonts w:hint="default" w:ascii="Times New Roman" w:hAnsi="Times New Roman" w:cs="Times New Roman"/>
          <w:color w:val="auto"/>
          <w:highlight w:val="none"/>
        </w:rPr>
        <w:t>水《地下水环境监测技术规范》（HJ164-20</w:t>
      </w:r>
      <w:r>
        <w:rPr>
          <w:rFonts w:hint="default" w:ascii="Times New Roman" w:hAnsi="Times New Roman" w:cs="Times New Roman"/>
          <w:color w:val="auto"/>
          <w:highlight w:val="none"/>
          <w:lang w:val="en-US" w:eastAsia="zh-CN"/>
        </w:rPr>
        <w:t>20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及《工业企业土壤和地下水自行监测 技术指南（试行）》（HJ 1209-2021）</w:t>
      </w:r>
      <w:r>
        <w:rPr>
          <w:rFonts w:hint="default" w:ascii="Times New Roman" w:hAnsi="Times New Roman" w:cs="Times New Roman"/>
          <w:color w:val="auto"/>
          <w:highlight w:val="none"/>
        </w:rPr>
        <w:t>要求</w:t>
      </w:r>
      <w:r>
        <w:rPr>
          <w:rFonts w:hint="default" w:ascii="Times New Roman" w:hAnsi="Times New Roman" w:cs="Times New Roman"/>
          <w:color w:val="auto"/>
          <w:highlight w:val="none"/>
          <w:lang w:eastAsia="zh-CN"/>
        </w:rPr>
        <w:t>进行布置</w:t>
      </w:r>
      <w:r>
        <w:rPr>
          <w:rFonts w:hint="default" w:ascii="Times New Roman" w:hAnsi="Times New Roman" w:cs="Times New Roman"/>
          <w:color w:val="auto"/>
          <w:highlight w:val="none"/>
        </w:rPr>
        <w:t>。</w:t>
      </w:r>
    </w:p>
    <w:p w14:paraId="494A8BC3">
      <w:pPr>
        <w:pStyle w:val="177"/>
        <w:adjustRightInd/>
        <w:snapToGrid/>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地下水监测计划、监测孔位</w:t>
      </w:r>
      <w:r>
        <w:rPr>
          <w:rFonts w:hint="eastAsia"/>
          <w:color w:val="auto"/>
          <w:highlight w:val="none"/>
        </w:rPr>
        <w:t>置、孔深、监测井结构、监测层位、监测项目、监测频率等详见</w:t>
      </w:r>
      <w:r>
        <w:rPr>
          <w:rFonts w:hint="eastAsia"/>
          <w:color w:val="auto"/>
          <w:highlight w:val="none"/>
          <w:lang w:eastAsia="zh-CN"/>
        </w:rPr>
        <w:t>下表</w:t>
      </w:r>
      <w:r>
        <w:rPr>
          <w:color w:val="auto"/>
          <w:highlight w:val="none"/>
        </w:rPr>
        <w:t>。</w:t>
      </w:r>
    </w:p>
    <w:p w14:paraId="603E1128">
      <w:pPr>
        <w:adjustRightInd w:val="0"/>
        <w:snapToGrid w:val="0"/>
        <w:spacing w:beforeLines="50"/>
        <w:jc w:val="center"/>
        <w:rPr>
          <w:b/>
          <w:bCs/>
          <w:color w:val="auto"/>
          <w:highlight w:val="none"/>
        </w:rPr>
      </w:pPr>
      <w:r>
        <w:rPr>
          <w:rFonts w:hint="eastAsia"/>
          <w:b/>
          <w:bCs/>
          <w:color w:val="auto"/>
          <w:highlight w:val="none"/>
        </w:rPr>
        <w:t>表</w:t>
      </w:r>
      <w:r>
        <w:rPr>
          <w:rFonts w:hint="eastAsia"/>
          <w:b/>
          <w:bCs/>
          <w:color w:val="auto"/>
          <w:highlight w:val="none"/>
          <w:lang w:val="en-US" w:eastAsia="zh-CN"/>
        </w:rPr>
        <w:t>8.2-5</w:t>
      </w:r>
      <w:r>
        <w:rPr>
          <w:b/>
          <w:bCs/>
          <w:color w:val="auto"/>
          <w:highlight w:val="none"/>
        </w:rPr>
        <w:t xml:space="preserve"> </w:t>
      </w:r>
      <w:r>
        <w:rPr>
          <w:rFonts w:hint="eastAsia"/>
          <w:b/>
          <w:bCs/>
          <w:color w:val="auto"/>
          <w:highlight w:val="none"/>
        </w:rPr>
        <w:t xml:space="preserve"> </w:t>
      </w:r>
      <w:r>
        <w:rPr>
          <w:b/>
          <w:bCs/>
          <w:color w:val="auto"/>
          <w:highlight w:val="none"/>
        </w:rPr>
        <w:t>地下水</w:t>
      </w:r>
      <w:r>
        <w:rPr>
          <w:rFonts w:hint="eastAsia"/>
          <w:b/>
          <w:bCs/>
          <w:color w:val="auto"/>
          <w:highlight w:val="none"/>
        </w:rPr>
        <w:t>跟踪</w:t>
      </w:r>
      <w:r>
        <w:rPr>
          <w:b/>
          <w:bCs/>
          <w:color w:val="auto"/>
          <w:highlight w:val="none"/>
        </w:rPr>
        <w:t>监测计划表</w:t>
      </w:r>
    </w:p>
    <w:tbl>
      <w:tblPr>
        <w:tblStyle w:val="7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141"/>
        <w:gridCol w:w="673"/>
        <w:gridCol w:w="896"/>
        <w:gridCol w:w="859"/>
        <w:gridCol w:w="2122"/>
        <w:gridCol w:w="737"/>
        <w:gridCol w:w="923"/>
        <w:gridCol w:w="652"/>
      </w:tblGrid>
      <w:tr w14:paraId="33FD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 w:type="pct"/>
            <w:tcBorders>
              <w:tl2br w:val="nil"/>
              <w:tr2bl w:val="nil"/>
            </w:tcBorders>
            <w:noWrap w:val="0"/>
            <w:vAlign w:val="center"/>
          </w:tcPr>
          <w:p w14:paraId="334522C5">
            <w:pPr>
              <w:jc w:val="center"/>
              <w:rPr>
                <w:szCs w:val="21"/>
                <w:highlight w:val="none"/>
              </w:rPr>
            </w:pPr>
            <w:r>
              <w:rPr>
                <w:szCs w:val="21"/>
                <w:highlight w:val="none"/>
              </w:rPr>
              <w:t>功能</w:t>
            </w:r>
          </w:p>
        </w:tc>
        <w:tc>
          <w:tcPr>
            <w:tcW w:w="654" w:type="pct"/>
            <w:tcBorders>
              <w:tl2br w:val="nil"/>
              <w:tr2bl w:val="nil"/>
            </w:tcBorders>
            <w:noWrap w:val="0"/>
            <w:vAlign w:val="center"/>
          </w:tcPr>
          <w:p w14:paraId="34B82754">
            <w:pPr>
              <w:jc w:val="center"/>
              <w:rPr>
                <w:rFonts w:hint="default" w:eastAsia="宋体"/>
                <w:szCs w:val="21"/>
                <w:highlight w:val="none"/>
                <w:lang w:val="en-US" w:eastAsia="zh-CN"/>
              </w:rPr>
            </w:pPr>
            <w:r>
              <w:rPr>
                <w:szCs w:val="21"/>
                <w:highlight w:val="none"/>
              </w:rPr>
              <w:t>点位</w:t>
            </w:r>
            <w:r>
              <w:rPr>
                <w:rFonts w:hint="eastAsia"/>
                <w:szCs w:val="21"/>
                <w:highlight w:val="none"/>
                <w:lang w:val="en-US" w:eastAsia="zh-CN"/>
              </w:rPr>
              <w:t>及坐标</w:t>
            </w:r>
          </w:p>
        </w:tc>
        <w:tc>
          <w:tcPr>
            <w:tcW w:w="385" w:type="pct"/>
            <w:tcBorders>
              <w:tl2br w:val="nil"/>
              <w:tr2bl w:val="nil"/>
            </w:tcBorders>
            <w:noWrap w:val="0"/>
            <w:vAlign w:val="center"/>
          </w:tcPr>
          <w:p w14:paraId="11BDC927">
            <w:pPr>
              <w:jc w:val="center"/>
              <w:rPr>
                <w:szCs w:val="21"/>
                <w:highlight w:val="none"/>
              </w:rPr>
            </w:pPr>
            <w:r>
              <w:rPr>
                <w:szCs w:val="21"/>
                <w:highlight w:val="none"/>
              </w:rPr>
              <w:t>孔号</w:t>
            </w:r>
          </w:p>
        </w:tc>
        <w:tc>
          <w:tcPr>
            <w:tcW w:w="513" w:type="pct"/>
            <w:tcBorders>
              <w:tl2br w:val="nil"/>
              <w:tr2bl w:val="nil"/>
            </w:tcBorders>
            <w:noWrap w:val="0"/>
            <w:vAlign w:val="center"/>
          </w:tcPr>
          <w:p w14:paraId="4DA5C0B0">
            <w:pPr>
              <w:jc w:val="center"/>
              <w:rPr>
                <w:rFonts w:hint="default"/>
                <w:szCs w:val="21"/>
                <w:highlight w:val="none"/>
                <w:lang w:val="en-US" w:eastAsia="zh-CN"/>
              </w:rPr>
            </w:pPr>
            <w:r>
              <w:rPr>
                <w:rFonts w:hint="eastAsia"/>
                <w:szCs w:val="21"/>
                <w:highlight w:val="none"/>
                <w:lang w:val="en-US" w:eastAsia="zh-CN"/>
              </w:rPr>
              <w:t>井结构</w:t>
            </w:r>
          </w:p>
        </w:tc>
        <w:tc>
          <w:tcPr>
            <w:tcW w:w="492" w:type="pct"/>
            <w:tcBorders>
              <w:tl2br w:val="nil"/>
              <w:tr2bl w:val="nil"/>
            </w:tcBorders>
            <w:noWrap w:val="0"/>
            <w:vAlign w:val="center"/>
          </w:tcPr>
          <w:p w14:paraId="7B7197D0">
            <w:pPr>
              <w:jc w:val="center"/>
              <w:rPr>
                <w:szCs w:val="21"/>
                <w:highlight w:val="none"/>
              </w:rPr>
            </w:pPr>
            <w:r>
              <w:rPr>
                <w:rFonts w:hint="eastAsia"/>
                <w:szCs w:val="21"/>
                <w:highlight w:val="none"/>
                <w:lang w:val="en-US" w:eastAsia="zh-CN"/>
              </w:rPr>
              <w:t>井</w:t>
            </w:r>
            <w:r>
              <w:rPr>
                <w:szCs w:val="21"/>
                <w:highlight w:val="none"/>
              </w:rPr>
              <w:t>深</w:t>
            </w:r>
          </w:p>
        </w:tc>
        <w:tc>
          <w:tcPr>
            <w:tcW w:w="1217" w:type="pct"/>
            <w:tcBorders>
              <w:tl2br w:val="nil"/>
              <w:tr2bl w:val="nil"/>
            </w:tcBorders>
            <w:noWrap w:val="0"/>
            <w:vAlign w:val="center"/>
          </w:tcPr>
          <w:p w14:paraId="09FADA19">
            <w:pPr>
              <w:jc w:val="center"/>
              <w:rPr>
                <w:szCs w:val="21"/>
                <w:highlight w:val="none"/>
              </w:rPr>
            </w:pPr>
            <w:r>
              <w:rPr>
                <w:szCs w:val="21"/>
                <w:highlight w:val="none"/>
              </w:rPr>
              <w:t>监测项目</w:t>
            </w:r>
          </w:p>
        </w:tc>
        <w:tc>
          <w:tcPr>
            <w:tcW w:w="422" w:type="pct"/>
            <w:tcBorders>
              <w:tl2br w:val="nil"/>
              <w:tr2bl w:val="nil"/>
            </w:tcBorders>
            <w:noWrap w:val="0"/>
            <w:vAlign w:val="center"/>
          </w:tcPr>
          <w:p w14:paraId="7A448A60">
            <w:pPr>
              <w:jc w:val="center"/>
              <w:rPr>
                <w:szCs w:val="21"/>
                <w:highlight w:val="none"/>
              </w:rPr>
            </w:pPr>
            <w:r>
              <w:rPr>
                <w:szCs w:val="21"/>
                <w:highlight w:val="none"/>
              </w:rPr>
              <w:t>监测层位</w:t>
            </w:r>
          </w:p>
        </w:tc>
        <w:tc>
          <w:tcPr>
            <w:tcW w:w="529" w:type="pct"/>
            <w:tcBorders>
              <w:tl2br w:val="nil"/>
              <w:tr2bl w:val="nil"/>
            </w:tcBorders>
            <w:noWrap w:val="0"/>
            <w:vAlign w:val="center"/>
          </w:tcPr>
          <w:p w14:paraId="5F1F03E3">
            <w:pPr>
              <w:jc w:val="center"/>
              <w:rPr>
                <w:szCs w:val="21"/>
                <w:highlight w:val="none"/>
              </w:rPr>
            </w:pPr>
            <w:r>
              <w:rPr>
                <w:szCs w:val="21"/>
                <w:highlight w:val="none"/>
              </w:rPr>
              <w:t>监测</w:t>
            </w:r>
          </w:p>
          <w:p w14:paraId="41254873">
            <w:pPr>
              <w:jc w:val="center"/>
              <w:rPr>
                <w:szCs w:val="21"/>
                <w:highlight w:val="none"/>
              </w:rPr>
            </w:pPr>
            <w:r>
              <w:rPr>
                <w:szCs w:val="21"/>
                <w:highlight w:val="none"/>
              </w:rPr>
              <w:t>频率</w:t>
            </w:r>
          </w:p>
        </w:tc>
        <w:tc>
          <w:tcPr>
            <w:tcW w:w="374" w:type="pct"/>
            <w:tcBorders>
              <w:tl2br w:val="nil"/>
              <w:tr2bl w:val="nil"/>
            </w:tcBorders>
            <w:noWrap w:val="0"/>
            <w:vAlign w:val="center"/>
          </w:tcPr>
          <w:p w14:paraId="63D43CB7">
            <w:pPr>
              <w:jc w:val="center"/>
              <w:rPr>
                <w:szCs w:val="21"/>
                <w:highlight w:val="none"/>
              </w:rPr>
            </w:pPr>
            <w:r>
              <w:rPr>
                <w:szCs w:val="21"/>
                <w:highlight w:val="none"/>
              </w:rPr>
              <w:t>监测</w:t>
            </w:r>
          </w:p>
          <w:p w14:paraId="60C58772">
            <w:pPr>
              <w:jc w:val="center"/>
              <w:rPr>
                <w:szCs w:val="21"/>
                <w:highlight w:val="none"/>
              </w:rPr>
            </w:pPr>
            <w:r>
              <w:rPr>
                <w:szCs w:val="21"/>
                <w:highlight w:val="none"/>
              </w:rPr>
              <w:t>单位</w:t>
            </w:r>
          </w:p>
        </w:tc>
      </w:tr>
      <w:tr w14:paraId="76FE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408" w:type="pct"/>
            <w:tcBorders>
              <w:tl2br w:val="nil"/>
              <w:tr2bl w:val="nil"/>
            </w:tcBorders>
            <w:noWrap w:val="0"/>
            <w:vAlign w:val="center"/>
          </w:tcPr>
          <w:p w14:paraId="546B1B2F">
            <w:pPr>
              <w:jc w:val="center"/>
              <w:rPr>
                <w:szCs w:val="21"/>
                <w:highlight w:val="none"/>
              </w:rPr>
            </w:pPr>
            <w:r>
              <w:rPr>
                <w:rFonts w:hint="eastAsia"/>
                <w:szCs w:val="21"/>
                <w:highlight w:val="none"/>
              </w:rPr>
              <w:t>背景值监控点</w:t>
            </w:r>
          </w:p>
        </w:tc>
        <w:tc>
          <w:tcPr>
            <w:tcW w:w="654" w:type="pct"/>
            <w:tcBorders>
              <w:tl2br w:val="nil"/>
              <w:tr2bl w:val="nil"/>
            </w:tcBorders>
            <w:noWrap w:val="0"/>
            <w:vAlign w:val="center"/>
          </w:tcPr>
          <w:p w14:paraId="0CAE8C2C">
            <w:pPr>
              <w:jc w:val="center"/>
              <w:rPr>
                <w:rFonts w:hint="default" w:ascii="Times New Roman" w:hAnsi="Times New Roman" w:eastAsia="宋体" w:cs="Times New Roman"/>
                <w:highlight w:val="none"/>
                <w:lang w:val="en-US" w:eastAsia="zh-CN"/>
              </w:rPr>
            </w:pPr>
            <w:r>
              <w:rPr>
                <w:rFonts w:hint="eastAsia" w:cs="Times New Roman"/>
                <w:highlight w:val="none"/>
                <w:lang w:val="en-US" w:eastAsia="zh-CN"/>
              </w:rPr>
              <w:t>厂区上游</w:t>
            </w:r>
          </w:p>
        </w:tc>
        <w:tc>
          <w:tcPr>
            <w:tcW w:w="385" w:type="pct"/>
            <w:tcBorders>
              <w:tl2br w:val="nil"/>
              <w:tr2bl w:val="nil"/>
            </w:tcBorders>
            <w:noWrap w:val="0"/>
            <w:vAlign w:val="center"/>
          </w:tcPr>
          <w:p w14:paraId="3DDE6B1D">
            <w:pPr>
              <w:jc w:val="center"/>
              <w:rPr>
                <w:rFonts w:hint="eastAsia" w:ascii="Times New Roman" w:hAnsi="Times New Roman" w:eastAsia="宋体" w:cs="Times New Roman"/>
                <w:highlight w:val="none"/>
                <w:lang w:eastAsia="zh-CN"/>
              </w:rPr>
            </w:pPr>
            <w:r>
              <w:rPr>
                <w:rFonts w:hint="eastAsia" w:ascii="Times New Roman" w:hAnsi="Times New Roman" w:eastAsia="宋体" w:cs="Times New Roman"/>
                <w:highlight w:val="none"/>
                <w:lang w:eastAsia="zh-CN"/>
              </w:rPr>
              <w:t>1#</w:t>
            </w:r>
          </w:p>
        </w:tc>
        <w:tc>
          <w:tcPr>
            <w:tcW w:w="513" w:type="pct"/>
            <w:vMerge w:val="restart"/>
            <w:tcBorders>
              <w:tl2br w:val="nil"/>
              <w:tr2bl w:val="nil"/>
            </w:tcBorders>
            <w:noWrap w:val="0"/>
            <w:vAlign w:val="center"/>
          </w:tcPr>
          <w:p w14:paraId="52915D3C">
            <w:pPr>
              <w:jc w:val="center"/>
              <w:rPr>
                <w:rFonts w:hint="default" w:eastAsia="宋体"/>
                <w:szCs w:val="21"/>
                <w:highlight w:val="none"/>
                <w:lang w:val="en-US" w:eastAsia="zh-CN"/>
              </w:rPr>
            </w:pPr>
            <w:r>
              <w:rPr>
                <w:rFonts w:hint="eastAsia"/>
                <w:szCs w:val="21"/>
                <w:highlight w:val="none"/>
                <w:lang w:val="en-US" w:eastAsia="zh-CN"/>
              </w:rPr>
              <w:t>8-12m实管、12-17m花管，监测孔径大于150mm</w:t>
            </w:r>
          </w:p>
        </w:tc>
        <w:tc>
          <w:tcPr>
            <w:tcW w:w="492" w:type="pct"/>
            <w:vMerge w:val="restart"/>
            <w:tcBorders>
              <w:tl2br w:val="nil"/>
              <w:tr2bl w:val="nil"/>
            </w:tcBorders>
            <w:noWrap w:val="0"/>
            <w:vAlign w:val="center"/>
          </w:tcPr>
          <w:p w14:paraId="2053A555">
            <w:pPr>
              <w:jc w:val="center"/>
              <w:rPr>
                <w:szCs w:val="21"/>
                <w:highlight w:val="none"/>
              </w:rPr>
            </w:pPr>
            <w:r>
              <w:rPr>
                <w:rFonts w:hint="eastAsia"/>
                <w:szCs w:val="21"/>
                <w:highlight w:val="none"/>
                <w:lang w:val="en-US" w:eastAsia="zh-CN"/>
              </w:rPr>
              <w:t>20</w:t>
            </w:r>
            <w:r>
              <w:rPr>
                <w:rFonts w:hint="eastAsia"/>
                <w:szCs w:val="21"/>
                <w:highlight w:val="none"/>
              </w:rPr>
              <w:t>-</w:t>
            </w:r>
            <w:r>
              <w:rPr>
                <w:rFonts w:hint="eastAsia"/>
                <w:szCs w:val="21"/>
                <w:highlight w:val="none"/>
                <w:lang w:val="en-US" w:eastAsia="zh-CN"/>
              </w:rPr>
              <w:t>25</w:t>
            </w:r>
            <w:r>
              <w:rPr>
                <w:szCs w:val="21"/>
                <w:highlight w:val="none"/>
              </w:rPr>
              <w:t>m</w:t>
            </w:r>
          </w:p>
        </w:tc>
        <w:tc>
          <w:tcPr>
            <w:tcW w:w="1217" w:type="pct"/>
            <w:vMerge w:val="restart"/>
            <w:tcBorders>
              <w:tl2br w:val="nil"/>
              <w:tr2bl w:val="nil"/>
            </w:tcBorders>
            <w:noWrap w:val="0"/>
            <w:vAlign w:val="center"/>
          </w:tcPr>
          <w:p w14:paraId="19DA436D">
            <w:pPr>
              <w:jc w:val="center"/>
              <w:rPr>
                <w:rFonts w:hint="default" w:eastAsia="宋体"/>
                <w:highlight w:val="none"/>
                <w:lang w:val="en-US" w:eastAsia="zh-CN"/>
              </w:rPr>
            </w:pPr>
            <w:r>
              <w:rPr>
                <w:rFonts w:hint="eastAsia" w:ascii="Times New Roman" w:hAnsi="Times New Roman" w:cs="Times New Roman"/>
                <w:highlight w:val="none"/>
                <w:lang w:val="en-US" w:eastAsia="zh-CN"/>
              </w:rPr>
              <w:t>pH、耗氧量、氨氮、硝酸盐、亚硝酸盐、挥发酚、氰化物、硫酸盐、溶解性总固体、总硬度、氯化物、氟化物、铁、锰、铅、汞、六价铬、镉、砷、总大肠菌群、菌落总数、石油类、硫化物，同时监测地下水位、水温</w:t>
            </w:r>
            <w:r>
              <w:rPr>
                <w:rFonts w:hint="default" w:ascii="Times New Roman" w:hAnsi="Times New Roman" w:cs="Times New Roman"/>
                <w:highlight w:val="none"/>
              </w:rPr>
              <w:t>。</w:t>
            </w:r>
          </w:p>
        </w:tc>
        <w:tc>
          <w:tcPr>
            <w:tcW w:w="422" w:type="pct"/>
            <w:vMerge w:val="restart"/>
            <w:tcBorders>
              <w:tl2br w:val="nil"/>
              <w:tr2bl w:val="nil"/>
            </w:tcBorders>
            <w:noWrap w:val="0"/>
            <w:vAlign w:val="center"/>
          </w:tcPr>
          <w:p w14:paraId="546C483B">
            <w:pPr>
              <w:jc w:val="center"/>
              <w:rPr>
                <w:szCs w:val="21"/>
                <w:highlight w:val="none"/>
              </w:rPr>
            </w:pPr>
            <w:r>
              <w:rPr>
                <w:szCs w:val="21"/>
                <w:highlight w:val="none"/>
              </w:rPr>
              <w:t>潜水</w:t>
            </w:r>
          </w:p>
        </w:tc>
        <w:tc>
          <w:tcPr>
            <w:tcW w:w="529" w:type="pct"/>
            <w:tcBorders>
              <w:tl2br w:val="nil"/>
              <w:tr2bl w:val="nil"/>
            </w:tcBorders>
            <w:noWrap w:val="0"/>
            <w:vAlign w:val="center"/>
          </w:tcPr>
          <w:p w14:paraId="04EA205F">
            <w:pPr>
              <w:jc w:val="center"/>
              <w:rPr>
                <w:szCs w:val="21"/>
                <w:highlight w:val="none"/>
              </w:rPr>
            </w:pPr>
            <w:r>
              <w:rPr>
                <w:szCs w:val="21"/>
                <w:highlight w:val="none"/>
              </w:rPr>
              <w:t>每年枯水期一次</w:t>
            </w:r>
          </w:p>
        </w:tc>
        <w:tc>
          <w:tcPr>
            <w:tcW w:w="374" w:type="pct"/>
            <w:vMerge w:val="restart"/>
            <w:tcBorders>
              <w:tl2br w:val="nil"/>
              <w:tr2bl w:val="nil"/>
            </w:tcBorders>
            <w:noWrap w:val="0"/>
            <w:vAlign w:val="center"/>
          </w:tcPr>
          <w:p w14:paraId="529B5805">
            <w:pPr>
              <w:jc w:val="center"/>
              <w:rPr>
                <w:szCs w:val="21"/>
                <w:highlight w:val="none"/>
              </w:rPr>
            </w:pPr>
            <w:r>
              <w:rPr>
                <w:szCs w:val="21"/>
                <w:highlight w:val="none"/>
              </w:rPr>
              <w:t>设立地下水</w:t>
            </w:r>
            <w:r>
              <w:rPr>
                <w:rFonts w:hint="eastAsia"/>
                <w:szCs w:val="21"/>
                <w:highlight w:val="none"/>
              </w:rPr>
              <w:t>跟踪</w:t>
            </w:r>
            <w:r>
              <w:rPr>
                <w:szCs w:val="21"/>
                <w:highlight w:val="none"/>
              </w:rPr>
              <w:t>监测小组，专人负责监测。</w:t>
            </w:r>
          </w:p>
        </w:tc>
      </w:tr>
      <w:tr w14:paraId="7E69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3" w:hRule="atLeast"/>
        </w:trPr>
        <w:tc>
          <w:tcPr>
            <w:tcW w:w="408" w:type="pct"/>
            <w:tcBorders>
              <w:tl2br w:val="nil"/>
              <w:tr2bl w:val="nil"/>
            </w:tcBorders>
            <w:noWrap w:val="0"/>
            <w:vAlign w:val="center"/>
          </w:tcPr>
          <w:p w14:paraId="7F2F577A">
            <w:pPr>
              <w:jc w:val="center"/>
              <w:rPr>
                <w:rFonts w:hint="eastAsia" w:eastAsia="宋体"/>
                <w:szCs w:val="21"/>
                <w:highlight w:val="none"/>
                <w:lang w:eastAsia="zh-CN"/>
              </w:rPr>
            </w:pPr>
            <w:r>
              <w:rPr>
                <w:szCs w:val="21"/>
                <w:highlight w:val="none"/>
              </w:rPr>
              <w:t>污染扩散监测点</w:t>
            </w:r>
          </w:p>
        </w:tc>
        <w:tc>
          <w:tcPr>
            <w:tcW w:w="654" w:type="pct"/>
            <w:tcBorders>
              <w:tl2br w:val="nil"/>
              <w:tr2bl w:val="nil"/>
            </w:tcBorders>
            <w:noWrap w:val="0"/>
            <w:vAlign w:val="center"/>
          </w:tcPr>
          <w:p w14:paraId="2FBC8EA9">
            <w:pPr>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厂区下游</w:t>
            </w:r>
          </w:p>
        </w:tc>
        <w:tc>
          <w:tcPr>
            <w:tcW w:w="385" w:type="pct"/>
            <w:tcBorders>
              <w:tl2br w:val="nil"/>
              <w:tr2bl w:val="nil"/>
            </w:tcBorders>
            <w:noWrap w:val="0"/>
            <w:vAlign w:val="center"/>
          </w:tcPr>
          <w:p w14:paraId="60420779">
            <w:pPr>
              <w:jc w:val="center"/>
              <w:rPr>
                <w:rFonts w:hint="default" w:eastAsia="宋体"/>
                <w:szCs w:val="21"/>
                <w:highlight w:val="none"/>
                <w:lang w:val="en-US" w:eastAsia="zh-CN"/>
              </w:rPr>
            </w:pPr>
            <w:r>
              <w:rPr>
                <w:rFonts w:hint="eastAsia"/>
                <w:szCs w:val="21"/>
                <w:highlight w:val="none"/>
              </w:rPr>
              <w:t>2#</w:t>
            </w:r>
          </w:p>
        </w:tc>
        <w:tc>
          <w:tcPr>
            <w:tcW w:w="513" w:type="pct"/>
            <w:vMerge w:val="continue"/>
            <w:tcBorders>
              <w:tl2br w:val="nil"/>
              <w:tr2bl w:val="nil"/>
            </w:tcBorders>
            <w:noWrap w:val="0"/>
            <w:vAlign w:val="center"/>
          </w:tcPr>
          <w:p w14:paraId="6156B53F">
            <w:pPr>
              <w:jc w:val="center"/>
              <w:rPr>
                <w:szCs w:val="21"/>
                <w:highlight w:val="none"/>
              </w:rPr>
            </w:pPr>
          </w:p>
        </w:tc>
        <w:tc>
          <w:tcPr>
            <w:tcW w:w="492" w:type="pct"/>
            <w:vMerge w:val="continue"/>
            <w:tcBorders>
              <w:tl2br w:val="nil"/>
              <w:tr2bl w:val="nil"/>
            </w:tcBorders>
            <w:noWrap w:val="0"/>
            <w:vAlign w:val="center"/>
          </w:tcPr>
          <w:p w14:paraId="69B20535">
            <w:pPr>
              <w:jc w:val="center"/>
              <w:rPr>
                <w:szCs w:val="21"/>
                <w:highlight w:val="none"/>
              </w:rPr>
            </w:pPr>
          </w:p>
        </w:tc>
        <w:tc>
          <w:tcPr>
            <w:tcW w:w="1217" w:type="pct"/>
            <w:vMerge w:val="continue"/>
            <w:tcBorders>
              <w:tl2br w:val="nil"/>
              <w:tr2bl w:val="nil"/>
            </w:tcBorders>
            <w:noWrap w:val="0"/>
            <w:vAlign w:val="center"/>
          </w:tcPr>
          <w:p w14:paraId="4F5FCBA7">
            <w:pPr>
              <w:jc w:val="center"/>
              <w:rPr>
                <w:szCs w:val="21"/>
                <w:highlight w:val="none"/>
              </w:rPr>
            </w:pPr>
          </w:p>
        </w:tc>
        <w:tc>
          <w:tcPr>
            <w:tcW w:w="422" w:type="pct"/>
            <w:vMerge w:val="continue"/>
            <w:tcBorders>
              <w:tl2br w:val="nil"/>
              <w:tr2bl w:val="nil"/>
            </w:tcBorders>
            <w:noWrap w:val="0"/>
            <w:vAlign w:val="center"/>
          </w:tcPr>
          <w:p w14:paraId="4CD79CC3">
            <w:pPr>
              <w:jc w:val="center"/>
              <w:rPr>
                <w:szCs w:val="21"/>
                <w:highlight w:val="none"/>
              </w:rPr>
            </w:pPr>
          </w:p>
        </w:tc>
        <w:tc>
          <w:tcPr>
            <w:tcW w:w="529" w:type="pct"/>
            <w:tcBorders>
              <w:tl2br w:val="nil"/>
              <w:tr2bl w:val="nil"/>
            </w:tcBorders>
            <w:noWrap w:val="0"/>
            <w:vAlign w:val="center"/>
          </w:tcPr>
          <w:p w14:paraId="532E1208">
            <w:pPr>
              <w:jc w:val="center"/>
              <w:rPr>
                <w:rFonts w:hint="default" w:eastAsia="宋体"/>
                <w:szCs w:val="21"/>
                <w:highlight w:val="none"/>
                <w:lang w:val="en-US" w:eastAsia="zh-CN"/>
              </w:rPr>
            </w:pPr>
            <w:r>
              <w:rPr>
                <w:rFonts w:hint="eastAsia"/>
                <w:szCs w:val="21"/>
                <w:highlight w:val="none"/>
                <w:lang w:val="en-US" w:eastAsia="zh-CN"/>
              </w:rPr>
              <w:t>每年枯丰各一次</w:t>
            </w:r>
          </w:p>
        </w:tc>
        <w:tc>
          <w:tcPr>
            <w:tcW w:w="374" w:type="pct"/>
            <w:vMerge w:val="continue"/>
            <w:tcBorders>
              <w:tl2br w:val="nil"/>
              <w:tr2bl w:val="nil"/>
            </w:tcBorders>
            <w:noWrap w:val="0"/>
            <w:vAlign w:val="center"/>
          </w:tcPr>
          <w:p w14:paraId="3A24143B">
            <w:pPr>
              <w:jc w:val="center"/>
              <w:rPr>
                <w:szCs w:val="21"/>
                <w:highlight w:val="none"/>
              </w:rPr>
            </w:pPr>
          </w:p>
        </w:tc>
      </w:tr>
      <w:tr w14:paraId="23E60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408" w:type="pct"/>
            <w:tcBorders>
              <w:tl2br w:val="nil"/>
              <w:tr2bl w:val="nil"/>
            </w:tcBorders>
            <w:noWrap w:val="0"/>
            <w:vAlign w:val="center"/>
          </w:tcPr>
          <w:p w14:paraId="423F0F71">
            <w:pPr>
              <w:jc w:val="center"/>
              <w:rPr>
                <w:rFonts w:hint="eastAsia" w:eastAsia="宋体"/>
                <w:szCs w:val="21"/>
                <w:highlight w:val="none"/>
                <w:lang w:eastAsia="zh-CN"/>
              </w:rPr>
            </w:pPr>
            <w:r>
              <w:rPr>
                <w:rFonts w:hint="eastAsia"/>
                <w:szCs w:val="21"/>
                <w:highlight w:val="none"/>
              </w:rPr>
              <w:t>污染源监控点</w:t>
            </w:r>
          </w:p>
        </w:tc>
        <w:tc>
          <w:tcPr>
            <w:tcW w:w="654" w:type="pct"/>
            <w:tcBorders>
              <w:tl2br w:val="nil"/>
              <w:tr2bl w:val="nil"/>
            </w:tcBorders>
            <w:noWrap w:val="0"/>
            <w:vAlign w:val="center"/>
          </w:tcPr>
          <w:p w14:paraId="08F1A737">
            <w:pPr>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厂区内</w:t>
            </w:r>
          </w:p>
        </w:tc>
        <w:tc>
          <w:tcPr>
            <w:tcW w:w="385" w:type="pct"/>
            <w:tcBorders>
              <w:tl2br w:val="nil"/>
              <w:tr2bl w:val="nil"/>
            </w:tcBorders>
            <w:noWrap w:val="0"/>
            <w:vAlign w:val="center"/>
          </w:tcPr>
          <w:p w14:paraId="05021D04">
            <w:pPr>
              <w:jc w:val="center"/>
              <w:rPr>
                <w:rFonts w:hint="default" w:eastAsia="宋体"/>
                <w:szCs w:val="21"/>
                <w:highlight w:val="none"/>
                <w:lang w:val="en-US" w:eastAsia="zh-CN"/>
              </w:rPr>
            </w:pPr>
            <w:r>
              <w:rPr>
                <w:rFonts w:hint="eastAsia"/>
                <w:szCs w:val="21"/>
                <w:highlight w:val="none"/>
                <w:lang w:val="en-US" w:eastAsia="zh-CN"/>
              </w:rPr>
              <w:t>3</w:t>
            </w:r>
            <w:r>
              <w:rPr>
                <w:rFonts w:hint="eastAsia"/>
                <w:szCs w:val="21"/>
                <w:highlight w:val="none"/>
              </w:rPr>
              <w:t>#</w:t>
            </w:r>
          </w:p>
        </w:tc>
        <w:tc>
          <w:tcPr>
            <w:tcW w:w="513" w:type="pct"/>
            <w:vMerge w:val="continue"/>
            <w:tcBorders>
              <w:tl2br w:val="nil"/>
              <w:tr2bl w:val="nil"/>
            </w:tcBorders>
            <w:noWrap w:val="0"/>
            <w:vAlign w:val="center"/>
          </w:tcPr>
          <w:p w14:paraId="1BF16E94">
            <w:pPr>
              <w:jc w:val="center"/>
              <w:rPr>
                <w:szCs w:val="21"/>
                <w:highlight w:val="none"/>
              </w:rPr>
            </w:pPr>
          </w:p>
        </w:tc>
        <w:tc>
          <w:tcPr>
            <w:tcW w:w="492" w:type="pct"/>
            <w:vMerge w:val="continue"/>
            <w:tcBorders>
              <w:tl2br w:val="nil"/>
              <w:tr2bl w:val="nil"/>
            </w:tcBorders>
            <w:noWrap w:val="0"/>
            <w:vAlign w:val="center"/>
          </w:tcPr>
          <w:p w14:paraId="5B4BCDA0">
            <w:pPr>
              <w:jc w:val="center"/>
              <w:rPr>
                <w:szCs w:val="21"/>
                <w:highlight w:val="none"/>
              </w:rPr>
            </w:pPr>
          </w:p>
        </w:tc>
        <w:tc>
          <w:tcPr>
            <w:tcW w:w="1217" w:type="pct"/>
            <w:vMerge w:val="continue"/>
            <w:tcBorders>
              <w:tl2br w:val="nil"/>
              <w:tr2bl w:val="nil"/>
            </w:tcBorders>
            <w:noWrap w:val="0"/>
            <w:vAlign w:val="center"/>
          </w:tcPr>
          <w:p w14:paraId="7267FAE1">
            <w:pPr>
              <w:jc w:val="center"/>
              <w:rPr>
                <w:szCs w:val="21"/>
                <w:highlight w:val="none"/>
              </w:rPr>
            </w:pPr>
          </w:p>
        </w:tc>
        <w:tc>
          <w:tcPr>
            <w:tcW w:w="422" w:type="pct"/>
            <w:vMerge w:val="continue"/>
            <w:tcBorders>
              <w:tl2br w:val="nil"/>
              <w:tr2bl w:val="nil"/>
            </w:tcBorders>
            <w:noWrap w:val="0"/>
            <w:vAlign w:val="center"/>
          </w:tcPr>
          <w:p w14:paraId="42481C4D">
            <w:pPr>
              <w:jc w:val="center"/>
              <w:rPr>
                <w:szCs w:val="21"/>
                <w:highlight w:val="none"/>
              </w:rPr>
            </w:pPr>
          </w:p>
        </w:tc>
        <w:tc>
          <w:tcPr>
            <w:tcW w:w="529" w:type="pct"/>
            <w:tcBorders>
              <w:tl2br w:val="nil"/>
              <w:tr2bl w:val="nil"/>
            </w:tcBorders>
            <w:noWrap w:val="0"/>
            <w:vAlign w:val="center"/>
          </w:tcPr>
          <w:p w14:paraId="799C2F38">
            <w:pPr>
              <w:jc w:val="center"/>
              <w:rPr>
                <w:rFonts w:hint="eastAsia"/>
                <w:szCs w:val="21"/>
                <w:highlight w:val="none"/>
              </w:rPr>
            </w:pPr>
            <w:r>
              <w:rPr>
                <w:rFonts w:hint="eastAsia"/>
                <w:szCs w:val="21"/>
                <w:highlight w:val="none"/>
                <w:lang w:val="en-US" w:eastAsia="zh-CN"/>
              </w:rPr>
              <w:t>每年枯丰各一次</w:t>
            </w:r>
          </w:p>
        </w:tc>
        <w:tc>
          <w:tcPr>
            <w:tcW w:w="374" w:type="pct"/>
            <w:vMerge w:val="continue"/>
            <w:tcBorders>
              <w:tl2br w:val="nil"/>
              <w:tr2bl w:val="nil"/>
            </w:tcBorders>
            <w:noWrap w:val="0"/>
            <w:vAlign w:val="center"/>
          </w:tcPr>
          <w:p w14:paraId="6146123B">
            <w:pPr>
              <w:jc w:val="center"/>
              <w:rPr>
                <w:szCs w:val="21"/>
                <w:highlight w:val="none"/>
              </w:rPr>
            </w:pPr>
          </w:p>
        </w:tc>
      </w:tr>
    </w:tbl>
    <w:p w14:paraId="47C6B625">
      <w:pPr>
        <w:autoSpaceDE w:val="0"/>
        <w:autoSpaceDN w:val="0"/>
        <w:adjustRightInd w:val="0"/>
        <w:snapToGrid w:val="0"/>
        <w:jc w:val="center"/>
        <w:rPr>
          <w:rFonts w:hint="eastAsia" w:ascii="Times New Roman" w:hAnsi="Times New Roman" w:eastAsia="宋体" w:cs="Times New Roman"/>
          <w:b/>
          <w:color w:val="000000"/>
          <w:szCs w:val="20"/>
          <w:highlight w:val="none"/>
          <w:lang w:eastAsia="zh-CN"/>
        </w:rPr>
      </w:pPr>
    </w:p>
    <w:p w14:paraId="74C554C0">
      <w:pPr>
        <w:pStyle w:val="177"/>
        <w:ind w:left="0" w:leftChars="0" w:firstLine="0" w:firstLineChars="0"/>
        <w:jc w:val="center"/>
        <w:rPr>
          <w:highlight w:val="none"/>
        </w:rPr>
      </w:pPr>
      <w:r>
        <w:rPr>
          <w:sz w:val="24"/>
        </w:rPr>
        <mc:AlternateContent>
          <mc:Choice Requires="wps">
            <w:drawing>
              <wp:anchor distT="0" distB="0" distL="114300" distR="114300" simplePos="0" relativeHeight="251856896" behindDoc="0" locked="0" layoutInCell="1" allowOverlap="1">
                <wp:simplePos x="0" y="0"/>
                <wp:positionH relativeFrom="column">
                  <wp:posOffset>1759585</wp:posOffset>
                </wp:positionH>
                <wp:positionV relativeFrom="paragraph">
                  <wp:posOffset>1264920</wp:posOffset>
                </wp:positionV>
                <wp:extent cx="444500" cy="356235"/>
                <wp:effectExtent l="0" t="0" r="0" b="0"/>
                <wp:wrapNone/>
                <wp:docPr id="190" name="文本框 190"/>
                <wp:cNvGraphicFramePr/>
                <a:graphic xmlns:a="http://schemas.openxmlformats.org/drawingml/2006/main">
                  <a:graphicData uri="http://schemas.microsoft.com/office/word/2010/wordprocessingShape">
                    <wps:wsp>
                      <wps:cNvSpPr txBox="1"/>
                      <wps:spPr>
                        <a:xfrm>
                          <a:off x="2611120" y="2662555"/>
                          <a:ext cx="444500" cy="3562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44F51">
                            <w:pPr>
                              <w:rPr>
                                <w:rFonts w:hint="default" w:eastAsia="宋体"/>
                                <w:color w:val="FFFF00"/>
                                <w:lang w:val="en-US" w:eastAsia="zh-CN"/>
                              </w:rPr>
                            </w:pPr>
                            <w:r>
                              <w:rPr>
                                <w:rFonts w:hint="eastAsia"/>
                                <w:color w:val="FFFF00"/>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5pt;margin-top:99.6pt;height:28.05pt;width:35pt;z-index:251856896;mso-width-relative:page;mso-height-relative:page;" filled="f" stroked="f" coordsize="21600,21600" o:gfxdata="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C//ETbAAAACwEAAA8AAAAAAAAA&#10;AQAgAAAAIgAAAGRycy9kb3ducmV2LnhtbFBLAQIUABQAAAAIAIdO4kBrDJ0NRwIAAHUEAAAOAAAA&#10;AAAAAAEAIAAAACoBAABkcnMvZTJvRG9jLnhtbFBLBQYAAAAABgAGAFkBAADjBQAAAAA=&#10;">
                <v:fill on="f" focussize="0,0"/>
                <v:stroke on="f" weight="0.5pt"/>
                <v:imagedata o:title=""/>
                <o:lock v:ext="edit" aspectratio="f"/>
                <v:textbox>
                  <w:txbxContent>
                    <w:p w14:paraId="04244F51">
                      <w:pPr>
                        <w:rPr>
                          <w:rFonts w:hint="default" w:eastAsia="宋体"/>
                          <w:color w:val="FFFF00"/>
                          <w:lang w:val="en-US" w:eastAsia="zh-CN"/>
                        </w:rPr>
                      </w:pPr>
                      <w:r>
                        <w:rPr>
                          <w:rFonts w:hint="eastAsia"/>
                          <w:color w:val="FFFF00"/>
                          <w:lang w:val="en-US" w:eastAsia="zh-CN"/>
                        </w:rPr>
                        <w:t>1#</w:t>
                      </w:r>
                    </w:p>
                  </w:txbxContent>
                </v:textbox>
              </v:shape>
            </w:pict>
          </mc:Fallback>
        </mc:AlternateContent>
      </w:r>
      <w:r>
        <w:rPr>
          <w:sz w:val="24"/>
        </w:rPr>
        <mc:AlternateContent>
          <mc:Choice Requires="wps">
            <w:drawing>
              <wp:anchor distT="0" distB="0" distL="114300" distR="114300" simplePos="0" relativeHeight="251865088" behindDoc="0" locked="0" layoutInCell="1" allowOverlap="1">
                <wp:simplePos x="0" y="0"/>
                <wp:positionH relativeFrom="column">
                  <wp:posOffset>4115435</wp:posOffset>
                </wp:positionH>
                <wp:positionV relativeFrom="paragraph">
                  <wp:posOffset>3632835</wp:posOffset>
                </wp:positionV>
                <wp:extent cx="127000" cy="114300"/>
                <wp:effectExtent l="4445" t="4445" r="20955" b="14605"/>
                <wp:wrapNone/>
                <wp:docPr id="201" name="五角星 201"/>
                <wp:cNvGraphicFramePr/>
                <a:graphic xmlns:a="http://schemas.openxmlformats.org/drawingml/2006/main">
                  <a:graphicData uri="http://schemas.microsoft.com/office/word/2010/wordprocessingShape">
                    <wps:wsp>
                      <wps:cNvSpPr/>
                      <wps:spPr>
                        <a:xfrm>
                          <a:off x="0" y="0"/>
                          <a:ext cx="127000" cy="114300"/>
                        </a:xfrm>
                        <a:prstGeom prst="star5">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24.05pt;margin-top:286.05pt;height:9pt;width:10pt;z-index:251865088;v-text-anchor:middle;mso-width-relative:page;mso-height-relative:page;" fillcolor="#FFFF00" filled="t" stroked="t" coordsize="127000,114300" o:gfxdata="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71LWs2QAAAAsBAAAPAAAAAAAAAAEAIAAAACIAAABkcnMvZG93bnJldi54bWxQ&#10;SwECFAAUAAAACACHTuJA7EuVmWgCAADjBAAADgAAAAAAAAABACAAAAAoAQAAZHJzL2Uyb0RvYy54&#10;bWxQSwUGAAAAAAYABgBZAQAAAgYAAAAA&#10;" path="m0,43658l48509,43658,63500,0,78490,43658,126999,43658,87754,70640,102745,114299,63500,87316,24254,114299,39245,70640xe">
                <v:path o:connectlocs="63500,0;0,43658;24254,114299;102745,114299;126999,43658" o:connectangles="247,164,82,82,0"/>
                <v:fill on="t" focussize="0,0"/>
                <v:stroke weight="0.5pt" color="#FF0000 [2404]" joinstyle="round"/>
                <v:imagedata o:title=""/>
                <o:lock v:ext="edit" aspectratio="f"/>
              </v:shape>
            </w:pict>
          </mc:Fallback>
        </mc:AlternateContent>
      </w:r>
      <w:r>
        <w:rPr>
          <w:sz w:val="24"/>
        </w:rPr>
        <mc:AlternateContent>
          <mc:Choice Requires="wps">
            <w:drawing>
              <wp:anchor distT="0" distB="0" distL="114300" distR="114300" simplePos="0" relativeHeight="251864064" behindDoc="0" locked="0" layoutInCell="1" allowOverlap="1">
                <wp:simplePos x="0" y="0"/>
                <wp:positionH relativeFrom="column">
                  <wp:posOffset>4121785</wp:posOffset>
                </wp:positionH>
                <wp:positionV relativeFrom="paragraph">
                  <wp:posOffset>3456305</wp:posOffset>
                </wp:positionV>
                <wp:extent cx="127000" cy="88900"/>
                <wp:effectExtent l="4445" t="4445" r="20955" b="20955"/>
                <wp:wrapNone/>
                <wp:docPr id="200" name="矩形 200"/>
                <wp:cNvGraphicFramePr/>
                <a:graphic xmlns:a="http://schemas.openxmlformats.org/drawingml/2006/main">
                  <a:graphicData uri="http://schemas.microsoft.com/office/word/2010/wordprocessingShape">
                    <wps:wsp>
                      <wps:cNvSpPr/>
                      <wps:spPr>
                        <a:xfrm>
                          <a:off x="5151120" y="4536440"/>
                          <a:ext cx="127000" cy="88900"/>
                        </a:xfrm>
                        <a:prstGeom prst="rect">
                          <a:avLst/>
                        </a:prstGeom>
                        <a:no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4.55pt;margin-top:272.15pt;height:7pt;width:10pt;z-index:251864064;v-text-anchor:middle;mso-width-relative:page;mso-height-relative:page;" filled="f" stroked="t" coordsize="21600,21600" o:gfxdata="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GWT7iNkAAAALAQAADwAAAAAAAAABACAAAAAiAAAAZHJzL2Rvd25yZXYueG1s&#10;UEsBAhQAFAAAAAgAh07iQPI5GutpAgAAwQQAAA4AAAAAAAAAAQAgAAAAKAEAAGRycy9lMm9Eb2Mu&#10;eG1sUEsFBgAAAAAGAAYAWQEAAAMGAAAAAA==&#10;">
                <v:fill on="f" focussize="0,0"/>
                <v:stroke color="#FF0000 [2404]" joinstyle="round"/>
                <v:imagedata o:title=""/>
                <o:lock v:ext="edit" aspectratio="f"/>
              </v:rect>
            </w:pict>
          </mc:Fallback>
        </mc:AlternateContent>
      </w:r>
      <w:r>
        <w:rPr>
          <w:sz w:val="24"/>
        </w:rPr>
        <mc:AlternateContent>
          <mc:Choice Requires="wps">
            <w:drawing>
              <wp:anchor distT="0" distB="0" distL="114300" distR="114300" simplePos="0" relativeHeight="251863040" behindDoc="0" locked="0" layoutInCell="1" allowOverlap="1">
                <wp:simplePos x="0" y="0"/>
                <wp:positionH relativeFrom="column">
                  <wp:posOffset>3937635</wp:posOffset>
                </wp:positionH>
                <wp:positionV relativeFrom="paragraph">
                  <wp:posOffset>3151505</wp:posOffset>
                </wp:positionV>
                <wp:extent cx="1441450" cy="723900"/>
                <wp:effectExtent l="4445" t="4445" r="20955" b="14605"/>
                <wp:wrapNone/>
                <wp:docPr id="199" name="文本框 199"/>
                <wp:cNvGraphicFramePr/>
                <a:graphic xmlns:a="http://schemas.openxmlformats.org/drawingml/2006/main">
                  <a:graphicData uri="http://schemas.microsoft.com/office/word/2010/wordprocessingShape">
                    <wps:wsp>
                      <wps:cNvSpPr txBox="1"/>
                      <wps:spPr>
                        <a:xfrm>
                          <a:off x="5017770" y="4079240"/>
                          <a:ext cx="1441450" cy="7239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D19FFB1">
                            <w:pPr>
                              <w:rPr>
                                <w:rFonts w:hint="eastAsia"/>
                                <w:lang w:val="en-US" w:eastAsia="zh-CN"/>
                              </w:rPr>
                            </w:pPr>
                            <w:r>
                              <w:rPr>
                                <w:rFonts w:hint="eastAsia"/>
                                <w:b/>
                                <w:bCs/>
                                <w:lang w:val="en-US" w:eastAsia="zh-CN"/>
                              </w:rPr>
                              <w:t>图例</w:t>
                            </w:r>
                            <w:r>
                              <w:rPr>
                                <w:rFonts w:hint="eastAsia"/>
                                <w:lang w:val="en-US" w:eastAsia="zh-CN"/>
                              </w:rPr>
                              <w:t>：</w:t>
                            </w:r>
                          </w:p>
                          <w:p w14:paraId="3EF9B4B8">
                            <w:pPr>
                              <w:ind w:firstLine="420"/>
                              <w:rPr>
                                <w:rFonts w:hint="eastAsia"/>
                                <w:lang w:val="en-US" w:eastAsia="zh-CN"/>
                              </w:rPr>
                            </w:pPr>
                            <w:r>
                              <w:rPr>
                                <w:rFonts w:hint="eastAsia"/>
                                <w:lang w:val="en-US" w:eastAsia="zh-CN"/>
                              </w:rPr>
                              <w:t>项目位置</w:t>
                            </w:r>
                          </w:p>
                          <w:p w14:paraId="34A6F0AE">
                            <w:pPr>
                              <w:ind w:firstLine="420"/>
                              <w:rPr>
                                <w:rFonts w:hint="default"/>
                                <w:lang w:val="en-US" w:eastAsia="zh-CN"/>
                              </w:rPr>
                            </w:pPr>
                            <w:r>
                              <w:rPr>
                                <w:rFonts w:hint="eastAsia"/>
                                <w:lang w:val="en-US" w:eastAsia="zh-CN"/>
                              </w:rPr>
                              <w:t>监测点位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0.05pt;margin-top:248.15pt;height:57pt;width:113.5pt;z-index:251863040;mso-width-relative:page;mso-height-relative:page;" fillcolor="#FFFFFF [3201]" filled="t" stroked="t" coordsize="21600,21600" o:gfxdata="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cWpCc1wAAAAsBAAAPAAAAAAAAAAEAIAAAACIAAABkcnMvZG93bnJldi54bWxQSwECFAAU&#10;AAAACACHTuJAyiM07GQCAADHBAAADgAAAAAAAAABACAAAAAmAQAAZHJzL2Uyb0RvYy54bWxQSwUG&#10;AAAAAAYABgBZAQAA/AUAAAAA&#10;">
                <v:fill on="t" focussize="0,0"/>
                <v:stroke weight="0.5pt" color="#000000 [3204]" joinstyle="round"/>
                <v:imagedata o:title=""/>
                <o:lock v:ext="edit" aspectratio="f"/>
                <v:textbox>
                  <w:txbxContent>
                    <w:p w14:paraId="7D19FFB1">
                      <w:pPr>
                        <w:rPr>
                          <w:rFonts w:hint="eastAsia"/>
                          <w:lang w:val="en-US" w:eastAsia="zh-CN"/>
                        </w:rPr>
                      </w:pPr>
                      <w:r>
                        <w:rPr>
                          <w:rFonts w:hint="eastAsia"/>
                          <w:b/>
                          <w:bCs/>
                          <w:lang w:val="en-US" w:eastAsia="zh-CN"/>
                        </w:rPr>
                        <w:t>图例</w:t>
                      </w:r>
                      <w:r>
                        <w:rPr>
                          <w:rFonts w:hint="eastAsia"/>
                          <w:lang w:val="en-US" w:eastAsia="zh-CN"/>
                        </w:rPr>
                        <w:t>：</w:t>
                      </w:r>
                    </w:p>
                    <w:p w14:paraId="3EF9B4B8">
                      <w:pPr>
                        <w:ind w:firstLine="420"/>
                        <w:rPr>
                          <w:rFonts w:hint="eastAsia"/>
                          <w:lang w:val="en-US" w:eastAsia="zh-CN"/>
                        </w:rPr>
                      </w:pPr>
                      <w:r>
                        <w:rPr>
                          <w:rFonts w:hint="eastAsia"/>
                          <w:lang w:val="en-US" w:eastAsia="zh-CN"/>
                        </w:rPr>
                        <w:t>项目位置</w:t>
                      </w:r>
                    </w:p>
                    <w:p w14:paraId="34A6F0AE">
                      <w:pPr>
                        <w:ind w:firstLine="420"/>
                        <w:rPr>
                          <w:rFonts w:hint="default"/>
                          <w:lang w:val="en-US" w:eastAsia="zh-CN"/>
                        </w:rPr>
                      </w:pPr>
                      <w:r>
                        <w:rPr>
                          <w:rFonts w:hint="eastAsia"/>
                          <w:lang w:val="en-US" w:eastAsia="zh-CN"/>
                        </w:rPr>
                        <w:t>监测点位</w:t>
                      </w:r>
                    </w:p>
                  </w:txbxContent>
                </v:textbox>
              </v:shape>
            </w:pict>
          </mc:Fallback>
        </mc:AlternateContent>
      </w:r>
      <w:r>
        <w:rPr>
          <w:sz w:val="24"/>
        </w:rPr>
        <mc:AlternateContent>
          <mc:Choice Requires="wps">
            <w:drawing>
              <wp:anchor distT="0" distB="0" distL="114300" distR="114300" simplePos="0" relativeHeight="251858944" behindDoc="0" locked="0" layoutInCell="1" allowOverlap="1">
                <wp:simplePos x="0" y="0"/>
                <wp:positionH relativeFrom="column">
                  <wp:posOffset>2432685</wp:posOffset>
                </wp:positionH>
                <wp:positionV relativeFrom="paragraph">
                  <wp:posOffset>1855470</wp:posOffset>
                </wp:positionV>
                <wp:extent cx="501650" cy="3175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501650" cy="317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0D59D8">
                            <w:pPr>
                              <w:rPr>
                                <w:rFonts w:hint="default" w:eastAsia="宋体"/>
                                <w:color w:val="FFFF00"/>
                                <w:lang w:val="en-US" w:eastAsia="zh-CN"/>
                              </w:rPr>
                            </w:pPr>
                            <w:r>
                              <w:rPr>
                                <w:rFonts w:hint="eastAsia"/>
                                <w:color w:val="FFFF00"/>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5pt;margin-top:146.1pt;height:25pt;width:39.5pt;z-index:251858944;mso-width-relative:page;mso-height-relative:page;" filled="f" stroked="f" coordsize="21600,21600" o:gfxdata="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&#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0xpDnaAAAACwEAAA8AAAAAAAAAAQAgAAAAIgAAAGRy&#10;cy9kb3ducmV2LnhtbFBLAQIUABQAAAAIAIdO4kC1Tn2APAIAAGkEAAAOAAAAAAAAAAEAIAAAACkB&#10;AABkcnMvZTJvRG9jLnhtbFBLBQYAAAAABgAGAFkBAADXBQAAAAA=&#10;">
                <v:fill on="f" focussize="0,0"/>
                <v:stroke on="f" weight="0.5pt"/>
                <v:imagedata o:title=""/>
                <o:lock v:ext="edit" aspectratio="f"/>
                <v:textbox>
                  <w:txbxContent>
                    <w:p w14:paraId="1F0D59D8">
                      <w:pPr>
                        <w:rPr>
                          <w:rFonts w:hint="default" w:eastAsia="宋体"/>
                          <w:color w:val="FFFF00"/>
                          <w:lang w:val="en-US" w:eastAsia="zh-CN"/>
                        </w:rPr>
                      </w:pPr>
                      <w:r>
                        <w:rPr>
                          <w:rFonts w:hint="eastAsia"/>
                          <w:color w:val="FFFF00"/>
                          <w:lang w:val="en-US" w:eastAsia="zh-CN"/>
                        </w:rPr>
                        <w:t>3#</w:t>
                      </w:r>
                    </w:p>
                  </w:txbxContent>
                </v:textbox>
              </v:shape>
            </w:pict>
          </mc:Fallback>
        </mc:AlternateContent>
      </w:r>
      <w:r>
        <w:rPr>
          <w:sz w:val="24"/>
        </w:rPr>
        <mc:AlternateContent>
          <mc:Choice Requires="wps">
            <w:drawing>
              <wp:anchor distT="0" distB="0" distL="114300" distR="114300" simplePos="0" relativeHeight="251859968" behindDoc="0" locked="0" layoutInCell="1" allowOverlap="1">
                <wp:simplePos x="0" y="0"/>
                <wp:positionH relativeFrom="column">
                  <wp:posOffset>2445385</wp:posOffset>
                </wp:positionH>
                <wp:positionV relativeFrom="paragraph">
                  <wp:posOffset>2008505</wp:posOffset>
                </wp:positionV>
                <wp:extent cx="76200" cy="75565"/>
                <wp:effectExtent l="20955" t="20320" r="36830" b="36830"/>
                <wp:wrapNone/>
                <wp:docPr id="196" name="矩形 196"/>
                <wp:cNvGraphicFramePr/>
                <a:graphic xmlns:a="http://schemas.openxmlformats.org/drawingml/2006/main">
                  <a:graphicData uri="http://schemas.microsoft.com/office/word/2010/wordprocessingShape">
                    <wps:wsp>
                      <wps:cNvSpPr/>
                      <wps:spPr>
                        <a:xfrm rot="18840000">
                          <a:off x="3462020" y="3114040"/>
                          <a:ext cx="76200" cy="75565"/>
                        </a:xfrm>
                        <a:prstGeom prst="rect">
                          <a:avLst/>
                        </a:prstGeom>
                        <a:noFill/>
                        <a:ln w="952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2.55pt;margin-top:158.15pt;height:5.95pt;width:6pt;rotation:-3014656f;z-index:251859968;v-text-anchor:middle;mso-width-relative:page;mso-height-relative:page;" filled="f" stroked="t" coordsize="21600,21600" o:gfxdata="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OervV2gAAAAsBAAAPAAAAAAAAAAEAIAAAACIAAABkcnMvZG93&#10;bnJldi54bWxQSwECFAAUAAAACACHTuJA9S4atXACAADPBAAADgAAAAAAAAABACAAAAApAQAAZHJz&#10;L2Uyb0RvYy54bWxQSwUGAAAAAAYABgBZAQAACwYAAAAA&#10;">
                <v:fill on="f" focussize="0,0"/>
                <v:stroke color="#FF0000 [2404]" joinstyle="round"/>
                <v:imagedata o:title=""/>
                <o:lock v:ext="edit" aspectratio="f"/>
              </v:rect>
            </w:pict>
          </mc:Fallback>
        </mc:AlternateContent>
      </w:r>
      <w:r>
        <w:rPr>
          <w:sz w:val="24"/>
        </w:rPr>
        <mc:AlternateContent>
          <mc:Choice Requires="wps">
            <w:drawing>
              <wp:anchor distT="0" distB="0" distL="114300" distR="114300" simplePos="0" relativeHeight="251862016" behindDoc="0" locked="0" layoutInCell="1" allowOverlap="1">
                <wp:simplePos x="0" y="0"/>
                <wp:positionH relativeFrom="column">
                  <wp:posOffset>2216785</wp:posOffset>
                </wp:positionH>
                <wp:positionV relativeFrom="paragraph">
                  <wp:posOffset>2978785</wp:posOffset>
                </wp:positionV>
                <wp:extent cx="127000" cy="114300"/>
                <wp:effectExtent l="4445" t="4445" r="20955" b="14605"/>
                <wp:wrapNone/>
                <wp:docPr id="198" name="五角星 198"/>
                <wp:cNvGraphicFramePr/>
                <a:graphic xmlns:a="http://schemas.openxmlformats.org/drawingml/2006/main">
                  <a:graphicData uri="http://schemas.microsoft.com/office/word/2010/wordprocessingShape">
                    <wps:wsp>
                      <wps:cNvSpPr/>
                      <wps:spPr>
                        <a:xfrm>
                          <a:off x="0" y="0"/>
                          <a:ext cx="127000" cy="114300"/>
                        </a:xfrm>
                        <a:prstGeom prst="star5">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74.55pt;margin-top:234.55pt;height:9pt;width:10pt;z-index:251862016;v-text-anchor:middle;mso-width-relative:page;mso-height-relative:page;" fillcolor="#FFFF00" filled="t" stroked="t" coordsize="127000,114300" o:gfxdata="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GH26j7ZAAAACwEAAA8AAAAAAAAAAQAgAAAAIgAAAGRycy9kb3ducmV2Lnht&#10;bFBLAQIUABQAAAAIAIdO4kCZUQL9agIAAOMEAAAOAAAAAAAAAAEAIAAAACgBAABkcnMvZTJvRG9j&#10;LnhtbFBLBQYAAAAABgAGAFkBAAAEBgAAAAA=&#10;" path="m0,43658l48509,43658,63500,0,78490,43658,126999,43658,87754,70640,102745,114299,63500,87316,24254,114299,39245,70640xe">
                <v:path o:connectlocs="63500,0;0,43658;24254,114299;102745,114299;126999,43658" o:connectangles="247,164,82,82,0"/>
                <v:fill on="t" focussize="0,0"/>
                <v:stroke weight="0.5pt" color="#FF0000 [2404]" joinstyle="round"/>
                <v:imagedata o:title=""/>
                <o:lock v:ext="edit" aspectratio="f"/>
              </v:shape>
            </w:pict>
          </mc:Fallback>
        </mc:AlternateContent>
      </w:r>
      <w:r>
        <w:rPr>
          <w:sz w:val="24"/>
        </w:rPr>
        <mc:AlternateContent>
          <mc:Choice Requires="wps">
            <w:drawing>
              <wp:anchor distT="0" distB="0" distL="114300" distR="114300" simplePos="0" relativeHeight="251860992" behindDoc="0" locked="0" layoutInCell="1" allowOverlap="1">
                <wp:simplePos x="0" y="0"/>
                <wp:positionH relativeFrom="column">
                  <wp:posOffset>2432685</wp:posOffset>
                </wp:positionH>
                <wp:positionV relativeFrom="paragraph">
                  <wp:posOffset>2026285</wp:posOffset>
                </wp:positionV>
                <wp:extent cx="127000" cy="114300"/>
                <wp:effectExtent l="4445" t="4445" r="20955" b="14605"/>
                <wp:wrapNone/>
                <wp:docPr id="197" name="五角星 197"/>
                <wp:cNvGraphicFramePr/>
                <a:graphic xmlns:a="http://schemas.openxmlformats.org/drawingml/2006/main">
                  <a:graphicData uri="http://schemas.microsoft.com/office/word/2010/wordprocessingShape">
                    <wps:wsp>
                      <wps:cNvSpPr/>
                      <wps:spPr>
                        <a:xfrm>
                          <a:off x="0" y="0"/>
                          <a:ext cx="127000" cy="114300"/>
                        </a:xfrm>
                        <a:prstGeom prst="star5">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1.55pt;margin-top:159.55pt;height:9pt;width:10pt;z-index:251860992;v-text-anchor:middle;mso-width-relative:page;mso-height-relative:page;" fillcolor="#FFFF00" filled="t" stroked="t" coordsize="127000,114300" o:gfxdata="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hsevr2QAAAAsBAAAPAAAAAAAAAAEAIAAAACIAAABkcnMvZG93bnJldi54&#10;bWxQSwECFAAUAAAACACHTuJAyKcHQ2sCAADjBAAADgAAAAAAAAABACAAAAAoAQAAZHJzL2Uyb0Rv&#10;Yy54bWxQSwUGAAAAAAYABgBZAQAABQYAAAAA&#10;" path="m0,43658l48509,43658,63500,0,78490,43658,126999,43658,87754,70640,102745,114299,63500,87316,24254,114299,39245,70640xe">
                <v:path o:connectlocs="63500,0;0,43658;24254,114299;102745,114299;126999,43658" o:connectangles="247,164,82,82,0"/>
                <v:fill on="t" focussize="0,0"/>
                <v:stroke weight="0.5pt" color="#FF0000 [2404]" joinstyle="round"/>
                <v:imagedata o:title=""/>
                <o:lock v:ext="edit" aspectratio="f"/>
              </v:shape>
            </w:pict>
          </mc:Fallback>
        </mc:AlternateContent>
      </w:r>
      <w:r>
        <w:rPr>
          <w:sz w:val="24"/>
        </w:rPr>
        <mc:AlternateContent>
          <mc:Choice Requires="wps">
            <w:drawing>
              <wp:anchor distT="0" distB="0" distL="114300" distR="114300" simplePos="0" relativeHeight="251857920" behindDoc="0" locked="0" layoutInCell="1" allowOverlap="1">
                <wp:simplePos x="0" y="0"/>
                <wp:positionH relativeFrom="column">
                  <wp:posOffset>1950085</wp:posOffset>
                </wp:positionH>
                <wp:positionV relativeFrom="paragraph">
                  <wp:posOffset>2909570</wp:posOffset>
                </wp:positionV>
                <wp:extent cx="457200" cy="431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457200" cy="431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5ED333">
                            <w:pPr>
                              <w:rPr>
                                <w:rFonts w:hint="default" w:eastAsia="宋体"/>
                                <w:color w:val="FFFF00"/>
                                <w:lang w:val="en-US" w:eastAsia="zh-CN"/>
                              </w:rPr>
                            </w:pPr>
                            <w:r>
                              <w:rPr>
                                <w:rFonts w:hint="eastAsia"/>
                                <w:color w:val="FFFF00"/>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55pt;margin-top:229.1pt;height:34pt;width:36pt;z-index:251857920;mso-width-relative:page;mso-height-relative:page;" filled="f" stroked="f" coordsize="21600,21600" o:gfxdata="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oAG37cAAAACwEAAA8AAAAAAAAAAQAgAAAAIgAAAGRy&#10;cy9kb3ducmV2LnhtbFBLAQIUABQAAAAIAIdO4kBtWkQeOgIAAGkEAAAOAAAAAAAAAAEAIAAAACsB&#10;AABkcnMvZTJvRG9jLnhtbFBLBQYAAAAABgAGAFkBAADXBQAAAAA=&#10;">
                <v:fill on="f" focussize="0,0"/>
                <v:stroke on="f" weight="0.5pt"/>
                <v:imagedata o:title=""/>
                <o:lock v:ext="edit" aspectratio="f"/>
                <v:textbox>
                  <w:txbxContent>
                    <w:p w14:paraId="1C5ED333">
                      <w:pPr>
                        <w:rPr>
                          <w:rFonts w:hint="default" w:eastAsia="宋体"/>
                          <w:color w:val="FFFF00"/>
                          <w:lang w:val="en-US" w:eastAsia="zh-CN"/>
                        </w:rPr>
                      </w:pPr>
                      <w:r>
                        <w:rPr>
                          <w:rFonts w:hint="eastAsia"/>
                          <w:color w:val="FFFF00"/>
                          <w:lang w:val="en-US" w:eastAsia="zh-CN"/>
                        </w:rPr>
                        <w:t>2#</w:t>
                      </w:r>
                    </w:p>
                  </w:txbxContent>
                </v:textbox>
              </v:shape>
            </w:pict>
          </mc:Fallback>
        </mc:AlternateContent>
      </w:r>
      <w:r>
        <w:drawing>
          <wp:inline distT="0" distB="0" distL="114300" distR="114300">
            <wp:extent cx="5398135" cy="3809365"/>
            <wp:effectExtent l="0" t="0" r="12065" b="635"/>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52"/>
                    <a:stretch>
                      <a:fillRect/>
                    </a:stretch>
                  </pic:blipFill>
                  <pic:spPr>
                    <a:xfrm>
                      <a:off x="0" y="0"/>
                      <a:ext cx="5398135" cy="3809365"/>
                    </a:xfrm>
                    <a:prstGeom prst="rect">
                      <a:avLst/>
                    </a:prstGeom>
                    <a:noFill/>
                    <a:ln>
                      <a:noFill/>
                    </a:ln>
                  </pic:spPr>
                </pic:pic>
              </a:graphicData>
            </a:graphic>
          </wp:inline>
        </w:drawing>
      </w:r>
      <w:r>
        <w:rPr>
          <w:sz w:val="24"/>
        </w:rPr>
        <mc:AlternateContent>
          <mc:Choice Requires="wps">
            <w:drawing>
              <wp:anchor distT="0" distB="0" distL="114300" distR="114300" simplePos="0" relativeHeight="251855872" behindDoc="0" locked="0" layoutInCell="1" allowOverlap="1">
                <wp:simplePos x="0" y="0"/>
                <wp:positionH relativeFrom="column">
                  <wp:posOffset>1937385</wp:posOffset>
                </wp:positionH>
                <wp:positionV relativeFrom="paragraph">
                  <wp:posOffset>1315085</wp:posOffset>
                </wp:positionV>
                <wp:extent cx="127000" cy="114300"/>
                <wp:effectExtent l="4445" t="4445" r="20955" b="14605"/>
                <wp:wrapNone/>
                <wp:docPr id="73" name="五角星 73"/>
                <wp:cNvGraphicFramePr/>
                <a:graphic xmlns:a="http://schemas.openxmlformats.org/drawingml/2006/main">
                  <a:graphicData uri="http://schemas.microsoft.com/office/word/2010/wordprocessingShape">
                    <wps:wsp>
                      <wps:cNvSpPr/>
                      <wps:spPr>
                        <a:xfrm>
                          <a:off x="3017520" y="2395220"/>
                          <a:ext cx="127000" cy="114300"/>
                        </a:xfrm>
                        <a:prstGeom prst="star5">
                          <a:avLst/>
                        </a:prstGeom>
                        <a:solidFill>
                          <a:srgbClr val="FFFF00"/>
                        </a:solidFill>
                        <a:ln w="63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52.55pt;margin-top:103.55pt;height:9pt;width:10pt;z-index:251855872;v-text-anchor:middle;mso-width-relative:page;mso-height-relative:page;" fillcolor="#FFFF00" filled="t" stroked="t" coordsize="127000,114300" o:gfxdata="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FkiU/1wAAAAsBAAAPAAAAAAAAAAEAIAAAACIAAABkcnMv&#10;ZG93bnJldi54bWxQSwECFAAUAAAACACHTuJABYJdgXYCAADtBAAADgAAAAAAAAABACAAAAAmAQAA&#10;ZHJzL2Uyb0RvYy54bWxQSwUGAAAAAAYABgBZAQAADgYAAAAA&#10;" path="m0,43658l48509,43658,63500,0,78490,43658,126999,43658,87754,70640,102745,114299,63500,87316,24254,114299,39245,70640xe">
                <v:path o:connectlocs="63500,0;0,43658;24254,114299;102745,114299;126999,43658" o:connectangles="247,164,82,82,0"/>
                <v:fill on="t" focussize="0,0"/>
                <v:stroke weight="0.5pt" color="#FF0000 [2404]" joinstyle="round"/>
                <v:imagedata o:title=""/>
                <o:lock v:ext="edit" aspectratio="f"/>
              </v:shape>
            </w:pict>
          </mc:Fallback>
        </mc:AlternateContent>
      </w:r>
    </w:p>
    <w:p w14:paraId="0678E65A">
      <w:pPr>
        <w:autoSpaceDE w:val="0"/>
        <w:autoSpaceDN w:val="0"/>
        <w:adjustRightInd w:val="0"/>
        <w:snapToGrid w:val="0"/>
        <w:jc w:val="center"/>
        <w:rPr>
          <w:rFonts w:hint="default" w:eastAsia="宋体"/>
          <w:b/>
          <w:color w:val="000000"/>
          <w:szCs w:val="20"/>
          <w:highlight w:val="none"/>
          <w:lang w:val="en-US" w:eastAsia="zh-CN"/>
        </w:rPr>
      </w:pPr>
      <w:r>
        <w:rPr>
          <w:b/>
          <w:color w:val="000000"/>
          <w:szCs w:val="20"/>
          <w:highlight w:val="none"/>
        </w:rPr>
        <w:t>图</w:t>
      </w:r>
      <w:r>
        <w:rPr>
          <w:rFonts w:hint="eastAsia"/>
          <w:b/>
          <w:color w:val="000000"/>
          <w:szCs w:val="20"/>
          <w:highlight w:val="none"/>
          <w:lang w:val="en-US" w:eastAsia="zh-CN"/>
        </w:rPr>
        <w:t>8.2-3</w:t>
      </w:r>
      <w:r>
        <w:rPr>
          <w:rFonts w:hint="eastAsia"/>
          <w:b/>
          <w:color w:val="000000"/>
          <w:szCs w:val="20"/>
          <w:highlight w:val="none"/>
        </w:rPr>
        <w:t xml:space="preserve">  </w:t>
      </w:r>
      <w:r>
        <w:rPr>
          <w:rFonts w:hint="eastAsia"/>
          <w:b/>
          <w:color w:val="000000"/>
          <w:szCs w:val="20"/>
          <w:highlight w:val="none"/>
          <w:lang w:val="en-US" w:eastAsia="zh-CN"/>
        </w:rPr>
        <w:t>地下水跟踪监测点位图</w:t>
      </w:r>
    </w:p>
    <w:p w14:paraId="021E0D1E">
      <w:pPr>
        <w:autoSpaceDE w:val="0"/>
        <w:autoSpaceDN w:val="0"/>
        <w:adjustRightInd w:val="0"/>
        <w:snapToGrid w:val="0"/>
        <w:jc w:val="center"/>
        <w:rPr>
          <w:rFonts w:hint="eastAsia" w:ascii="Times New Roman" w:hAnsi="Times New Roman" w:eastAsia="宋体" w:cs="Times New Roman"/>
          <w:b/>
          <w:color w:val="000000"/>
          <w:szCs w:val="20"/>
          <w:highlight w:val="none"/>
          <w:lang w:eastAsia="zh-CN"/>
        </w:rPr>
      </w:pPr>
    </w:p>
    <w:p w14:paraId="1E9C0E13">
      <w:pPr>
        <w:bidi w:val="0"/>
        <w:spacing w:line="360" w:lineRule="auto"/>
        <w:ind w:firstLine="482" w:firstLineChars="200"/>
        <w:rPr>
          <w:rFonts w:hint="eastAsia" w:ascii="Times New Roman" w:hAnsi="Times New Roman" w:eastAsia="宋体" w:cs="Times New Roman"/>
          <w:b/>
          <w:bCs/>
          <w:sz w:val="24"/>
          <w:szCs w:val="24"/>
          <w:lang w:val="en-US" w:eastAsia="zh-CN"/>
        </w:rPr>
      </w:pPr>
      <w:bookmarkStart w:id="168" w:name="_Toc481176258"/>
      <w:bookmarkStart w:id="169" w:name="_Toc9360"/>
      <w:bookmarkStart w:id="170" w:name="_Toc520672548"/>
      <w:bookmarkStart w:id="171" w:name="_Toc32166"/>
      <w:bookmarkStart w:id="172" w:name="_Toc24709"/>
      <w:bookmarkStart w:id="173" w:name="_Toc28180"/>
      <w:bookmarkStart w:id="174" w:name="_Toc491247210"/>
      <w:bookmarkStart w:id="175" w:name="_Toc460309962"/>
      <w:bookmarkStart w:id="176" w:name="_Toc24069"/>
      <w:r>
        <w:rPr>
          <w:rFonts w:hint="eastAsia" w:ascii="Times New Roman" w:hAnsi="Times New Roman" w:eastAsia="宋体" w:cs="Times New Roman"/>
          <w:b/>
          <w:bCs/>
          <w:sz w:val="24"/>
          <w:szCs w:val="24"/>
          <w:lang w:val="en-US" w:eastAsia="zh-CN"/>
        </w:rPr>
        <w:t>（3）地下水环境跟踪监测与信息公开</w:t>
      </w:r>
      <w:bookmarkEnd w:id="168"/>
      <w:bookmarkEnd w:id="169"/>
      <w:bookmarkEnd w:id="170"/>
      <w:bookmarkEnd w:id="171"/>
      <w:bookmarkEnd w:id="172"/>
      <w:bookmarkEnd w:id="173"/>
      <w:bookmarkEnd w:id="174"/>
      <w:bookmarkEnd w:id="175"/>
      <w:bookmarkEnd w:id="176"/>
    </w:p>
    <w:p w14:paraId="4FD0E8AF">
      <w:pPr>
        <w:pStyle w:val="177"/>
        <w:adjustRightInd/>
        <w:snapToGrid/>
        <w:ind w:firstLine="480"/>
        <w:rPr>
          <w:highlight w:val="none"/>
        </w:rPr>
      </w:pPr>
      <w:r>
        <w:rPr>
          <w:rFonts w:hint="eastAsia"/>
          <w:highlight w:val="none"/>
        </w:rPr>
        <w:t>建设项目单位应委托具有相关资质的检测机构按照监测方案定期进行水质检测，明确地下水环境跟踪监测报告的内容，具体应包括：</w:t>
      </w:r>
    </w:p>
    <w:p w14:paraId="5ACF74C5">
      <w:pPr>
        <w:pStyle w:val="177"/>
        <w:adjustRightInd/>
        <w:snapToGrid/>
        <w:ind w:firstLine="480"/>
        <w:rPr>
          <w:highlight w:val="none"/>
        </w:rPr>
      </w:pPr>
      <w:r>
        <w:rPr>
          <w:highlight w:val="none"/>
        </w:rPr>
        <w:t>A</w:t>
      </w:r>
      <w:r>
        <w:rPr>
          <w:rFonts w:hint="eastAsia"/>
          <w:highlight w:val="none"/>
        </w:rPr>
        <w:t>）</w:t>
      </w:r>
      <w:r>
        <w:rPr>
          <w:highlight w:val="none"/>
        </w:rPr>
        <w:t>建设项目所在场地及其影响区地下水环境跟踪监测数据，排放污染物的种类、数量、浓度。</w:t>
      </w:r>
    </w:p>
    <w:p w14:paraId="24401866">
      <w:pPr>
        <w:pStyle w:val="177"/>
        <w:adjustRightInd/>
        <w:snapToGrid/>
        <w:ind w:firstLine="480"/>
        <w:rPr>
          <w:highlight w:val="none"/>
        </w:rPr>
      </w:pPr>
      <w:r>
        <w:rPr>
          <w:highlight w:val="none"/>
        </w:rPr>
        <w:t>B</w:t>
      </w:r>
      <w:r>
        <w:rPr>
          <w:rFonts w:hint="eastAsia"/>
          <w:highlight w:val="none"/>
        </w:rPr>
        <w:t>）厂区区域日常</w:t>
      </w:r>
      <w:r>
        <w:rPr>
          <w:highlight w:val="none"/>
        </w:rPr>
        <w:t>记录、维护记录。</w:t>
      </w:r>
    </w:p>
    <w:p w14:paraId="239BA9BD">
      <w:pPr>
        <w:pStyle w:val="177"/>
        <w:adjustRightInd/>
        <w:snapToGrid/>
        <w:ind w:firstLine="480"/>
        <w:rPr>
          <w:highlight w:val="none"/>
        </w:rPr>
      </w:pPr>
      <w:r>
        <w:rPr>
          <w:rFonts w:hint="eastAsia"/>
          <w:highlight w:val="none"/>
        </w:rPr>
        <w:t>信息公开内容中应至少包括建设项目特征因子的地下水环境监测值。</w:t>
      </w:r>
    </w:p>
    <w:p w14:paraId="198271C8">
      <w:pPr>
        <w:bidi w:val="0"/>
        <w:spacing w:line="360" w:lineRule="auto"/>
        <w:ind w:firstLine="482" w:firstLineChars="200"/>
        <w:rPr>
          <w:rFonts w:hint="eastAsia" w:ascii="Times New Roman" w:hAnsi="Times New Roman" w:eastAsia="宋体" w:cs="Times New Roman"/>
          <w:b/>
          <w:bCs/>
          <w:sz w:val="24"/>
          <w:szCs w:val="24"/>
          <w:lang w:val="en-US" w:eastAsia="zh-CN"/>
        </w:rPr>
      </w:pPr>
      <w:bookmarkStart w:id="177" w:name="_Toc6540"/>
      <w:bookmarkStart w:id="178" w:name="_Toc4637"/>
      <w:bookmarkStart w:id="179" w:name="_Toc9890"/>
      <w:bookmarkStart w:id="180" w:name="_Toc520329054"/>
      <w:bookmarkStart w:id="181" w:name="_Toc520437748"/>
      <w:bookmarkStart w:id="182" w:name="_Toc10618"/>
      <w:bookmarkStart w:id="183" w:name="_Toc7906"/>
      <w:r>
        <w:rPr>
          <w:rFonts w:hint="eastAsia" w:ascii="Times New Roman" w:hAnsi="Times New Roman" w:eastAsia="宋体" w:cs="Times New Roman"/>
          <w:b/>
          <w:bCs/>
          <w:sz w:val="24"/>
          <w:szCs w:val="24"/>
          <w:lang w:val="en-US" w:eastAsia="zh-CN"/>
        </w:rPr>
        <w:t>（4）应急响应</w:t>
      </w:r>
      <w:bookmarkEnd w:id="177"/>
      <w:bookmarkEnd w:id="178"/>
      <w:bookmarkEnd w:id="179"/>
      <w:bookmarkEnd w:id="180"/>
      <w:bookmarkEnd w:id="181"/>
      <w:bookmarkEnd w:id="182"/>
      <w:bookmarkEnd w:id="183"/>
    </w:p>
    <w:p w14:paraId="2850235A">
      <w:pPr>
        <w:pStyle w:val="177"/>
        <w:adjustRightInd/>
        <w:snapToGrid/>
        <w:ind w:firstLine="480"/>
        <w:rPr>
          <w:highlight w:val="none"/>
        </w:rPr>
      </w:pPr>
      <w:r>
        <w:rPr>
          <w:rFonts w:hint="eastAsia"/>
          <w:highlight w:val="none"/>
        </w:rPr>
        <w:t>制定风险事故应急预案，以在发生风险事故时，能以最快的速度发挥最大的效能，有序地实施救援，尽快控制事态的发展，降低事故对地下水的污染。</w:t>
      </w:r>
    </w:p>
    <w:p w14:paraId="33374F36">
      <w:pPr>
        <w:pStyle w:val="177"/>
        <w:adjustRightInd/>
        <w:snapToGrid/>
        <w:ind w:firstLine="480"/>
        <w:rPr>
          <w:highlight w:val="none"/>
        </w:rPr>
      </w:pPr>
      <w:r>
        <w:rPr>
          <w:rFonts w:hint="eastAsia"/>
          <w:highlight w:val="none"/>
        </w:rPr>
        <w:t>（</w:t>
      </w:r>
      <w:r>
        <w:rPr>
          <w:highlight w:val="none"/>
        </w:rPr>
        <w:t>1）在制定应急预案的基础上，对相关人员进行培训，使其掌握必要的应急处置机能。</w:t>
      </w:r>
    </w:p>
    <w:p w14:paraId="1BC94DF9">
      <w:pPr>
        <w:pStyle w:val="177"/>
        <w:adjustRightInd/>
        <w:snapToGrid/>
        <w:ind w:firstLine="480"/>
        <w:rPr>
          <w:highlight w:val="none"/>
        </w:rPr>
      </w:pPr>
      <w:r>
        <w:rPr>
          <w:rFonts w:hint="eastAsia"/>
          <w:highlight w:val="none"/>
        </w:rPr>
        <w:t>（</w:t>
      </w:r>
      <w:r>
        <w:rPr>
          <w:highlight w:val="none"/>
        </w:rPr>
        <w:t>2）设置事故报警装置和快速监测设备。</w:t>
      </w:r>
    </w:p>
    <w:p w14:paraId="5A41C3D7">
      <w:pPr>
        <w:pStyle w:val="177"/>
        <w:adjustRightInd/>
        <w:snapToGrid/>
        <w:ind w:firstLine="480"/>
        <w:rPr>
          <w:highlight w:val="none"/>
        </w:rPr>
      </w:pPr>
      <w:r>
        <w:rPr>
          <w:rFonts w:hint="eastAsia"/>
          <w:highlight w:val="none"/>
        </w:rPr>
        <w:t>（</w:t>
      </w:r>
      <w:r>
        <w:rPr>
          <w:highlight w:val="none"/>
        </w:rPr>
        <w:t>3）设置</w:t>
      </w:r>
      <w:r>
        <w:rPr>
          <w:rFonts w:hint="eastAsia"/>
          <w:highlight w:val="none"/>
          <w:lang w:eastAsia="zh-CN"/>
        </w:rPr>
        <w:t>事故池</w:t>
      </w:r>
      <w:r>
        <w:rPr>
          <w:highlight w:val="none"/>
        </w:rPr>
        <w:t>等应急预留场所；必要时，设置危险废物泄漏处置设备。</w:t>
      </w:r>
    </w:p>
    <w:p w14:paraId="333D4D89">
      <w:pPr>
        <w:pStyle w:val="177"/>
        <w:adjustRightInd/>
        <w:snapToGrid/>
        <w:ind w:firstLine="480"/>
        <w:rPr>
          <w:highlight w:val="none"/>
        </w:rPr>
      </w:pPr>
      <w:r>
        <w:rPr>
          <w:rFonts w:hint="eastAsia"/>
          <w:highlight w:val="none"/>
        </w:rPr>
        <w:t>（</w:t>
      </w:r>
      <w:r>
        <w:rPr>
          <w:highlight w:val="none"/>
        </w:rPr>
        <w:t>4）设置全身防护、呼吸道防护等安全防护装备，并配备常见的救护急用物品和中毒救药品。</w:t>
      </w:r>
    </w:p>
    <w:p w14:paraId="0AFA21A7">
      <w:pPr>
        <w:pStyle w:val="177"/>
        <w:adjustRightInd/>
        <w:snapToGrid/>
        <w:ind w:firstLine="480"/>
        <w:rPr>
          <w:highlight w:val="none"/>
        </w:rPr>
      </w:pPr>
      <w:r>
        <w:rPr>
          <w:rFonts w:hint="eastAsia"/>
          <w:highlight w:val="none"/>
        </w:rPr>
        <w:t>（</w:t>
      </w:r>
      <w:r>
        <w:rPr>
          <w:highlight w:val="none"/>
        </w:rPr>
        <w:t>5）当发生地下水异常情况时，按照指定的地下水应急预案采取应急措施。</w:t>
      </w:r>
    </w:p>
    <w:p w14:paraId="452F9E3B">
      <w:pPr>
        <w:pStyle w:val="177"/>
        <w:adjustRightInd/>
        <w:snapToGrid/>
        <w:ind w:firstLine="480"/>
        <w:rPr>
          <w:highlight w:val="none"/>
        </w:rPr>
      </w:pPr>
      <w:r>
        <w:rPr>
          <w:rFonts w:hint="eastAsia"/>
          <w:highlight w:val="none"/>
        </w:rPr>
        <w:t>（</w:t>
      </w:r>
      <w:r>
        <w:rPr>
          <w:highlight w:val="none"/>
        </w:rPr>
        <w:t>6）组织专业队伍对事故现场进行调查、监测，查找环境发生地点，分析事故原因，将紧急事件局部化，如可能予以消除，采取包括切断生产装置或设施、设置围堤等拦堵设施、疏散等，防止事故的扩散、蔓延及连锁反应，缩小地下水污染事故对人、环境和财产的影响。</w:t>
      </w:r>
    </w:p>
    <w:p w14:paraId="49C92CC4">
      <w:pPr>
        <w:pStyle w:val="509"/>
        <w:tabs>
          <w:tab w:val="left" w:pos="1374"/>
        </w:tabs>
        <w:ind w:left="-105" w:firstLine="480" w:firstLineChars="200"/>
        <w:outlineLvl w:val="9"/>
        <w:rPr>
          <w:rFonts w:hint="eastAsia" w:ascii="Times New Roman" w:hAnsi="Times New Roman" w:cs="Times New Roman"/>
          <w:highlight w:val="none"/>
        </w:rPr>
      </w:pPr>
      <w:r>
        <w:rPr>
          <w:rFonts w:hint="eastAsia" w:ascii="Times New Roman" w:hAnsi="Times New Roman" w:cs="Times New Roman"/>
          <w:highlight w:val="none"/>
        </w:rPr>
        <w:t>（7）当通过监测发现对周围地下水造成污染时，采取控制地下水流场等措施，防止污染物扩散，如采取隔离措施、人工开采形成地下水漏斗、抽水等应急措施。</w:t>
      </w:r>
    </w:p>
    <w:p w14:paraId="4596216C">
      <w:pPr>
        <w:pStyle w:val="5"/>
        <w:bidi w:val="0"/>
        <w:rPr>
          <w:rFonts w:hint="eastAsia"/>
          <w:lang w:val="en-US" w:eastAsia="zh-CN"/>
        </w:rPr>
      </w:pPr>
      <w:r>
        <w:rPr>
          <w:rFonts w:hint="eastAsia"/>
          <w:lang w:val="en-US" w:eastAsia="zh-CN"/>
        </w:rPr>
        <w:t>8.2.5噪声防治措施</w:t>
      </w:r>
    </w:p>
    <w:p w14:paraId="624D02AC">
      <w:pPr>
        <w:spacing w:line="360" w:lineRule="auto"/>
        <w:ind w:firstLine="482" w:firstLineChars="200"/>
        <w:rPr>
          <w:rFonts w:hint="default" w:eastAsia="宋体"/>
          <w:b/>
          <w:bCs/>
          <w:color w:val="auto"/>
          <w:sz w:val="24"/>
          <w:lang w:val="en-US" w:eastAsia="zh-CN"/>
        </w:rPr>
      </w:pPr>
      <w:r>
        <w:rPr>
          <w:rFonts w:hint="eastAsia"/>
          <w:b/>
          <w:bCs/>
          <w:color w:val="auto"/>
          <w:sz w:val="24"/>
          <w:lang w:val="en-US" w:eastAsia="zh-CN"/>
        </w:rPr>
        <w:t>生产线噪声控制措施：</w:t>
      </w:r>
    </w:p>
    <w:p w14:paraId="249C9E78">
      <w:pPr>
        <w:spacing w:line="360" w:lineRule="auto"/>
        <w:ind w:firstLine="480" w:firstLineChars="200"/>
        <w:rPr>
          <w:color w:val="auto"/>
          <w:sz w:val="24"/>
        </w:rPr>
      </w:pPr>
      <w:r>
        <w:rPr>
          <w:color w:val="auto"/>
          <w:sz w:val="24"/>
        </w:rPr>
        <w:t>工程设备主要来源于</w:t>
      </w:r>
      <w:r>
        <w:rPr>
          <w:color w:val="auto"/>
          <w:sz w:val="24"/>
          <w:lang w:val="zh-CN"/>
        </w:rPr>
        <w:t>破碎机、</w:t>
      </w:r>
      <w:r>
        <w:rPr>
          <w:rFonts w:hint="eastAsia"/>
          <w:color w:val="auto"/>
          <w:sz w:val="24"/>
          <w:lang w:val="zh-CN"/>
        </w:rPr>
        <w:t>球</w:t>
      </w:r>
      <w:r>
        <w:rPr>
          <w:color w:val="auto"/>
          <w:sz w:val="24"/>
          <w:lang w:val="zh-CN"/>
        </w:rPr>
        <w:t>磨机、</w:t>
      </w:r>
      <w:r>
        <w:rPr>
          <w:rFonts w:hint="eastAsia"/>
          <w:color w:val="auto"/>
          <w:sz w:val="24"/>
          <w:lang w:val="en-US" w:eastAsia="zh-CN"/>
        </w:rPr>
        <w:t>浮选</w:t>
      </w:r>
      <w:r>
        <w:rPr>
          <w:color w:val="auto"/>
          <w:sz w:val="24"/>
        </w:rPr>
        <w:t>机等，为了减轻各类设备噪声对周围环境影响，根据各类声噪声的声源特征，本项目采取以下防治措施：</w:t>
      </w:r>
    </w:p>
    <w:p w14:paraId="035145BC">
      <w:pPr>
        <w:numPr>
          <w:ilvl w:val="0"/>
          <w:numId w:val="0"/>
        </w:numPr>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（1）</w:t>
      </w:r>
      <w:r>
        <w:rPr>
          <w:color w:val="auto"/>
          <w:sz w:val="24"/>
        </w:rPr>
        <w:t>在满足生产工艺的前提下，选用设备加工精度高、装配质量好、产生噪声低的设备；</w:t>
      </w:r>
    </w:p>
    <w:p w14:paraId="14EF034D">
      <w:pPr>
        <w:numPr>
          <w:ilvl w:val="0"/>
          <w:numId w:val="0"/>
        </w:numPr>
        <w:spacing w:line="360" w:lineRule="auto"/>
        <w:ind w:firstLine="480" w:firstLineChars="200"/>
        <w:rPr>
          <w:color w:val="auto"/>
          <w:sz w:val="24"/>
        </w:rPr>
      </w:pPr>
      <w:r>
        <w:rPr>
          <w:rFonts w:ascii="Times New Roman" w:hAnsi="Times New Roman" w:eastAsia="宋体" w:cs="Times New Roman"/>
          <w:color w:val="auto"/>
          <w:kern w:val="2"/>
          <w:sz w:val="24"/>
          <w:szCs w:val="24"/>
          <w:lang w:val="en-US" w:eastAsia="zh-CN" w:bidi="ar-SA"/>
        </w:rPr>
        <w:t>（2）</w:t>
      </w:r>
      <w:r>
        <w:rPr>
          <w:rFonts w:hint="eastAsia"/>
          <w:color w:val="auto"/>
          <w:sz w:val="24"/>
        </w:rPr>
        <w:t>产噪</w:t>
      </w:r>
      <w:r>
        <w:rPr>
          <w:color w:val="auto"/>
          <w:sz w:val="24"/>
        </w:rPr>
        <w:t>生产设备设置于</w:t>
      </w:r>
      <w:r>
        <w:rPr>
          <w:rFonts w:hint="eastAsia"/>
          <w:color w:val="auto"/>
          <w:sz w:val="24"/>
        </w:rPr>
        <w:t>封闭</w:t>
      </w:r>
      <w:r>
        <w:rPr>
          <w:rFonts w:hint="eastAsia"/>
          <w:color w:val="auto"/>
          <w:sz w:val="24"/>
          <w:lang w:val="en-US" w:eastAsia="zh-CN"/>
        </w:rPr>
        <w:t>车间</w:t>
      </w:r>
      <w:r>
        <w:rPr>
          <w:color w:val="auto"/>
          <w:sz w:val="24"/>
        </w:rPr>
        <w:t>内</w:t>
      </w:r>
      <w:r>
        <w:rPr>
          <w:rFonts w:hint="eastAsia"/>
          <w:color w:val="auto"/>
          <w:sz w:val="24"/>
        </w:rPr>
        <w:t>或密闭</w:t>
      </w:r>
      <w:r>
        <w:rPr>
          <w:color w:val="auto"/>
          <w:sz w:val="24"/>
        </w:rPr>
        <w:t>，</w:t>
      </w:r>
      <w:r>
        <w:rPr>
          <w:rFonts w:hint="eastAsia"/>
          <w:color w:val="auto"/>
          <w:sz w:val="24"/>
        </w:rPr>
        <w:t>利用建筑隔声。</w:t>
      </w:r>
    </w:p>
    <w:p w14:paraId="747E0D4F">
      <w:pPr>
        <w:spacing w:line="360" w:lineRule="auto"/>
        <w:ind w:firstLine="480" w:firstLineChars="200"/>
        <w:rPr>
          <w:color w:val="auto"/>
          <w:sz w:val="24"/>
        </w:rPr>
      </w:pPr>
      <w:r>
        <w:rPr>
          <w:color w:val="auto"/>
          <w:sz w:val="24"/>
        </w:rPr>
        <w:t>（</w:t>
      </w:r>
      <w:r>
        <w:rPr>
          <w:rFonts w:hint="eastAsia"/>
          <w:color w:val="auto"/>
          <w:sz w:val="24"/>
        </w:rPr>
        <w:t>3</w:t>
      </w:r>
      <w:r>
        <w:rPr>
          <w:color w:val="auto"/>
          <w:sz w:val="24"/>
        </w:rPr>
        <w:t>）对产生机械噪声的设备如</w:t>
      </w:r>
      <w:r>
        <w:rPr>
          <w:color w:val="auto"/>
          <w:sz w:val="24"/>
          <w:lang w:val="zh-CN"/>
        </w:rPr>
        <w:t>破碎机、</w:t>
      </w:r>
      <w:r>
        <w:rPr>
          <w:rFonts w:hint="eastAsia" w:ascii="Times New Roman"/>
          <w:color w:val="auto"/>
          <w:sz w:val="24"/>
          <w:lang w:val="zh-CN"/>
        </w:rPr>
        <w:t>球</w:t>
      </w:r>
      <w:r>
        <w:rPr>
          <w:color w:val="auto"/>
          <w:sz w:val="24"/>
          <w:lang w:val="zh-CN"/>
        </w:rPr>
        <w:t>磨机、</w:t>
      </w:r>
      <w:r>
        <w:rPr>
          <w:rFonts w:hint="eastAsia"/>
          <w:color w:val="auto"/>
          <w:sz w:val="24"/>
          <w:lang w:val="en-US" w:eastAsia="zh-CN"/>
        </w:rPr>
        <w:t>浮选</w:t>
      </w:r>
      <w:r>
        <w:rPr>
          <w:color w:val="auto"/>
          <w:sz w:val="24"/>
        </w:rPr>
        <w:t>机等设备安装减振底座，对空气动力性噪声为主的设备如风机安装隔声罩及消声器</w:t>
      </w:r>
      <w:r>
        <w:rPr>
          <w:rFonts w:hint="eastAsia"/>
          <w:color w:val="auto"/>
          <w:sz w:val="24"/>
          <w:lang w:eastAsia="zh-CN"/>
        </w:rPr>
        <w:t>，</w:t>
      </w:r>
      <w:r>
        <w:rPr>
          <w:rFonts w:hint="eastAsia"/>
          <w:color w:val="auto"/>
          <w:sz w:val="24"/>
          <w:lang w:val="en-US" w:eastAsia="zh-CN"/>
        </w:rPr>
        <w:t>采取</w:t>
      </w:r>
      <w:r>
        <w:rPr>
          <w:color w:val="auto"/>
          <w:sz w:val="24"/>
        </w:rPr>
        <w:t>以上措施</w:t>
      </w:r>
      <w:r>
        <w:rPr>
          <w:rFonts w:hint="eastAsia"/>
          <w:color w:val="auto"/>
          <w:sz w:val="24"/>
          <w:lang w:val="en-US" w:eastAsia="zh-CN"/>
        </w:rPr>
        <w:t>后</w:t>
      </w:r>
      <w:r>
        <w:rPr>
          <w:color w:val="auto"/>
          <w:sz w:val="24"/>
        </w:rPr>
        <w:t>可降噪</w:t>
      </w:r>
      <w:r>
        <w:rPr>
          <w:rFonts w:hint="eastAsia"/>
          <w:color w:val="auto"/>
          <w:sz w:val="24"/>
        </w:rPr>
        <w:t>15~</w:t>
      </w:r>
      <w:r>
        <w:rPr>
          <w:color w:val="auto"/>
          <w:sz w:val="24"/>
        </w:rPr>
        <w:t>25dB（A）。</w:t>
      </w:r>
    </w:p>
    <w:p w14:paraId="57097FC5">
      <w:pPr>
        <w:spacing w:line="360" w:lineRule="auto"/>
        <w:ind w:firstLine="480" w:firstLineChars="200"/>
        <w:rPr>
          <w:color w:val="auto"/>
        </w:rPr>
      </w:pPr>
      <w:r>
        <w:rPr>
          <w:color w:val="auto"/>
          <w:sz w:val="24"/>
        </w:rPr>
        <w:t>（</w:t>
      </w:r>
      <w:r>
        <w:rPr>
          <w:rFonts w:hint="eastAsia"/>
          <w:color w:val="auto"/>
          <w:sz w:val="24"/>
        </w:rPr>
        <w:t>4</w:t>
      </w:r>
      <w:r>
        <w:rPr>
          <w:color w:val="auto"/>
          <w:sz w:val="24"/>
        </w:rPr>
        <w:t>）对各种的机械设备要定期进行维修保养，使机械设备保持正常运行，以减少</w:t>
      </w:r>
      <w:r>
        <w:rPr>
          <w:rFonts w:hint="eastAsia"/>
          <w:color w:val="auto"/>
          <w:sz w:val="24"/>
          <w:lang w:val="en-US" w:eastAsia="zh-CN"/>
        </w:rPr>
        <w:t>非正常</w:t>
      </w:r>
      <w:r>
        <w:rPr>
          <w:color w:val="auto"/>
          <w:sz w:val="24"/>
        </w:rPr>
        <w:t>运转产生的噪声。</w:t>
      </w:r>
    </w:p>
    <w:p w14:paraId="08F28252">
      <w:pPr>
        <w:spacing w:line="360" w:lineRule="auto"/>
        <w:ind w:firstLine="480" w:firstLineChars="200"/>
        <w:rPr>
          <w:color w:val="auto"/>
          <w:sz w:val="24"/>
        </w:rPr>
      </w:pPr>
      <w:r>
        <w:rPr>
          <w:rFonts w:hint="eastAsia"/>
          <w:color w:val="auto"/>
          <w:sz w:val="24"/>
          <w:lang w:val="en-US" w:eastAsia="zh-CN"/>
        </w:rPr>
        <w:t>企业运营期间</w:t>
      </w:r>
      <w:r>
        <w:rPr>
          <w:color w:val="auto"/>
          <w:sz w:val="24"/>
        </w:rPr>
        <w:t>采取以上降噪措施，</w:t>
      </w:r>
      <w:r>
        <w:rPr>
          <w:rFonts w:hint="eastAsia"/>
          <w:color w:val="auto"/>
          <w:sz w:val="24"/>
          <w:lang w:val="en-US" w:eastAsia="zh-CN"/>
        </w:rPr>
        <w:t>并</w:t>
      </w:r>
      <w:r>
        <w:rPr>
          <w:color w:val="auto"/>
          <w:sz w:val="24"/>
        </w:rPr>
        <w:t>经距离衰减</w:t>
      </w:r>
      <w:r>
        <w:rPr>
          <w:rFonts w:hint="eastAsia"/>
          <w:color w:val="auto"/>
          <w:sz w:val="24"/>
          <w:lang w:val="en-US" w:eastAsia="zh-CN"/>
        </w:rPr>
        <w:t>后</w:t>
      </w:r>
      <w:r>
        <w:rPr>
          <w:color w:val="auto"/>
          <w:sz w:val="24"/>
        </w:rPr>
        <w:t>，</w:t>
      </w:r>
      <w:r>
        <w:rPr>
          <w:rFonts w:hint="eastAsia"/>
          <w:color w:val="auto"/>
          <w:sz w:val="24"/>
          <w:lang w:val="en-US" w:eastAsia="zh-CN"/>
        </w:rPr>
        <w:t>厂界噪声可</w:t>
      </w:r>
      <w:r>
        <w:rPr>
          <w:color w:val="auto"/>
          <w:sz w:val="24"/>
        </w:rPr>
        <w:t>满足《工业企业厂界环境噪声排放标准》（GB12348-2008）中</w:t>
      </w:r>
      <w:r>
        <w:rPr>
          <w:rFonts w:hint="eastAsia"/>
          <w:color w:val="auto"/>
          <w:sz w:val="24"/>
          <w:lang w:val="en-US" w:eastAsia="zh-CN"/>
        </w:rPr>
        <w:t>3</w:t>
      </w:r>
      <w:r>
        <w:rPr>
          <w:color w:val="auto"/>
          <w:sz w:val="24"/>
        </w:rPr>
        <w:t>类标准</w:t>
      </w:r>
      <w:r>
        <w:rPr>
          <w:rFonts w:hint="eastAsia"/>
          <w:color w:val="auto"/>
          <w:sz w:val="24"/>
          <w:lang w:val="en-US" w:eastAsia="zh-CN"/>
        </w:rPr>
        <w:t>限值要求</w:t>
      </w:r>
      <w:r>
        <w:rPr>
          <w:color w:val="auto"/>
          <w:sz w:val="24"/>
        </w:rPr>
        <w:t>。</w:t>
      </w:r>
    </w:p>
    <w:p w14:paraId="6C59C4D6">
      <w:pPr>
        <w:spacing w:line="360" w:lineRule="auto"/>
        <w:ind w:firstLine="482" w:firstLineChars="200"/>
        <w:rPr>
          <w:b/>
          <w:bCs/>
          <w:color w:val="auto"/>
          <w:sz w:val="24"/>
        </w:rPr>
      </w:pPr>
      <w:r>
        <w:rPr>
          <w:b/>
          <w:bCs/>
          <w:color w:val="auto"/>
          <w:sz w:val="24"/>
        </w:rPr>
        <w:t>交通运输</w:t>
      </w:r>
      <w:r>
        <w:rPr>
          <w:rFonts w:hint="eastAsia"/>
          <w:b/>
          <w:bCs/>
          <w:color w:val="auto"/>
          <w:sz w:val="24"/>
          <w:lang w:val="en-US" w:eastAsia="zh-CN"/>
        </w:rPr>
        <w:t>噪声</w:t>
      </w:r>
      <w:r>
        <w:rPr>
          <w:b/>
          <w:bCs/>
          <w:color w:val="auto"/>
          <w:sz w:val="24"/>
        </w:rPr>
        <w:t>控制措施：</w:t>
      </w:r>
    </w:p>
    <w:p w14:paraId="74EB1904">
      <w:pPr>
        <w:spacing w:line="360" w:lineRule="auto"/>
        <w:ind w:firstLine="480" w:firstLineChars="200"/>
        <w:rPr>
          <w:color w:val="auto"/>
          <w:sz w:val="24"/>
        </w:rPr>
      </w:pPr>
      <w:r>
        <w:rPr>
          <w:color w:val="auto"/>
          <w:sz w:val="24"/>
        </w:rPr>
        <w:t>（1）加强运输管理，保证汽车安全、文明行驶。坚决杜绝超载、超速等违反交通规章制度的现象，对运输车辆要定时及时检修。</w:t>
      </w:r>
    </w:p>
    <w:p w14:paraId="44115DD3">
      <w:pPr>
        <w:spacing w:line="360" w:lineRule="auto"/>
        <w:ind w:firstLine="480" w:firstLineChars="200"/>
        <w:rPr>
          <w:color w:val="auto"/>
          <w:sz w:val="24"/>
        </w:rPr>
      </w:pPr>
      <w:r>
        <w:rPr>
          <w:color w:val="auto"/>
          <w:sz w:val="24"/>
        </w:rPr>
        <w:t>（2）夜间（</w:t>
      </w:r>
      <w:r>
        <w:rPr>
          <w:rFonts w:hint="eastAsia"/>
          <w:color w:val="auto"/>
          <w:sz w:val="24"/>
        </w:rPr>
        <w:t>22：00~8：00</w:t>
      </w:r>
      <w:r>
        <w:rPr>
          <w:color w:val="auto"/>
          <w:sz w:val="24"/>
        </w:rPr>
        <w:t>）禁止</w:t>
      </w:r>
      <w:r>
        <w:rPr>
          <w:rFonts w:hint="eastAsia"/>
          <w:color w:val="auto"/>
          <w:sz w:val="24"/>
        </w:rPr>
        <w:t>矿石</w:t>
      </w:r>
      <w:r>
        <w:rPr>
          <w:color w:val="auto"/>
          <w:sz w:val="24"/>
        </w:rPr>
        <w:t>、尾矿等各类运输。</w:t>
      </w:r>
    </w:p>
    <w:p w14:paraId="6F2B1185">
      <w:pPr>
        <w:spacing w:line="360" w:lineRule="auto"/>
        <w:ind w:firstLine="480" w:firstLineChars="200"/>
        <w:rPr>
          <w:color w:val="auto"/>
          <w:sz w:val="24"/>
        </w:rPr>
      </w:pPr>
      <w:r>
        <w:rPr>
          <w:color w:val="auto"/>
          <w:sz w:val="24"/>
        </w:rPr>
        <w:t>（3）加强对运输车辆停泊的进出管理，尽量缩短汽车的怠速停留时间。</w:t>
      </w:r>
    </w:p>
    <w:p w14:paraId="03537C75">
      <w:pPr>
        <w:spacing w:line="360" w:lineRule="auto"/>
        <w:ind w:firstLine="480" w:firstLineChars="200"/>
        <w:rPr>
          <w:color w:val="auto"/>
          <w:sz w:val="24"/>
        </w:rPr>
      </w:pPr>
      <w:r>
        <w:rPr>
          <w:color w:val="auto"/>
          <w:sz w:val="24"/>
        </w:rPr>
        <w:t>（4）加强司机的操作管理，途径村庄时减速慢行（＜</w:t>
      </w:r>
      <w:r>
        <w:rPr>
          <w:rFonts w:hint="eastAsia"/>
          <w:color w:val="auto"/>
          <w:sz w:val="24"/>
        </w:rPr>
        <w:t>15km/h</w:t>
      </w:r>
      <w:r>
        <w:rPr>
          <w:color w:val="auto"/>
          <w:sz w:val="24"/>
        </w:rPr>
        <w:t>），禁止鸣笛。</w:t>
      </w:r>
    </w:p>
    <w:p w14:paraId="1063E7A2">
      <w:pPr>
        <w:pStyle w:val="5"/>
        <w:bidi w:val="0"/>
        <w:rPr>
          <w:rFonts w:hint="eastAsia"/>
          <w:lang w:val="en-US" w:eastAsia="zh-CN"/>
        </w:rPr>
      </w:pPr>
      <w:r>
        <w:rPr>
          <w:rFonts w:hint="eastAsia"/>
          <w:lang w:val="en-US" w:eastAsia="zh-CN"/>
        </w:rPr>
        <w:t>8.2.6固体废物处置措施</w:t>
      </w:r>
    </w:p>
    <w:p w14:paraId="4053B8BA">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（1）一般固废</w:t>
      </w:r>
    </w:p>
    <w:p w14:paraId="713BD9CB">
      <w:pPr>
        <w:pStyle w:val="1486"/>
        <w:keepNext w:val="0"/>
        <w:keepLines w:val="0"/>
        <w:pageBreakBefore w:val="0"/>
        <w:widowControl w:val="0"/>
        <w:kinsoku/>
        <w:wordWrap/>
        <w:overflowPunct/>
        <w:topLinePunct w:val="0"/>
        <w:autoSpaceDE/>
        <w:autoSpaceDN/>
        <w:bidi w:val="0"/>
        <w:adjustRightInd/>
        <w:spacing w:line="360" w:lineRule="auto"/>
        <w:ind w:firstLine="480"/>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本项目新增的一般固废包括干排尾矿、除尘灰。</w:t>
      </w:r>
    </w:p>
    <w:p w14:paraId="51DEB27C">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①除尘灰</w:t>
      </w:r>
      <w:r>
        <w:rPr>
          <w:rFonts w:hint="eastAsia" w:eastAsia="宋体" w:cs="Times New Roman"/>
          <w:color w:val="auto"/>
          <w:kern w:val="2"/>
          <w:sz w:val="24"/>
          <w:szCs w:val="24"/>
          <w:lang w:val="en-US" w:eastAsia="zh-CN" w:bidi="ar-SA"/>
        </w:rPr>
        <w:t>：直接回用于</w:t>
      </w:r>
      <w:r>
        <w:rPr>
          <w:rFonts w:hint="eastAsia" w:ascii="Times New Roman" w:hAnsi="Times New Roman" w:eastAsia="宋体" w:cs="Times New Roman"/>
          <w:color w:val="auto"/>
          <w:kern w:val="2"/>
          <w:sz w:val="24"/>
          <w:szCs w:val="24"/>
          <w:lang w:val="en-US" w:eastAsia="zh-CN" w:bidi="ar-SA"/>
        </w:rPr>
        <w:t>选矿工艺，不排放。</w:t>
      </w:r>
    </w:p>
    <w:p w14:paraId="675F6BE8">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②尾矿：</w:t>
      </w:r>
      <w:r>
        <w:rPr>
          <w:rFonts w:hint="eastAsia" w:eastAsia="宋体" w:cs="Times New Roman"/>
          <w:color w:val="auto"/>
          <w:kern w:val="2"/>
          <w:sz w:val="24"/>
          <w:szCs w:val="24"/>
          <w:lang w:val="en-US" w:eastAsia="zh-CN" w:bidi="ar-SA"/>
        </w:rPr>
        <w:t>本项目产生的尾矿采用压滤机压滤脱水处理，经监测，尾矿属于Ⅰ类一般工业固体废物，暂存于干排车间内尾矿暂存处，外运综合利用</w:t>
      </w:r>
      <w:r>
        <w:rPr>
          <w:rFonts w:hint="default" w:ascii="Times New Roman" w:hAnsi="Times New Roman" w:eastAsia="宋体" w:cs="Times New Roman"/>
          <w:color w:val="auto"/>
        </w:rPr>
        <w:t>。</w:t>
      </w:r>
    </w:p>
    <w:p w14:paraId="6601C464">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（2）危险废物</w:t>
      </w:r>
    </w:p>
    <w:p w14:paraId="3ABCE2F0">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本项目新增的危废包括废机油、废油桶、浮选药剂废包装。</w:t>
      </w:r>
    </w:p>
    <w:p w14:paraId="250D9DD4">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本项目新增危废</w:t>
      </w:r>
      <w:r>
        <w:rPr>
          <w:rFonts w:hint="eastAsia" w:eastAsia="宋体" w:cs="Times New Roman"/>
          <w:color w:val="auto"/>
          <w:kern w:val="2"/>
          <w:sz w:val="24"/>
          <w:szCs w:val="24"/>
          <w:highlight w:val="none"/>
          <w:lang w:val="en-US" w:eastAsia="zh-CN" w:bidi="ar-SA"/>
        </w:rPr>
        <w:t>总</w:t>
      </w:r>
      <w:r>
        <w:rPr>
          <w:rFonts w:hint="eastAsia" w:ascii="Times New Roman" w:hAnsi="Times New Roman" w:eastAsia="宋体" w:cs="Times New Roman"/>
          <w:color w:val="auto"/>
          <w:kern w:val="2"/>
          <w:sz w:val="24"/>
          <w:szCs w:val="24"/>
          <w:highlight w:val="none"/>
          <w:lang w:val="en-US" w:eastAsia="zh-CN" w:bidi="ar-SA"/>
        </w:rPr>
        <w:t>产生量为</w:t>
      </w:r>
      <w:r>
        <w:rPr>
          <w:rFonts w:hint="eastAsia" w:eastAsia="宋体" w:cs="Times New Roman"/>
          <w:color w:val="auto"/>
          <w:kern w:val="2"/>
          <w:sz w:val="24"/>
          <w:szCs w:val="24"/>
          <w:highlight w:val="none"/>
          <w:lang w:val="en-US" w:eastAsia="zh-CN" w:bidi="ar-SA"/>
        </w:rPr>
        <w:t>3.6</w:t>
      </w:r>
      <w:r>
        <w:rPr>
          <w:rFonts w:hint="eastAsia" w:ascii="Times New Roman" w:hAnsi="Times New Roman" w:eastAsia="宋体" w:cs="Times New Roman"/>
          <w:color w:val="auto"/>
          <w:kern w:val="2"/>
          <w:sz w:val="24"/>
          <w:szCs w:val="24"/>
          <w:highlight w:val="none"/>
          <w:lang w:val="en-US" w:eastAsia="zh-CN" w:bidi="ar-SA"/>
        </w:rPr>
        <w:t>t/a，</w:t>
      </w:r>
      <w:r>
        <w:rPr>
          <w:rFonts w:hint="eastAsia" w:eastAsia="宋体" w:cs="Times New Roman"/>
          <w:color w:val="auto"/>
          <w:kern w:val="2"/>
          <w:sz w:val="24"/>
          <w:szCs w:val="24"/>
          <w:highlight w:val="none"/>
          <w:lang w:val="en-US" w:eastAsia="zh-CN" w:bidi="ar-SA"/>
        </w:rPr>
        <w:t>暂</w:t>
      </w:r>
      <w:r>
        <w:rPr>
          <w:rFonts w:hint="eastAsia" w:eastAsia="宋体" w:cs="Times New Roman"/>
          <w:color w:val="auto"/>
          <w:kern w:val="2"/>
          <w:sz w:val="24"/>
          <w:szCs w:val="24"/>
          <w:lang w:val="en-US" w:eastAsia="zh-CN" w:bidi="ar-SA"/>
        </w:rPr>
        <w:t>存于现有危废贮存点，企业投产后严格</w:t>
      </w:r>
      <w:r>
        <w:rPr>
          <w:rFonts w:hint="eastAsia" w:ascii="Times New Roman" w:hAnsi="Times New Roman" w:eastAsia="宋体" w:cs="Times New Roman"/>
          <w:color w:val="auto"/>
          <w:kern w:val="2"/>
          <w:sz w:val="24"/>
          <w:szCs w:val="24"/>
          <w:lang w:val="en-US" w:eastAsia="zh-CN" w:bidi="ar-SA"/>
        </w:rPr>
        <w:t>按照《中华人民共和国固体废物污染环境防治法》中有关危险废物的管理条款执行，定期委托具有专业资质的危险废物处理单位进行转移和处理。</w:t>
      </w:r>
    </w:p>
    <w:p w14:paraId="06ED1ABC">
      <w:pPr>
        <w:pStyle w:val="1486"/>
        <w:keepNext w:val="0"/>
        <w:keepLines w:val="0"/>
        <w:pageBreakBefore w:val="0"/>
        <w:widowControl w:val="0"/>
        <w:kinsoku/>
        <w:wordWrap/>
        <w:overflowPunct/>
        <w:topLinePunct w:val="0"/>
        <w:autoSpaceDE/>
        <w:autoSpaceDN/>
        <w:bidi w:val="0"/>
        <w:adjustRightInd/>
        <w:spacing w:line="360" w:lineRule="auto"/>
        <w:ind w:firstLine="480"/>
        <w:rPr>
          <w:rFonts w:hint="eastAsia"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企业现有危废贮存点</w:t>
      </w:r>
      <w:r>
        <w:rPr>
          <w:rFonts w:hint="eastAsia" w:ascii="Times New Roman" w:hAnsi="Times New Roman" w:eastAsia="宋体" w:cs="Times New Roman"/>
          <w:color w:val="auto"/>
          <w:kern w:val="2"/>
          <w:sz w:val="24"/>
          <w:szCs w:val="24"/>
          <w:lang w:val="en-US" w:eastAsia="zh-CN" w:bidi="ar-SA"/>
        </w:rPr>
        <w:t>占地面积</w:t>
      </w:r>
      <w:r>
        <w:rPr>
          <w:rFonts w:hint="eastAsia" w:eastAsia="宋体" w:cs="Times New Roman"/>
          <w:color w:val="auto"/>
          <w:kern w:val="2"/>
          <w:sz w:val="24"/>
          <w:szCs w:val="24"/>
          <w:highlight w:val="none"/>
          <w:lang w:val="en-US" w:eastAsia="zh-CN" w:bidi="ar-SA"/>
        </w:rPr>
        <w:t>25</w:t>
      </w:r>
      <w:r>
        <w:rPr>
          <w:rFonts w:hint="eastAsia" w:ascii="Times New Roman" w:hAnsi="Times New Roman" w:eastAsia="宋体" w:cs="Times New Roman"/>
          <w:color w:val="auto"/>
          <w:kern w:val="2"/>
          <w:sz w:val="24"/>
          <w:szCs w:val="24"/>
          <w:highlight w:val="none"/>
          <w:lang w:val="en-US" w:eastAsia="zh-CN" w:bidi="ar-SA"/>
        </w:rPr>
        <w:t>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现有危废暂</w:t>
      </w:r>
      <w:r>
        <w:rPr>
          <w:rFonts w:hint="eastAsia" w:eastAsia="宋体" w:cs="Times New Roman"/>
          <w:color w:val="auto"/>
          <w:kern w:val="2"/>
          <w:sz w:val="24"/>
          <w:szCs w:val="24"/>
          <w:highlight w:val="none"/>
          <w:lang w:val="en-US" w:eastAsia="zh-CN" w:bidi="ar-SA"/>
        </w:rPr>
        <w:t>存量为0.7t/a，本次改扩建项目新增暂存量为3.6</w:t>
      </w:r>
      <w:r>
        <w:rPr>
          <w:rFonts w:hint="eastAsia" w:ascii="Times New Roman" w:hAnsi="Times New Roman" w:eastAsia="宋体" w:cs="Times New Roman"/>
          <w:color w:val="auto"/>
          <w:kern w:val="2"/>
          <w:sz w:val="24"/>
          <w:szCs w:val="24"/>
          <w:highlight w:val="none"/>
          <w:lang w:val="en-US" w:eastAsia="zh-CN" w:bidi="ar-SA"/>
        </w:rPr>
        <w:t>t/a，</w:t>
      </w:r>
      <w:r>
        <w:rPr>
          <w:rFonts w:hint="eastAsia" w:eastAsia="宋体" w:cs="Times New Roman"/>
          <w:color w:val="auto"/>
          <w:kern w:val="2"/>
          <w:sz w:val="24"/>
          <w:szCs w:val="24"/>
          <w:highlight w:val="none"/>
          <w:lang w:val="en-US" w:eastAsia="zh-CN" w:bidi="ar-SA"/>
        </w:rPr>
        <w:t>全厂危废总产生量为4.3</w:t>
      </w:r>
      <w:r>
        <w:rPr>
          <w:rFonts w:hint="eastAsia" w:ascii="Times New Roman" w:hAnsi="Times New Roman" w:eastAsia="宋体" w:cs="Times New Roman"/>
          <w:color w:val="auto"/>
          <w:kern w:val="2"/>
          <w:sz w:val="24"/>
          <w:szCs w:val="24"/>
          <w:highlight w:val="none"/>
          <w:lang w:val="en-US" w:eastAsia="zh-CN" w:bidi="ar-SA"/>
        </w:rPr>
        <w:t>t/a，</w:t>
      </w:r>
      <w:r>
        <w:rPr>
          <w:rFonts w:hint="eastAsia" w:eastAsia="宋体" w:cs="Times New Roman"/>
          <w:color w:val="auto"/>
          <w:kern w:val="2"/>
          <w:sz w:val="24"/>
          <w:szCs w:val="24"/>
          <w:highlight w:val="none"/>
          <w:lang w:val="en-US" w:eastAsia="zh-CN" w:bidi="ar-SA"/>
        </w:rPr>
        <w:t>危废贮</w:t>
      </w:r>
      <w:r>
        <w:rPr>
          <w:rFonts w:hint="eastAsia" w:eastAsia="宋体" w:cs="Times New Roman"/>
          <w:color w:val="auto"/>
          <w:kern w:val="2"/>
          <w:sz w:val="24"/>
          <w:szCs w:val="24"/>
          <w:lang w:val="en-US" w:eastAsia="zh-CN" w:bidi="ar-SA"/>
        </w:rPr>
        <w:t>存点大小可容纳本厂危废总产生量。</w:t>
      </w:r>
      <w:r>
        <w:rPr>
          <w:rFonts w:hint="eastAsia" w:ascii="Times New Roman" w:hAnsi="Times New Roman" w:eastAsia="宋体" w:cs="Times New Roman"/>
          <w:color w:val="auto"/>
          <w:kern w:val="2"/>
          <w:sz w:val="24"/>
          <w:szCs w:val="24"/>
          <w:lang w:val="en-US" w:eastAsia="zh-CN" w:bidi="ar-SA"/>
        </w:rPr>
        <w:t>建设单位</w:t>
      </w:r>
      <w:r>
        <w:rPr>
          <w:rFonts w:hint="eastAsia" w:eastAsia="宋体" w:cs="Times New Roman"/>
          <w:color w:val="auto"/>
          <w:kern w:val="2"/>
          <w:sz w:val="24"/>
          <w:szCs w:val="24"/>
          <w:lang w:val="en-US" w:eastAsia="zh-CN" w:bidi="ar-SA"/>
        </w:rPr>
        <w:t>已按</w:t>
      </w:r>
      <w:r>
        <w:rPr>
          <w:rFonts w:hint="eastAsia" w:ascii="Times New Roman" w:hAnsi="Times New Roman" w:eastAsia="宋体" w:cs="Times New Roman"/>
          <w:color w:val="auto"/>
          <w:kern w:val="2"/>
          <w:sz w:val="24"/>
          <w:szCs w:val="24"/>
          <w:lang w:val="en-US" w:eastAsia="zh-CN" w:bidi="ar-SA"/>
        </w:rPr>
        <w:t>要求按《危险废物贮存污染控制标准》（GB18597-20</w:t>
      </w:r>
      <w:r>
        <w:rPr>
          <w:rFonts w:hint="eastAsia" w:eastAsia="宋体" w:cs="Times New Roman"/>
          <w:color w:val="auto"/>
          <w:kern w:val="2"/>
          <w:sz w:val="24"/>
          <w:szCs w:val="24"/>
          <w:lang w:val="en-US" w:eastAsia="zh-CN" w:bidi="ar-SA"/>
        </w:rPr>
        <w:t>23</w:t>
      </w:r>
      <w:r>
        <w:rPr>
          <w:rFonts w:hint="eastAsia" w:ascii="Times New Roman" w:hAnsi="Times New Roman" w:eastAsia="宋体" w:cs="Times New Roman"/>
          <w:color w:val="auto"/>
          <w:kern w:val="2"/>
          <w:sz w:val="24"/>
          <w:szCs w:val="24"/>
          <w:lang w:val="en-US" w:eastAsia="zh-CN" w:bidi="ar-SA"/>
        </w:rPr>
        <w:t>）的要求</w:t>
      </w:r>
      <w:r>
        <w:rPr>
          <w:rFonts w:hint="eastAsia" w:eastAsia="宋体" w:cs="Times New Roman"/>
          <w:color w:val="auto"/>
          <w:kern w:val="2"/>
          <w:sz w:val="24"/>
          <w:szCs w:val="24"/>
          <w:lang w:val="en-US" w:eastAsia="zh-CN" w:bidi="ar-SA"/>
        </w:rPr>
        <w:t>建设危废贮存点</w:t>
      </w:r>
      <w:r>
        <w:rPr>
          <w:rFonts w:hint="eastAsia" w:ascii="Times New Roman" w:hAnsi="Times New Roman" w:eastAsia="宋体" w:cs="Times New Roman"/>
          <w:color w:val="auto"/>
          <w:kern w:val="2"/>
          <w:sz w:val="24"/>
          <w:szCs w:val="24"/>
          <w:lang w:val="en-US" w:eastAsia="zh-CN" w:bidi="ar-SA"/>
        </w:rPr>
        <w:t>，做好贮存</w:t>
      </w:r>
      <w:r>
        <w:rPr>
          <w:rFonts w:hint="eastAsia" w:eastAsia="宋体" w:cs="Times New Roman"/>
          <w:color w:val="auto"/>
          <w:kern w:val="2"/>
          <w:sz w:val="24"/>
          <w:szCs w:val="24"/>
          <w:lang w:val="en-US" w:eastAsia="zh-CN" w:bidi="ar-SA"/>
        </w:rPr>
        <w:t>点</w:t>
      </w:r>
      <w:r>
        <w:rPr>
          <w:rFonts w:hint="eastAsia" w:ascii="Times New Roman" w:hAnsi="Times New Roman" w:eastAsia="宋体" w:cs="Times New Roman"/>
          <w:color w:val="auto"/>
          <w:kern w:val="2"/>
          <w:sz w:val="24"/>
          <w:szCs w:val="24"/>
          <w:lang w:val="en-US" w:eastAsia="zh-CN" w:bidi="ar-SA"/>
        </w:rPr>
        <w:t>的防风、防雨、防晒工作，后续监管中中保证表面无裂缝，防止</w:t>
      </w:r>
      <w:r>
        <w:rPr>
          <w:rFonts w:hint="eastAsia" w:eastAsia="宋体" w:cs="Times New Roman"/>
          <w:color w:val="auto"/>
          <w:kern w:val="2"/>
          <w:sz w:val="24"/>
          <w:szCs w:val="24"/>
          <w:lang w:val="en-US" w:eastAsia="zh-CN" w:bidi="ar-SA"/>
        </w:rPr>
        <w:t>泄漏</w:t>
      </w:r>
      <w:r>
        <w:rPr>
          <w:rFonts w:hint="eastAsia" w:ascii="Times New Roman" w:hAnsi="Times New Roman" w:eastAsia="宋体" w:cs="Times New Roman"/>
          <w:color w:val="auto"/>
          <w:kern w:val="2"/>
          <w:sz w:val="24"/>
          <w:szCs w:val="24"/>
          <w:lang w:val="en-US" w:eastAsia="zh-CN" w:bidi="ar-SA"/>
        </w:rPr>
        <w:t>事故，按</w:t>
      </w:r>
      <w:r>
        <w:rPr>
          <w:rFonts w:hint="eastAsia" w:eastAsia="宋体" w:cs="Times New Roman"/>
          <w:color w:val="auto"/>
          <w:kern w:val="2"/>
          <w:sz w:val="24"/>
          <w:szCs w:val="24"/>
          <w:lang w:val="en-US" w:eastAsia="zh-CN" w:bidi="ar-SA"/>
        </w:rPr>
        <w:t>重点防渗区进行</w:t>
      </w:r>
      <w:r>
        <w:rPr>
          <w:rFonts w:hint="eastAsia" w:ascii="Times New Roman" w:hAnsi="Times New Roman" w:eastAsia="宋体" w:cs="Times New Roman"/>
          <w:color w:val="auto"/>
          <w:kern w:val="2"/>
          <w:sz w:val="24"/>
          <w:szCs w:val="24"/>
          <w:lang w:val="en-US" w:eastAsia="zh-CN" w:bidi="ar-SA"/>
        </w:rPr>
        <w:t>监控，避免贮存的危险废物污染</w:t>
      </w:r>
      <w:r>
        <w:rPr>
          <w:rFonts w:hint="eastAsia" w:eastAsia="宋体" w:cs="Times New Roman"/>
          <w:color w:val="auto"/>
          <w:kern w:val="2"/>
          <w:sz w:val="24"/>
          <w:szCs w:val="24"/>
          <w:lang w:val="en-US" w:eastAsia="zh-CN" w:bidi="ar-SA"/>
        </w:rPr>
        <w:t>项目区域</w:t>
      </w:r>
      <w:r>
        <w:rPr>
          <w:rFonts w:hint="eastAsia" w:ascii="Times New Roman" w:hAnsi="Times New Roman" w:eastAsia="宋体" w:cs="Times New Roman"/>
          <w:color w:val="auto"/>
          <w:kern w:val="2"/>
          <w:sz w:val="24"/>
          <w:szCs w:val="24"/>
          <w:lang w:val="en-US" w:eastAsia="zh-CN" w:bidi="ar-SA"/>
        </w:rPr>
        <w:t>地下水和土壤</w:t>
      </w:r>
      <w:r>
        <w:rPr>
          <w:rFonts w:hint="eastAsia" w:eastAsia="宋体" w:cs="Times New Roman"/>
          <w:color w:val="auto"/>
          <w:kern w:val="2"/>
          <w:sz w:val="24"/>
          <w:szCs w:val="24"/>
          <w:lang w:val="en-US" w:eastAsia="zh-CN" w:bidi="ar-SA"/>
        </w:rPr>
        <w:t>环境质量</w:t>
      </w:r>
      <w:r>
        <w:rPr>
          <w:rFonts w:hint="eastAsia" w:ascii="Times New Roman" w:hAnsi="Times New Roman" w:eastAsia="宋体" w:cs="Times New Roman"/>
          <w:color w:val="auto"/>
          <w:kern w:val="2"/>
          <w:sz w:val="24"/>
          <w:szCs w:val="24"/>
          <w:lang w:val="en-US" w:eastAsia="zh-CN" w:bidi="ar-SA"/>
        </w:rPr>
        <w:t>；同时在贮存区域设置明显的警示牌标识；对危险废物的收集和管理，厂区委派专人负责，并做好登记记录，防止存放过程中的二次污染。</w:t>
      </w:r>
    </w:p>
    <w:p w14:paraId="173C413B">
      <w:pPr>
        <w:spacing w:line="360" w:lineRule="auto"/>
        <w:jc w:val="center"/>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8.2-6</w:t>
      </w:r>
      <w:r>
        <w:rPr>
          <w:rFonts w:hint="eastAsia" w:ascii="Times New Roman" w:hAnsi="Times New Roman" w:eastAsia="宋体" w:cs="Times New Roman"/>
          <w:b/>
          <w:color w:val="auto"/>
          <w:kern w:val="2"/>
          <w:sz w:val="24"/>
          <w:szCs w:val="24"/>
          <w:lang w:val="en-US" w:eastAsia="zh-CN" w:bidi="ar-SA"/>
        </w:rPr>
        <w:t xml:space="preserve">    本项目危废贮存场所基本情况</w:t>
      </w:r>
    </w:p>
    <w:tbl>
      <w:tblPr>
        <w:tblStyle w:val="149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1362"/>
        <w:gridCol w:w="1036"/>
        <w:gridCol w:w="1338"/>
        <w:gridCol w:w="1101"/>
        <w:gridCol w:w="977"/>
        <w:gridCol w:w="850"/>
        <w:gridCol w:w="811"/>
      </w:tblGrid>
      <w:tr w14:paraId="0202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1" w:type="pct"/>
            <w:tcBorders>
              <w:tl2br w:val="nil"/>
              <w:tr2bl w:val="nil"/>
            </w:tcBorders>
            <w:vAlign w:val="center"/>
          </w:tcPr>
          <w:p w14:paraId="3E2FB8C8">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贮存场所（设施）</w:t>
            </w:r>
          </w:p>
          <w:p w14:paraId="2CD893A2">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名称</w:t>
            </w:r>
          </w:p>
        </w:tc>
        <w:tc>
          <w:tcPr>
            <w:tcW w:w="781" w:type="pct"/>
            <w:tcBorders>
              <w:tl2br w:val="nil"/>
              <w:tr2bl w:val="nil"/>
            </w:tcBorders>
            <w:vAlign w:val="center"/>
          </w:tcPr>
          <w:p w14:paraId="535910A2">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危险废物名称</w:t>
            </w:r>
          </w:p>
        </w:tc>
        <w:tc>
          <w:tcPr>
            <w:tcW w:w="594" w:type="pct"/>
            <w:tcBorders>
              <w:tl2br w:val="nil"/>
              <w:tr2bl w:val="nil"/>
            </w:tcBorders>
            <w:vAlign w:val="center"/>
          </w:tcPr>
          <w:p w14:paraId="4265C39D">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危险废物类别</w:t>
            </w:r>
          </w:p>
        </w:tc>
        <w:tc>
          <w:tcPr>
            <w:tcW w:w="767" w:type="pct"/>
            <w:tcBorders>
              <w:tl2br w:val="nil"/>
              <w:tr2bl w:val="nil"/>
            </w:tcBorders>
            <w:vAlign w:val="center"/>
          </w:tcPr>
          <w:p w14:paraId="45628836">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危险废物代码</w:t>
            </w:r>
          </w:p>
        </w:tc>
        <w:tc>
          <w:tcPr>
            <w:tcW w:w="631" w:type="pct"/>
            <w:tcBorders>
              <w:tl2br w:val="nil"/>
              <w:tr2bl w:val="nil"/>
            </w:tcBorders>
            <w:vAlign w:val="center"/>
          </w:tcPr>
          <w:p w14:paraId="4B19E5C8">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占地面积</w:t>
            </w:r>
          </w:p>
        </w:tc>
        <w:tc>
          <w:tcPr>
            <w:tcW w:w="560" w:type="pct"/>
            <w:tcBorders>
              <w:tl2br w:val="nil"/>
              <w:tr2bl w:val="nil"/>
            </w:tcBorders>
            <w:vAlign w:val="center"/>
          </w:tcPr>
          <w:p w14:paraId="4759468B">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贮存方式</w:t>
            </w:r>
          </w:p>
        </w:tc>
        <w:tc>
          <w:tcPr>
            <w:tcW w:w="487" w:type="pct"/>
            <w:tcBorders>
              <w:tl2br w:val="nil"/>
              <w:tr2bl w:val="nil"/>
            </w:tcBorders>
            <w:vAlign w:val="center"/>
          </w:tcPr>
          <w:p w14:paraId="13D6CAB3">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贮存</w:t>
            </w:r>
          </w:p>
          <w:p w14:paraId="47FA43BE">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能力</w:t>
            </w:r>
          </w:p>
        </w:tc>
        <w:tc>
          <w:tcPr>
            <w:tcW w:w="465" w:type="pct"/>
            <w:tcBorders>
              <w:tl2br w:val="nil"/>
              <w:tr2bl w:val="nil"/>
            </w:tcBorders>
            <w:vAlign w:val="center"/>
          </w:tcPr>
          <w:p w14:paraId="1D9FB42D">
            <w:pPr>
              <w:pStyle w:val="1489"/>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贮存</w:t>
            </w:r>
          </w:p>
          <w:p w14:paraId="69C51C38">
            <w:pPr>
              <w:pStyle w:val="1489"/>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周期</w:t>
            </w:r>
          </w:p>
        </w:tc>
      </w:tr>
      <w:tr w14:paraId="0FD64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1" w:type="pct"/>
            <w:vMerge w:val="restart"/>
            <w:tcBorders>
              <w:tl2br w:val="nil"/>
              <w:tr2bl w:val="nil"/>
            </w:tcBorders>
            <w:vAlign w:val="center"/>
          </w:tcPr>
          <w:p w14:paraId="2C214E3D">
            <w:pPr>
              <w:pStyle w:val="1489"/>
              <w:rPr>
                <w:rFonts w:hint="eastAsia" w:ascii="Times New Roman" w:hAnsi="Times New Roman" w:eastAsia="宋体" w:cs="Times New Roman"/>
                <w:b w:val="0"/>
                <w:bCs/>
                <w:color w:val="auto"/>
                <w:sz w:val="21"/>
                <w:szCs w:val="21"/>
                <w:lang w:eastAsia="zh-CN"/>
              </w:rPr>
            </w:pPr>
            <w:r>
              <w:rPr>
                <w:rFonts w:hint="eastAsia" w:eastAsia="宋体" w:cs="Times New Roman"/>
                <w:b w:val="0"/>
                <w:bCs/>
                <w:color w:val="auto"/>
                <w:sz w:val="21"/>
                <w:szCs w:val="21"/>
                <w:lang w:eastAsia="zh-CN"/>
              </w:rPr>
              <w:t>危废贮存点</w:t>
            </w:r>
          </w:p>
        </w:tc>
        <w:tc>
          <w:tcPr>
            <w:tcW w:w="781" w:type="pct"/>
            <w:tcBorders>
              <w:tl2br w:val="nil"/>
              <w:tr2bl w:val="nil"/>
            </w:tcBorders>
            <w:vAlign w:val="center"/>
          </w:tcPr>
          <w:p w14:paraId="7CDCFD65">
            <w:pPr>
              <w:tabs>
                <w:tab w:val="left" w:pos="5295"/>
              </w:tabs>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eastAsia="zh-CN"/>
              </w:rPr>
              <w:t>废机油</w:t>
            </w:r>
          </w:p>
        </w:tc>
        <w:tc>
          <w:tcPr>
            <w:tcW w:w="594" w:type="pct"/>
            <w:tcBorders>
              <w:tl2br w:val="nil"/>
              <w:tr2bl w:val="nil"/>
            </w:tcBorders>
            <w:vAlign w:val="center"/>
          </w:tcPr>
          <w:p w14:paraId="34B1257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highlight w:val="none"/>
                <w:lang w:val="en-US" w:eastAsia="zh-CN" w:bidi="ar"/>
              </w:rPr>
              <w:t>HW</w:t>
            </w:r>
            <w:r>
              <w:rPr>
                <w:rFonts w:hint="default" w:ascii="Times New Roman" w:hAnsi="Times New Roman" w:cs="Times New Roman"/>
                <w:color w:val="auto"/>
                <w:kern w:val="0"/>
                <w:sz w:val="21"/>
                <w:szCs w:val="21"/>
                <w:highlight w:val="none"/>
                <w:lang w:val="en-US" w:eastAsia="zh-CN" w:bidi="ar"/>
              </w:rPr>
              <w:t>08</w:t>
            </w:r>
          </w:p>
        </w:tc>
        <w:tc>
          <w:tcPr>
            <w:tcW w:w="767" w:type="pct"/>
            <w:tcBorders>
              <w:tl2br w:val="nil"/>
              <w:tr2bl w:val="nil"/>
            </w:tcBorders>
            <w:vAlign w:val="center"/>
          </w:tcPr>
          <w:p w14:paraId="3F2ED5EC">
            <w:pPr>
              <w:tabs>
                <w:tab w:val="left" w:pos="5295"/>
              </w:tabs>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highlight w:val="none"/>
                <w:lang w:val="en-US" w:eastAsia="zh-CN"/>
              </w:rPr>
              <w:t>900-214-08</w:t>
            </w:r>
          </w:p>
        </w:tc>
        <w:tc>
          <w:tcPr>
            <w:tcW w:w="631" w:type="pct"/>
            <w:vMerge w:val="restart"/>
            <w:tcBorders>
              <w:tl2br w:val="nil"/>
              <w:tr2bl w:val="nil"/>
            </w:tcBorders>
            <w:vAlign w:val="center"/>
          </w:tcPr>
          <w:p w14:paraId="553332F8">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25m</w:t>
            </w:r>
            <w:r>
              <w:rPr>
                <w:rFonts w:hint="eastAsia" w:eastAsia="宋体" w:cs="Times New Roman"/>
                <w:b w:val="0"/>
                <w:bCs/>
                <w:color w:val="auto"/>
                <w:sz w:val="21"/>
                <w:szCs w:val="21"/>
                <w:vertAlign w:val="superscript"/>
                <w:lang w:val="en-US" w:eastAsia="zh-CN"/>
              </w:rPr>
              <w:t>2</w:t>
            </w:r>
          </w:p>
        </w:tc>
        <w:tc>
          <w:tcPr>
            <w:tcW w:w="560" w:type="pct"/>
            <w:tcBorders>
              <w:tl2br w:val="nil"/>
              <w:tr2bl w:val="nil"/>
            </w:tcBorders>
            <w:vAlign w:val="center"/>
          </w:tcPr>
          <w:p w14:paraId="2CD6EC09">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桶装</w:t>
            </w:r>
          </w:p>
        </w:tc>
        <w:tc>
          <w:tcPr>
            <w:tcW w:w="487" w:type="pct"/>
            <w:vMerge w:val="restart"/>
            <w:tcBorders>
              <w:tl2br w:val="nil"/>
              <w:tr2bl w:val="nil"/>
            </w:tcBorders>
            <w:vAlign w:val="center"/>
          </w:tcPr>
          <w:p w14:paraId="4E96EB37">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6t</w:t>
            </w:r>
          </w:p>
        </w:tc>
        <w:tc>
          <w:tcPr>
            <w:tcW w:w="465" w:type="pct"/>
            <w:tcBorders>
              <w:tl2br w:val="nil"/>
              <w:tr2bl w:val="nil"/>
            </w:tcBorders>
            <w:vAlign w:val="center"/>
          </w:tcPr>
          <w:p w14:paraId="4E9EED33">
            <w:pPr>
              <w:pStyle w:val="1489"/>
              <w:jc w:val="center"/>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年</w:t>
            </w:r>
          </w:p>
        </w:tc>
      </w:tr>
      <w:tr w14:paraId="61A5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1" w:type="pct"/>
            <w:vMerge w:val="continue"/>
            <w:tcBorders>
              <w:tl2br w:val="nil"/>
              <w:tr2bl w:val="nil"/>
            </w:tcBorders>
            <w:vAlign w:val="center"/>
          </w:tcPr>
          <w:p w14:paraId="38F862A8">
            <w:pPr>
              <w:pStyle w:val="1489"/>
              <w:rPr>
                <w:rFonts w:hint="eastAsia" w:eastAsia="宋体" w:cs="Times New Roman"/>
                <w:b w:val="0"/>
                <w:bCs/>
                <w:color w:val="auto"/>
                <w:sz w:val="21"/>
                <w:szCs w:val="21"/>
                <w:lang w:eastAsia="zh-CN"/>
              </w:rPr>
            </w:pPr>
          </w:p>
        </w:tc>
        <w:tc>
          <w:tcPr>
            <w:tcW w:w="781" w:type="pct"/>
            <w:tcBorders>
              <w:tl2br w:val="nil"/>
              <w:tr2bl w:val="nil"/>
            </w:tcBorders>
            <w:vAlign w:val="center"/>
          </w:tcPr>
          <w:p w14:paraId="1B74E611">
            <w:pPr>
              <w:tabs>
                <w:tab w:val="left" w:pos="5295"/>
              </w:tabs>
              <w:jc w:val="center"/>
              <w:rPr>
                <w:rFonts w:hint="eastAsia" w:asciiTheme="minorEastAsia" w:hAnsiTheme="minorEastAsia" w:eastAsiaTheme="minorEastAsia" w:cstheme="minorEastAsia"/>
                <w:b w:val="0"/>
                <w:bCs/>
                <w:color w:val="auto"/>
                <w:sz w:val="21"/>
                <w:szCs w:val="21"/>
              </w:rPr>
            </w:pPr>
            <w:r>
              <w:rPr>
                <w:rFonts w:hint="default" w:ascii="Times New Roman" w:hAnsi="Times New Roman" w:cs="Times New Roman"/>
                <w:color w:val="auto"/>
                <w:sz w:val="21"/>
                <w:szCs w:val="21"/>
                <w:highlight w:val="none"/>
                <w:lang w:eastAsia="zh-CN"/>
              </w:rPr>
              <w:t>废油桶</w:t>
            </w:r>
          </w:p>
        </w:tc>
        <w:tc>
          <w:tcPr>
            <w:tcW w:w="594" w:type="pct"/>
            <w:tcBorders>
              <w:tl2br w:val="nil"/>
              <w:tr2bl w:val="nil"/>
            </w:tcBorders>
            <w:vAlign w:val="center"/>
          </w:tcPr>
          <w:p w14:paraId="3EBA91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highlight w:val="none"/>
                <w:lang w:val="en-US" w:eastAsia="zh-CN" w:bidi="ar"/>
              </w:rPr>
              <w:t>HW</w:t>
            </w:r>
            <w:r>
              <w:rPr>
                <w:rFonts w:hint="eastAsia" w:cs="Times New Roman"/>
                <w:color w:val="auto"/>
                <w:kern w:val="0"/>
                <w:sz w:val="21"/>
                <w:szCs w:val="21"/>
                <w:highlight w:val="none"/>
                <w:lang w:val="en-US" w:eastAsia="zh-CN" w:bidi="ar"/>
              </w:rPr>
              <w:t>08</w:t>
            </w:r>
          </w:p>
        </w:tc>
        <w:tc>
          <w:tcPr>
            <w:tcW w:w="767" w:type="pct"/>
            <w:tcBorders>
              <w:tl2br w:val="nil"/>
              <w:tr2bl w:val="nil"/>
            </w:tcBorders>
            <w:vAlign w:val="center"/>
          </w:tcPr>
          <w:p w14:paraId="2AB5B79F">
            <w:pPr>
              <w:keepNext w:val="0"/>
              <w:keepLines w:val="0"/>
              <w:widowControl/>
              <w:suppressLineNumbers w:val="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kern w:val="0"/>
                <w:sz w:val="21"/>
                <w:szCs w:val="21"/>
                <w:lang w:val="en-US" w:eastAsia="zh-CN" w:bidi="ar"/>
              </w:rPr>
              <w:t>900-</w:t>
            </w:r>
            <w:r>
              <w:rPr>
                <w:rFonts w:hint="eastAsia" w:cs="Times New Roman"/>
                <w:color w:val="auto"/>
                <w:kern w:val="0"/>
                <w:sz w:val="21"/>
                <w:szCs w:val="21"/>
                <w:lang w:val="en-US" w:eastAsia="zh-CN" w:bidi="ar"/>
              </w:rPr>
              <w:t>249-08</w:t>
            </w:r>
          </w:p>
        </w:tc>
        <w:tc>
          <w:tcPr>
            <w:tcW w:w="631" w:type="pct"/>
            <w:vMerge w:val="continue"/>
            <w:tcBorders>
              <w:tl2br w:val="nil"/>
              <w:tr2bl w:val="nil"/>
            </w:tcBorders>
            <w:vAlign w:val="center"/>
          </w:tcPr>
          <w:p w14:paraId="71009C58">
            <w:pPr>
              <w:pStyle w:val="1489"/>
              <w:rPr>
                <w:rFonts w:hint="default" w:ascii="Times New Roman" w:hAnsi="Times New Roman" w:eastAsia="宋体" w:cs="Times New Roman"/>
                <w:b w:val="0"/>
                <w:bCs/>
                <w:color w:val="auto"/>
                <w:sz w:val="21"/>
                <w:szCs w:val="21"/>
              </w:rPr>
            </w:pPr>
          </w:p>
        </w:tc>
        <w:tc>
          <w:tcPr>
            <w:tcW w:w="560" w:type="pct"/>
            <w:tcBorders>
              <w:tl2br w:val="nil"/>
              <w:tr2bl w:val="nil"/>
            </w:tcBorders>
            <w:vAlign w:val="center"/>
          </w:tcPr>
          <w:p w14:paraId="4F491688">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桶装</w:t>
            </w:r>
          </w:p>
        </w:tc>
        <w:tc>
          <w:tcPr>
            <w:tcW w:w="487" w:type="pct"/>
            <w:vMerge w:val="continue"/>
            <w:tcBorders>
              <w:tl2br w:val="nil"/>
              <w:tr2bl w:val="nil"/>
            </w:tcBorders>
            <w:vAlign w:val="center"/>
          </w:tcPr>
          <w:p w14:paraId="4A8AD95E">
            <w:pPr>
              <w:pStyle w:val="1489"/>
              <w:rPr>
                <w:rFonts w:hint="default" w:ascii="Times New Roman" w:hAnsi="Times New Roman" w:eastAsia="宋体" w:cs="Times New Roman"/>
                <w:b w:val="0"/>
                <w:bCs/>
                <w:color w:val="auto"/>
                <w:sz w:val="21"/>
                <w:szCs w:val="21"/>
              </w:rPr>
            </w:pPr>
          </w:p>
        </w:tc>
        <w:tc>
          <w:tcPr>
            <w:tcW w:w="465" w:type="pct"/>
            <w:tcBorders>
              <w:tl2br w:val="nil"/>
              <w:tr2bl w:val="nil"/>
            </w:tcBorders>
            <w:vAlign w:val="center"/>
          </w:tcPr>
          <w:p w14:paraId="7398E26C">
            <w:pPr>
              <w:jc w:val="center"/>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年</w:t>
            </w:r>
          </w:p>
        </w:tc>
      </w:tr>
      <w:tr w14:paraId="51758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1" w:type="pct"/>
            <w:vMerge w:val="continue"/>
            <w:tcBorders>
              <w:tl2br w:val="nil"/>
              <w:tr2bl w:val="nil"/>
            </w:tcBorders>
            <w:vAlign w:val="center"/>
          </w:tcPr>
          <w:p w14:paraId="64CBEB77">
            <w:pPr>
              <w:pStyle w:val="1489"/>
              <w:rPr>
                <w:rFonts w:hint="eastAsia" w:eastAsia="宋体" w:cs="Times New Roman"/>
                <w:b w:val="0"/>
                <w:bCs/>
                <w:color w:val="auto"/>
                <w:sz w:val="21"/>
                <w:szCs w:val="21"/>
                <w:lang w:eastAsia="zh-CN"/>
              </w:rPr>
            </w:pPr>
          </w:p>
        </w:tc>
        <w:tc>
          <w:tcPr>
            <w:tcW w:w="781" w:type="pct"/>
            <w:tcBorders>
              <w:tl2br w:val="nil"/>
              <w:tr2bl w:val="nil"/>
            </w:tcBorders>
            <w:vAlign w:val="center"/>
          </w:tcPr>
          <w:p w14:paraId="263F0ABE">
            <w:pPr>
              <w:tabs>
                <w:tab w:val="left" w:pos="5295"/>
              </w:tabs>
              <w:jc w:val="center"/>
              <w:rPr>
                <w:rFonts w:hint="eastAsia" w:asciiTheme="minorEastAsia" w:hAnsiTheme="minorEastAsia" w:eastAsiaTheme="minorEastAsia" w:cstheme="minorEastAsia"/>
                <w:b w:val="0"/>
                <w:bCs/>
                <w:color w:val="auto"/>
                <w:sz w:val="21"/>
                <w:szCs w:val="21"/>
              </w:rPr>
            </w:pPr>
            <w:r>
              <w:rPr>
                <w:rFonts w:hint="eastAsia" w:cs="Times New Roman"/>
                <w:color w:val="auto"/>
                <w:sz w:val="21"/>
                <w:szCs w:val="21"/>
                <w:highlight w:val="none"/>
                <w:lang w:val="en-US" w:eastAsia="zh-CN"/>
              </w:rPr>
              <w:t>浮选药剂废包装</w:t>
            </w:r>
          </w:p>
        </w:tc>
        <w:tc>
          <w:tcPr>
            <w:tcW w:w="594" w:type="pct"/>
            <w:tcBorders>
              <w:tl2br w:val="nil"/>
              <w:tr2bl w:val="nil"/>
            </w:tcBorders>
            <w:vAlign w:val="center"/>
          </w:tcPr>
          <w:p w14:paraId="5068444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color w:val="auto"/>
                <w:sz w:val="21"/>
                <w:szCs w:val="21"/>
              </w:rPr>
            </w:pPr>
            <w:r>
              <w:rPr>
                <w:rFonts w:hint="eastAsia" w:cs="Times New Roman"/>
                <w:color w:val="auto"/>
                <w:kern w:val="0"/>
                <w:sz w:val="21"/>
                <w:szCs w:val="21"/>
                <w:highlight w:val="none"/>
                <w:lang w:val="en-US" w:eastAsia="zh-CN" w:bidi="ar"/>
              </w:rPr>
              <w:t>HW49</w:t>
            </w:r>
          </w:p>
        </w:tc>
        <w:tc>
          <w:tcPr>
            <w:tcW w:w="767" w:type="pct"/>
            <w:tcBorders>
              <w:tl2br w:val="nil"/>
              <w:tr2bl w:val="nil"/>
            </w:tcBorders>
            <w:vAlign w:val="center"/>
          </w:tcPr>
          <w:p w14:paraId="22D67F6A">
            <w:pPr>
              <w:keepNext w:val="0"/>
              <w:keepLines w:val="0"/>
              <w:widowControl/>
              <w:suppressLineNumbers w:val="0"/>
              <w:jc w:val="center"/>
              <w:rPr>
                <w:rFonts w:hint="default" w:ascii="Times New Roman" w:hAnsi="Times New Roman" w:eastAsia="宋体" w:cs="Times New Roman"/>
                <w:b w:val="0"/>
                <w:bCs/>
                <w:color w:val="auto"/>
                <w:sz w:val="21"/>
                <w:szCs w:val="21"/>
              </w:rPr>
            </w:pPr>
            <w:r>
              <w:rPr>
                <w:rFonts w:hint="eastAsia" w:cs="Times New Roman"/>
                <w:color w:val="auto"/>
                <w:kern w:val="0"/>
                <w:sz w:val="21"/>
                <w:szCs w:val="21"/>
                <w:lang w:val="en-US" w:eastAsia="zh-CN" w:bidi="ar"/>
              </w:rPr>
              <w:t>900-041-49</w:t>
            </w:r>
          </w:p>
        </w:tc>
        <w:tc>
          <w:tcPr>
            <w:tcW w:w="631" w:type="pct"/>
            <w:vMerge w:val="continue"/>
            <w:tcBorders>
              <w:tl2br w:val="nil"/>
              <w:tr2bl w:val="nil"/>
            </w:tcBorders>
            <w:vAlign w:val="center"/>
          </w:tcPr>
          <w:p w14:paraId="53A0EF2D">
            <w:pPr>
              <w:pStyle w:val="1489"/>
              <w:rPr>
                <w:rFonts w:hint="default" w:ascii="Times New Roman" w:hAnsi="Times New Roman" w:eastAsia="宋体" w:cs="Times New Roman"/>
                <w:b w:val="0"/>
                <w:bCs/>
                <w:color w:val="auto"/>
                <w:sz w:val="21"/>
                <w:szCs w:val="21"/>
              </w:rPr>
            </w:pPr>
          </w:p>
        </w:tc>
        <w:tc>
          <w:tcPr>
            <w:tcW w:w="560" w:type="pct"/>
            <w:tcBorders>
              <w:tl2br w:val="nil"/>
              <w:tr2bl w:val="nil"/>
            </w:tcBorders>
            <w:vAlign w:val="center"/>
          </w:tcPr>
          <w:p w14:paraId="02624FB8">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袋装</w:t>
            </w:r>
          </w:p>
        </w:tc>
        <w:tc>
          <w:tcPr>
            <w:tcW w:w="487" w:type="pct"/>
            <w:vMerge w:val="continue"/>
            <w:tcBorders>
              <w:tl2br w:val="nil"/>
              <w:tr2bl w:val="nil"/>
            </w:tcBorders>
            <w:vAlign w:val="center"/>
          </w:tcPr>
          <w:p w14:paraId="1485CDE3">
            <w:pPr>
              <w:pStyle w:val="1489"/>
              <w:rPr>
                <w:rFonts w:hint="default" w:ascii="Times New Roman" w:hAnsi="Times New Roman" w:eastAsia="宋体" w:cs="Times New Roman"/>
                <w:b w:val="0"/>
                <w:bCs/>
                <w:color w:val="auto"/>
                <w:sz w:val="21"/>
                <w:szCs w:val="21"/>
              </w:rPr>
            </w:pPr>
          </w:p>
        </w:tc>
        <w:tc>
          <w:tcPr>
            <w:tcW w:w="465" w:type="pct"/>
            <w:tcBorders>
              <w:tl2br w:val="nil"/>
              <w:tr2bl w:val="nil"/>
            </w:tcBorders>
            <w:vAlign w:val="center"/>
          </w:tcPr>
          <w:p w14:paraId="2E5A4DF0">
            <w:pPr>
              <w:jc w:val="center"/>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年</w:t>
            </w:r>
          </w:p>
        </w:tc>
      </w:tr>
    </w:tbl>
    <w:p w14:paraId="7A43E546">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（3）生活垃圾</w:t>
      </w:r>
    </w:p>
    <w:p w14:paraId="088DA6AD">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本项目新增的生活垃圾暂存于生活垃圾箱</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委托</w:t>
      </w:r>
      <w:r>
        <w:rPr>
          <w:rFonts w:hint="eastAsia" w:ascii="Times New Roman" w:hAnsi="Times New Roman" w:eastAsia="宋体" w:cs="Times New Roman"/>
          <w:color w:val="auto"/>
          <w:kern w:val="2"/>
          <w:sz w:val="24"/>
          <w:szCs w:val="24"/>
          <w:lang w:val="en-US" w:eastAsia="zh-CN" w:bidi="ar-SA"/>
        </w:rPr>
        <w:t>环卫部门清运处理，不随意排放。</w:t>
      </w:r>
    </w:p>
    <w:p w14:paraId="698A5278">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综上所述，项目固体废弃物按其特性、组成采取相应的处理或处置方案，其处理率可达100%，能满足固体废物环保控制要求。固体废弃物经过处理和处置后不会对环境产生不利影响，项目采取的固体废物污染防治措施可行。</w:t>
      </w:r>
    </w:p>
    <w:p w14:paraId="0AFFA232">
      <w:pPr>
        <w:pStyle w:val="5"/>
        <w:bidi w:val="0"/>
        <w:rPr>
          <w:rFonts w:hint="default"/>
          <w:lang w:val="en-US" w:eastAsia="zh-CN"/>
        </w:rPr>
      </w:pPr>
      <w:r>
        <w:rPr>
          <w:rFonts w:hint="eastAsia"/>
          <w:lang w:val="en-US" w:eastAsia="zh-CN"/>
        </w:rPr>
        <w:t>8.2.7环境风险防范措施</w:t>
      </w:r>
    </w:p>
    <w:p w14:paraId="54092159">
      <w:pPr>
        <w:pStyle w:val="148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textAlignment w:val="auto"/>
        <w:rPr>
          <w:rFonts w:hint="eastAsia"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防范措施</w:t>
      </w:r>
    </w:p>
    <w:p w14:paraId="6E46296A">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①</w:t>
      </w:r>
      <w:r>
        <w:rPr>
          <w:rFonts w:hint="default" w:eastAsia="宋体" w:cs="Times New Roman"/>
          <w:b/>
          <w:bCs/>
          <w:color w:val="auto"/>
          <w:kern w:val="2"/>
          <w:sz w:val="24"/>
          <w:szCs w:val="24"/>
          <w:lang w:val="en-US" w:eastAsia="zh-CN" w:bidi="ar-SA"/>
        </w:rPr>
        <w:t>暂存设施</w:t>
      </w:r>
    </w:p>
    <w:p w14:paraId="58F0DAEA">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eastAsia="宋体" w:cs="Times New Roman"/>
          <w:b w:val="0"/>
          <w:bCs w:val="0"/>
          <w:color w:val="auto"/>
          <w:kern w:val="2"/>
          <w:sz w:val="24"/>
          <w:szCs w:val="24"/>
          <w:lang w:val="en-US" w:eastAsia="zh-CN" w:bidi="ar-SA"/>
        </w:rPr>
      </w:pPr>
      <w:r>
        <w:rPr>
          <w:rFonts w:hint="eastAsia" w:eastAsia="宋体" w:cs="Times New Roman"/>
          <w:b w:val="0"/>
          <w:bCs w:val="0"/>
          <w:color w:val="auto"/>
          <w:kern w:val="2"/>
          <w:sz w:val="24"/>
          <w:szCs w:val="24"/>
          <w:lang w:val="en-US" w:eastAsia="zh-CN" w:bidi="ar-SA"/>
        </w:rPr>
        <w:t>本项目主要的环境风险物质为浮选药剂、浮选药剂废包装、废机油和废油桶</w:t>
      </w:r>
      <w:r>
        <w:rPr>
          <w:rFonts w:hint="default" w:eastAsia="宋体" w:cs="Times New Roman"/>
          <w:b w:val="0"/>
          <w:bCs w:val="0"/>
          <w:color w:val="auto"/>
          <w:kern w:val="2"/>
          <w:sz w:val="24"/>
          <w:szCs w:val="24"/>
          <w:lang w:val="en-US" w:eastAsia="zh-CN" w:bidi="ar-SA"/>
        </w:rPr>
        <w:t>，</w:t>
      </w:r>
      <w:r>
        <w:rPr>
          <w:rFonts w:hint="eastAsia" w:eastAsia="宋体" w:cs="Times New Roman"/>
          <w:b w:val="0"/>
          <w:bCs w:val="0"/>
          <w:color w:val="auto"/>
          <w:kern w:val="2"/>
          <w:sz w:val="24"/>
          <w:szCs w:val="24"/>
          <w:lang w:val="en-US" w:eastAsia="zh-CN" w:bidi="ar-SA"/>
        </w:rPr>
        <w:t>暂存区域分别为药剂存放处、危废贮存点，企业按照</w:t>
      </w:r>
      <w:r>
        <w:rPr>
          <w:rFonts w:hint="default" w:eastAsia="宋体" w:cs="Times New Roman"/>
          <w:b w:val="0"/>
          <w:bCs w:val="0"/>
          <w:color w:val="auto"/>
          <w:kern w:val="2"/>
          <w:sz w:val="24"/>
          <w:szCs w:val="24"/>
          <w:lang w:val="en-US" w:eastAsia="zh-CN" w:bidi="ar-SA"/>
        </w:rPr>
        <w:t>《危险废物贮存污染控制标准》（GB18597-2023）</w:t>
      </w:r>
      <w:r>
        <w:rPr>
          <w:rFonts w:hint="eastAsia" w:eastAsia="宋体" w:cs="Times New Roman"/>
          <w:b w:val="0"/>
          <w:bCs w:val="0"/>
          <w:color w:val="auto"/>
          <w:kern w:val="2"/>
          <w:sz w:val="24"/>
          <w:szCs w:val="24"/>
          <w:lang w:val="en-US" w:eastAsia="zh-CN" w:bidi="ar-SA"/>
        </w:rPr>
        <w:t>、《环境影响评价技术导则—地下水环境》（HJ610-2016）中相关</w:t>
      </w:r>
      <w:r>
        <w:rPr>
          <w:rFonts w:hint="default" w:eastAsia="宋体" w:cs="Times New Roman"/>
          <w:b w:val="0"/>
          <w:bCs w:val="0"/>
          <w:color w:val="auto"/>
          <w:kern w:val="2"/>
          <w:sz w:val="24"/>
          <w:szCs w:val="24"/>
          <w:lang w:val="en-US" w:eastAsia="zh-CN" w:bidi="ar-SA"/>
        </w:rPr>
        <w:t>要求</w:t>
      </w:r>
      <w:r>
        <w:rPr>
          <w:rFonts w:hint="eastAsia" w:eastAsia="宋体" w:cs="Times New Roman"/>
          <w:b w:val="0"/>
          <w:bCs w:val="0"/>
          <w:color w:val="auto"/>
          <w:kern w:val="2"/>
          <w:sz w:val="24"/>
          <w:szCs w:val="24"/>
          <w:lang w:val="en-US" w:eastAsia="zh-CN" w:bidi="ar-SA"/>
        </w:rPr>
        <w:t>进行建设</w:t>
      </w:r>
      <w:r>
        <w:rPr>
          <w:rFonts w:hint="default" w:eastAsia="宋体" w:cs="Times New Roman"/>
          <w:b w:val="0"/>
          <w:bCs w:val="0"/>
          <w:color w:val="auto"/>
          <w:kern w:val="2"/>
          <w:sz w:val="24"/>
          <w:szCs w:val="24"/>
          <w:lang w:val="en-US" w:eastAsia="zh-CN" w:bidi="ar-SA"/>
        </w:rPr>
        <w:t>，做好全封闭，做好贮存区的防风、防雨、防晒工作，后续监管中保证表面无裂缝，防止泄露事故，按重点污染防控区防渗监控，避免贮存的危险废物污染</w:t>
      </w:r>
      <w:r>
        <w:rPr>
          <w:rFonts w:hint="eastAsia" w:eastAsia="宋体" w:cs="Times New Roman"/>
          <w:b w:val="0"/>
          <w:bCs w:val="0"/>
          <w:color w:val="auto"/>
          <w:kern w:val="2"/>
          <w:sz w:val="24"/>
          <w:szCs w:val="24"/>
          <w:lang w:val="en-US" w:eastAsia="zh-CN" w:bidi="ar-SA"/>
        </w:rPr>
        <w:t>区域</w:t>
      </w:r>
      <w:r>
        <w:rPr>
          <w:rFonts w:hint="default" w:eastAsia="宋体" w:cs="Times New Roman"/>
          <w:b w:val="0"/>
          <w:bCs w:val="0"/>
          <w:color w:val="auto"/>
          <w:kern w:val="2"/>
          <w:sz w:val="24"/>
          <w:szCs w:val="24"/>
          <w:lang w:val="en-US" w:eastAsia="zh-CN" w:bidi="ar-SA"/>
        </w:rPr>
        <w:t>地下水和土壤</w:t>
      </w:r>
      <w:r>
        <w:rPr>
          <w:rFonts w:hint="eastAsia" w:eastAsia="宋体" w:cs="Times New Roman"/>
          <w:b w:val="0"/>
          <w:bCs w:val="0"/>
          <w:color w:val="auto"/>
          <w:kern w:val="2"/>
          <w:sz w:val="24"/>
          <w:szCs w:val="24"/>
          <w:lang w:val="en-US" w:eastAsia="zh-CN" w:bidi="ar-SA"/>
        </w:rPr>
        <w:t>环境质量</w:t>
      </w:r>
      <w:r>
        <w:rPr>
          <w:rFonts w:hint="default" w:eastAsia="宋体" w:cs="Times New Roman"/>
          <w:b w:val="0"/>
          <w:bCs w:val="0"/>
          <w:color w:val="auto"/>
          <w:kern w:val="2"/>
          <w:sz w:val="24"/>
          <w:szCs w:val="24"/>
          <w:lang w:val="en-US" w:eastAsia="zh-CN" w:bidi="ar-SA"/>
        </w:rPr>
        <w:t>；同时在贮存区域设置明显的警示牌标识；对危险废物的收集和管理，厂区应委派专人负责，并做好登记记录，防止存放过程中的二次污染。</w:t>
      </w:r>
    </w:p>
    <w:p w14:paraId="62891EF1">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eastAsia="宋体" w:cs="Times New Roman"/>
          <w:b w:val="0"/>
          <w:bCs w:val="0"/>
          <w:color w:val="auto"/>
          <w:kern w:val="2"/>
          <w:sz w:val="24"/>
          <w:szCs w:val="24"/>
          <w:lang w:val="en-US" w:eastAsia="zh-CN" w:bidi="ar-SA"/>
        </w:rPr>
      </w:pPr>
      <w:r>
        <w:rPr>
          <w:rFonts w:hint="default" w:eastAsia="宋体" w:cs="Times New Roman"/>
          <w:b w:val="0"/>
          <w:bCs w:val="0"/>
          <w:color w:val="auto"/>
          <w:kern w:val="2"/>
          <w:sz w:val="24"/>
          <w:szCs w:val="24"/>
          <w:lang w:val="en-US" w:eastAsia="zh-CN" w:bidi="ar-SA"/>
        </w:rPr>
        <w:t>企业内部建立了危险废物产生、外运、处置及最终去向的详细台账，按照《危险废物转移联单管理办法》的要求做好危险废物转移联单填报登记工作。</w:t>
      </w:r>
    </w:p>
    <w:p w14:paraId="72149981">
      <w:pPr>
        <w:keepNext w:val="0"/>
        <w:keepLines w:val="0"/>
        <w:widowControl/>
        <w:suppressLineNumbers w:val="0"/>
        <w:jc w:val="left"/>
        <w:rPr>
          <w:rFonts w:hint="eastAsia"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②事故废水防范措施</w:t>
      </w:r>
    </w:p>
    <w:p w14:paraId="6C610F1F">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eastAsia="宋体" w:cs="Times New Roman"/>
          <w:b w:val="0"/>
          <w:bCs w:val="0"/>
          <w:color w:val="auto"/>
          <w:kern w:val="2"/>
          <w:sz w:val="24"/>
          <w:szCs w:val="24"/>
          <w:lang w:val="en-US" w:eastAsia="zh-CN" w:bidi="ar-SA"/>
        </w:rPr>
      </w:pPr>
      <w:r>
        <w:rPr>
          <w:rFonts w:hint="eastAsia" w:eastAsia="宋体" w:cs="Times New Roman"/>
          <w:b w:val="0"/>
          <w:bCs w:val="0"/>
          <w:color w:val="auto"/>
          <w:kern w:val="2"/>
          <w:sz w:val="24"/>
          <w:szCs w:val="24"/>
          <w:lang w:val="en-US" w:eastAsia="zh-CN" w:bidi="ar-SA"/>
        </w:rPr>
        <w:t>（</w:t>
      </w:r>
      <w:r>
        <w:rPr>
          <w:rFonts w:hint="default" w:eastAsia="宋体" w:cs="Times New Roman"/>
          <w:b w:val="0"/>
          <w:bCs w:val="0"/>
          <w:color w:val="auto"/>
          <w:kern w:val="2"/>
          <w:sz w:val="24"/>
          <w:szCs w:val="24"/>
          <w:lang w:val="en-US" w:eastAsia="zh-CN" w:bidi="ar-SA"/>
        </w:rPr>
        <w:t>1</w:t>
      </w:r>
      <w:r>
        <w:rPr>
          <w:rFonts w:hint="eastAsia" w:eastAsia="宋体" w:cs="Times New Roman"/>
          <w:b w:val="0"/>
          <w:bCs w:val="0"/>
          <w:color w:val="auto"/>
          <w:kern w:val="2"/>
          <w:sz w:val="24"/>
          <w:szCs w:val="24"/>
          <w:lang w:val="en-US" w:eastAsia="zh-CN" w:bidi="ar-SA"/>
        </w:rPr>
        <w:t>）本项目尾矿输送管线采用无缝钢管，建议建设单位安装套管，防止尾矿管线破裂时，尾矿外溢；</w:t>
      </w:r>
    </w:p>
    <w:p w14:paraId="623E8C7B">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eastAsia="宋体" w:cs="Times New Roman"/>
          <w:b w:val="0"/>
          <w:bCs w:val="0"/>
          <w:color w:val="auto"/>
          <w:kern w:val="2"/>
          <w:sz w:val="24"/>
          <w:szCs w:val="24"/>
          <w:lang w:val="en-US" w:eastAsia="zh-CN" w:bidi="ar-SA"/>
        </w:rPr>
      </w:pPr>
      <w:r>
        <w:rPr>
          <w:rFonts w:hint="default" w:eastAsia="宋体" w:cs="Times New Roman"/>
          <w:b w:val="0"/>
          <w:bCs w:val="0"/>
          <w:color w:val="auto"/>
          <w:kern w:val="2"/>
          <w:sz w:val="24"/>
          <w:szCs w:val="24"/>
          <w:lang w:val="en-US" w:eastAsia="zh-CN" w:bidi="ar-SA"/>
        </w:rPr>
        <w:t>（2）</w:t>
      </w:r>
      <w:r>
        <w:rPr>
          <w:rFonts w:hint="eastAsia" w:eastAsia="宋体" w:cs="Times New Roman"/>
          <w:b w:val="0"/>
          <w:bCs w:val="0"/>
          <w:color w:val="auto"/>
          <w:kern w:val="2"/>
          <w:sz w:val="24"/>
          <w:szCs w:val="24"/>
          <w:lang w:val="en-US" w:eastAsia="zh-CN" w:bidi="ar-SA"/>
        </w:rPr>
        <w:t>定期</w:t>
      </w:r>
      <w:r>
        <w:rPr>
          <w:rFonts w:hint="default" w:eastAsia="宋体" w:cs="Times New Roman"/>
          <w:b w:val="0"/>
          <w:bCs w:val="0"/>
          <w:color w:val="auto"/>
          <w:kern w:val="2"/>
          <w:sz w:val="24"/>
          <w:szCs w:val="24"/>
          <w:lang w:val="en-US" w:eastAsia="zh-CN" w:bidi="ar-SA"/>
        </w:rPr>
        <w:t>检查厂区内各种管线，对老化的管道及时更换，定期系统试压、定期检漏，并将检查结果记录在案备查，24小时监控，一旦发现管线泄漏及时修补，避免故障事故发生</w:t>
      </w:r>
      <w:r>
        <w:rPr>
          <w:rFonts w:hint="eastAsia" w:eastAsia="宋体" w:cs="Times New Roman"/>
          <w:b w:val="0"/>
          <w:bCs w:val="0"/>
          <w:color w:val="auto"/>
          <w:kern w:val="2"/>
          <w:sz w:val="24"/>
          <w:szCs w:val="24"/>
          <w:lang w:val="en-US" w:eastAsia="zh-CN" w:bidi="ar-SA"/>
        </w:rPr>
        <w:t>；</w:t>
      </w:r>
    </w:p>
    <w:p w14:paraId="6D2FF1A0">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eastAsia="宋体" w:cs="Times New Roman"/>
          <w:b w:val="0"/>
          <w:bCs w:val="0"/>
          <w:color w:val="auto"/>
          <w:kern w:val="2"/>
          <w:sz w:val="24"/>
          <w:szCs w:val="24"/>
          <w:lang w:val="en-US" w:eastAsia="zh-CN" w:bidi="ar-SA"/>
        </w:rPr>
      </w:pPr>
      <w:r>
        <w:rPr>
          <w:rFonts w:hint="eastAsia" w:eastAsia="宋体" w:cs="Times New Roman"/>
          <w:b w:val="0"/>
          <w:bCs w:val="0"/>
          <w:color w:val="auto"/>
          <w:kern w:val="2"/>
          <w:sz w:val="24"/>
          <w:szCs w:val="24"/>
          <w:lang w:val="en-US" w:eastAsia="zh-CN" w:bidi="ar-SA"/>
        </w:rPr>
        <w:t xml:space="preserve">（3）加强生产管理，防止生产过程中跑、冒、滴、漏、废水四处漫延渗漏，对输送系统应加强监管及相应的维护措施，严防事故废水外排。 </w:t>
      </w:r>
    </w:p>
    <w:p w14:paraId="16786CC2">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eastAsia="宋体" w:cs="Times New Roman"/>
          <w:b w:val="0"/>
          <w:bCs w:val="0"/>
          <w:color w:val="auto"/>
          <w:kern w:val="2"/>
          <w:sz w:val="24"/>
          <w:szCs w:val="24"/>
          <w:lang w:val="en-US" w:eastAsia="zh-CN" w:bidi="ar-SA"/>
        </w:rPr>
      </w:pPr>
      <w:r>
        <w:rPr>
          <w:rFonts w:hint="eastAsia" w:eastAsia="宋体" w:cs="Times New Roman"/>
          <w:b w:val="0"/>
          <w:bCs w:val="0"/>
          <w:color w:val="auto"/>
          <w:kern w:val="2"/>
          <w:sz w:val="24"/>
          <w:szCs w:val="24"/>
          <w:lang w:val="en-US" w:eastAsia="zh-CN" w:bidi="ar-SA"/>
        </w:rPr>
        <w:t>（4）配置备用水泵及相应的配件，当渣浆泵出现故障时启动备用水泵。设备故障立即停止产生废水的全段工序生产。</w:t>
      </w:r>
    </w:p>
    <w:p w14:paraId="3868D2DF">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eastAsia" w:eastAsia="宋体" w:cs="Times New Roman"/>
          <w:b w:val="0"/>
          <w:bCs w:val="0"/>
          <w:color w:val="auto"/>
          <w:kern w:val="2"/>
          <w:sz w:val="24"/>
          <w:szCs w:val="24"/>
          <w:lang w:val="en-US" w:eastAsia="zh-CN" w:bidi="ar-SA"/>
        </w:rPr>
      </w:pPr>
      <w:r>
        <w:rPr>
          <w:rFonts w:hint="eastAsia" w:eastAsia="宋体" w:cs="Times New Roman"/>
          <w:b w:val="0"/>
          <w:bCs w:val="0"/>
          <w:color w:val="auto"/>
          <w:kern w:val="2"/>
          <w:sz w:val="24"/>
          <w:szCs w:val="24"/>
          <w:lang w:val="en-US" w:eastAsia="zh-CN" w:bidi="ar-SA"/>
        </w:rPr>
        <w:t>（5）在厂区内设1座事故池，容积</w:t>
      </w:r>
      <w:r>
        <w:rPr>
          <w:rFonts w:hint="eastAsia" w:eastAsia="宋体" w:cs="Times New Roman"/>
          <w:b w:val="0"/>
          <w:bCs w:val="0"/>
          <w:color w:val="auto"/>
          <w:kern w:val="2"/>
          <w:sz w:val="24"/>
          <w:szCs w:val="24"/>
          <w:highlight w:val="none"/>
          <w:lang w:val="en-US" w:eastAsia="zh-CN" w:bidi="ar-SA"/>
        </w:rPr>
        <w:t>为1000m</w:t>
      </w:r>
      <w:r>
        <w:rPr>
          <w:rFonts w:hint="eastAsia" w:eastAsia="宋体" w:cs="Times New Roman"/>
          <w:b w:val="0"/>
          <w:bCs w:val="0"/>
          <w:color w:val="auto"/>
          <w:kern w:val="2"/>
          <w:sz w:val="24"/>
          <w:szCs w:val="24"/>
          <w:highlight w:val="none"/>
          <w:vertAlign w:val="superscript"/>
          <w:lang w:val="en-US" w:eastAsia="zh-CN" w:bidi="ar-SA"/>
        </w:rPr>
        <w:t>3</w:t>
      </w:r>
      <w:r>
        <w:rPr>
          <w:rFonts w:hint="eastAsia" w:eastAsia="宋体" w:cs="Times New Roman"/>
          <w:b w:val="0"/>
          <w:bCs w:val="0"/>
          <w:color w:val="auto"/>
          <w:kern w:val="2"/>
          <w:sz w:val="24"/>
          <w:szCs w:val="24"/>
          <w:highlight w:val="none"/>
          <w:lang w:val="en-US" w:eastAsia="zh-CN" w:bidi="ar-SA"/>
        </w:rPr>
        <w:t>，为地</w:t>
      </w:r>
      <w:r>
        <w:rPr>
          <w:rFonts w:hint="eastAsia" w:eastAsia="宋体" w:cs="Times New Roman"/>
          <w:b w:val="0"/>
          <w:bCs w:val="0"/>
          <w:color w:val="auto"/>
          <w:kern w:val="2"/>
          <w:sz w:val="24"/>
          <w:szCs w:val="24"/>
          <w:lang w:val="en-US" w:eastAsia="zh-CN" w:bidi="ar-SA"/>
        </w:rPr>
        <w:t xml:space="preserve">下式，池底做好重点防渗。事故状态下，车间内矿浆收集进事故池，防止车间外事故废水外泄至厂区外，待事故排除后，将事故矿浆导回选矿生产线。 </w:t>
      </w:r>
    </w:p>
    <w:p w14:paraId="500E138E">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③依托现有事故池容积可行性分析</w:t>
      </w:r>
    </w:p>
    <w:p w14:paraId="4753FD67">
      <w:pPr>
        <w:pStyle w:val="93"/>
        <w:tabs>
          <w:tab w:val="left" w:pos="4665"/>
          <w:tab w:val="left" w:pos="8970"/>
        </w:tabs>
        <w:spacing w:line="360" w:lineRule="auto"/>
        <w:ind w:firstLine="480" w:firstLineChars="20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根据《事故状态下水体污染的预防和控制规范</w:t>
      </w:r>
      <w:r>
        <w:rPr>
          <w:rFonts w:hint="eastAsia" w:ascii="Times New Roman" w:hAnsi="Times New Roman" w:cs="Times New Roman" w:eastAsiaTheme="minorEastAsia"/>
          <w:b w:val="0"/>
          <w:bCs w:val="0"/>
          <w:color w:val="auto"/>
          <w:kern w:val="2"/>
          <w:sz w:val="24"/>
          <w:szCs w:val="24"/>
          <w:lang w:val="en-US" w:eastAsia="zh-CN" w:bidi="ar-SA"/>
        </w:rPr>
        <w:t xml:space="preserve"> </w:t>
      </w:r>
      <w:r>
        <w:rPr>
          <w:rFonts w:hint="default" w:ascii="Times New Roman" w:hAnsi="Times New Roman" w:cs="Times New Roman" w:eastAsiaTheme="minorEastAsia"/>
          <w:b w:val="0"/>
          <w:bCs w:val="0"/>
          <w:color w:val="auto"/>
          <w:kern w:val="2"/>
          <w:sz w:val="24"/>
          <w:szCs w:val="24"/>
          <w:lang w:val="en-US" w:eastAsia="zh-CN" w:bidi="ar-SA"/>
        </w:rPr>
        <w:t>》（Q/SY 08190-2019）附录B事故缓冲设施容积的确定，</w:t>
      </w:r>
      <w:r>
        <w:rPr>
          <w:rFonts w:hint="eastAsia" w:ascii="Times New Roman" w:hAnsi="Times New Roman" w:cs="Times New Roman" w:eastAsiaTheme="minorEastAsia"/>
          <w:b w:val="0"/>
          <w:bCs w:val="0"/>
          <w:color w:val="auto"/>
          <w:kern w:val="2"/>
          <w:sz w:val="24"/>
          <w:szCs w:val="24"/>
          <w:lang w:val="en-US" w:eastAsia="zh-CN" w:bidi="ar-SA"/>
        </w:rPr>
        <w:t>本项目扩建后全厂所需事故池容积计算如下：</w:t>
      </w:r>
    </w:p>
    <w:p w14:paraId="629C1A7C">
      <w:pPr>
        <w:pStyle w:val="93"/>
        <w:tabs>
          <w:tab w:val="left" w:pos="4665"/>
          <w:tab w:val="left" w:pos="8970"/>
        </w:tabs>
        <w:spacing w:line="360" w:lineRule="auto"/>
        <w:ind w:firstLine="2160" w:firstLineChars="90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总</w:t>
      </w: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1</w:t>
      </w: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2</w:t>
      </w: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w:t>
      </w:r>
      <w:r>
        <w:rPr>
          <w:rFonts w:hint="default" w:ascii="Times New Roman" w:hAnsi="Times New Roman" w:cs="Times New Roman" w:eastAsiaTheme="minorEastAsia"/>
          <w:b w:val="0"/>
          <w:bCs w:val="0"/>
          <w:color w:val="auto"/>
          <w:kern w:val="2"/>
          <w:sz w:val="24"/>
          <w:szCs w:val="24"/>
          <w:vertAlign w:val="subscript"/>
          <w:lang w:val="en-US" w:eastAsia="zh-CN" w:bidi="ar-SA"/>
        </w:rPr>
        <w:t>max</w:t>
      </w: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5</w:t>
      </w:r>
    </w:p>
    <w:p w14:paraId="2A0BCDAF">
      <w:pPr>
        <w:pStyle w:val="93"/>
        <w:tabs>
          <w:tab w:val="left" w:pos="4665"/>
          <w:tab w:val="left" w:pos="8970"/>
        </w:tabs>
        <w:spacing w:line="360" w:lineRule="auto"/>
        <w:ind w:left="0" w:leftChars="0" w:firstLine="0" w:firstLineChars="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式中：V</w:t>
      </w:r>
      <w:r>
        <w:rPr>
          <w:rFonts w:hint="default" w:ascii="Times New Roman" w:hAnsi="Times New Roman" w:cs="Times New Roman" w:eastAsiaTheme="minorEastAsia"/>
          <w:b w:val="0"/>
          <w:bCs w:val="0"/>
          <w:color w:val="auto"/>
          <w:kern w:val="2"/>
          <w:sz w:val="24"/>
          <w:szCs w:val="24"/>
          <w:vertAlign w:val="subscript"/>
          <w:lang w:val="en-US" w:eastAsia="zh-CN" w:bidi="ar-SA"/>
        </w:rPr>
        <w:t>1</w:t>
      </w:r>
      <w:r>
        <w:rPr>
          <w:rFonts w:hint="default" w:ascii="Times New Roman" w:hAnsi="Times New Roman" w:cs="Times New Roman" w:eastAsiaTheme="minorEastAsia"/>
          <w:b w:val="0"/>
          <w:bCs w:val="0"/>
          <w:color w:val="auto"/>
          <w:kern w:val="2"/>
          <w:sz w:val="24"/>
          <w:szCs w:val="24"/>
          <w:lang w:val="en-US" w:eastAsia="zh-CN" w:bidi="ar-SA"/>
        </w:rPr>
        <w:t>—收集系统范围内发生事故的物料量</w:t>
      </w:r>
      <w:r>
        <w:rPr>
          <w:rFonts w:hint="eastAsia" w:ascii="Times New Roman" w:hAnsi="Times New Roman" w:cs="Times New Roman" w:eastAsiaTheme="minorEastAsia"/>
          <w:b w:val="0"/>
          <w:bCs w:val="0"/>
          <w:color w:val="auto"/>
          <w:kern w:val="2"/>
          <w:sz w:val="24"/>
          <w:szCs w:val="24"/>
          <w:lang w:val="en-US" w:eastAsia="zh-CN" w:bidi="ar-SA"/>
        </w:rPr>
        <w:t>，m³</w:t>
      </w:r>
      <w:r>
        <w:rPr>
          <w:rFonts w:hint="default" w:ascii="Times New Roman" w:hAnsi="Times New Roman" w:cs="Times New Roman" w:eastAsiaTheme="minorEastAsia"/>
          <w:b w:val="0"/>
          <w:bCs w:val="0"/>
          <w:color w:val="auto"/>
          <w:kern w:val="2"/>
          <w:sz w:val="24"/>
          <w:szCs w:val="24"/>
          <w:lang w:val="en-US" w:eastAsia="zh-CN" w:bidi="ar-SA"/>
        </w:rPr>
        <w:t>；</w:t>
      </w:r>
    </w:p>
    <w:p w14:paraId="08D6E82B">
      <w:pPr>
        <w:pStyle w:val="93"/>
        <w:tabs>
          <w:tab w:val="left" w:pos="4665"/>
          <w:tab w:val="left" w:pos="8970"/>
        </w:tabs>
        <w:spacing w:line="360" w:lineRule="auto"/>
        <w:ind w:firstLine="720" w:firstLineChars="300"/>
        <w:rPr>
          <w:rFonts w:hint="default"/>
          <w:lang w:val="en-US" w:eastAsia="zh-CN"/>
        </w:rPr>
      </w:pP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2</w:t>
      </w:r>
      <w:r>
        <w:rPr>
          <w:rFonts w:hint="default" w:ascii="Times New Roman" w:hAnsi="Times New Roman" w:cs="Times New Roman" w:eastAsiaTheme="minorEastAsia"/>
          <w:b w:val="0"/>
          <w:bCs w:val="0"/>
          <w:color w:val="auto"/>
          <w:kern w:val="2"/>
          <w:sz w:val="24"/>
          <w:szCs w:val="24"/>
          <w:lang w:val="en-US" w:eastAsia="zh-CN" w:bidi="ar-SA"/>
        </w:rPr>
        <w:t>—发生事故的储罐、装置或铁路、汽车装卸区的消防水量</w:t>
      </w:r>
      <w:r>
        <w:rPr>
          <w:rFonts w:hint="eastAsia" w:ascii="Times New Roman" w:hAnsi="Times New Roman" w:cs="Times New Roman" w:eastAsiaTheme="minorEastAsia"/>
          <w:b w:val="0"/>
          <w:bCs w:val="0"/>
          <w:color w:val="auto"/>
          <w:kern w:val="2"/>
          <w:sz w:val="24"/>
          <w:szCs w:val="24"/>
          <w:lang w:val="en-US" w:eastAsia="zh-CN" w:bidi="ar-SA"/>
        </w:rPr>
        <w:t>，m³；</w:t>
      </w:r>
    </w:p>
    <w:p w14:paraId="187254AF">
      <w:pPr>
        <w:pStyle w:val="93"/>
        <w:tabs>
          <w:tab w:val="left" w:pos="4665"/>
          <w:tab w:val="left" w:pos="8970"/>
        </w:tabs>
        <w:spacing w:line="360" w:lineRule="auto"/>
        <w:ind w:firstLine="720" w:firstLineChars="30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—发生事故时可以转输到其他储存或处理设施的物料量，</w:t>
      </w:r>
      <w:r>
        <w:rPr>
          <w:rFonts w:hint="eastAsia" w:ascii="Times New Roman" w:hAnsi="Times New Roman" w:cs="Times New Roman" w:eastAsiaTheme="minorEastAsia"/>
          <w:b w:val="0"/>
          <w:bCs w:val="0"/>
          <w:color w:val="auto"/>
          <w:kern w:val="2"/>
          <w:sz w:val="24"/>
          <w:szCs w:val="24"/>
          <w:lang w:val="en-US" w:eastAsia="zh-CN" w:bidi="ar-SA"/>
        </w:rPr>
        <w:t>取0</w:t>
      </w:r>
      <w:r>
        <w:rPr>
          <w:rFonts w:hint="default" w:ascii="Times New Roman" w:hAnsi="Times New Roman" w:cs="Times New Roman" w:eastAsiaTheme="minorEastAsia"/>
          <w:b w:val="0"/>
          <w:bCs w:val="0"/>
          <w:color w:val="auto"/>
          <w:kern w:val="2"/>
          <w:sz w:val="24"/>
          <w:szCs w:val="24"/>
          <w:lang w:val="en-US" w:eastAsia="zh-CN" w:bidi="ar-SA"/>
        </w:rPr>
        <w:t>m</w:t>
      </w:r>
      <w:r>
        <w:rPr>
          <w:rFonts w:hint="default" w:ascii="Times New Roman" w:hAnsi="Times New Roman" w:cs="Times New Roman" w:eastAsiaTheme="minorEastAsia"/>
          <w:b w:val="0"/>
          <w:bCs w:val="0"/>
          <w:color w:val="auto"/>
          <w:kern w:val="2"/>
          <w:sz w:val="24"/>
          <w:szCs w:val="24"/>
          <w:vertAlign w:val="superscript"/>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w:t>
      </w:r>
    </w:p>
    <w:p w14:paraId="72E00A37">
      <w:pPr>
        <w:pStyle w:val="93"/>
        <w:tabs>
          <w:tab w:val="left" w:pos="4665"/>
          <w:tab w:val="left" w:pos="8970"/>
        </w:tabs>
        <w:spacing w:line="360" w:lineRule="auto"/>
        <w:ind w:firstLine="720" w:firstLineChars="30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4</w:t>
      </w:r>
      <w:r>
        <w:rPr>
          <w:rFonts w:hint="default" w:ascii="Times New Roman" w:hAnsi="Times New Roman" w:cs="Times New Roman" w:eastAsiaTheme="minorEastAsia"/>
          <w:b w:val="0"/>
          <w:bCs w:val="0"/>
          <w:color w:val="auto"/>
          <w:kern w:val="2"/>
          <w:sz w:val="24"/>
          <w:szCs w:val="24"/>
          <w:lang w:val="en-US" w:eastAsia="zh-CN" w:bidi="ar-SA"/>
        </w:rPr>
        <w:t>—发生事故时仍必须进入该收集系统的生产废水量，取</w:t>
      </w:r>
      <w:r>
        <w:rPr>
          <w:rFonts w:hint="eastAsia" w:ascii="Times New Roman" w:hAnsi="Times New Roman" w:cs="Times New Roman" w:eastAsiaTheme="minorEastAsia"/>
          <w:b w:val="0"/>
          <w:bCs w:val="0"/>
          <w:color w:val="auto"/>
          <w:kern w:val="2"/>
          <w:sz w:val="24"/>
          <w:szCs w:val="24"/>
          <w:lang w:val="en-US" w:eastAsia="zh-CN" w:bidi="ar-SA"/>
        </w:rPr>
        <w:t>0</w:t>
      </w:r>
      <w:r>
        <w:rPr>
          <w:rFonts w:hint="default" w:ascii="Times New Roman" w:hAnsi="Times New Roman" w:cs="Times New Roman" w:eastAsiaTheme="minorEastAsia"/>
          <w:b w:val="0"/>
          <w:bCs w:val="0"/>
          <w:color w:val="auto"/>
          <w:kern w:val="2"/>
          <w:sz w:val="24"/>
          <w:szCs w:val="24"/>
          <w:lang w:val="en-US" w:eastAsia="zh-CN" w:bidi="ar-SA"/>
        </w:rPr>
        <w:t>m</w:t>
      </w:r>
      <w:r>
        <w:rPr>
          <w:rFonts w:hint="default" w:ascii="Times New Roman" w:hAnsi="Times New Roman" w:cs="Times New Roman" w:eastAsiaTheme="minorEastAsia"/>
          <w:b w:val="0"/>
          <w:bCs w:val="0"/>
          <w:color w:val="auto"/>
          <w:kern w:val="2"/>
          <w:sz w:val="24"/>
          <w:szCs w:val="24"/>
          <w:vertAlign w:val="superscript"/>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w:t>
      </w:r>
    </w:p>
    <w:p w14:paraId="745A9E6B">
      <w:pPr>
        <w:pStyle w:val="93"/>
        <w:tabs>
          <w:tab w:val="left" w:pos="4665"/>
          <w:tab w:val="left" w:pos="8970"/>
        </w:tabs>
        <w:spacing w:line="360" w:lineRule="auto"/>
        <w:ind w:firstLine="720" w:firstLineChars="300"/>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V</w:t>
      </w:r>
      <w:r>
        <w:rPr>
          <w:rFonts w:hint="default" w:ascii="Times New Roman" w:hAnsi="Times New Roman" w:cs="Times New Roman" w:eastAsiaTheme="minorEastAsia"/>
          <w:b w:val="0"/>
          <w:bCs w:val="0"/>
          <w:color w:val="auto"/>
          <w:kern w:val="2"/>
          <w:sz w:val="24"/>
          <w:szCs w:val="24"/>
          <w:vertAlign w:val="subscript"/>
          <w:lang w:val="en-US" w:eastAsia="zh-CN" w:bidi="ar-SA"/>
        </w:rPr>
        <w:t>5</w:t>
      </w:r>
      <w:r>
        <w:rPr>
          <w:rFonts w:hint="default" w:ascii="Times New Roman" w:hAnsi="Times New Roman" w:cs="Times New Roman" w:eastAsiaTheme="minorEastAsia"/>
          <w:b w:val="0"/>
          <w:bCs w:val="0"/>
          <w:color w:val="auto"/>
          <w:kern w:val="2"/>
          <w:sz w:val="24"/>
          <w:szCs w:val="24"/>
          <w:lang w:val="en-US" w:eastAsia="zh-CN" w:bidi="ar-SA"/>
        </w:rPr>
        <w:t>—发生事故时可能进入该收集系统的降雨量，m</w:t>
      </w:r>
      <w:r>
        <w:rPr>
          <w:rFonts w:hint="default" w:ascii="Times New Roman" w:hAnsi="Times New Roman" w:cs="Times New Roman" w:eastAsiaTheme="minorEastAsia"/>
          <w:b w:val="0"/>
          <w:bCs w:val="0"/>
          <w:color w:val="auto"/>
          <w:kern w:val="2"/>
          <w:sz w:val="24"/>
          <w:szCs w:val="24"/>
          <w:vertAlign w:val="superscript"/>
          <w:lang w:val="en-US" w:eastAsia="zh-CN" w:bidi="ar-SA"/>
        </w:rPr>
        <w:t>3</w:t>
      </w:r>
      <w:r>
        <w:rPr>
          <w:rFonts w:hint="default" w:ascii="Times New Roman" w:hAnsi="Times New Roman" w:cs="Times New Roman" w:eastAsiaTheme="minorEastAsia"/>
          <w:b w:val="0"/>
          <w:bCs w:val="0"/>
          <w:color w:val="auto"/>
          <w:kern w:val="2"/>
          <w:sz w:val="24"/>
          <w:szCs w:val="24"/>
          <w:lang w:val="en-US" w:eastAsia="zh-CN" w:bidi="ar-SA"/>
        </w:rPr>
        <w:t>；</w:t>
      </w:r>
    </w:p>
    <w:p w14:paraId="6313EF46">
      <w:pPr>
        <w:pStyle w:val="31"/>
        <w:keepNext w:val="0"/>
        <w:keepLines w:val="0"/>
        <w:pageBreakBefore w:val="0"/>
        <w:widowControl w:val="0"/>
        <w:kinsoku/>
        <w:wordWrap/>
        <w:overflowPunct/>
        <w:topLinePunct w:val="0"/>
        <w:autoSpaceDE/>
        <w:autoSpaceDN/>
        <w:bidi w:val="0"/>
        <w:adjustRightInd/>
        <w:snapToGrid/>
        <w:spacing w:after="0" w:line="360" w:lineRule="auto"/>
        <w:ind w:right="0"/>
        <w:jc w:val="both"/>
        <w:textAlignment w:val="auto"/>
        <w:rPr>
          <w:rFonts w:hint="default"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各个参数取值说明：</w:t>
      </w:r>
    </w:p>
    <w:p w14:paraId="6D5D53FB">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jc w:val="both"/>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eastAsia" w:ascii="宋体" w:hAnsi="宋体" w:eastAsia="宋体" w:cs="宋体"/>
          <w:b/>
          <w:bCs/>
          <w:spacing w:val="-4"/>
          <w:sz w:val="24"/>
          <w:szCs w:val="24"/>
          <w:lang w:val="en-US" w:eastAsia="zh-CN"/>
        </w:rPr>
        <w:t>V1：</w:t>
      </w:r>
      <w:r>
        <w:rPr>
          <w:rFonts w:hint="eastAsia" w:ascii="Times New Roman" w:hAnsi="Times New Roman" w:cs="Times New Roman" w:eastAsiaTheme="minorEastAsia"/>
          <w:b w:val="0"/>
          <w:bCs w:val="0"/>
          <w:color w:val="auto"/>
          <w:kern w:val="2"/>
          <w:sz w:val="24"/>
          <w:szCs w:val="24"/>
          <w:lang w:val="en-US" w:eastAsia="zh-CN" w:bidi="ar-SA"/>
        </w:rPr>
        <w:t>包括浮选机内矿浆、设备与其输送管道的连接处破损泄漏量和回水管线泄漏，具体取值如下。</w:t>
      </w:r>
    </w:p>
    <w:p w14:paraId="4D8B77CD">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jc w:val="both"/>
        <w:textAlignment w:val="auto"/>
        <w:rPr>
          <w:rFonts w:hint="default" w:ascii="Times New Roman" w:hAnsi="Times New Roman" w:eastAsia="宋体" w:cs="Times New Roman"/>
          <w:b/>
          <w:bCs/>
          <w:spacing w:val="-4"/>
          <w:sz w:val="24"/>
          <w:szCs w:val="24"/>
          <w:lang w:val="en-US" w:eastAsia="zh-CN"/>
        </w:rPr>
      </w:pPr>
      <w:r>
        <w:rPr>
          <w:rFonts w:hint="eastAsia" w:ascii="宋体" w:hAnsi="宋体" w:eastAsia="宋体" w:cs="宋体"/>
          <w:b/>
          <w:bCs/>
          <w:spacing w:val="-4"/>
          <w:sz w:val="24"/>
          <w:szCs w:val="24"/>
          <w:lang w:val="en-US" w:eastAsia="zh-CN"/>
        </w:rPr>
        <w:t>①浮选机内矿浆：</w:t>
      </w:r>
      <w:r>
        <w:rPr>
          <w:rFonts w:hint="eastAsia" w:ascii="宋体" w:hAnsi="宋体" w:eastAsia="宋体" w:cs="宋体"/>
          <w:spacing w:val="-4"/>
          <w:sz w:val="24"/>
          <w:szCs w:val="24"/>
          <w:lang w:val="en-US" w:eastAsia="zh-CN"/>
        </w:rPr>
        <w:t>单个浮选槽</w:t>
      </w:r>
      <w:r>
        <w:rPr>
          <w:rFonts w:hint="default" w:ascii="Times New Roman" w:hAnsi="Times New Roman" w:eastAsia="宋体" w:cs="Times New Roman"/>
          <w:spacing w:val="-4"/>
          <w:sz w:val="24"/>
          <w:szCs w:val="24"/>
          <w:lang w:val="en-US" w:eastAsia="zh-CN"/>
        </w:rPr>
        <w:t>容积为8m</w:t>
      </w:r>
      <w:r>
        <w:rPr>
          <w:rFonts w:hint="default"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lang w:val="en-US" w:eastAsia="zh-CN"/>
        </w:rPr>
        <w:t>，最大泄漏量取值8m</w:t>
      </w:r>
      <w:r>
        <w:rPr>
          <w:rFonts w:hint="default"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lang w:val="en-US" w:eastAsia="zh-CN"/>
        </w:rPr>
        <w:t>；</w:t>
      </w:r>
    </w:p>
    <w:p w14:paraId="7535A188">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jc w:val="both"/>
        <w:textAlignment w:val="auto"/>
        <w:rPr>
          <w:rFonts w:hint="eastAsia" w:ascii="宋体" w:hAnsi="宋体" w:eastAsia="宋体" w:cs="宋体"/>
          <w:b/>
          <w:bCs/>
          <w:spacing w:val="-4"/>
          <w:sz w:val="24"/>
          <w:szCs w:val="24"/>
          <w:lang w:val="en-US" w:eastAsia="zh-CN"/>
        </w:rPr>
      </w:pPr>
      <w:r>
        <w:rPr>
          <w:rFonts w:hint="eastAsia" w:ascii="宋体" w:hAnsi="宋体" w:eastAsia="宋体" w:cs="宋体"/>
          <w:b/>
          <w:bCs/>
          <w:spacing w:val="-4"/>
          <w:sz w:val="24"/>
          <w:szCs w:val="24"/>
          <w:lang w:val="en-US" w:eastAsia="zh-CN"/>
        </w:rPr>
        <w:t>②设备与其输送管道的连接处破损泄漏量：</w:t>
      </w:r>
    </w:p>
    <w:p w14:paraId="0F90676E">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根据事故统计，典型的泄漏损坏类型是设备与其输送管道的连接处(接头)泄漏， 裂口尺寸为管径的20％或100％，因管道或阀门完全断裂或损坏的可能性极小，</w:t>
      </w:r>
    </w:p>
    <w:p w14:paraId="6AEAE8C2">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default" w:ascii="Times New Roman" w:hAnsi="Times New Roman" w:eastAsia="宋体" w:cs="Times New Roman"/>
          <w:spacing w:val="-4"/>
          <w:sz w:val="24"/>
          <w:szCs w:val="24"/>
          <w:lang w:val="en-US" w:eastAsia="zh-CN"/>
        </w:rPr>
      </w:pPr>
      <w:r>
        <w:rPr>
          <w:rFonts w:hint="default" w:ascii="Times New Roman" w:hAnsi="Times New Roman" w:cs="Times New Roman" w:eastAsiaTheme="minorEastAsia"/>
          <w:b w:val="0"/>
          <w:bCs w:val="0"/>
          <w:color w:val="auto"/>
          <w:kern w:val="2"/>
          <w:sz w:val="24"/>
          <w:szCs w:val="24"/>
          <w:lang w:val="en-US" w:eastAsia="zh-CN" w:bidi="ar-SA"/>
        </w:rPr>
        <w:t>本评价取可能性较大、破损程度为接管口径(输送管线采用 DN150mm×5mm无缝钢管)的 20％的情况下计算泄漏事故风险源强，本项目液体泄漏速率根据《建设项 目环境风险评价技术导则》（HJ169-2018）中推荐的伯努利流量方程来估算：</w:t>
      </w:r>
    </w:p>
    <w:p w14:paraId="3900073F">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20" w:firstLineChars="200"/>
        <w:jc w:val="both"/>
        <w:textAlignment w:val="auto"/>
      </w:pPr>
      <w:r>
        <w:drawing>
          <wp:inline distT="0" distB="0" distL="114300" distR="114300">
            <wp:extent cx="3009900" cy="809625"/>
            <wp:effectExtent l="0" t="0" r="0" b="9525"/>
            <wp:docPr id="19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7"/>
                    <pic:cNvPicPr>
                      <a:picLocks noChangeAspect="1"/>
                    </pic:cNvPicPr>
                  </pic:nvPicPr>
                  <pic:blipFill>
                    <a:blip r:embed="rId53"/>
                    <a:stretch>
                      <a:fillRect/>
                    </a:stretch>
                  </pic:blipFill>
                  <pic:spPr>
                    <a:xfrm>
                      <a:off x="0" y="0"/>
                      <a:ext cx="3009900" cy="809625"/>
                    </a:xfrm>
                    <a:prstGeom prst="rect">
                      <a:avLst/>
                    </a:prstGeom>
                    <a:noFill/>
                    <a:ln>
                      <a:noFill/>
                    </a:ln>
                  </pic:spPr>
                </pic:pic>
              </a:graphicData>
            </a:graphic>
          </wp:inline>
        </w:drawing>
      </w:r>
    </w:p>
    <w:p w14:paraId="762B5622">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textAlignment w:val="auto"/>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式中：</w:t>
      </w:r>
      <w:r>
        <w:rPr>
          <w:rFonts w:hint="default" w:ascii="Times New Roman" w:hAnsi="Times New Roman" w:cs="Times New Roman"/>
          <w:spacing w:val="-1"/>
          <w:sz w:val="24"/>
          <w:szCs w:val="24"/>
        </w:rPr>
        <w:t xml:space="preserve">Q </w:t>
      </w:r>
      <w:r>
        <w:rPr>
          <w:rFonts w:hint="default" w:ascii="Times New Roman" w:hAnsi="Times New Roman" w:eastAsia="宋体" w:cs="Times New Roman"/>
          <w:spacing w:val="-1"/>
          <w:sz w:val="24"/>
          <w:szCs w:val="24"/>
        </w:rPr>
        <w:t xml:space="preserve">泄漏速率 </w:t>
      </w:r>
      <w:r>
        <w:rPr>
          <w:rFonts w:hint="default" w:ascii="Times New Roman" w:hAnsi="Times New Roman" w:cs="Times New Roman"/>
          <w:spacing w:val="-1"/>
          <w:sz w:val="24"/>
          <w:szCs w:val="24"/>
        </w:rPr>
        <w:t>——</w:t>
      </w:r>
      <w:r>
        <w:rPr>
          <w:rFonts w:hint="default" w:ascii="Times New Roman" w:hAnsi="Times New Roman" w:eastAsia="宋体" w:cs="Times New Roman"/>
          <w:spacing w:val="-1"/>
          <w:sz w:val="24"/>
          <w:szCs w:val="24"/>
        </w:rPr>
        <w:t>液体泄漏速率，</w:t>
      </w:r>
      <w:r>
        <w:rPr>
          <w:rFonts w:hint="default" w:ascii="Times New Roman" w:hAnsi="Times New Roman" w:cs="Times New Roman"/>
          <w:spacing w:val="-1"/>
          <w:sz w:val="24"/>
          <w:szCs w:val="24"/>
        </w:rPr>
        <w:t>kg/s</w:t>
      </w:r>
      <w:r>
        <w:rPr>
          <w:rFonts w:hint="default" w:ascii="Times New Roman" w:hAnsi="Times New Roman" w:eastAsia="宋体" w:cs="Times New Roman"/>
          <w:spacing w:val="-1"/>
          <w:sz w:val="24"/>
          <w:szCs w:val="24"/>
        </w:rPr>
        <w:t>；</w:t>
      </w:r>
    </w:p>
    <w:p w14:paraId="1270326E">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textAlignment w:val="auto"/>
        <w:rPr>
          <w:rFonts w:hint="default" w:ascii="Times New Roman" w:hAnsi="Times New Roman" w:eastAsia="宋体" w:cs="Times New Roman"/>
          <w:sz w:val="24"/>
          <w:szCs w:val="24"/>
        </w:rPr>
      </w:pPr>
      <w:r>
        <w:rPr>
          <w:rFonts w:hint="default" w:ascii="Times New Roman" w:hAnsi="Times New Roman" w:cs="Times New Roman"/>
          <w:spacing w:val="-1"/>
          <w:sz w:val="24"/>
          <w:szCs w:val="24"/>
        </w:rPr>
        <w:t>Cd ——</w:t>
      </w:r>
      <w:r>
        <w:rPr>
          <w:rFonts w:hint="default" w:ascii="Times New Roman" w:hAnsi="Times New Roman" w:eastAsia="宋体" w:cs="Times New Roman"/>
          <w:spacing w:val="-1"/>
          <w:sz w:val="24"/>
          <w:szCs w:val="24"/>
        </w:rPr>
        <w:t>排放系数，</w:t>
      </w:r>
      <w:r>
        <w:rPr>
          <w:rFonts w:hint="default" w:ascii="Times New Roman" w:hAnsi="Times New Roman" w:cs="Times New Roman"/>
          <w:spacing w:val="-1"/>
          <w:sz w:val="24"/>
          <w:szCs w:val="24"/>
        </w:rPr>
        <w:t>0.55</w:t>
      </w:r>
      <w:r>
        <w:rPr>
          <w:rFonts w:hint="default" w:ascii="Times New Roman" w:hAnsi="Times New Roman" w:eastAsia="宋体" w:cs="Times New Roman"/>
          <w:spacing w:val="-1"/>
          <w:sz w:val="24"/>
          <w:szCs w:val="24"/>
        </w:rPr>
        <w:t>；</w:t>
      </w:r>
    </w:p>
    <w:p w14:paraId="58D301A8">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textAlignment w:val="auto"/>
        <w:rPr>
          <w:rFonts w:hint="default" w:ascii="Times New Roman" w:hAnsi="Times New Roman" w:eastAsia="宋体" w:cs="Times New Roman"/>
          <w:sz w:val="24"/>
          <w:szCs w:val="24"/>
        </w:rPr>
      </w:pPr>
      <w:r>
        <w:rPr>
          <w:rFonts w:hint="default" w:ascii="Times New Roman" w:hAnsi="Times New Roman" w:cs="Times New Roman"/>
          <w:sz w:val="24"/>
          <w:szCs w:val="24"/>
        </w:rPr>
        <w:t>Ar ——</w:t>
      </w:r>
      <w:r>
        <w:rPr>
          <w:rFonts w:hint="default" w:ascii="Times New Roman" w:hAnsi="Times New Roman" w:eastAsia="宋体" w:cs="Times New Roman"/>
          <w:sz w:val="24"/>
          <w:szCs w:val="24"/>
        </w:rPr>
        <w:t>泄漏孔径的有效面积，</w:t>
      </w:r>
      <w:r>
        <w:rPr>
          <w:rFonts w:hint="default" w:ascii="Times New Roman" w:hAnsi="Times New Roman" w:cs="Times New Roman"/>
          <w:sz w:val="24"/>
          <w:szCs w:val="24"/>
        </w:rPr>
        <w:t>0.02m</w:t>
      </w:r>
      <w:r>
        <w:rPr>
          <w:rFonts w:hint="eastAsia" w:ascii="Times New Roman" w:hAnsi="Times New Roman" w:cs="Times New Roman"/>
          <w:sz w:val="24"/>
          <w:szCs w:val="24"/>
          <w:vertAlign w:val="superscript"/>
          <w:lang w:val="en-US" w:eastAsia="zh-CN"/>
        </w:rPr>
        <w:t>2</w:t>
      </w:r>
      <w:r>
        <w:rPr>
          <w:rFonts w:hint="default" w:ascii="Times New Roman" w:hAnsi="Times New Roman" w:eastAsia="宋体" w:cs="Times New Roman"/>
          <w:sz w:val="24"/>
          <w:szCs w:val="24"/>
        </w:rPr>
        <w:t>；</w:t>
      </w:r>
    </w:p>
    <w:p w14:paraId="6DCE9E92">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jc w:val="both"/>
        <w:textAlignment w:val="auto"/>
        <w:rPr>
          <w:rFonts w:hint="default" w:ascii="Times New Roman" w:hAnsi="Times New Roman" w:eastAsia="宋体" w:cs="Times New Roman"/>
          <w:spacing w:val="-1"/>
          <w:sz w:val="24"/>
          <w:szCs w:val="24"/>
        </w:rPr>
      </w:pPr>
      <w:r>
        <w:rPr>
          <w:rFonts w:hint="default" w:ascii="Times New Roman" w:hAnsi="Times New Roman" w:cs="Times New Roman"/>
          <w:spacing w:val="-1"/>
          <w:sz w:val="24"/>
          <w:szCs w:val="24"/>
        </w:rPr>
        <w:t>ρl ——</w:t>
      </w:r>
      <w:r>
        <w:rPr>
          <w:rFonts w:hint="default" w:ascii="Times New Roman" w:hAnsi="Times New Roman" w:eastAsia="宋体" w:cs="Times New Roman"/>
          <w:spacing w:val="-1"/>
          <w:sz w:val="24"/>
          <w:szCs w:val="24"/>
        </w:rPr>
        <w:t>液体密度，</w:t>
      </w:r>
      <w:r>
        <w:rPr>
          <w:rFonts w:hint="default" w:ascii="Times New Roman" w:hAnsi="Times New Roman" w:cs="Times New Roman"/>
          <w:spacing w:val="-1"/>
          <w:sz w:val="24"/>
          <w:szCs w:val="24"/>
        </w:rPr>
        <w:t>1480kg/m</w:t>
      </w:r>
      <w:r>
        <w:rPr>
          <w:rFonts w:hint="eastAsia" w:ascii="Times New Roman" w:hAnsi="Times New Roman" w:cs="Times New Roman"/>
          <w:spacing w:val="-1"/>
          <w:sz w:val="24"/>
          <w:szCs w:val="24"/>
          <w:vertAlign w:val="superscript"/>
          <w:lang w:val="en-US" w:eastAsia="zh-CN"/>
        </w:rPr>
        <w:t>3</w:t>
      </w:r>
      <w:r>
        <w:rPr>
          <w:rFonts w:hint="default" w:ascii="Times New Roman" w:hAnsi="Times New Roman" w:eastAsia="宋体" w:cs="Times New Roman"/>
          <w:spacing w:val="-1"/>
          <w:sz w:val="24"/>
          <w:szCs w:val="24"/>
        </w:rPr>
        <w:t>；</w:t>
      </w:r>
    </w:p>
    <w:p w14:paraId="4BAFDC46">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textAlignment w:val="auto"/>
        <w:rPr>
          <w:rFonts w:hint="default" w:ascii="Times New Roman" w:hAnsi="Times New Roman" w:eastAsia="宋体" w:cs="Times New Roman"/>
          <w:sz w:val="24"/>
          <w:szCs w:val="24"/>
        </w:rPr>
      </w:pPr>
      <w:r>
        <w:rPr>
          <w:rFonts w:hint="default" w:ascii="Times New Roman" w:hAnsi="Times New Roman" w:cs="Times New Roman"/>
          <w:sz w:val="24"/>
          <w:szCs w:val="24"/>
        </w:rPr>
        <w:t>Pl ——</w:t>
      </w:r>
      <w:r>
        <w:rPr>
          <w:rFonts w:hint="default" w:ascii="Times New Roman" w:hAnsi="Times New Roman" w:eastAsia="宋体" w:cs="Times New Roman"/>
          <w:sz w:val="24"/>
          <w:szCs w:val="24"/>
        </w:rPr>
        <w:t>容器内介质压力，</w:t>
      </w:r>
      <w:r>
        <w:rPr>
          <w:rFonts w:hint="default" w:ascii="Times New Roman" w:hAnsi="Times New Roman" w:cs="Times New Roman"/>
          <w:sz w:val="24"/>
          <w:szCs w:val="24"/>
        </w:rPr>
        <w:t>1.013×</w:t>
      </w:r>
      <w:r>
        <w:rPr>
          <w:rFonts w:hint="default" w:ascii="Times New Roman" w:hAnsi="Times New Roman" w:cs="Times New Roman"/>
          <w:spacing w:val="-1"/>
          <w:sz w:val="24"/>
          <w:szCs w:val="24"/>
        </w:rPr>
        <w:t>105Pa</w:t>
      </w:r>
      <w:r>
        <w:rPr>
          <w:rFonts w:hint="default" w:ascii="Times New Roman" w:hAnsi="Times New Roman" w:eastAsia="宋体" w:cs="Times New Roman"/>
          <w:spacing w:val="-1"/>
          <w:sz w:val="24"/>
          <w:szCs w:val="24"/>
        </w:rPr>
        <w:t>；</w:t>
      </w:r>
    </w:p>
    <w:p w14:paraId="669BF647">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textAlignment w:val="auto"/>
        <w:rPr>
          <w:rFonts w:hint="default" w:ascii="Times New Roman" w:hAnsi="Times New Roman" w:eastAsia="宋体" w:cs="Times New Roman"/>
          <w:sz w:val="24"/>
          <w:szCs w:val="24"/>
        </w:rPr>
      </w:pPr>
      <w:r>
        <w:rPr>
          <w:rFonts w:hint="default" w:ascii="Times New Roman" w:hAnsi="Times New Roman" w:cs="Times New Roman"/>
          <w:spacing w:val="-1"/>
          <w:sz w:val="24"/>
          <w:szCs w:val="24"/>
        </w:rPr>
        <w:t>Pα ——</w:t>
      </w:r>
      <w:r>
        <w:rPr>
          <w:rFonts w:hint="default" w:ascii="Times New Roman" w:hAnsi="Times New Roman" w:eastAsia="宋体" w:cs="Times New Roman"/>
          <w:spacing w:val="-1"/>
          <w:sz w:val="24"/>
          <w:szCs w:val="24"/>
        </w:rPr>
        <w:t>环境压力，</w:t>
      </w:r>
      <w:r>
        <w:rPr>
          <w:rFonts w:hint="default" w:ascii="Times New Roman" w:hAnsi="Times New Roman" w:cs="Times New Roman"/>
          <w:spacing w:val="-1"/>
          <w:sz w:val="24"/>
          <w:szCs w:val="24"/>
        </w:rPr>
        <w:t>1.013×105Pa</w:t>
      </w:r>
      <w:r>
        <w:rPr>
          <w:rFonts w:hint="default" w:ascii="Times New Roman" w:hAnsi="Times New Roman" w:eastAsia="宋体" w:cs="Times New Roman"/>
          <w:spacing w:val="-1"/>
          <w:sz w:val="24"/>
          <w:szCs w:val="24"/>
        </w:rPr>
        <w:t>；</w:t>
      </w:r>
    </w:p>
    <w:p w14:paraId="365E24AF">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textAlignment w:val="auto"/>
        <w:rPr>
          <w:rFonts w:hint="default" w:ascii="Times New Roman" w:hAnsi="Times New Roman" w:eastAsia="宋体" w:cs="Times New Roman"/>
          <w:sz w:val="24"/>
          <w:szCs w:val="24"/>
        </w:rPr>
      </w:pPr>
      <w:r>
        <w:rPr>
          <w:rFonts w:hint="default" w:ascii="Times New Roman" w:hAnsi="Times New Roman" w:cs="Times New Roman"/>
          <w:spacing w:val="-1"/>
          <w:sz w:val="24"/>
          <w:szCs w:val="24"/>
        </w:rPr>
        <w:t>g ——</w:t>
      </w:r>
      <w:r>
        <w:rPr>
          <w:rFonts w:hint="default" w:ascii="Times New Roman" w:hAnsi="Times New Roman" w:eastAsia="宋体" w:cs="Times New Roman"/>
          <w:spacing w:val="-1"/>
          <w:sz w:val="24"/>
          <w:szCs w:val="24"/>
        </w:rPr>
        <w:t>重力加速度，</w:t>
      </w:r>
      <w:r>
        <w:rPr>
          <w:rFonts w:hint="default" w:ascii="Times New Roman" w:hAnsi="Times New Roman" w:cs="Times New Roman"/>
          <w:spacing w:val="-1"/>
          <w:sz w:val="24"/>
          <w:szCs w:val="24"/>
        </w:rPr>
        <w:t>9.81m/s</w:t>
      </w:r>
      <w:r>
        <w:rPr>
          <w:rFonts w:hint="eastAsia" w:ascii="Times New Roman" w:hAnsi="Times New Roman" w:cs="Times New Roman"/>
          <w:spacing w:val="-1"/>
          <w:sz w:val="24"/>
          <w:szCs w:val="24"/>
          <w:vertAlign w:val="superscript"/>
          <w:lang w:val="en-US" w:eastAsia="zh-CN"/>
        </w:rPr>
        <w:t>2</w:t>
      </w:r>
      <w:r>
        <w:rPr>
          <w:rFonts w:hint="default" w:ascii="Times New Roman" w:hAnsi="Times New Roman" w:eastAsia="宋体" w:cs="Times New Roman"/>
          <w:spacing w:val="-1"/>
          <w:sz w:val="24"/>
          <w:szCs w:val="24"/>
        </w:rPr>
        <w:t>；</w:t>
      </w:r>
    </w:p>
    <w:p w14:paraId="23B167A4">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firstLineChars="0"/>
        <w:jc w:val="both"/>
        <w:textAlignment w:val="auto"/>
        <w:rPr>
          <w:rFonts w:hint="eastAsia" w:ascii="Times New Roman" w:hAnsi="Times New Roman" w:eastAsia="宋体" w:cs="Times New Roman"/>
          <w:spacing w:val="-1"/>
          <w:sz w:val="24"/>
          <w:szCs w:val="24"/>
          <w:lang w:eastAsia="zh-CN"/>
        </w:rPr>
      </w:pPr>
      <w:r>
        <w:rPr>
          <w:rFonts w:hint="default" w:ascii="Times New Roman" w:hAnsi="Times New Roman" w:cs="Times New Roman"/>
          <w:spacing w:val="-1"/>
          <w:sz w:val="24"/>
          <w:szCs w:val="24"/>
        </w:rPr>
        <w:t>h ——</w:t>
      </w:r>
      <w:r>
        <w:rPr>
          <w:rFonts w:hint="default" w:ascii="Times New Roman" w:hAnsi="Times New Roman" w:eastAsia="宋体" w:cs="Times New Roman"/>
          <w:spacing w:val="-1"/>
          <w:sz w:val="24"/>
          <w:szCs w:val="24"/>
        </w:rPr>
        <w:t>裂口之上的液位高度，</w:t>
      </w:r>
      <w:r>
        <w:rPr>
          <w:rFonts w:hint="default" w:ascii="Times New Roman" w:hAnsi="Times New Roman" w:cs="Times New Roman"/>
          <w:spacing w:val="-1"/>
          <w:sz w:val="24"/>
          <w:szCs w:val="24"/>
        </w:rPr>
        <w:t>1m</w:t>
      </w:r>
      <w:r>
        <w:rPr>
          <w:rFonts w:hint="eastAsia" w:ascii="Times New Roman" w:hAnsi="Times New Roman" w:cs="Times New Roman"/>
          <w:spacing w:val="-1"/>
          <w:sz w:val="24"/>
          <w:szCs w:val="24"/>
          <w:lang w:eastAsia="zh-CN"/>
        </w:rPr>
        <w:t>。</w:t>
      </w:r>
    </w:p>
    <w:p w14:paraId="631657CC">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44" w:firstLineChars="200"/>
        <w:jc w:val="both"/>
        <w:textAlignment w:val="auto"/>
        <w:rPr>
          <w:rFonts w:ascii="宋体" w:hAnsi="宋体" w:eastAsia="宋体" w:cs="宋体"/>
        </w:rPr>
      </w:pPr>
      <w:r>
        <w:rPr>
          <w:rFonts w:hint="default" w:ascii="Times New Roman" w:hAnsi="Times New Roman" w:eastAsia="宋体" w:cs="Times New Roman"/>
          <w:spacing w:val="-9"/>
          <w:sz w:val="24"/>
          <w:szCs w:val="24"/>
        </w:rPr>
        <w:t>假设发生泄漏事故后，可在</w:t>
      </w:r>
      <w:r>
        <w:rPr>
          <w:rFonts w:hint="default" w:ascii="Times New Roman" w:hAnsi="Times New Roman" w:eastAsia="宋体" w:cs="Times New Roman"/>
          <w:spacing w:val="-39"/>
          <w:sz w:val="24"/>
          <w:szCs w:val="24"/>
        </w:rPr>
        <w:t xml:space="preserve"> </w:t>
      </w:r>
      <w:r>
        <w:rPr>
          <w:rFonts w:hint="default" w:ascii="Times New Roman" w:hAnsi="Times New Roman" w:cs="Times New Roman"/>
          <w:spacing w:val="-9"/>
          <w:sz w:val="24"/>
          <w:szCs w:val="24"/>
        </w:rPr>
        <w:t>10</w:t>
      </w:r>
      <w:r>
        <w:rPr>
          <w:rFonts w:hint="default" w:ascii="Times New Roman" w:hAnsi="Times New Roman" w:eastAsia="宋体" w:cs="Times New Roman"/>
          <w:spacing w:val="-9"/>
          <w:sz w:val="24"/>
          <w:szCs w:val="24"/>
        </w:rPr>
        <w:t>分钟时间内</w:t>
      </w:r>
      <w:r>
        <w:rPr>
          <w:rFonts w:hint="default" w:ascii="Times New Roman" w:hAnsi="Times New Roman" w:eastAsia="宋体" w:cs="Times New Roman"/>
          <w:spacing w:val="-10"/>
          <w:sz w:val="24"/>
          <w:szCs w:val="24"/>
        </w:rPr>
        <w:t>启动紧急切断装置，防止继续泄漏，</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6"/>
          <w:sz w:val="24"/>
          <w:szCs w:val="24"/>
        </w:rPr>
        <w:t>且在</w:t>
      </w:r>
      <w:r>
        <w:rPr>
          <w:rFonts w:hint="default" w:ascii="Times New Roman" w:hAnsi="Times New Roman" w:eastAsia="宋体" w:cs="Times New Roman"/>
          <w:spacing w:val="-51"/>
          <w:sz w:val="24"/>
          <w:szCs w:val="24"/>
        </w:rPr>
        <w:t xml:space="preserve"> </w:t>
      </w:r>
      <w:r>
        <w:rPr>
          <w:rFonts w:hint="default" w:ascii="Times New Roman" w:hAnsi="Times New Roman" w:cs="Times New Roman"/>
          <w:spacing w:val="-6"/>
          <w:sz w:val="24"/>
          <w:szCs w:val="24"/>
        </w:rPr>
        <w:t>30</w:t>
      </w:r>
      <w:r>
        <w:rPr>
          <w:rFonts w:hint="default" w:ascii="Times New Roman" w:hAnsi="Times New Roman" w:eastAsia="宋体" w:cs="Times New Roman"/>
          <w:spacing w:val="-6"/>
          <w:sz w:val="24"/>
          <w:szCs w:val="24"/>
        </w:rPr>
        <w:t>分钟内处理事故泄漏物质完毕，即事故持续时间为</w:t>
      </w:r>
      <w:r>
        <w:rPr>
          <w:rFonts w:hint="default" w:ascii="Times New Roman" w:hAnsi="Times New Roman" w:eastAsia="宋体" w:cs="Times New Roman"/>
          <w:spacing w:val="-49"/>
          <w:sz w:val="24"/>
          <w:szCs w:val="24"/>
        </w:rPr>
        <w:t xml:space="preserve"> </w:t>
      </w:r>
      <w:r>
        <w:rPr>
          <w:rFonts w:hint="default" w:ascii="Times New Roman" w:hAnsi="Times New Roman" w:cs="Times New Roman"/>
          <w:spacing w:val="-6"/>
          <w:sz w:val="24"/>
          <w:szCs w:val="24"/>
        </w:rPr>
        <w:t>30</w:t>
      </w:r>
      <w:r>
        <w:rPr>
          <w:rFonts w:hint="default" w:ascii="Times New Roman" w:hAnsi="Times New Roman" w:eastAsia="宋体" w:cs="Times New Roman"/>
          <w:spacing w:val="-6"/>
          <w:sz w:val="24"/>
          <w:szCs w:val="24"/>
        </w:rPr>
        <w:t>分钟。经</w:t>
      </w:r>
      <w:r>
        <w:rPr>
          <w:rFonts w:hint="default" w:ascii="Times New Roman" w:hAnsi="Times New Roman" w:eastAsia="宋体" w:cs="Times New Roman"/>
          <w:spacing w:val="-7"/>
          <w:sz w:val="24"/>
          <w:szCs w:val="24"/>
        </w:rPr>
        <w:t>计算，</w:t>
      </w:r>
      <w:r>
        <w:rPr>
          <w:rFonts w:hint="default" w:ascii="Times New Roman" w:hAnsi="Times New Roman" w:eastAsia="宋体" w:cs="Times New Roman"/>
          <w:spacing w:val="-48"/>
          <w:sz w:val="24"/>
          <w:szCs w:val="24"/>
        </w:rPr>
        <w:t xml:space="preserve"> </w:t>
      </w:r>
      <w:r>
        <w:rPr>
          <w:rFonts w:hint="default" w:ascii="Times New Roman" w:hAnsi="Times New Roman" w:eastAsia="宋体" w:cs="Times New Roman"/>
          <w:spacing w:val="-7"/>
          <w:sz w:val="24"/>
          <w:szCs w:val="24"/>
        </w:rPr>
        <w:t>事故</w:t>
      </w:r>
      <w:r>
        <w:rPr>
          <w:rFonts w:hint="default" w:ascii="Times New Roman" w:hAnsi="Times New Roman" w:eastAsia="宋体" w:cs="Times New Roman"/>
          <w:spacing w:val="-2"/>
          <w:sz w:val="24"/>
          <w:szCs w:val="24"/>
        </w:rPr>
        <w:t>的风险源强数据见</w:t>
      </w:r>
      <w:r>
        <w:rPr>
          <w:rFonts w:hint="eastAsia" w:ascii="Times New Roman" w:hAnsi="Times New Roman" w:eastAsia="宋体" w:cs="Times New Roman"/>
          <w:spacing w:val="-2"/>
          <w:sz w:val="24"/>
          <w:szCs w:val="24"/>
          <w:lang w:val="en-US" w:eastAsia="zh-CN"/>
        </w:rPr>
        <w:t>下表</w:t>
      </w:r>
      <w:r>
        <w:rPr>
          <w:rFonts w:hint="default" w:ascii="Times New Roman" w:hAnsi="Times New Roman" w:eastAsia="宋体" w:cs="Times New Roman"/>
          <w:spacing w:val="-2"/>
          <w:sz w:val="24"/>
          <w:szCs w:val="24"/>
        </w:rPr>
        <w:t>。</w:t>
      </w:r>
    </w:p>
    <w:p w14:paraId="647AA8B0">
      <w:pPr>
        <w:pStyle w:val="31"/>
        <w:spacing w:before="1" w:line="229" w:lineRule="auto"/>
        <w:ind w:left="597" w:firstLine="723" w:firstLineChars="300"/>
        <w:rPr>
          <w:rFonts w:ascii="宋体" w:hAnsi="宋体" w:eastAsia="宋体" w:cs="宋体"/>
          <w:sz w:val="24"/>
          <w:szCs w:val="24"/>
        </w:rPr>
      </w:pPr>
      <w:r>
        <w:rPr>
          <w:rFonts w:hint="default" w:ascii="Times New Roman" w:hAnsi="Times New Roman" w:eastAsia="宋体" w:cs="Times New Roman"/>
          <w:b/>
          <w:bCs/>
          <w:sz w:val="24"/>
          <w:szCs w:val="24"/>
        </w:rPr>
        <w:t>表</w:t>
      </w:r>
      <w:r>
        <w:rPr>
          <w:rFonts w:hint="eastAsia" w:ascii="Times New Roman" w:hAnsi="Times New Roman" w:cs="Times New Roman"/>
          <w:b/>
          <w:bCs/>
          <w:sz w:val="24"/>
          <w:szCs w:val="24"/>
          <w:lang w:val="en-US" w:eastAsia="zh-CN"/>
        </w:rPr>
        <w:t>8.2-7</w:t>
      </w:r>
      <w:r>
        <w:rPr>
          <w:b/>
          <w:bCs/>
          <w:sz w:val="24"/>
          <w:szCs w:val="24"/>
        </w:rPr>
        <w:t xml:space="preserve">   </w:t>
      </w:r>
      <w:r>
        <w:rPr>
          <w:rFonts w:hint="eastAsia"/>
          <w:b/>
          <w:bCs/>
          <w:sz w:val="24"/>
          <w:szCs w:val="24"/>
          <w:lang w:val="en-US" w:eastAsia="zh-CN"/>
        </w:rPr>
        <w:t xml:space="preserve">  </w:t>
      </w:r>
      <w:r>
        <w:rPr>
          <w:b/>
          <w:bCs/>
          <w:spacing w:val="-1"/>
          <w:sz w:val="24"/>
          <w:szCs w:val="24"/>
        </w:rPr>
        <w:t xml:space="preserve">  </w:t>
      </w:r>
      <w:r>
        <w:rPr>
          <w:rFonts w:ascii="宋体" w:hAnsi="宋体" w:eastAsia="宋体" w:cs="宋体"/>
          <w:b/>
          <w:bCs/>
          <w:spacing w:val="-1"/>
          <w:sz w:val="24"/>
          <w:szCs w:val="24"/>
        </w:rPr>
        <w:t>泄漏事故风险源强计算表</w:t>
      </w:r>
    </w:p>
    <w:tbl>
      <w:tblPr>
        <w:tblStyle w:val="297"/>
        <w:tblW w:w="8519"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98"/>
        <w:gridCol w:w="1537"/>
        <w:gridCol w:w="1558"/>
        <w:gridCol w:w="845"/>
        <w:gridCol w:w="1154"/>
        <w:gridCol w:w="1409"/>
        <w:gridCol w:w="1018"/>
      </w:tblGrid>
      <w:tr w14:paraId="4A6B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9" w:hRule="atLeast"/>
        </w:trPr>
        <w:tc>
          <w:tcPr>
            <w:tcW w:w="998" w:type="dxa"/>
            <w:vMerge w:val="restart"/>
            <w:vAlign w:val="top"/>
          </w:tcPr>
          <w:p w14:paraId="5D086EB0">
            <w:pPr>
              <w:spacing w:before="302" w:line="221" w:lineRule="auto"/>
              <w:ind w:left="89"/>
              <w:rPr>
                <w:rFonts w:ascii="宋体" w:hAnsi="宋体" w:eastAsia="宋体" w:cs="宋体"/>
                <w:sz w:val="21"/>
                <w:szCs w:val="21"/>
              </w:rPr>
            </w:pPr>
            <w:r>
              <w:rPr>
                <w:rFonts w:ascii="宋体" w:hAnsi="宋体" w:eastAsia="宋体" w:cs="宋体"/>
                <w:spacing w:val="-2"/>
                <w:sz w:val="21"/>
                <w:szCs w:val="21"/>
              </w:rPr>
              <w:t>事故原因</w:t>
            </w:r>
          </w:p>
        </w:tc>
        <w:tc>
          <w:tcPr>
            <w:tcW w:w="1537" w:type="dxa"/>
            <w:vMerge w:val="restart"/>
            <w:vAlign w:val="top"/>
          </w:tcPr>
          <w:p w14:paraId="73CEFEA8">
            <w:pPr>
              <w:spacing w:before="302" w:line="221" w:lineRule="auto"/>
              <w:ind w:left="355"/>
              <w:rPr>
                <w:rFonts w:ascii="宋体" w:hAnsi="宋体" w:eastAsia="宋体" w:cs="宋体"/>
                <w:sz w:val="21"/>
                <w:szCs w:val="21"/>
              </w:rPr>
            </w:pPr>
            <w:r>
              <w:rPr>
                <w:rFonts w:ascii="宋体" w:hAnsi="宋体" w:eastAsia="宋体" w:cs="宋体"/>
                <w:spacing w:val="-3"/>
                <w:sz w:val="21"/>
                <w:szCs w:val="21"/>
              </w:rPr>
              <w:t>发生装置</w:t>
            </w:r>
          </w:p>
        </w:tc>
        <w:tc>
          <w:tcPr>
            <w:tcW w:w="1558" w:type="dxa"/>
            <w:vMerge w:val="restart"/>
            <w:vAlign w:val="top"/>
          </w:tcPr>
          <w:p w14:paraId="327AD0E5">
            <w:pPr>
              <w:spacing w:before="301" w:line="221" w:lineRule="auto"/>
              <w:ind w:left="366"/>
              <w:rPr>
                <w:rFonts w:ascii="宋体" w:hAnsi="宋体" w:eastAsia="宋体" w:cs="宋体"/>
                <w:sz w:val="21"/>
                <w:szCs w:val="21"/>
              </w:rPr>
            </w:pPr>
            <w:r>
              <w:rPr>
                <w:rFonts w:ascii="宋体" w:hAnsi="宋体" w:eastAsia="宋体" w:cs="宋体"/>
                <w:spacing w:val="-3"/>
                <w:sz w:val="21"/>
                <w:szCs w:val="21"/>
              </w:rPr>
              <w:t>设计条件</w:t>
            </w:r>
          </w:p>
        </w:tc>
        <w:tc>
          <w:tcPr>
            <w:tcW w:w="845" w:type="dxa"/>
            <w:vMerge w:val="restart"/>
            <w:vAlign w:val="top"/>
          </w:tcPr>
          <w:p w14:paraId="1C6BB9E7">
            <w:pPr>
              <w:spacing w:before="145" w:line="221" w:lineRule="auto"/>
              <w:ind w:left="218"/>
              <w:rPr>
                <w:rFonts w:ascii="宋体" w:hAnsi="宋体" w:eastAsia="宋体" w:cs="宋体"/>
                <w:sz w:val="21"/>
                <w:szCs w:val="21"/>
              </w:rPr>
            </w:pPr>
            <w:r>
              <w:rPr>
                <w:rFonts w:ascii="宋体" w:hAnsi="宋体" w:eastAsia="宋体" w:cs="宋体"/>
                <w:spacing w:val="-3"/>
                <w:sz w:val="21"/>
                <w:szCs w:val="21"/>
              </w:rPr>
              <w:t>持续</w:t>
            </w:r>
          </w:p>
          <w:p w14:paraId="20CAC847">
            <w:pPr>
              <w:spacing w:before="60" w:line="223" w:lineRule="auto"/>
              <w:ind w:left="226"/>
              <w:rPr>
                <w:rFonts w:ascii="宋体" w:hAnsi="宋体" w:eastAsia="宋体" w:cs="宋体"/>
                <w:sz w:val="21"/>
                <w:szCs w:val="21"/>
              </w:rPr>
            </w:pPr>
            <w:r>
              <w:rPr>
                <w:rFonts w:ascii="宋体" w:hAnsi="宋体" w:eastAsia="宋体" w:cs="宋体"/>
                <w:spacing w:val="-4"/>
                <w:sz w:val="21"/>
                <w:szCs w:val="21"/>
              </w:rPr>
              <w:t>时间</w:t>
            </w:r>
          </w:p>
        </w:tc>
        <w:tc>
          <w:tcPr>
            <w:tcW w:w="2563" w:type="dxa"/>
            <w:gridSpan w:val="2"/>
            <w:vAlign w:val="top"/>
          </w:tcPr>
          <w:p w14:paraId="5C8B564B">
            <w:pPr>
              <w:spacing w:before="98" w:line="221" w:lineRule="auto"/>
              <w:ind w:left="763"/>
              <w:rPr>
                <w:rFonts w:ascii="宋体" w:hAnsi="宋体" w:eastAsia="宋体" w:cs="宋体"/>
                <w:sz w:val="21"/>
                <w:szCs w:val="21"/>
              </w:rPr>
            </w:pPr>
            <w:r>
              <w:rPr>
                <w:rFonts w:ascii="宋体" w:hAnsi="宋体" w:eastAsia="宋体" w:cs="宋体"/>
                <w:spacing w:val="-2"/>
                <w:sz w:val="21"/>
                <w:szCs w:val="21"/>
              </w:rPr>
              <w:t>总泄漏情况</w:t>
            </w:r>
          </w:p>
        </w:tc>
        <w:tc>
          <w:tcPr>
            <w:tcW w:w="1018" w:type="dxa"/>
            <w:vMerge w:val="restart"/>
            <w:vAlign w:val="top"/>
          </w:tcPr>
          <w:p w14:paraId="2B79D7FD">
            <w:pPr>
              <w:spacing w:before="301" w:line="221" w:lineRule="auto"/>
              <w:ind w:left="97"/>
              <w:rPr>
                <w:rFonts w:ascii="宋体" w:hAnsi="宋体" w:eastAsia="宋体" w:cs="宋体"/>
                <w:sz w:val="21"/>
                <w:szCs w:val="21"/>
              </w:rPr>
            </w:pPr>
            <w:r>
              <w:rPr>
                <w:rFonts w:ascii="宋体" w:hAnsi="宋体" w:eastAsia="宋体" w:cs="宋体"/>
                <w:spacing w:val="-2"/>
                <w:sz w:val="21"/>
                <w:szCs w:val="21"/>
              </w:rPr>
              <w:t>事故概率</w:t>
            </w:r>
          </w:p>
        </w:tc>
      </w:tr>
      <w:tr w14:paraId="3FDE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998" w:type="dxa"/>
            <w:vMerge w:val="continue"/>
            <w:vAlign w:val="top"/>
          </w:tcPr>
          <w:p w14:paraId="3E27A6A3">
            <w:pPr>
              <w:pStyle w:val="1517"/>
            </w:pPr>
          </w:p>
        </w:tc>
        <w:tc>
          <w:tcPr>
            <w:tcW w:w="1537" w:type="dxa"/>
            <w:vMerge w:val="continue"/>
            <w:vAlign w:val="top"/>
          </w:tcPr>
          <w:p w14:paraId="73762350">
            <w:pPr>
              <w:pStyle w:val="1517"/>
            </w:pPr>
          </w:p>
        </w:tc>
        <w:tc>
          <w:tcPr>
            <w:tcW w:w="1558" w:type="dxa"/>
            <w:vMerge w:val="continue"/>
            <w:vAlign w:val="top"/>
          </w:tcPr>
          <w:p w14:paraId="4DAA8BBB">
            <w:pPr>
              <w:pStyle w:val="1517"/>
            </w:pPr>
          </w:p>
        </w:tc>
        <w:tc>
          <w:tcPr>
            <w:tcW w:w="845" w:type="dxa"/>
            <w:vMerge w:val="continue"/>
            <w:vAlign w:val="top"/>
          </w:tcPr>
          <w:p w14:paraId="7163B17F">
            <w:pPr>
              <w:pStyle w:val="1517"/>
            </w:pPr>
          </w:p>
        </w:tc>
        <w:tc>
          <w:tcPr>
            <w:tcW w:w="1154" w:type="dxa"/>
            <w:vAlign w:val="top"/>
          </w:tcPr>
          <w:p w14:paraId="5250B098">
            <w:pPr>
              <w:spacing w:before="101" w:line="221" w:lineRule="auto"/>
              <w:ind w:left="164"/>
              <w:rPr>
                <w:rFonts w:ascii="宋体" w:hAnsi="宋体" w:eastAsia="宋体" w:cs="宋体"/>
                <w:sz w:val="21"/>
                <w:szCs w:val="21"/>
              </w:rPr>
            </w:pPr>
            <w:r>
              <w:rPr>
                <w:rFonts w:ascii="宋体" w:hAnsi="宋体" w:eastAsia="宋体" w:cs="宋体"/>
                <w:spacing w:val="-3"/>
                <w:sz w:val="21"/>
                <w:szCs w:val="21"/>
              </w:rPr>
              <w:t>泄漏速率</w:t>
            </w:r>
          </w:p>
        </w:tc>
        <w:tc>
          <w:tcPr>
            <w:tcW w:w="1409" w:type="dxa"/>
            <w:vAlign w:val="top"/>
          </w:tcPr>
          <w:p w14:paraId="2A636C3E">
            <w:pPr>
              <w:spacing w:before="102" w:line="222" w:lineRule="auto"/>
              <w:ind w:left="395"/>
              <w:rPr>
                <w:rFonts w:ascii="宋体" w:hAnsi="宋体" w:eastAsia="宋体" w:cs="宋体"/>
                <w:sz w:val="21"/>
                <w:szCs w:val="21"/>
              </w:rPr>
            </w:pPr>
            <w:r>
              <w:rPr>
                <w:rFonts w:ascii="宋体" w:hAnsi="宋体" w:eastAsia="宋体" w:cs="宋体"/>
                <w:spacing w:val="-2"/>
                <w:sz w:val="21"/>
                <w:szCs w:val="21"/>
              </w:rPr>
              <w:t>泄漏量</w:t>
            </w:r>
          </w:p>
        </w:tc>
        <w:tc>
          <w:tcPr>
            <w:tcW w:w="1018" w:type="dxa"/>
            <w:vMerge w:val="continue"/>
            <w:vAlign w:val="top"/>
          </w:tcPr>
          <w:p w14:paraId="0547B6A0">
            <w:pPr>
              <w:pStyle w:val="1517"/>
            </w:pPr>
          </w:p>
        </w:tc>
      </w:tr>
      <w:tr w14:paraId="0B92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4" w:hRule="atLeast"/>
        </w:trPr>
        <w:tc>
          <w:tcPr>
            <w:tcW w:w="998" w:type="dxa"/>
            <w:vAlign w:val="top"/>
          </w:tcPr>
          <w:p w14:paraId="628A6A63">
            <w:pPr>
              <w:spacing w:before="221" w:line="222" w:lineRule="auto"/>
              <w:ind w:left="300"/>
              <w:rPr>
                <w:rFonts w:ascii="宋体" w:hAnsi="宋体" w:eastAsia="宋体" w:cs="宋体"/>
                <w:sz w:val="21"/>
                <w:szCs w:val="21"/>
              </w:rPr>
            </w:pPr>
            <w:r>
              <w:rPr>
                <w:rFonts w:ascii="宋体" w:hAnsi="宋体" w:eastAsia="宋体" w:cs="宋体"/>
                <w:spacing w:val="-2"/>
                <w:sz w:val="21"/>
                <w:szCs w:val="21"/>
              </w:rPr>
              <w:t>破损</w:t>
            </w:r>
          </w:p>
        </w:tc>
        <w:tc>
          <w:tcPr>
            <w:tcW w:w="1537" w:type="dxa"/>
            <w:vAlign w:val="top"/>
          </w:tcPr>
          <w:p w14:paraId="68073750">
            <w:pPr>
              <w:spacing w:before="65" w:line="250" w:lineRule="auto"/>
              <w:ind w:left="244" w:right="29" w:hanging="207"/>
              <w:rPr>
                <w:rFonts w:ascii="宋体" w:hAnsi="宋体" w:eastAsia="宋体" w:cs="宋体"/>
                <w:sz w:val="21"/>
                <w:szCs w:val="21"/>
              </w:rPr>
            </w:pPr>
            <w:r>
              <w:rPr>
                <w:rFonts w:ascii="宋体" w:hAnsi="宋体" w:eastAsia="宋体" w:cs="宋体"/>
                <w:spacing w:val="-1"/>
                <w:sz w:val="21"/>
                <w:szCs w:val="21"/>
              </w:rPr>
              <w:t>装置与其输送管</w:t>
            </w:r>
            <w:r>
              <w:rPr>
                <w:rFonts w:ascii="宋体" w:hAnsi="宋体" w:eastAsia="宋体" w:cs="宋体"/>
                <w:spacing w:val="1"/>
                <w:sz w:val="21"/>
                <w:szCs w:val="21"/>
              </w:rPr>
              <w:t xml:space="preserve"> </w:t>
            </w:r>
            <w:r>
              <w:rPr>
                <w:rFonts w:ascii="宋体" w:hAnsi="宋体" w:eastAsia="宋体" w:cs="宋体"/>
                <w:spacing w:val="-1"/>
                <w:sz w:val="21"/>
                <w:szCs w:val="21"/>
              </w:rPr>
              <w:t>道的连接处</w:t>
            </w:r>
          </w:p>
        </w:tc>
        <w:tc>
          <w:tcPr>
            <w:tcW w:w="1558" w:type="dxa"/>
            <w:vAlign w:val="top"/>
          </w:tcPr>
          <w:p w14:paraId="4F96891F">
            <w:pPr>
              <w:spacing w:before="221" w:line="236" w:lineRule="auto"/>
              <w:ind w:left="245"/>
              <w:rPr>
                <w:rFonts w:ascii="Times New Roman" w:hAnsi="Times New Roman" w:eastAsia="Times New Roman" w:cs="Times New Roman"/>
                <w:sz w:val="13"/>
                <w:szCs w:val="13"/>
              </w:rPr>
            </w:pPr>
            <w:r>
              <w:rPr>
                <w:rFonts w:ascii="宋体" w:hAnsi="宋体" w:eastAsia="宋体" w:cs="宋体"/>
                <w:spacing w:val="-2"/>
                <w:sz w:val="21"/>
                <w:szCs w:val="21"/>
              </w:rPr>
              <w:t>裂口</w:t>
            </w:r>
            <w:r>
              <w:rPr>
                <w:rFonts w:ascii="宋体" w:hAnsi="宋体" w:eastAsia="宋体" w:cs="宋体"/>
                <w:spacing w:val="-39"/>
                <w:sz w:val="21"/>
                <w:szCs w:val="21"/>
              </w:rPr>
              <w:t xml:space="preserve"> </w:t>
            </w:r>
            <w:r>
              <w:rPr>
                <w:rFonts w:ascii="Times New Roman" w:hAnsi="Times New Roman" w:eastAsia="Times New Roman" w:cs="Times New Roman"/>
                <w:spacing w:val="-2"/>
                <w:sz w:val="21"/>
                <w:szCs w:val="21"/>
              </w:rPr>
              <w:t>0.02m</w:t>
            </w:r>
            <w:r>
              <w:rPr>
                <w:rFonts w:ascii="Times New Roman" w:hAnsi="Times New Roman" w:eastAsia="Times New Roman" w:cs="Times New Roman"/>
                <w:spacing w:val="-2"/>
                <w:position w:val="6"/>
                <w:sz w:val="13"/>
                <w:szCs w:val="13"/>
              </w:rPr>
              <w:t>2</w:t>
            </w:r>
          </w:p>
        </w:tc>
        <w:tc>
          <w:tcPr>
            <w:tcW w:w="845" w:type="dxa"/>
            <w:vAlign w:val="top"/>
          </w:tcPr>
          <w:p w14:paraId="1E5EC795">
            <w:pPr>
              <w:spacing w:before="256" w:line="234" w:lineRule="auto"/>
              <w:ind w:left="159"/>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30min</w:t>
            </w:r>
          </w:p>
        </w:tc>
        <w:tc>
          <w:tcPr>
            <w:tcW w:w="1154" w:type="dxa"/>
            <w:vAlign w:val="top"/>
          </w:tcPr>
          <w:p w14:paraId="7921AD89">
            <w:pPr>
              <w:spacing w:before="256" w:line="191" w:lineRule="auto"/>
              <w:ind w:left="170"/>
              <w:rPr>
                <w:rFonts w:ascii="Times New Roman" w:hAnsi="Times New Roman" w:eastAsia="Times New Roman" w:cs="Times New Roman"/>
                <w:sz w:val="21"/>
                <w:szCs w:val="21"/>
              </w:rPr>
            </w:pPr>
            <w:r>
              <w:rPr>
                <w:rFonts w:ascii="Times New Roman" w:hAnsi="Times New Roman" w:eastAsia="Times New Roman" w:cs="Times New Roman"/>
                <w:spacing w:val="-1"/>
                <w:sz w:val="21"/>
                <w:szCs w:val="21"/>
              </w:rPr>
              <w:t>72.11kg/s</w:t>
            </w:r>
          </w:p>
        </w:tc>
        <w:tc>
          <w:tcPr>
            <w:tcW w:w="1409" w:type="dxa"/>
            <w:vAlign w:val="top"/>
          </w:tcPr>
          <w:p w14:paraId="11635134">
            <w:pPr>
              <w:spacing w:before="100" w:line="233" w:lineRule="auto"/>
              <w:ind w:left="459"/>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129.8t</w:t>
            </w:r>
          </w:p>
          <w:p w14:paraId="6E534F49">
            <w:pPr>
              <w:spacing w:before="42" w:line="225" w:lineRule="auto"/>
              <w:ind w:left="204"/>
              <w:rPr>
                <w:rFonts w:ascii="宋体" w:hAnsi="宋体" w:eastAsia="宋体" w:cs="宋体"/>
                <w:sz w:val="21"/>
                <w:szCs w:val="21"/>
              </w:rPr>
            </w:pPr>
            <w:r>
              <w:rPr>
                <w:rFonts w:ascii="宋体" w:hAnsi="宋体" w:eastAsia="宋体" w:cs="宋体"/>
                <w:spacing w:val="-1"/>
                <w:sz w:val="21"/>
                <w:szCs w:val="21"/>
              </w:rPr>
              <w:t>（</w:t>
            </w:r>
            <w:r>
              <w:rPr>
                <w:rFonts w:ascii="Times New Roman" w:hAnsi="Times New Roman" w:eastAsia="Times New Roman" w:cs="Times New Roman"/>
                <w:spacing w:val="-1"/>
                <w:sz w:val="21"/>
                <w:szCs w:val="21"/>
              </w:rPr>
              <w:t>87.7m</w:t>
            </w:r>
            <w:r>
              <w:rPr>
                <w:rFonts w:ascii="Times New Roman" w:hAnsi="Times New Roman" w:eastAsia="Times New Roman" w:cs="Times New Roman"/>
                <w:spacing w:val="-1"/>
                <w:position w:val="6"/>
                <w:sz w:val="13"/>
                <w:szCs w:val="13"/>
              </w:rPr>
              <w:t>3</w:t>
            </w:r>
            <w:r>
              <w:rPr>
                <w:rFonts w:ascii="宋体" w:hAnsi="宋体" w:eastAsia="宋体" w:cs="宋体"/>
                <w:spacing w:val="-1"/>
                <w:sz w:val="21"/>
                <w:szCs w:val="21"/>
              </w:rPr>
              <w:t>）</w:t>
            </w:r>
          </w:p>
        </w:tc>
        <w:tc>
          <w:tcPr>
            <w:tcW w:w="1018" w:type="dxa"/>
            <w:vAlign w:val="top"/>
          </w:tcPr>
          <w:p w14:paraId="417AAC1C">
            <w:pPr>
              <w:spacing w:before="221" w:line="285" w:lineRule="exact"/>
              <w:ind w:left="135"/>
              <w:rPr>
                <w:rFonts w:ascii="Times New Roman" w:hAnsi="Times New Roman" w:eastAsia="Times New Roman" w:cs="Times New Roman"/>
                <w:sz w:val="21"/>
                <w:szCs w:val="21"/>
              </w:rPr>
            </w:pPr>
            <w:r>
              <w:rPr>
                <w:rFonts w:ascii="Times New Roman" w:hAnsi="Times New Roman" w:eastAsia="Times New Roman" w:cs="Times New Roman"/>
                <w:spacing w:val="-22"/>
                <w:position w:val="1"/>
                <w:sz w:val="21"/>
                <w:szCs w:val="21"/>
              </w:rPr>
              <w:t>1</w:t>
            </w:r>
            <w:r>
              <w:rPr>
                <w:rFonts w:ascii="Times New Roman" w:hAnsi="Times New Roman" w:eastAsia="Times New Roman" w:cs="Times New Roman"/>
                <w:spacing w:val="-14"/>
                <w:position w:val="1"/>
                <w:sz w:val="21"/>
                <w:szCs w:val="21"/>
              </w:rPr>
              <w:t xml:space="preserve"> </w:t>
            </w:r>
            <w:r>
              <w:rPr>
                <w:rFonts w:ascii="宋体" w:hAnsi="宋体" w:eastAsia="宋体" w:cs="宋体"/>
                <w:spacing w:val="-22"/>
                <w:position w:val="1"/>
                <w:sz w:val="21"/>
                <w:szCs w:val="21"/>
              </w:rPr>
              <w:t>×</w:t>
            </w:r>
            <w:r>
              <w:rPr>
                <w:rFonts w:ascii="宋体" w:hAnsi="宋体" w:eastAsia="宋体" w:cs="宋体"/>
                <w:spacing w:val="-80"/>
                <w:position w:val="1"/>
                <w:sz w:val="21"/>
                <w:szCs w:val="21"/>
              </w:rPr>
              <w:t xml:space="preserve"> </w:t>
            </w:r>
            <w:r>
              <w:rPr>
                <w:rFonts w:ascii="Times New Roman" w:hAnsi="Times New Roman" w:eastAsia="Times New Roman" w:cs="Times New Roman"/>
                <w:spacing w:val="-22"/>
                <w:position w:val="1"/>
                <w:sz w:val="21"/>
                <w:szCs w:val="21"/>
              </w:rPr>
              <w:t>10</w:t>
            </w:r>
            <w:r>
              <w:rPr>
                <w:rFonts w:ascii="Times New Roman" w:hAnsi="Times New Roman" w:eastAsia="Times New Roman" w:cs="Times New Roman"/>
                <w:spacing w:val="2"/>
                <w:position w:val="7"/>
                <w:sz w:val="13"/>
                <w:szCs w:val="13"/>
              </w:rPr>
              <w:t>-3</w:t>
            </w:r>
            <w:r>
              <w:rPr>
                <w:rFonts w:ascii="Times New Roman" w:hAnsi="Times New Roman" w:eastAsia="Times New Roman" w:cs="Times New Roman"/>
                <w:spacing w:val="2"/>
                <w:position w:val="1"/>
                <w:sz w:val="21"/>
                <w:szCs w:val="21"/>
              </w:rPr>
              <w:t>/a</w:t>
            </w:r>
          </w:p>
        </w:tc>
      </w:tr>
    </w:tbl>
    <w:p w14:paraId="0A91D2FF">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default"/>
          <w:spacing w:val="-1"/>
          <w:lang w:val="en-US" w:eastAsia="zh-CN"/>
        </w:rPr>
      </w:pPr>
      <w:r>
        <w:rPr>
          <w:rFonts w:hint="eastAsia" w:ascii="宋体" w:hAnsi="宋体" w:eastAsia="宋体" w:cs="宋体"/>
          <w:spacing w:val="-1"/>
          <w:sz w:val="24"/>
          <w:szCs w:val="24"/>
          <w:lang w:val="en-US" w:eastAsia="zh-CN"/>
        </w:rPr>
        <w:t>由上表可知</w:t>
      </w:r>
      <w:r>
        <w:rPr>
          <w:rFonts w:ascii="宋体" w:hAnsi="宋体" w:eastAsia="宋体" w:cs="宋体"/>
          <w:spacing w:val="-1"/>
          <w:sz w:val="24"/>
          <w:szCs w:val="24"/>
        </w:rPr>
        <w:t>，当装置与其输送管道的连接处破</w:t>
      </w:r>
      <w:r>
        <w:rPr>
          <w:rFonts w:ascii="宋体" w:hAnsi="宋体" w:eastAsia="宋体" w:cs="宋体"/>
          <w:spacing w:val="-2"/>
          <w:sz w:val="24"/>
          <w:szCs w:val="24"/>
        </w:rPr>
        <w:t>损时，</w:t>
      </w:r>
      <w:r>
        <w:rPr>
          <w:spacing w:val="-2"/>
          <w:sz w:val="24"/>
          <w:szCs w:val="24"/>
        </w:rPr>
        <w:t>30min</w:t>
      </w:r>
      <w:r>
        <w:rPr>
          <w:rFonts w:ascii="宋体" w:hAnsi="宋体" w:eastAsia="宋体" w:cs="宋体"/>
          <w:spacing w:val="-2"/>
          <w:sz w:val="24"/>
          <w:szCs w:val="24"/>
        </w:rPr>
        <w:t>内泄漏量累</w:t>
      </w:r>
      <w:r>
        <w:rPr>
          <w:rFonts w:ascii="宋体" w:hAnsi="宋体" w:eastAsia="宋体" w:cs="宋体"/>
          <w:spacing w:val="-3"/>
          <w:sz w:val="24"/>
          <w:szCs w:val="24"/>
        </w:rPr>
        <w:t>计</w:t>
      </w:r>
      <w:r>
        <w:rPr>
          <w:rFonts w:ascii="宋体" w:hAnsi="宋体" w:eastAsia="宋体" w:cs="宋体"/>
          <w:spacing w:val="-46"/>
          <w:sz w:val="24"/>
          <w:szCs w:val="24"/>
        </w:rPr>
        <w:t xml:space="preserve"> </w:t>
      </w:r>
      <w:r>
        <w:rPr>
          <w:spacing w:val="-3"/>
          <w:sz w:val="24"/>
          <w:szCs w:val="24"/>
        </w:rPr>
        <w:t>87.7m</w:t>
      </w:r>
      <w:r>
        <w:rPr>
          <w:rFonts w:hint="eastAsia"/>
          <w:spacing w:val="-3"/>
          <w:sz w:val="24"/>
          <w:szCs w:val="24"/>
          <w:vertAlign w:val="superscript"/>
          <w:lang w:val="en-US" w:eastAsia="zh-CN"/>
        </w:rPr>
        <w:t>3</w:t>
      </w:r>
      <w:r>
        <w:rPr>
          <w:rFonts w:ascii="宋体" w:hAnsi="宋体" w:eastAsia="宋体" w:cs="宋体"/>
          <w:spacing w:val="-3"/>
          <w:sz w:val="24"/>
          <w:szCs w:val="24"/>
        </w:rPr>
        <w:t>。</w:t>
      </w:r>
    </w:p>
    <w:p w14:paraId="4D3B5032">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jc w:val="both"/>
        <w:textAlignment w:val="auto"/>
        <w:rPr>
          <w:rFonts w:hint="default" w:ascii="Times New Roman" w:hAnsi="Times New Roman" w:eastAsia="宋体" w:cs="Times New Roman"/>
          <w:spacing w:val="-4"/>
          <w:sz w:val="24"/>
          <w:szCs w:val="24"/>
          <w:lang w:val="en-US" w:eastAsia="zh-CN"/>
        </w:rPr>
      </w:pPr>
      <w:r>
        <w:rPr>
          <w:rFonts w:hint="eastAsia" w:ascii="宋体" w:hAnsi="宋体" w:eastAsia="宋体" w:cs="宋体"/>
          <w:b/>
          <w:bCs/>
          <w:spacing w:val="-4"/>
          <w:sz w:val="24"/>
          <w:szCs w:val="24"/>
          <w:lang w:val="en-US" w:eastAsia="zh-CN"/>
        </w:rPr>
        <w:t>③回水管线泄漏</w:t>
      </w:r>
      <w:r>
        <w:rPr>
          <w:rFonts w:hint="eastAsia" w:ascii="宋体" w:hAnsi="宋体" w:eastAsia="宋体" w:cs="宋体"/>
          <w:spacing w:val="-4"/>
          <w:sz w:val="24"/>
          <w:szCs w:val="24"/>
          <w:lang w:val="en-US" w:eastAsia="zh-CN"/>
        </w:rPr>
        <w:t>：尾矿压滤后产生废水经车间内沉淀池沉淀后，经车间外架空回水管线，排至循</w:t>
      </w:r>
      <w:r>
        <w:rPr>
          <w:rFonts w:hint="default" w:ascii="Times New Roman" w:hAnsi="Times New Roman" w:eastAsia="宋体" w:cs="Times New Roman"/>
          <w:spacing w:val="-4"/>
          <w:sz w:val="24"/>
          <w:szCs w:val="24"/>
          <w:lang w:val="en-US" w:eastAsia="zh-CN"/>
        </w:rPr>
        <w:t>环水池内，回用选矿工艺，采用HDPE塑料回水管，管径DN100，供水管线总长度约30m，回水管线废水在线量约0.27m</w:t>
      </w:r>
      <w:r>
        <w:rPr>
          <w:rFonts w:hint="default"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lang w:val="en-US" w:eastAsia="zh-CN"/>
        </w:rPr>
        <w:t>。</w:t>
      </w:r>
    </w:p>
    <w:p w14:paraId="73A4BEC7">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jc w:val="both"/>
        <w:textAlignment w:val="auto"/>
        <w:rPr>
          <w:rFonts w:hint="default" w:ascii="Times New Roman" w:hAnsi="Times New Roman" w:eastAsia="宋体" w:cs="Times New Roman"/>
          <w:spacing w:val="-4"/>
          <w:sz w:val="24"/>
          <w:szCs w:val="24"/>
          <w:lang w:val="en-US" w:eastAsia="zh-CN"/>
        </w:rPr>
      </w:pPr>
      <w:r>
        <w:rPr>
          <w:rFonts w:hint="default" w:ascii="Times New Roman" w:hAnsi="Times New Roman" w:eastAsia="宋体" w:cs="Times New Roman"/>
          <w:spacing w:val="-4"/>
          <w:sz w:val="24"/>
          <w:szCs w:val="24"/>
          <w:lang w:val="en-US" w:eastAsia="zh-CN"/>
        </w:rPr>
        <w:t>综上所述，V1取值为95.97m</w:t>
      </w:r>
      <w:r>
        <w:rPr>
          <w:rFonts w:hint="default" w:ascii="Times New Roman" w:hAnsi="Times New Roman" w:eastAsia="宋体" w:cs="Times New Roman"/>
          <w:spacing w:val="-4"/>
          <w:sz w:val="24"/>
          <w:szCs w:val="24"/>
          <w:vertAlign w:val="superscript"/>
          <w:lang w:val="en-US" w:eastAsia="zh-CN"/>
        </w:rPr>
        <w:t>3</w:t>
      </w:r>
      <w:r>
        <w:rPr>
          <w:rFonts w:hint="default" w:ascii="Times New Roman" w:hAnsi="Times New Roman" w:eastAsia="宋体" w:cs="Times New Roman"/>
          <w:spacing w:val="-4"/>
          <w:sz w:val="24"/>
          <w:szCs w:val="24"/>
          <w:lang w:val="en-US" w:eastAsia="zh-CN"/>
        </w:rPr>
        <w:t>。</w:t>
      </w:r>
    </w:p>
    <w:p w14:paraId="473E0DDB">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jc w:val="both"/>
        <w:textAlignment w:val="auto"/>
        <w:rPr>
          <w:rFonts w:hint="eastAsia" w:ascii="宋体" w:hAnsi="宋体" w:eastAsia="宋体" w:cs="宋体"/>
          <w:spacing w:val="-4"/>
          <w:sz w:val="24"/>
          <w:szCs w:val="24"/>
          <w:lang w:val="en-US" w:eastAsia="zh-CN"/>
        </w:rPr>
      </w:pPr>
      <w:r>
        <w:rPr>
          <w:rFonts w:hint="default" w:ascii="Times New Roman" w:hAnsi="Times New Roman" w:eastAsia="宋体" w:cs="Times New Roman"/>
          <w:spacing w:val="-4"/>
          <w:sz w:val="24"/>
          <w:szCs w:val="24"/>
          <w:lang w:val="en-US" w:eastAsia="zh-CN"/>
        </w:rPr>
        <w:t>V2：</w:t>
      </w:r>
      <w:r>
        <w:rPr>
          <w:rFonts w:hint="default" w:ascii="Times New Roman" w:hAnsi="Times New Roman" w:eastAsia="宋体" w:cs="Times New Roman"/>
          <w:spacing w:val="-4"/>
          <w:sz w:val="24"/>
          <w:szCs w:val="24"/>
        </w:rPr>
        <w:t>根据《消防给水及消火栓系统技术规范》（</w:t>
      </w:r>
      <w:r>
        <w:rPr>
          <w:rFonts w:hint="default" w:ascii="Times New Roman" w:hAnsi="Times New Roman" w:cs="Times New Roman"/>
          <w:spacing w:val="-4"/>
          <w:sz w:val="24"/>
          <w:szCs w:val="24"/>
        </w:rPr>
        <w:t>GB50974-2014</w:t>
      </w:r>
      <w:r>
        <w:rPr>
          <w:rFonts w:hint="default" w:ascii="Times New Roman" w:hAnsi="Times New Roman" w:eastAsia="宋体" w:cs="Times New Roman"/>
          <w:spacing w:val="-4"/>
          <w:sz w:val="24"/>
          <w:szCs w:val="24"/>
        </w:rPr>
        <w:t>）</w:t>
      </w:r>
      <w:r>
        <w:rPr>
          <w:rFonts w:hint="default" w:ascii="Times New Roman" w:hAnsi="Times New Roman" w:cs="Times New Roman"/>
          <w:spacing w:val="-4"/>
          <w:sz w:val="24"/>
          <w:szCs w:val="24"/>
        </w:rPr>
        <w:t>3</w:t>
      </w:r>
      <w:r>
        <w:rPr>
          <w:rFonts w:hint="default" w:ascii="Times New Roman" w:hAnsi="Times New Roman" w:cs="Times New Roman"/>
          <w:spacing w:val="-5"/>
          <w:sz w:val="24"/>
          <w:szCs w:val="24"/>
        </w:rPr>
        <w:t>.1.1</w:t>
      </w:r>
      <w:r>
        <w:rPr>
          <w:rFonts w:hint="default" w:ascii="Times New Roman" w:hAnsi="Times New Roman" w:eastAsia="宋体" w:cs="Times New Roman"/>
          <w:spacing w:val="-5"/>
          <w:sz w:val="24"/>
          <w:szCs w:val="24"/>
        </w:rPr>
        <w:t>、</w:t>
      </w:r>
      <w:r>
        <w:rPr>
          <w:rFonts w:hint="default" w:ascii="Times New Roman" w:hAnsi="Times New Roman" w:cs="Times New Roman"/>
          <w:spacing w:val="-5"/>
          <w:sz w:val="24"/>
          <w:szCs w:val="24"/>
        </w:rPr>
        <w:t>3.3.2</w:t>
      </w:r>
      <w:r>
        <w:rPr>
          <w:rFonts w:hint="default" w:ascii="Times New Roman" w:hAnsi="Times New Roman" w:eastAsia="宋体" w:cs="Times New Roman"/>
          <w:spacing w:val="-5"/>
          <w:sz w:val="24"/>
          <w:szCs w:val="24"/>
        </w:rPr>
        <w:t>：本项</w:t>
      </w:r>
      <w:r>
        <w:rPr>
          <w:rFonts w:hint="default" w:ascii="Times New Roman" w:hAnsi="Times New Roman" w:eastAsia="宋体" w:cs="Times New Roman"/>
          <w:spacing w:val="-1"/>
          <w:sz w:val="24"/>
          <w:szCs w:val="24"/>
        </w:rPr>
        <w:t>目室外消防用水量按同一时间火灾发生</w:t>
      </w:r>
      <w:r>
        <w:rPr>
          <w:rFonts w:ascii="宋体" w:hAnsi="宋体" w:eastAsia="宋体" w:cs="宋体"/>
          <w:spacing w:val="-1"/>
          <w:sz w:val="24"/>
          <w:szCs w:val="24"/>
        </w:rPr>
        <w:t>次数一次，火灾延续时间为</w:t>
      </w:r>
      <w:r>
        <w:rPr>
          <w:spacing w:val="-1"/>
          <w:sz w:val="24"/>
          <w:szCs w:val="24"/>
        </w:rPr>
        <w:t>2</w:t>
      </w:r>
      <w:r>
        <w:rPr>
          <w:rFonts w:ascii="宋体" w:hAnsi="宋体" w:eastAsia="宋体" w:cs="宋体"/>
          <w:spacing w:val="-1"/>
          <w:sz w:val="24"/>
          <w:szCs w:val="24"/>
        </w:rPr>
        <w:t>小时，室外</w:t>
      </w:r>
      <w:r>
        <w:rPr>
          <w:rFonts w:ascii="宋体" w:hAnsi="宋体" w:eastAsia="宋体" w:cs="宋体"/>
          <w:spacing w:val="-2"/>
          <w:sz w:val="24"/>
          <w:szCs w:val="24"/>
        </w:rPr>
        <w:t>消防用水量为</w:t>
      </w:r>
      <w:r>
        <w:rPr>
          <w:rFonts w:ascii="宋体" w:hAnsi="宋体" w:eastAsia="宋体" w:cs="宋体"/>
          <w:spacing w:val="-55"/>
          <w:sz w:val="24"/>
          <w:szCs w:val="24"/>
        </w:rPr>
        <w:t xml:space="preserve"> </w:t>
      </w:r>
      <w:r>
        <w:rPr>
          <w:spacing w:val="-2"/>
          <w:sz w:val="24"/>
          <w:szCs w:val="24"/>
        </w:rPr>
        <w:t>25L/S</w:t>
      </w:r>
      <w:r>
        <w:rPr>
          <w:rFonts w:ascii="宋体" w:hAnsi="宋体" w:eastAsia="宋体" w:cs="宋体"/>
          <w:spacing w:val="-2"/>
          <w:sz w:val="24"/>
          <w:szCs w:val="24"/>
        </w:rPr>
        <w:t>，消防水量为</w:t>
      </w:r>
      <w:r>
        <w:rPr>
          <w:rFonts w:ascii="宋体" w:hAnsi="宋体" w:eastAsia="宋体" w:cs="宋体"/>
          <w:spacing w:val="-32"/>
          <w:sz w:val="24"/>
          <w:szCs w:val="24"/>
        </w:rPr>
        <w:t xml:space="preserve"> </w:t>
      </w:r>
      <w:r>
        <w:rPr>
          <w:spacing w:val="-2"/>
          <w:sz w:val="24"/>
          <w:szCs w:val="24"/>
        </w:rPr>
        <w:t>18</w:t>
      </w:r>
      <w:r>
        <w:rPr>
          <w:spacing w:val="-3"/>
          <w:sz w:val="24"/>
          <w:szCs w:val="24"/>
        </w:rPr>
        <w:t>0</w:t>
      </w:r>
      <w:r>
        <w:rPr>
          <w:rFonts w:hint="eastAsia"/>
          <w:spacing w:val="-3"/>
          <w:sz w:val="24"/>
          <w:szCs w:val="24"/>
          <w:lang w:val="en-US" w:eastAsia="zh-CN"/>
        </w:rPr>
        <w:t>m</w:t>
      </w:r>
      <w:r>
        <w:rPr>
          <w:rFonts w:hint="eastAsia"/>
          <w:spacing w:val="-3"/>
          <w:sz w:val="24"/>
          <w:szCs w:val="24"/>
          <w:vertAlign w:val="superscript"/>
          <w:lang w:val="en-US" w:eastAsia="zh-CN"/>
        </w:rPr>
        <w:t>3</w:t>
      </w:r>
      <w:r>
        <w:rPr>
          <w:spacing w:val="-13"/>
          <w:position w:val="9"/>
          <w:sz w:val="24"/>
          <w:szCs w:val="24"/>
        </w:rPr>
        <w:t xml:space="preserve"> </w:t>
      </w:r>
      <w:r>
        <w:rPr>
          <w:rFonts w:ascii="宋体" w:hAnsi="宋体" w:eastAsia="宋体" w:cs="宋体"/>
          <w:spacing w:val="-3"/>
          <w:sz w:val="24"/>
          <w:szCs w:val="24"/>
        </w:rPr>
        <w:t>，消防用水</w:t>
      </w:r>
      <w:r>
        <w:rPr>
          <w:rFonts w:ascii="宋体" w:hAnsi="宋体" w:eastAsia="宋体" w:cs="宋体"/>
          <w:spacing w:val="-3"/>
          <w:sz w:val="24"/>
          <w:szCs w:val="24"/>
          <w:highlight w:val="none"/>
        </w:rPr>
        <w:t>来自</w:t>
      </w:r>
      <w:r>
        <w:rPr>
          <w:rFonts w:hint="eastAsia" w:ascii="宋体" w:hAnsi="宋体" w:eastAsia="宋体" w:cs="宋体"/>
          <w:spacing w:val="-3"/>
          <w:sz w:val="24"/>
          <w:szCs w:val="24"/>
          <w:highlight w:val="none"/>
          <w:lang w:val="en-US" w:eastAsia="zh-CN"/>
        </w:rPr>
        <w:t>厂区内水源井</w:t>
      </w:r>
      <w:r>
        <w:rPr>
          <w:rFonts w:ascii="宋体" w:hAnsi="宋体" w:eastAsia="宋体" w:cs="宋体"/>
          <w:spacing w:val="-3"/>
          <w:sz w:val="24"/>
          <w:szCs w:val="24"/>
        </w:rPr>
        <w:t>，产生消防废水</w:t>
      </w:r>
      <w:r>
        <w:rPr>
          <w:rFonts w:ascii="宋体" w:hAnsi="宋体" w:eastAsia="宋体" w:cs="宋体"/>
          <w:spacing w:val="-4"/>
          <w:sz w:val="24"/>
          <w:szCs w:val="24"/>
        </w:rPr>
        <w:t>量按最大用水量计，</w:t>
      </w:r>
      <w:r>
        <w:rPr>
          <w:rFonts w:hint="eastAsia" w:ascii="宋体" w:hAnsi="宋体" w:eastAsia="宋体" w:cs="宋体"/>
          <w:spacing w:val="-4"/>
          <w:sz w:val="24"/>
          <w:szCs w:val="24"/>
          <w:lang w:val="en-US" w:eastAsia="zh-CN"/>
        </w:rPr>
        <w:t>V</w:t>
      </w:r>
      <w:r>
        <w:rPr>
          <w:rFonts w:hint="eastAsia" w:ascii="宋体" w:hAnsi="宋体" w:eastAsia="宋体" w:cs="宋体"/>
          <w:spacing w:val="-4"/>
          <w:sz w:val="24"/>
          <w:szCs w:val="24"/>
          <w:vertAlign w:val="subscript"/>
          <w:lang w:val="en-US" w:eastAsia="zh-CN"/>
        </w:rPr>
        <w:t>2</w:t>
      </w:r>
      <w:r>
        <w:rPr>
          <w:rFonts w:hint="eastAsia" w:ascii="宋体" w:hAnsi="宋体" w:eastAsia="宋体" w:cs="宋体"/>
          <w:spacing w:val="-4"/>
          <w:sz w:val="24"/>
          <w:szCs w:val="24"/>
          <w:lang w:val="en-US" w:eastAsia="zh-CN"/>
        </w:rPr>
        <w:t>取</w:t>
      </w:r>
      <w:r>
        <w:rPr>
          <w:spacing w:val="-4"/>
          <w:sz w:val="24"/>
          <w:szCs w:val="24"/>
        </w:rPr>
        <w:t>180m</w:t>
      </w:r>
      <w:r>
        <w:rPr>
          <w:rFonts w:hint="eastAsia"/>
          <w:spacing w:val="-4"/>
          <w:sz w:val="24"/>
          <w:szCs w:val="24"/>
          <w:vertAlign w:val="superscript"/>
          <w:lang w:val="en-US" w:eastAsia="zh-CN"/>
        </w:rPr>
        <w:t>3</w:t>
      </w:r>
      <w:r>
        <w:rPr>
          <w:rFonts w:hint="eastAsia" w:ascii="宋体" w:hAnsi="宋体" w:eastAsia="宋体" w:cs="宋体"/>
          <w:spacing w:val="-4"/>
          <w:sz w:val="24"/>
          <w:szCs w:val="24"/>
          <w:lang w:val="en-US" w:eastAsia="zh-CN"/>
        </w:rPr>
        <w:t>；</w:t>
      </w:r>
    </w:p>
    <w:p w14:paraId="273C45C5">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jc w:val="both"/>
        <w:textAlignment w:val="auto"/>
        <w:rPr>
          <w:rFonts w:hint="eastAsia" w:ascii="宋体" w:hAnsi="宋体" w:eastAsia="宋体" w:cs="宋体"/>
          <w:spacing w:val="-4"/>
          <w:sz w:val="24"/>
          <w:szCs w:val="24"/>
          <w:lang w:val="en-US" w:eastAsia="zh-CN"/>
        </w:rPr>
      </w:pPr>
      <w:r>
        <w:rPr>
          <w:rFonts w:hint="eastAsia" w:ascii="宋体" w:hAnsi="宋体" w:cs="宋体"/>
          <w:b/>
          <w:bCs/>
          <w:spacing w:val="-4"/>
          <w:sz w:val="24"/>
          <w:szCs w:val="24"/>
          <w:lang w:val="en-US" w:eastAsia="zh-CN"/>
        </w:rPr>
        <w:t>V</w:t>
      </w:r>
      <w:r>
        <w:rPr>
          <w:rFonts w:hint="default" w:ascii="Times New Roman" w:hAnsi="Times New Roman" w:cs="Times New Roman"/>
          <w:b/>
          <w:bCs/>
          <w:spacing w:val="-4"/>
          <w:sz w:val="24"/>
          <w:szCs w:val="24"/>
          <w:lang w:val="en-US" w:eastAsia="zh-CN"/>
        </w:rPr>
        <w:t>3</w:t>
      </w:r>
      <w:r>
        <w:rPr>
          <w:rFonts w:hint="eastAsia" w:ascii="宋体" w:hAnsi="宋体" w:cs="宋体"/>
          <w:spacing w:val="-4"/>
          <w:sz w:val="24"/>
          <w:szCs w:val="24"/>
          <w:lang w:val="en-US" w:eastAsia="zh-CN"/>
        </w:rPr>
        <w:t>：取0</w:t>
      </w:r>
      <w:r>
        <w:rPr>
          <w:spacing w:val="-4"/>
          <w:sz w:val="24"/>
          <w:szCs w:val="24"/>
        </w:rPr>
        <w:t>m</w:t>
      </w:r>
      <w:r>
        <w:rPr>
          <w:rFonts w:hint="eastAsia"/>
          <w:spacing w:val="-4"/>
          <w:sz w:val="24"/>
          <w:szCs w:val="24"/>
          <w:vertAlign w:val="superscript"/>
          <w:lang w:val="en-US" w:eastAsia="zh-CN"/>
        </w:rPr>
        <w:t>3</w:t>
      </w:r>
      <w:r>
        <w:rPr>
          <w:rFonts w:hint="eastAsia" w:ascii="宋体" w:hAnsi="宋体" w:eastAsia="宋体" w:cs="宋体"/>
          <w:spacing w:val="-4"/>
          <w:sz w:val="24"/>
          <w:szCs w:val="24"/>
          <w:lang w:val="en-US" w:eastAsia="zh-CN"/>
        </w:rPr>
        <w:t>；</w:t>
      </w:r>
    </w:p>
    <w:p w14:paraId="4CAA1F91">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482" w:firstLineChars="200"/>
        <w:textAlignment w:val="auto"/>
        <w:rPr>
          <w:rFonts w:ascii="宋体" w:hAnsi="宋体" w:eastAsia="宋体" w:cs="宋体"/>
          <w:sz w:val="24"/>
          <w:szCs w:val="24"/>
        </w:rPr>
      </w:pPr>
      <w:r>
        <w:rPr>
          <w:rFonts w:hint="eastAsia" w:ascii="Times New Roman" w:hAnsi="Times New Roman" w:cs="Times New Roman" w:eastAsiaTheme="minorEastAsia"/>
          <w:b/>
          <w:bCs/>
          <w:color w:val="auto"/>
          <w:kern w:val="2"/>
          <w:sz w:val="24"/>
          <w:szCs w:val="24"/>
          <w:lang w:val="en-US" w:eastAsia="zh-CN" w:bidi="ar-SA"/>
        </w:rPr>
        <w:t>V5：</w:t>
      </w:r>
      <w:r>
        <w:rPr>
          <w:rFonts w:ascii="宋体" w:hAnsi="宋体" w:eastAsia="宋体" w:cs="宋体"/>
          <w:spacing w:val="-3"/>
          <w:sz w:val="24"/>
          <w:szCs w:val="24"/>
        </w:rPr>
        <w:t>生产区内初期雨水考虑降雨形成地面径流后</w:t>
      </w:r>
      <w:r>
        <w:rPr>
          <w:rFonts w:ascii="宋体" w:hAnsi="宋体" w:eastAsia="宋体" w:cs="宋体"/>
          <w:spacing w:val="-30"/>
          <w:sz w:val="24"/>
          <w:szCs w:val="24"/>
        </w:rPr>
        <w:t xml:space="preserve"> </w:t>
      </w:r>
      <w:r>
        <w:rPr>
          <w:spacing w:val="-4"/>
          <w:sz w:val="24"/>
          <w:szCs w:val="24"/>
        </w:rPr>
        <w:t>15min</w:t>
      </w:r>
      <w:r>
        <w:rPr>
          <w:rFonts w:ascii="宋体" w:hAnsi="宋体" w:eastAsia="宋体" w:cs="宋体"/>
          <w:spacing w:val="-4"/>
          <w:sz w:val="24"/>
          <w:szCs w:val="24"/>
        </w:rPr>
        <w:t>内，收集的厂区受</w:t>
      </w:r>
      <w:r>
        <w:rPr>
          <w:rFonts w:ascii="宋体" w:hAnsi="宋体" w:eastAsia="宋体" w:cs="宋体"/>
          <w:spacing w:val="-6"/>
          <w:sz w:val="24"/>
          <w:szCs w:val="24"/>
        </w:rPr>
        <w:t>污染区域的地面雨水。降雨初期地面水与气象条件密切相关，具有间歇性、时间间隔变化大</w:t>
      </w:r>
      <w:r>
        <w:rPr>
          <w:rFonts w:ascii="宋体" w:hAnsi="宋体" w:eastAsia="宋体" w:cs="宋体"/>
          <w:spacing w:val="-4"/>
          <w:sz w:val="24"/>
          <w:szCs w:val="24"/>
        </w:rPr>
        <w:t>等特点。初期雨水量的计算如下：</w:t>
      </w:r>
    </w:p>
    <w:p w14:paraId="72CD71E3">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ascii="宋体" w:hAnsi="宋体" w:eastAsia="宋体" w:cs="宋体"/>
          <w:sz w:val="24"/>
          <w:szCs w:val="24"/>
        </w:rPr>
      </w:pPr>
      <w:r>
        <w:rPr>
          <w:rFonts w:ascii="宋体" w:hAnsi="宋体" w:eastAsia="宋体" w:cs="宋体"/>
          <w:spacing w:val="-2"/>
          <w:sz w:val="24"/>
          <w:szCs w:val="24"/>
        </w:rPr>
        <w:t>初期雨水的计算选用朝阳市地区暴雨强度公式和雨水径流公式计算。公式及参数选取如</w:t>
      </w:r>
      <w:r>
        <w:rPr>
          <w:rFonts w:ascii="宋体" w:hAnsi="宋体" w:eastAsia="宋体" w:cs="宋体"/>
          <w:spacing w:val="-18"/>
          <w:sz w:val="24"/>
          <w:szCs w:val="24"/>
        </w:rPr>
        <w:t>下：</w:t>
      </w:r>
    </w:p>
    <w:p w14:paraId="322ABE43">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sz w:val="24"/>
          <w:szCs w:val="24"/>
        </w:rPr>
      </w:pPr>
      <w:r>
        <w:rPr>
          <w:sz w:val="24"/>
          <w:szCs w:val="24"/>
        </w:rPr>
        <w:t>q=1676(1+0.91gp)/(t+7.4</w:t>
      </w:r>
      <w:r>
        <w:rPr>
          <w:spacing w:val="-1"/>
          <w:sz w:val="24"/>
          <w:szCs w:val="24"/>
        </w:rPr>
        <w:t>)</w:t>
      </w:r>
      <w:r>
        <w:rPr>
          <w:spacing w:val="-1"/>
          <w:sz w:val="24"/>
          <w:szCs w:val="24"/>
          <w:vertAlign w:val="superscript"/>
        </w:rPr>
        <w:t xml:space="preserve"> </w:t>
      </w:r>
      <w:r>
        <w:rPr>
          <w:spacing w:val="-1"/>
          <w:position w:val="8"/>
          <w:sz w:val="24"/>
          <w:szCs w:val="24"/>
          <w:vertAlign w:val="superscript"/>
        </w:rPr>
        <w:t>0.747</w:t>
      </w:r>
    </w:p>
    <w:p w14:paraId="0D89DE8D">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sz w:val="24"/>
          <w:szCs w:val="24"/>
        </w:rPr>
      </w:pPr>
      <w:r>
        <w:rPr>
          <w:rFonts w:ascii="宋体" w:hAnsi="宋体" w:eastAsia="宋体" w:cs="宋体"/>
          <w:spacing w:val="-1"/>
          <w:sz w:val="24"/>
          <w:szCs w:val="24"/>
        </w:rPr>
        <w:t>初期雨水排放量</w:t>
      </w:r>
      <w:r>
        <w:rPr>
          <w:rFonts w:ascii="宋体" w:hAnsi="宋体" w:eastAsia="宋体" w:cs="宋体"/>
          <w:spacing w:val="-52"/>
          <w:sz w:val="24"/>
          <w:szCs w:val="24"/>
        </w:rPr>
        <w:t xml:space="preserve"> </w:t>
      </w:r>
      <w:r>
        <w:rPr>
          <w:spacing w:val="-1"/>
          <w:sz w:val="24"/>
          <w:szCs w:val="24"/>
        </w:rPr>
        <w:t>Q=q·F·φ·T</w:t>
      </w:r>
    </w:p>
    <w:p w14:paraId="200A976F">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rFonts w:ascii="宋体" w:hAnsi="宋体" w:eastAsia="宋体" w:cs="宋体"/>
          <w:spacing w:val="-1"/>
          <w:sz w:val="24"/>
          <w:szCs w:val="24"/>
        </w:rPr>
        <w:t>其中：</w:t>
      </w:r>
      <w:r>
        <w:rPr>
          <w:spacing w:val="-1"/>
          <w:sz w:val="24"/>
          <w:szCs w:val="24"/>
        </w:rPr>
        <w:t>q—</w:t>
      </w:r>
      <w:r>
        <w:rPr>
          <w:rFonts w:ascii="宋体" w:hAnsi="宋体" w:eastAsia="宋体" w:cs="宋体"/>
          <w:spacing w:val="-1"/>
          <w:sz w:val="24"/>
          <w:szCs w:val="24"/>
        </w:rPr>
        <w:t>暴雨强度</w:t>
      </w:r>
      <w:r>
        <w:rPr>
          <w:spacing w:val="-1"/>
          <w:sz w:val="24"/>
          <w:szCs w:val="24"/>
        </w:rPr>
        <w:t>(</w:t>
      </w:r>
      <w:r>
        <w:rPr>
          <w:rFonts w:ascii="宋体" w:hAnsi="宋体" w:eastAsia="宋体" w:cs="宋体"/>
          <w:spacing w:val="-1"/>
          <w:sz w:val="24"/>
          <w:szCs w:val="24"/>
        </w:rPr>
        <w:t>升</w:t>
      </w:r>
      <w:r>
        <w:rPr>
          <w:spacing w:val="-1"/>
          <w:sz w:val="24"/>
          <w:szCs w:val="24"/>
        </w:rPr>
        <w:t>/</w:t>
      </w:r>
      <w:r>
        <w:rPr>
          <w:rFonts w:ascii="宋体" w:hAnsi="宋体" w:eastAsia="宋体" w:cs="宋体"/>
          <w:spacing w:val="-1"/>
          <w:sz w:val="24"/>
          <w:szCs w:val="24"/>
        </w:rPr>
        <w:t>秒</w:t>
      </w:r>
      <w:r>
        <w:rPr>
          <w:spacing w:val="-1"/>
          <w:sz w:val="24"/>
          <w:szCs w:val="24"/>
        </w:rPr>
        <w:t>·</w:t>
      </w:r>
      <w:r>
        <w:rPr>
          <w:rFonts w:ascii="宋体" w:hAnsi="宋体" w:eastAsia="宋体" w:cs="宋体"/>
          <w:spacing w:val="-1"/>
          <w:sz w:val="24"/>
          <w:szCs w:val="24"/>
        </w:rPr>
        <w:t>公顷</w:t>
      </w:r>
      <w:r>
        <w:rPr>
          <w:spacing w:val="-1"/>
          <w:sz w:val="24"/>
          <w:szCs w:val="24"/>
        </w:rPr>
        <w:t>)</w:t>
      </w:r>
      <w:r>
        <w:rPr>
          <w:rFonts w:ascii="宋体" w:hAnsi="宋体" w:eastAsia="宋体" w:cs="宋体"/>
          <w:spacing w:val="-1"/>
          <w:sz w:val="24"/>
          <w:szCs w:val="24"/>
        </w:rPr>
        <w:t>，</w:t>
      </w:r>
    </w:p>
    <w:p w14:paraId="406CD0AE">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2"/>
          <w:sz w:val="24"/>
          <w:szCs w:val="24"/>
        </w:rPr>
        <w:t>P—</w:t>
      </w:r>
      <w:r>
        <w:rPr>
          <w:rFonts w:ascii="宋体" w:hAnsi="宋体" w:eastAsia="宋体" w:cs="宋体"/>
          <w:spacing w:val="-2"/>
          <w:sz w:val="24"/>
          <w:szCs w:val="24"/>
        </w:rPr>
        <w:t>重现期</w:t>
      </w:r>
      <w:r>
        <w:rPr>
          <w:spacing w:val="-2"/>
          <w:sz w:val="24"/>
          <w:szCs w:val="24"/>
        </w:rPr>
        <w:t>(</w:t>
      </w:r>
      <w:r>
        <w:rPr>
          <w:rFonts w:ascii="宋体" w:hAnsi="宋体" w:eastAsia="宋体" w:cs="宋体"/>
          <w:spacing w:val="-2"/>
          <w:sz w:val="24"/>
          <w:szCs w:val="24"/>
        </w:rPr>
        <w:t>年</w:t>
      </w:r>
      <w:r>
        <w:rPr>
          <w:spacing w:val="-2"/>
          <w:sz w:val="24"/>
          <w:szCs w:val="24"/>
        </w:rPr>
        <w:t>)</w:t>
      </w:r>
      <w:r>
        <w:rPr>
          <w:rFonts w:ascii="宋体" w:hAnsi="宋体" w:eastAsia="宋体" w:cs="宋体"/>
          <w:spacing w:val="-2"/>
          <w:sz w:val="24"/>
          <w:szCs w:val="24"/>
        </w:rPr>
        <w:t>，取</w:t>
      </w:r>
      <w:r>
        <w:rPr>
          <w:rFonts w:ascii="宋体" w:hAnsi="宋体" w:eastAsia="宋体" w:cs="宋体"/>
          <w:spacing w:val="-40"/>
          <w:sz w:val="24"/>
          <w:szCs w:val="24"/>
        </w:rPr>
        <w:t xml:space="preserve"> </w:t>
      </w:r>
      <w:r>
        <w:rPr>
          <w:spacing w:val="-2"/>
          <w:sz w:val="24"/>
          <w:szCs w:val="24"/>
        </w:rPr>
        <w:t>2a</w:t>
      </w:r>
      <w:r>
        <w:rPr>
          <w:rFonts w:ascii="宋体" w:hAnsi="宋体" w:eastAsia="宋体" w:cs="宋体"/>
          <w:spacing w:val="-2"/>
          <w:sz w:val="24"/>
          <w:szCs w:val="24"/>
        </w:rPr>
        <w:t>；</w:t>
      </w:r>
    </w:p>
    <w:p w14:paraId="704298C8">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3"/>
          <w:sz w:val="24"/>
          <w:szCs w:val="24"/>
        </w:rPr>
        <w:t>t—</w:t>
      </w:r>
      <w:r>
        <w:rPr>
          <w:rFonts w:ascii="宋体" w:hAnsi="宋体" w:eastAsia="宋体" w:cs="宋体"/>
          <w:spacing w:val="-3"/>
          <w:sz w:val="24"/>
          <w:szCs w:val="24"/>
        </w:rPr>
        <w:t>降雨历时，取</w:t>
      </w:r>
      <w:r>
        <w:rPr>
          <w:spacing w:val="-3"/>
          <w:sz w:val="24"/>
          <w:szCs w:val="24"/>
        </w:rPr>
        <w:t>15min</w:t>
      </w:r>
      <w:r>
        <w:rPr>
          <w:rFonts w:ascii="宋体" w:hAnsi="宋体" w:eastAsia="宋体" w:cs="宋体"/>
          <w:spacing w:val="-3"/>
          <w:sz w:val="24"/>
          <w:szCs w:val="24"/>
        </w:rPr>
        <w:t>；</w:t>
      </w:r>
    </w:p>
    <w:p w14:paraId="1E1B11D1">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hint="default" w:ascii="宋体" w:hAnsi="宋体" w:eastAsia="宋体" w:cs="宋体"/>
          <w:sz w:val="24"/>
          <w:szCs w:val="24"/>
          <w:lang w:val="en-US" w:eastAsia="zh-CN"/>
        </w:rPr>
      </w:pPr>
      <w:r>
        <w:rPr>
          <w:spacing w:val="-1"/>
          <w:sz w:val="24"/>
          <w:szCs w:val="24"/>
        </w:rPr>
        <w:t>F—</w:t>
      </w:r>
      <w:r>
        <w:rPr>
          <w:rFonts w:ascii="宋体" w:hAnsi="宋体" w:eastAsia="宋体" w:cs="宋体"/>
          <w:spacing w:val="-1"/>
          <w:sz w:val="24"/>
          <w:szCs w:val="24"/>
        </w:rPr>
        <w:t>汇水面积</w:t>
      </w:r>
      <w:r>
        <w:rPr>
          <w:spacing w:val="-1"/>
          <w:sz w:val="24"/>
          <w:szCs w:val="24"/>
        </w:rPr>
        <w:t>(</w:t>
      </w:r>
      <w:r>
        <w:rPr>
          <w:rFonts w:ascii="宋体" w:hAnsi="宋体" w:eastAsia="宋体" w:cs="宋体"/>
          <w:spacing w:val="-1"/>
          <w:sz w:val="24"/>
          <w:szCs w:val="24"/>
        </w:rPr>
        <w:t>公顷</w:t>
      </w:r>
      <w:r>
        <w:rPr>
          <w:spacing w:val="-1"/>
          <w:sz w:val="24"/>
          <w:szCs w:val="24"/>
        </w:rPr>
        <w:t>)</w:t>
      </w:r>
      <w:r>
        <w:rPr>
          <w:rFonts w:ascii="宋体" w:hAnsi="宋体" w:eastAsia="宋体" w:cs="宋体"/>
          <w:spacing w:val="-1"/>
          <w:sz w:val="24"/>
          <w:szCs w:val="24"/>
        </w:rPr>
        <w:t>，厂区汇水面积</w:t>
      </w:r>
      <w:r>
        <w:rPr>
          <w:rFonts w:hint="default" w:ascii="Times New Roman" w:hAnsi="Times New Roman" w:eastAsia="宋体" w:cs="Times New Roman"/>
          <w:spacing w:val="-1"/>
          <w:sz w:val="24"/>
          <w:szCs w:val="24"/>
        </w:rPr>
        <w:t>为</w:t>
      </w:r>
      <w:r>
        <w:rPr>
          <w:rFonts w:hint="default" w:ascii="Times New Roman" w:hAnsi="Times New Roman" w:eastAsia="宋体" w:cs="Times New Roman"/>
          <w:spacing w:val="-1"/>
          <w:sz w:val="24"/>
          <w:szCs w:val="24"/>
          <w:lang w:val="en-US" w:eastAsia="zh-CN"/>
        </w:rPr>
        <w:t>1.334</w:t>
      </w:r>
      <w:r>
        <w:rPr>
          <w:rFonts w:hint="default" w:ascii="Times New Roman" w:hAnsi="Times New Roman" w:eastAsia="宋体" w:cs="Times New Roman"/>
          <w:spacing w:val="-1"/>
          <w:sz w:val="24"/>
          <w:szCs w:val="24"/>
        </w:rPr>
        <w:t>公</w:t>
      </w:r>
      <w:r>
        <w:rPr>
          <w:rFonts w:ascii="宋体" w:hAnsi="宋体" w:eastAsia="宋体" w:cs="宋体"/>
          <w:spacing w:val="-1"/>
          <w:sz w:val="24"/>
          <w:szCs w:val="24"/>
        </w:rPr>
        <w:t>顷（按厂</w:t>
      </w:r>
      <w:r>
        <w:rPr>
          <w:rFonts w:ascii="宋体" w:hAnsi="宋体" w:eastAsia="宋体" w:cs="宋体"/>
          <w:spacing w:val="-2"/>
          <w:sz w:val="24"/>
          <w:szCs w:val="24"/>
        </w:rPr>
        <w:t>区占地面积计</w:t>
      </w:r>
      <w:r>
        <w:rPr>
          <w:rFonts w:ascii="宋体" w:hAnsi="宋体" w:eastAsia="宋体" w:cs="宋体"/>
          <w:sz w:val="24"/>
          <w:szCs w:val="24"/>
        </w:rPr>
        <w:t>）；</w:t>
      </w:r>
    </w:p>
    <w:p w14:paraId="38B2385D">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4"/>
          <w:sz w:val="24"/>
          <w:szCs w:val="24"/>
        </w:rPr>
        <w:t>φ—</w:t>
      </w:r>
      <w:r>
        <w:rPr>
          <w:rFonts w:ascii="宋体" w:hAnsi="宋体" w:eastAsia="宋体" w:cs="宋体"/>
          <w:spacing w:val="4"/>
          <w:sz w:val="24"/>
          <w:szCs w:val="24"/>
        </w:rPr>
        <w:t>径流系数，取</w:t>
      </w:r>
      <w:r>
        <w:rPr>
          <w:spacing w:val="4"/>
          <w:sz w:val="24"/>
          <w:szCs w:val="24"/>
        </w:rPr>
        <w:t>0.90</w:t>
      </w:r>
      <w:r>
        <w:rPr>
          <w:rFonts w:ascii="宋体" w:hAnsi="宋体" w:eastAsia="宋体" w:cs="宋体"/>
          <w:spacing w:val="4"/>
          <w:sz w:val="24"/>
          <w:szCs w:val="24"/>
        </w:rPr>
        <w:t>；</w:t>
      </w:r>
    </w:p>
    <w:p w14:paraId="221AC354">
      <w:pPr>
        <w:pStyle w:val="31"/>
        <w:keepNext w:val="0"/>
        <w:keepLines w:val="0"/>
        <w:pageBreakBefore w:val="0"/>
        <w:widowControl w:val="0"/>
        <w:kinsoku/>
        <w:wordWrap/>
        <w:overflowPunct/>
        <w:topLinePunct w:val="0"/>
        <w:autoSpaceDE/>
        <w:autoSpaceDN/>
        <w:bidi w:val="0"/>
        <w:adjustRightInd/>
        <w:snapToGrid/>
        <w:spacing w:after="0" w:line="360" w:lineRule="auto"/>
        <w:ind w:left="0" w:right="0" w:firstLine="0"/>
        <w:textAlignment w:val="auto"/>
        <w:rPr>
          <w:rFonts w:ascii="宋体" w:hAnsi="宋体" w:eastAsia="宋体" w:cs="宋体"/>
          <w:sz w:val="24"/>
          <w:szCs w:val="24"/>
        </w:rPr>
      </w:pPr>
      <w:r>
        <w:rPr>
          <w:spacing w:val="-4"/>
          <w:sz w:val="24"/>
          <w:szCs w:val="24"/>
        </w:rPr>
        <w:t>T—</w:t>
      </w:r>
      <w:r>
        <w:rPr>
          <w:rFonts w:ascii="宋体" w:hAnsi="宋体" w:eastAsia="宋体" w:cs="宋体"/>
          <w:spacing w:val="-4"/>
          <w:sz w:val="24"/>
          <w:szCs w:val="24"/>
        </w:rPr>
        <w:t>取前</w:t>
      </w:r>
      <w:r>
        <w:rPr>
          <w:rFonts w:ascii="宋体" w:hAnsi="宋体" w:eastAsia="宋体" w:cs="宋体"/>
          <w:spacing w:val="-28"/>
          <w:sz w:val="24"/>
          <w:szCs w:val="24"/>
        </w:rPr>
        <w:t xml:space="preserve"> </w:t>
      </w:r>
      <w:r>
        <w:rPr>
          <w:spacing w:val="-4"/>
          <w:sz w:val="24"/>
          <w:szCs w:val="24"/>
        </w:rPr>
        <w:t>15min</w:t>
      </w:r>
      <w:r>
        <w:rPr>
          <w:rFonts w:ascii="宋体" w:hAnsi="宋体" w:eastAsia="宋体" w:cs="宋体"/>
          <w:spacing w:val="-4"/>
          <w:sz w:val="24"/>
          <w:szCs w:val="24"/>
        </w:rPr>
        <w:t>。</w:t>
      </w:r>
    </w:p>
    <w:p w14:paraId="5AC6DD9A">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500" w:firstLineChars="200"/>
        <w:jc w:val="both"/>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ascii="宋体" w:hAnsi="宋体" w:eastAsia="宋体" w:cs="宋体"/>
          <w:spacing w:val="5"/>
          <w:sz w:val="24"/>
          <w:szCs w:val="24"/>
        </w:rPr>
        <w:t>根据上式计算得暴雨强度结果为</w:t>
      </w:r>
      <w:r>
        <w:rPr>
          <w:spacing w:val="5"/>
          <w:sz w:val="24"/>
          <w:szCs w:val="24"/>
        </w:rPr>
        <w:t>q=208.81L/S·</w:t>
      </w:r>
      <w:r>
        <w:rPr>
          <w:sz w:val="24"/>
          <w:szCs w:val="24"/>
        </w:rPr>
        <w:t>hm</w:t>
      </w:r>
      <w:r>
        <w:rPr>
          <w:rFonts w:hint="eastAsia"/>
          <w:sz w:val="24"/>
          <w:szCs w:val="24"/>
          <w:vertAlign w:val="superscript"/>
          <w:lang w:val="en-US" w:eastAsia="zh-CN"/>
        </w:rPr>
        <w:t>2</w:t>
      </w:r>
      <w:r>
        <w:rPr>
          <w:rFonts w:ascii="宋体" w:hAnsi="宋体" w:eastAsia="宋体" w:cs="宋体"/>
          <w:spacing w:val="5"/>
          <w:sz w:val="24"/>
          <w:szCs w:val="24"/>
        </w:rPr>
        <w:t>；一次降雨最大</w:t>
      </w:r>
      <w:r>
        <w:rPr>
          <w:rFonts w:ascii="宋体" w:hAnsi="宋体" w:eastAsia="宋体" w:cs="宋体"/>
          <w:spacing w:val="4"/>
          <w:sz w:val="24"/>
          <w:szCs w:val="24"/>
        </w:rPr>
        <w:t>初期雨水量合计约</w:t>
      </w:r>
      <w:r>
        <w:rPr>
          <w:rFonts w:hint="eastAsia" w:eastAsia="宋体"/>
          <w:spacing w:val="-3"/>
          <w:sz w:val="24"/>
          <w:szCs w:val="24"/>
          <w:lang w:val="en-US" w:eastAsia="zh-CN"/>
        </w:rPr>
        <w:t>250.7</w:t>
      </w:r>
      <w:r>
        <w:rPr>
          <w:spacing w:val="-3"/>
          <w:sz w:val="24"/>
          <w:szCs w:val="24"/>
        </w:rPr>
        <w:t>m</w:t>
      </w:r>
      <w:r>
        <w:rPr>
          <w:rFonts w:hint="eastAsia"/>
          <w:spacing w:val="-3"/>
          <w:sz w:val="24"/>
          <w:szCs w:val="24"/>
          <w:vertAlign w:val="superscript"/>
          <w:lang w:val="en-US" w:eastAsia="zh-CN"/>
        </w:rPr>
        <w:t>3</w:t>
      </w:r>
      <w:r>
        <w:rPr>
          <w:rFonts w:ascii="宋体" w:hAnsi="宋体" w:eastAsia="宋体" w:cs="宋体"/>
          <w:spacing w:val="-3"/>
          <w:sz w:val="24"/>
          <w:szCs w:val="24"/>
        </w:rPr>
        <w:t>。初期雨水经地表雨水管网，汇入</w:t>
      </w:r>
      <w:r>
        <w:rPr>
          <w:rFonts w:hint="eastAsia" w:ascii="宋体" w:hAnsi="宋体" w:eastAsia="宋体" w:cs="宋体"/>
          <w:spacing w:val="-3"/>
          <w:sz w:val="24"/>
          <w:szCs w:val="24"/>
          <w:lang w:val="en-US" w:eastAsia="zh-CN"/>
        </w:rPr>
        <w:t>事故池内</w:t>
      </w:r>
      <w:r>
        <w:rPr>
          <w:rFonts w:ascii="宋体" w:hAnsi="宋体" w:eastAsia="宋体" w:cs="宋体"/>
          <w:spacing w:val="-19"/>
          <w:sz w:val="24"/>
          <w:szCs w:val="24"/>
        </w:rPr>
        <w:t>，</w:t>
      </w:r>
      <w:r>
        <w:rPr>
          <w:rFonts w:ascii="宋体" w:hAnsi="宋体" w:eastAsia="宋体" w:cs="宋体"/>
          <w:spacing w:val="-3"/>
          <w:sz w:val="24"/>
          <w:szCs w:val="24"/>
        </w:rPr>
        <w:t>沉淀后排</w:t>
      </w:r>
      <w:r>
        <w:rPr>
          <w:rFonts w:hint="eastAsia" w:ascii="宋体" w:hAnsi="宋体" w:eastAsia="宋体" w:cs="宋体"/>
          <w:spacing w:val="-3"/>
          <w:sz w:val="24"/>
          <w:szCs w:val="24"/>
          <w:lang w:val="en-US" w:eastAsia="zh-CN"/>
        </w:rPr>
        <w:t>循环水池内</w:t>
      </w:r>
      <w:r>
        <w:rPr>
          <w:rFonts w:ascii="宋体" w:hAnsi="宋体" w:eastAsia="宋体" w:cs="宋体"/>
          <w:spacing w:val="-5"/>
          <w:sz w:val="24"/>
          <w:szCs w:val="24"/>
        </w:rPr>
        <w:t>，</w:t>
      </w:r>
      <w:r>
        <w:rPr>
          <w:rFonts w:hint="eastAsia" w:ascii="宋体" w:hAnsi="宋体" w:eastAsia="宋体" w:cs="宋体"/>
          <w:spacing w:val="-5"/>
          <w:sz w:val="24"/>
          <w:szCs w:val="24"/>
          <w:lang w:val="en-US" w:eastAsia="zh-CN"/>
        </w:rPr>
        <w:t>回用于</w:t>
      </w:r>
      <w:r>
        <w:rPr>
          <w:rFonts w:ascii="宋体" w:hAnsi="宋体" w:eastAsia="宋体" w:cs="宋体"/>
          <w:spacing w:val="-5"/>
          <w:sz w:val="24"/>
          <w:szCs w:val="24"/>
        </w:rPr>
        <w:t>生产。</w:t>
      </w:r>
    </w:p>
    <w:p w14:paraId="2DF7B47C">
      <w:pPr>
        <w:pStyle w:val="148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0"/>
        <w:textAlignment w:val="auto"/>
        <w:rPr>
          <w:rFonts w:hint="default" w:eastAsia="宋体" w:cs="Times New Roman"/>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综上，</w:t>
      </w:r>
      <w:r>
        <w:rPr>
          <w:rFonts w:hint="eastAsia" w:ascii="Times New Roman" w:hAnsi="Times New Roman" w:cs="Times New Roman" w:eastAsiaTheme="minorEastAsia"/>
          <w:b w:val="0"/>
          <w:bCs w:val="0"/>
          <w:color w:val="auto"/>
          <w:kern w:val="2"/>
          <w:sz w:val="24"/>
          <w:szCs w:val="24"/>
          <w:lang w:val="en-US" w:eastAsia="zh-CN" w:bidi="ar-SA"/>
        </w:rPr>
        <w:t>企业全厂</w:t>
      </w:r>
      <w:r>
        <w:rPr>
          <w:rFonts w:hint="default" w:ascii="Times New Roman" w:hAnsi="Times New Roman" w:cs="Times New Roman" w:eastAsiaTheme="minorEastAsia"/>
          <w:b w:val="0"/>
          <w:bCs w:val="0"/>
          <w:color w:val="auto"/>
          <w:kern w:val="2"/>
          <w:sz w:val="24"/>
          <w:szCs w:val="24"/>
          <w:lang w:val="en-US" w:eastAsia="zh-CN" w:bidi="ar-SA"/>
        </w:rPr>
        <w:t>事故</w:t>
      </w:r>
      <w:r>
        <w:rPr>
          <w:rFonts w:hint="eastAsia" w:ascii="Times New Roman" w:hAnsi="Times New Roman" w:cs="Times New Roman" w:eastAsiaTheme="minorEastAsia"/>
          <w:b w:val="0"/>
          <w:bCs w:val="0"/>
          <w:color w:val="auto"/>
          <w:kern w:val="2"/>
          <w:sz w:val="24"/>
          <w:szCs w:val="24"/>
          <w:lang w:val="en-US" w:eastAsia="zh-CN" w:bidi="ar-SA"/>
        </w:rPr>
        <w:t>状态下</w:t>
      </w:r>
      <w:r>
        <w:rPr>
          <w:rFonts w:hint="default" w:ascii="Times New Roman" w:hAnsi="Times New Roman" w:cs="Times New Roman" w:eastAsiaTheme="minorEastAsia"/>
          <w:b w:val="0"/>
          <w:bCs w:val="0"/>
          <w:color w:val="auto"/>
          <w:kern w:val="2"/>
          <w:sz w:val="24"/>
          <w:szCs w:val="24"/>
          <w:lang w:val="en-US" w:eastAsia="zh-CN" w:bidi="ar-SA"/>
        </w:rPr>
        <w:t>，</w:t>
      </w:r>
      <w:r>
        <w:rPr>
          <w:rFonts w:hint="eastAsia" w:ascii="Times New Roman" w:hAnsi="Times New Roman" w:cs="Times New Roman" w:eastAsiaTheme="minorEastAsia"/>
          <w:b w:val="0"/>
          <w:bCs w:val="0"/>
          <w:color w:val="auto"/>
          <w:kern w:val="2"/>
          <w:sz w:val="24"/>
          <w:szCs w:val="24"/>
          <w:lang w:val="en-US" w:eastAsia="zh-CN" w:bidi="ar-SA"/>
        </w:rPr>
        <w:t>按最不利情况考虑，事故废水总产生量为526.67</w:t>
      </w:r>
      <w:r>
        <w:rPr>
          <w:spacing w:val="-3"/>
          <w:sz w:val="24"/>
          <w:szCs w:val="24"/>
        </w:rPr>
        <w:t>m</w:t>
      </w:r>
      <w:r>
        <w:rPr>
          <w:rFonts w:hint="eastAsia"/>
          <w:spacing w:val="-3"/>
          <w:sz w:val="24"/>
          <w:szCs w:val="24"/>
          <w:vertAlign w:val="superscript"/>
          <w:lang w:val="en-US" w:eastAsia="zh-CN"/>
        </w:rPr>
        <w:t>3</w:t>
      </w:r>
      <w:r>
        <w:rPr>
          <w:rFonts w:hint="eastAsia" w:ascii="Times New Roman" w:hAnsi="Times New Roman" w:cs="Times New Roman" w:eastAsiaTheme="minorEastAsia"/>
          <w:b w:val="0"/>
          <w:bCs w:val="0"/>
          <w:color w:val="auto"/>
          <w:kern w:val="2"/>
          <w:sz w:val="24"/>
          <w:szCs w:val="24"/>
          <w:lang w:val="en-US" w:eastAsia="zh-CN" w:bidi="ar-SA"/>
        </w:rPr>
        <w:t>，企业现有事故池容积为</w:t>
      </w:r>
      <w:r>
        <w:rPr>
          <w:rFonts w:hint="eastAsia" w:cs="Times New Roman" w:eastAsiaTheme="minorEastAsia"/>
          <w:b w:val="0"/>
          <w:bCs w:val="0"/>
          <w:color w:val="auto"/>
          <w:kern w:val="2"/>
          <w:sz w:val="24"/>
          <w:szCs w:val="24"/>
          <w:lang w:val="en-US" w:eastAsia="zh-CN" w:bidi="ar-SA"/>
        </w:rPr>
        <w:t>10</w:t>
      </w:r>
      <w:r>
        <w:rPr>
          <w:rFonts w:hint="eastAsia" w:ascii="Times New Roman" w:hAnsi="Times New Roman" w:cs="Times New Roman" w:eastAsiaTheme="minorEastAsia"/>
          <w:b w:val="0"/>
          <w:bCs w:val="0"/>
          <w:color w:val="auto"/>
          <w:kern w:val="2"/>
          <w:sz w:val="24"/>
          <w:szCs w:val="24"/>
          <w:lang w:val="en-US" w:eastAsia="zh-CN" w:bidi="ar-SA"/>
        </w:rPr>
        <w:t>00m</w:t>
      </w:r>
      <w:r>
        <w:rPr>
          <w:rFonts w:hint="eastAsia" w:ascii="Times New Roman" w:hAnsi="Times New Roman" w:cs="Times New Roman" w:eastAsiaTheme="minorEastAsia"/>
          <w:b w:val="0"/>
          <w:bCs w:val="0"/>
          <w:color w:val="auto"/>
          <w:kern w:val="2"/>
          <w:sz w:val="24"/>
          <w:szCs w:val="24"/>
          <w:vertAlign w:val="superscript"/>
          <w:lang w:val="en-US" w:eastAsia="zh-CN" w:bidi="ar-SA"/>
        </w:rPr>
        <w:t>3</w:t>
      </w:r>
      <w:r>
        <w:rPr>
          <w:rFonts w:hint="eastAsia" w:ascii="Times New Roman" w:hAnsi="Times New Roman" w:cs="Times New Roman" w:eastAsiaTheme="minorEastAsia"/>
          <w:b w:val="0"/>
          <w:bCs w:val="0"/>
          <w:color w:val="auto"/>
          <w:kern w:val="2"/>
          <w:sz w:val="24"/>
          <w:szCs w:val="24"/>
          <w:lang w:val="en-US" w:eastAsia="zh-CN" w:bidi="ar-SA"/>
        </w:rPr>
        <w:t>，</w:t>
      </w:r>
      <w:r>
        <w:rPr>
          <w:rFonts w:hint="default" w:ascii="Times New Roman" w:hAnsi="Times New Roman" w:cs="Times New Roman" w:eastAsiaTheme="minorEastAsia"/>
          <w:b w:val="0"/>
          <w:bCs w:val="0"/>
          <w:color w:val="auto"/>
          <w:kern w:val="2"/>
          <w:sz w:val="24"/>
          <w:szCs w:val="24"/>
          <w:lang w:val="en-US" w:eastAsia="zh-CN" w:bidi="ar-SA"/>
        </w:rPr>
        <w:t>可满足环境风险事故发生时的排水需要。</w:t>
      </w:r>
    </w:p>
    <w:p w14:paraId="506959F6">
      <w:pPr>
        <w:pStyle w:val="1486"/>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0" w:firstLineChars="0"/>
        <w:textAlignment w:val="auto"/>
        <w:rPr>
          <w:rFonts w:hint="eastAsia" w:eastAsia="宋体" w:cs="Times New Roman"/>
          <w:b/>
          <w:bCs/>
          <w:color w:val="auto"/>
          <w:kern w:val="2"/>
          <w:sz w:val="24"/>
          <w:szCs w:val="24"/>
          <w:lang w:val="en-US" w:eastAsia="zh-CN" w:bidi="ar-SA"/>
        </w:rPr>
      </w:pPr>
      <w:r>
        <w:rPr>
          <w:rFonts w:hint="eastAsia" w:eastAsia="宋体" w:cs="Times New Roman"/>
          <w:b/>
          <w:bCs/>
          <w:color w:val="auto"/>
          <w:kern w:val="2"/>
          <w:sz w:val="24"/>
          <w:szCs w:val="24"/>
          <w:lang w:val="en-US" w:eastAsia="zh-CN" w:bidi="ar-SA"/>
        </w:rPr>
        <w:t>环境风险管理</w:t>
      </w:r>
    </w:p>
    <w:p w14:paraId="43DEC25C">
      <w:pPr>
        <w:keepNext w:val="0"/>
        <w:keepLines w:val="0"/>
        <w:widowControl/>
        <w:suppressLineNumbers w:val="0"/>
        <w:spacing w:line="360" w:lineRule="auto"/>
        <w:jc w:val="left"/>
        <w:rPr>
          <w:sz w:val="24"/>
          <w:szCs w:val="24"/>
        </w:rPr>
      </w:pPr>
      <w:r>
        <w:rPr>
          <w:rFonts w:hint="eastAsia" w:ascii="宋体" w:hAnsi="宋体" w:eastAsia="宋体" w:cs="宋体"/>
          <w:b/>
          <w:bCs/>
          <w:color w:val="000000"/>
          <w:kern w:val="0"/>
          <w:sz w:val="24"/>
          <w:szCs w:val="24"/>
          <w:lang w:val="en-US" w:eastAsia="zh-CN" w:bidi="ar"/>
        </w:rPr>
        <w:t xml:space="preserve">（1）突发环境事件应急预案 </w:t>
      </w:r>
    </w:p>
    <w:p w14:paraId="28EA9571">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按照《建设项目环境风险评价技术导则》、《国家突发环境事件应急预案》中规定的“环境风险应急预案原则”要求、以及辽宁省生态环境厅发布的《辽宁省突发环境事件应急预案备案行业名录（试行）》（辽环综函〔</w:t>
      </w:r>
      <w:r>
        <w:rPr>
          <w:rFonts w:hint="default" w:ascii="Times New Roman" w:hAnsi="Times New Roman" w:eastAsia="宋体" w:cs="Times New Roman"/>
          <w:color w:val="000000"/>
          <w:kern w:val="0"/>
          <w:sz w:val="24"/>
          <w:szCs w:val="24"/>
          <w:lang w:val="en-US" w:eastAsia="zh-CN" w:bidi="ar"/>
        </w:rPr>
        <w:t>2020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192 </w:t>
      </w:r>
      <w:r>
        <w:rPr>
          <w:rFonts w:hint="eastAsia" w:ascii="宋体" w:hAnsi="宋体" w:eastAsia="宋体" w:cs="宋体"/>
          <w:color w:val="000000"/>
          <w:kern w:val="0"/>
          <w:sz w:val="24"/>
          <w:szCs w:val="24"/>
          <w:lang w:val="en-US" w:eastAsia="zh-CN" w:bidi="ar"/>
        </w:rPr>
        <w:t xml:space="preserve">号）要求，本次评价提出《环境风险事件应急预案》的原则和总体要求，作为建设单位在项目正式投产前制定《环境风险事件应急预案》的管理、技术依据。 </w:t>
      </w:r>
    </w:p>
    <w:p w14:paraId="237F2979">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根据上述有关要求，结合本项目所处的环境特征及敏感性，建设单位对选矿厂必须做好以下环境应急准备及防范措施： </w:t>
      </w:r>
    </w:p>
    <w:p w14:paraId="562EAEFE">
      <w:pPr>
        <w:keepNext w:val="0"/>
        <w:keepLines w:val="0"/>
        <w:widowControl/>
        <w:suppressLineNumbers w:val="0"/>
        <w:spacing w:line="360" w:lineRule="auto"/>
        <w:jc w:val="left"/>
        <w:rPr>
          <w:sz w:val="24"/>
          <w:szCs w:val="24"/>
        </w:rPr>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）本项目要有专门的管理部门负责坚持对选厂设备、管道进行管理检查，以保证能够及时发现问题，及时解决，防患于未然。 </w:t>
      </w:r>
    </w:p>
    <w:p w14:paraId="29B0FDAC">
      <w:pPr>
        <w:keepNext w:val="0"/>
        <w:keepLines w:val="0"/>
        <w:widowControl/>
        <w:suppressLineNumbers w:val="0"/>
        <w:spacing w:line="360" w:lineRule="auto"/>
        <w:jc w:val="left"/>
        <w:rPr>
          <w:sz w:val="24"/>
          <w:szCs w:val="24"/>
        </w:rPr>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）本项目环境应急预案体系 </w:t>
      </w:r>
    </w:p>
    <w:p w14:paraId="0CC62807">
      <w:pPr>
        <w:keepNext w:val="0"/>
        <w:keepLines w:val="0"/>
        <w:widowControl/>
        <w:suppressLineNumbers w:val="0"/>
        <w:spacing w:line="360" w:lineRule="auto"/>
        <w:jc w:val="left"/>
        <w:rPr>
          <w:sz w:val="24"/>
          <w:szCs w:val="24"/>
        </w:rPr>
      </w:pPr>
      <w:r>
        <w:rPr>
          <w:rFonts w:hint="eastAsia" w:ascii="宋体" w:hAnsi="宋体" w:eastAsia="宋体" w:cs="宋体"/>
          <w:color w:val="000000"/>
          <w:kern w:val="0"/>
          <w:sz w:val="24"/>
          <w:szCs w:val="24"/>
          <w:lang w:val="en-US" w:eastAsia="zh-CN" w:bidi="ar"/>
        </w:rPr>
        <w:t xml:space="preserve">①应急预案的编制内容 </w:t>
      </w:r>
    </w:p>
    <w:p w14:paraId="678F2640">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企业应制定选厂突发环境事件应急预案，纳入动态管理体系，定期进行应急演练并将本企业的环境应急预案与相关部门、各级地方政府应急预案相衔接。 </w:t>
      </w:r>
    </w:p>
    <w:p w14:paraId="19FF9472">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 xml:space="preserve">企业编制的应急预案应当包括选厂的基本情况、工程概况；对选厂运行过程中存在的危险因素和易发生的事故种类进行分析，确定组织机构和职责，对突发环境事件的预防与预警、应急响应、应急保障和终止等内容作出规定，并重点分析选厂生产运行期间的环境风险防范措施和现场处置办法。 </w:t>
      </w:r>
    </w:p>
    <w:p w14:paraId="0C679F93">
      <w:pPr>
        <w:keepNext w:val="0"/>
        <w:keepLines w:val="0"/>
        <w:widowControl/>
        <w:suppressLineNumbers w:val="0"/>
        <w:spacing w:line="360" w:lineRule="auto"/>
        <w:jc w:val="left"/>
        <w:rPr>
          <w:sz w:val="24"/>
          <w:szCs w:val="24"/>
        </w:rPr>
      </w:pPr>
      <w:r>
        <w:rPr>
          <w:rFonts w:hint="eastAsia" w:ascii="宋体" w:hAnsi="宋体" w:eastAsia="宋体" w:cs="宋体"/>
          <w:color w:val="000000"/>
          <w:kern w:val="0"/>
          <w:sz w:val="24"/>
          <w:szCs w:val="24"/>
          <w:lang w:val="en-US" w:eastAsia="zh-CN" w:bidi="ar"/>
        </w:rPr>
        <w:t xml:space="preserve">②预案评审与应急演练 </w:t>
      </w:r>
    </w:p>
    <w:p w14:paraId="719219AD">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color w:val="000000"/>
          <w:kern w:val="0"/>
          <w:sz w:val="24"/>
          <w:szCs w:val="24"/>
          <w:lang w:val="en-US" w:eastAsia="zh-CN" w:bidi="ar"/>
        </w:rPr>
        <w:t>企业应当聘请专家对环境应急预案进行评审，并根据专家意见对应急预案进行修订。预案评审后，企业应组织落实预案中的相关要求，进一步明确各项职责和任务分工，加强企业员工的教育和培训，提高环境风险隐患防范意识，组织开展环境应急演练，针对演练中的不足适时修订环境应急预案。并报当地环保部门进行备案。</w:t>
      </w:r>
    </w:p>
    <w:p w14:paraId="3D74E156">
      <w:pPr>
        <w:keepNext w:val="0"/>
        <w:keepLines w:val="0"/>
        <w:widowControl/>
        <w:suppressLineNumbers w:val="0"/>
        <w:spacing w:line="360" w:lineRule="auto"/>
        <w:jc w:val="left"/>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 xml:space="preserve">（2）应急响应 </w:t>
      </w:r>
    </w:p>
    <w:p w14:paraId="3E069E3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1）在制定应急预案的基础上，对相关人员进行培训，使其掌握必要的应急处置机能。 </w:t>
      </w:r>
    </w:p>
    <w:p w14:paraId="38C9888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2）设置事故报警装置和快速监测设备。 </w:t>
      </w:r>
    </w:p>
    <w:p w14:paraId="4717416F">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3）设置事故池等应急预留场所；必要时，设置危险废物泄露处置设备。 </w:t>
      </w:r>
    </w:p>
    <w:p w14:paraId="26032A30">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4）设置全身防护、呼吸道防护等安全防护装备，并配备常见的救护急用物品和中毒救药品。 </w:t>
      </w:r>
    </w:p>
    <w:p w14:paraId="78DAAD7A">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5）当发生地下水异常情况时，按照指定的地下水应急预案采取应急措施。</w:t>
      </w:r>
    </w:p>
    <w:p w14:paraId="22D91DA3">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6）组织专业队伍对事故现场进行调查、监测，查找环境发生地点，分析事故原因，将紧急事件局部化，如可能予以消除，采取包括切断生产装置或设施、设置围堤等拦堵设施、疏散等，防止事故的扩散、蔓延及连锁反应，缩小地下水污染事故对人、环境和财产的影响。 </w:t>
      </w:r>
    </w:p>
    <w:p w14:paraId="18A50D2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7）当通过监测发现对周围地下水造成污染时，采取控制地下水流场等措施，防止污染物扩散，如采取隔离措施、人工开采形成地下水漏斗、抽水等应急措施。</w:t>
      </w:r>
    </w:p>
    <w:p w14:paraId="7ED9F1FC">
      <w:pPr>
        <w:keepNext w:val="0"/>
        <w:keepLines w:val="0"/>
        <w:widowControl/>
        <w:suppressLineNumbers w:val="0"/>
        <w:spacing w:line="360" w:lineRule="auto"/>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（3）环境风险管理</w:t>
      </w:r>
      <w:r>
        <w:rPr>
          <w:rFonts w:hint="default" w:ascii="Times New Roman" w:hAnsi="Times New Roman" w:eastAsia="宋体" w:cs="Times New Roman"/>
          <w:color w:val="000000"/>
          <w:kern w:val="0"/>
          <w:sz w:val="24"/>
          <w:szCs w:val="24"/>
          <w:lang w:val="en-US" w:eastAsia="zh-CN" w:bidi="ar"/>
        </w:rPr>
        <w:t xml:space="preserve"> </w:t>
      </w:r>
    </w:p>
    <w:p w14:paraId="700B2A8E">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根据《中华人民</w:t>
      </w:r>
      <w:r>
        <w:rPr>
          <w:rFonts w:hint="eastAsia" w:cs="Times New Roman"/>
          <w:color w:val="000000"/>
          <w:kern w:val="0"/>
          <w:sz w:val="24"/>
          <w:szCs w:val="24"/>
          <w:lang w:val="en-US" w:eastAsia="zh-CN" w:bidi="ar"/>
        </w:rPr>
        <w:t>共和国</w:t>
      </w:r>
      <w:r>
        <w:rPr>
          <w:rFonts w:hint="default" w:ascii="Times New Roman" w:hAnsi="Times New Roman" w:eastAsia="宋体" w:cs="Times New Roman"/>
          <w:color w:val="000000"/>
          <w:kern w:val="0"/>
          <w:sz w:val="24"/>
          <w:szCs w:val="24"/>
          <w:lang w:val="en-US" w:eastAsia="zh-CN" w:bidi="ar"/>
        </w:rPr>
        <w:t xml:space="preserve">矿山安全法》，结合实际情况，建设单位需制定有《选厂安全管理制度》。主要包括以下内容： </w:t>
      </w:r>
    </w:p>
    <w:p w14:paraId="1B12AE91">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1）建立全厂环境保护台账管理、交接班。设备维护保养等制度，对日常巡检、设备维护进行记录。 </w:t>
      </w:r>
    </w:p>
    <w:p w14:paraId="429C665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2）制定选厂环保责任制，规定选厂主管总经理、分管副总、选厂各相关岗位职工的环保职责。 </w:t>
      </w:r>
    </w:p>
    <w:p w14:paraId="2D1D1C0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3）制定选厂环保管理制度，规定选厂相关岗位环保操作规程、监测和巡查制度，明确环保监督管理、环保检查与</w:t>
      </w:r>
      <w:bookmarkStart w:id="239" w:name="_GoBack"/>
      <w:bookmarkEnd w:id="239"/>
      <w:r>
        <w:rPr>
          <w:rFonts w:hint="default" w:ascii="Times New Roman" w:hAnsi="Times New Roman" w:eastAsia="宋体" w:cs="Times New Roman"/>
          <w:color w:val="000000"/>
          <w:kern w:val="0"/>
          <w:sz w:val="24"/>
          <w:szCs w:val="24"/>
          <w:lang w:val="en-US" w:eastAsia="zh-CN" w:bidi="ar"/>
        </w:rPr>
        <w:t xml:space="preserve">整改管理等制度，环保管理人员持证上岗。 </w:t>
      </w:r>
    </w:p>
    <w:p w14:paraId="1B43B87B">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4）制定选厂环境风险管理、环境应急制度等制度。 </w:t>
      </w:r>
    </w:p>
    <w:p w14:paraId="2B1F31A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5）实行24小时值班制度，发现隐患及时排除，并上报有关部门。 </w:t>
      </w:r>
    </w:p>
    <w:p w14:paraId="56C5C9C6">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 xml:space="preserve">6）每班负责对选厂设备、管线、药剂储存等设施进行巡检，并将巡查结果等各项工作记录按时交接给接班人员；每月开展一次应急物资、装备检查，数目粘贴上墙。 </w:t>
      </w:r>
    </w:p>
    <w:p w14:paraId="43258CD5">
      <w:pPr>
        <w:keepNext w:val="0"/>
        <w:keepLines w:val="0"/>
        <w:widowControl/>
        <w:suppressLineNumbers w:val="0"/>
        <w:spacing w:line="360" w:lineRule="auto"/>
        <w:ind w:firstLine="480" w:firstLineChars="200"/>
        <w:jc w:val="left"/>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7）明确总经理为选厂安全生产责任人，制定选厂安全生产责任制，划分选厂设施安全管理部门和部门主要职责，建立选厂安全管理档案。制定选厂安全管理制度，规定选厂岗位安全生产操作规程、监测和安全检查制度，明确预防事故发生的安全环保大检查。隐患排查治理制度，选厂安全管理人员均持证上岗。建立安全生产宣传教育和培训制度，每年至少组织一次培训和演练。</w:t>
      </w:r>
    </w:p>
    <w:p w14:paraId="13862E37">
      <w:pPr>
        <w:pStyle w:val="3"/>
        <w:bidi w:val="0"/>
        <w:rPr>
          <w:rFonts w:hint="default"/>
          <w:lang w:val="en-US" w:eastAsia="zh-CN"/>
        </w:rPr>
      </w:pPr>
      <w:bookmarkStart w:id="184" w:name="_Toc368298969"/>
      <w:bookmarkEnd w:id="184"/>
      <w:bookmarkStart w:id="185" w:name="_Toc213732057"/>
      <w:bookmarkEnd w:id="185"/>
      <w:bookmarkStart w:id="186" w:name="_Toc416697467"/>
      <w:bookmarkEnd w:id="186"/>
      <w:bookmarkStart w:id="187" w:name="_Toc305953290"/>
      <w:bookmarkEnd w:id="187"/>
      <w:bookmarkStart w:id="188" w:name="_Toc436571673"/>
      <w:bookmarkEnd w:id="188"/>
      <w:bookmarkStart w:id="189" w:name="_Toc436571669"/>
      <w:bookmarkEnd w:id="189"/>
      <w:bookmarkStart w:id="190" w:name="_Toc319511363"/>
      <w:bookmarkEnd w:id="190"/>
      <w:bookmarkStart w:id="191" w:name="_Toc368298877"/>
      <w:bookmarkEnd w:id="191"/>
      <w:bookmarkStart w:id="192" w:name="_Toc316410452"/>
      <w:bookmarkEnd w:id="192"/>
      <w:bookmarkStart w:id="193" w:name="_Toc408781274"/>
      <w:bookmarkEnd w:id="193"/>
      <w:bookmarkStart w:id="194" w:name="_Toc709"/>
      <w:r>
        <w:rPr>
          <w:rFonts w:hint="eastAsia"/>
          <w:lang w:val="en-US" w:eastAsia="zh-CN"/>
        </w:rPr>
        <w:t>9</w:t>
      </w:r>
      <w:r>
        <w:rPr>
          <w:rFonts w:hint="default"/>
          <w:lang w:val="en-US" w:eastAsia="zh-CN"/>
        </w:rPr>
        <w:t>环境影响经济损益分析</w:t>
      </w:r>
      <w:bookmarkEnd w:id="194"/>
    </w:p>
    <w:p w14:paraId="63985C1D">
      <w:pPr>
        <w:spacing w:line="360" w:lineRule="auto"/>
        <w:ind w:firstLine="480" w:firstLineChars="200"/>
        <w:rPr>
          <w:rFonts w:hint="eastAsia"/>
          <w:color w:val="auto"/>
          <w:sz w:val="24"/>
          <w:lang w:val="en-US" w:eastAsia="zh-CN"/>
        </w:rPr>
      </w:pPr>
      <w:bookmarkStart w:id="195" w:name="_Toc476780333"/>
      <w:bookmarkEnd w:id="195"/>
      <w:bookmarkStart w:id="196" w:name="_Toc20616"/>
      <w:bookmarkEnd w:id="196"/>
      <w:bookmarkStart w:id="197" w:name="_Toc452363555"/>
      <w:r>
        <w:rPr>
          <w:rFonts w:hint="eastAsia"/>
          <w:color w:val="auto"/>
          <w:sz w:val="24"/>
          <w:lang w:val="en-US" w:eastAsia="zh-CN"/>
        </w:rPr>
        <w:t>环境经济损益分析是项目环境影响评价的一个重要组成部分。其主要任务是衡量建设项目需要投入的环保投资及所能收到的环境保护效果。因此，在环境损益分析中除需要计算用于控制污染所需投资和运行费用外，还要同时核算可能收到的环境与经济实效，甚至还包括项目的社会经济效益，以求对项目环保投资取得的环境保护效果有全面和明确的评价。</w:t>
      </w:r>
    </w:p>
    <w:p w14:paraId="38DD21EF">
      <w:pPr>
        <w:pStyle w:val="4"/>
        <w:bidi w:val="0"/>
        <w:rPr>
          <w:rFonts w:hint="default" w:ascii="Times New Roman" w:hAnsi="Times New Roman" w:cs="Times New Roman" w:eastAsiaTheme="minorEastAsia"/>
          <w:lang w:val="zh-CN" w:eastAsia="zh-CN"/>
        </w:rPr>
      </w:pPr>
      <w:bookmarkStart w:id="198" w:name="_Toc22354"/>
      <w:r>
        <w:rPr>
          <w:rFonts w:hint="default" w:ascii="Times New Roman" w:hAnsi="Times New Roman" w:cs="Times New Roman" w:eastAsiaTheme="minorEastAsia"/>
          <w:lang w:val="en-US" w:eastAsia="zh-CN"/>
        </w:rPr>
        <w:t>9</w:t>
      </w:r>
      <w:r>
        <w:rPr>
          <w:rFonts w:hint="default" w:ascii="Times New Roman" w:hAnsi="Times New Roman" w:cs="Times New Roman" w:eastAsiaTheme="minorEastAsia"/>
          <w:lang w:val="zh-CN" w:eastAsia="zh-CN"/>
        </w:rPr>
        <w:t>.1环保投资及效益分析</w:t>
      </w:r>
      <w:bookmarkEnd w:id="198"/>
    </w:p>
    <w:p w14:paraId="67E222D2">
      <w:pPr>
        <w:pStyle w:val="5"/>
        <w:bidi w:val="0"/>
        <w:rPr>
          <w:rFonts w:hint="eastAsia"/>
          <w:lang w:val="en-US" w:eastAsia="zh-CN"/>
        </w:rPr>
      </w:pPr>
      <w:r>
        <w:rPr>
          <w:rFonts w:hint="eastAsia"/>
          <w:lang w:val="en-US" w:eastAsia="zh-CN"/>
        </w:rPr>
        <w:t>9.1.1环保投资估算</w:t>
      </w:r>
    </w:p>
    <w:p w14:paraId="434BEB13">
      <w:pPr>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本项目建成运行后，各类环保工程主要包括废气处理措施、噪声污染防治措施、地下水污染防治措施、生态环境整治措施等。此外，还包括按环境风险防范措施以及项目建成运行后环境管理及监测措施。</w:t>
      </w:r>
      <w:r>
        <w:rPr>
          <w:color w:val="auto"/>
          <w:sz w:val="24"/>
        </w:rPr>
        <w:t>本项目总投资为</w:t>
      </w:r>
      <w:r>
        <w:rPr>
          <w:rFonts w:hint="eastAsia"/>
          <w:color w:val="auto"/>
          <w:sz w:val="24"/>
          <w:lang w:val="en-US" w:eastAsia="zh-CN"/>
        </w:rPr>
        <w:t>500</w:t>
      </w:r>
      <w:r>
        <w:rPr>
          <w:color w:val="auto"/>
          <w:sz w:val="24"/>
        </w:rPr>
        <w:t>万元，</w:t>
      </w:r>
      <w:r>
        <w:rPr>
          <w:rFonts w:hint="eastAsia"/>
          <w:color w:val="auto"/>
          <w:sz w:val="24"/>
          <w:lang w:val="en-US" w:eastAsia="zh-CN"/>
        </w:rPr>
        <w:t>其中</w:t>
      </w:r>
      <w:r>
        <w:rPr>
          <w:color w:val="auto"/>
          <w:sz w:val="24"/>
        </w:rPr>
        <w:t>环保投资为</w:t>
      </w:r>
      <w:r>
        <w:rPr>
          <w:rFonts w:hint="eastAsia"/>
          <w:color w:val="auto"/>
          <w:sz w:val="24"/>
          <w:highlight w:val="none"/>
          <w:lang w:val="en-US" w:eastAsia="zh-CN"/>
        </w:rPr>
        <w:t>40</w:t>
      </w:r>
      <w:r>
        <w:rPr>
          <w:color w:val="auto"/>
          <w:sz w:val="24"/>
          <w:highlight w:val="none"/>
        </w:rPr>
        <w:t>万元，环保投资占总投资额的</w:t>
      </w:r>
      <w:r>
        <w:rPr>
          <w:rFonts w:hint="eastAsia"/>
          <w:color w:val="auto"/>
          <w:sz w:val="24"/>
          <w:highlight w:val="none"/>
          <w:lang w:val="en-US" w:eastAsia="zh-CN"/>
        </w:rPr>
        <w:t>8</w:t>
      </w:r>
      <w:r>
        <w:rPr>
          <w:rFonts w:hint="eastAsia"/>
          <w:color w:val="auto"/>
          <w:sz w:val="24"/>
          <w:highlight w:val="none"/>
        </w:rPr>
        <w:t>％</w:t>
      </w:r>
      <w:r>
        <w:rPr>
          <w:color w:val="auto"/>
          <w:sz w:val="24"/>
          <w:highlight w:val="none"/>
        </w:rPr>
        <w:t>。</w:t>
      </w:r>
      <w:r>
        <w:rPr>
          <w:rFonts w:hint="eastAsia"/>
          <w:color w:val="auto"/>
          <w:sz w:val="24"/>
          <w:lang w:val="en-US" w:eastAsia="zh-CN"/>
        </w:rPr>
        <w:t>具体如下。</w:t>
      </w:r>
    </w:p>
    <w:p w14:paraId="567C9C11">
      <w:pPr>
        <w:spacing w:line="360" w:lineRule="auto"/>
        <w:jc w:val="center"/>
        <w:rPr>
          <w:rFonts w:hint="eastAsia"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kern w:val="2"/>
          <w:sz w:val="24"/>
          <w:szCs w:val="24"/>
          <w:lang w:val="en-US" w:eastAsia="zh-CN" w:bidi="ar-SA"/>
        </w:rPr>
        <w:t>表</w:t>
      </w:r>
      <w:r>
        <w:rPr>
          <w:rFonts w:hint="eastAsia" w:cs="Times New Roman"/>
          <w:b/>
          <w:color w:val="auto"/>
          <w:kern w:val="2"/>
          <w:sz w:val="24"/>
          <w:szCs w:val="24"/>
          <w:lang w:val="en-US" w:eastAsia="zh-CN" w:bidi="ar-SA"/>
        </w:rPr>
        <w:t>9</w:t>
      </w:r>
      <w:r>
        <w:rPr>
          <w:rFonts w:hint="eastAsia" w:ascii="Times New Roman" w:hAnsi="Times New Roman" w:eastAsia="宋体" w:cs="Times New Roman"/>
          <w:b/>
          <w:color w:val="auto"/>
          <w:kern w:val="2"/>
          <w:sz w:val="24"/>
          <w:szCs w:val="24"/>
          <w:lang w:val="en-US" w:eastAsia="zh-CN" w:bidi="ar-SA"/>
        </w:rPr>
        <w:t>.1-1     项目环保投资一览表</w:t>
      </w:r>
    </w:p>
    <w:tbl>
      <w:tblPr>
        <w:tblStyle w:val="7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
        <w:gridCol w:w="1712"/>
        <w:gridCol w:w="4347"/>
        <w:gridCol w:w="1036"/>
        <w:gridCol w:w="1036"/>
      </w:tblGrid>
      <w:tr w14:paraId="5B3D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318" w:type="pct"/>
            <w:gridSpan w:val="2"/>
            <w:tcBorders>
              <w:tl2br w:val="nil"/>
              <w:tr2bl w:val="nil"/>
            </w:tcBorders>
            <w:vAlign w:val="center"/>
          </w:tcPr>
          <w:p w14:paraId="50663DC4">
            <w:pPr>
              <w:adjustRightInd w:val="0"/>
              <w:snapToGrid w:val="0"/>
              <w:jc w:val="center"/>
              <w:rPr>
                <w:color w:val="auto"/>
                <w:spacing w:val="6"/>
                <w:szCs w:val="21"/>
              </w:rPr>
            </w:pPr>
            <w:r>
              <w:rPr>
                <w:color w:val="auto"/>
                <w:spacing w:val="6"/>
                <w:szCs w:val="21"/>
              </w:rPr>
              <w:t>项目</w:t>
            </w:r>
          </w:p>
        </w:tc>
        <w:tc>
          <w:tcPr>
            <w:tcW w:w="2493" w:type="pct"/>
            <w:tcBorders>
              <w:tl2br w:val="nil"/>
              <w:tr2bl w:val="nil"/>
            </w:tcBorders>
            <w:vAlign w:val="center"/>
          </w:tcPr>
          <w:p w14:paraId="017E2890">
            <w:pPr>
              <w:adjustRightInd w:val="0"/>
              <w:snapToGrid w:val="0"/>
              <w:jc w:val="center"/>
              <w:rPr>
                <w:color w:val="auto"/>
                <w:spacing w:val="6"/>
                <w:szCs w:val="21"/>
              </w:rPr>
            </w:pPr>
            <w:r>
              <w:rPr>
                <w:color w:val="auto"/>
                <w:spacing w:val="6"/>
                <w:szCs w:val="21"/>
              </w:rPr>
              <w:t>费用名称</w:t>
            </w:r>
          </w:p>
        </w:tc>
        <w:tc>
          <w:tcPr>
            <w:tcW w:w="594" w:type="pct"/>
            <w:tcBorders>
              <w:tl2br w:val="nil"/>
              <w:tr2bl w:val="nil"/>
            </w:tcBorders>
            <w:vAlign w:val="center"/>
          </w:tcPr>
          <w:p w14:paraId="5B0B343E">
            <w:pPr>
              <w:adjustRightInd w:val="0"/>
              <w:snapToGrid w:val="0"/>
              <w:jc w:val="center"/>
              <w:rPr>
                <w:rFonts w:hint="eastAsia" w:eastAsia="宋体"/>
                <w:color w:val="auto"/>
                <w:spacing w:val="6"/>
                <w:szCs w:val="21"/>
                <w:lang w:eastAsia="zh-CN"/>
              </w:rPr>
            </w:pPr>
            <w:r>
              <w:rPr>
                <w:rFonts w:hint="eastAsia"/>
                <w:color w:val="auto"/>
                <w:spacing w:val="6"/>
                <w:szCs w:val="21"/>
              </w:rPr>
              <w:t>新增</w:t>
            </w:r>
            <w:r>
              <w:rPr>
                <w:color w:val="auto"/>
                <w:spacing w:val="6"/>
                <w:szCs w:val="21"/>
              </w:rPr>
              <w:t>投资</w:t>
            </w:r>
            <w:r>
              <w:rPr>
                <w:rFonts w:hint="eastAsia"/>
                <w:color w:val="auto"/>
                <w:spacing w:val="6"/>
                <w:szCs w:val="21"/>
                <w:lang w:eastAsia="zh-CN"/>
              </w:rPr>
              <w:t>（万元）</w:t>
            </w:r>
          </w:p>
        </w:tc>
        <w:tc>
          <w:tcPr>
            <w:tcW w:w="594" w:type="pct"/>
            <w:tcBorders>
              <w:tl2br w:val="nil"/>
              <w:tr2bl w:val="nil"/>
            </w:tcBorders>
            <w:vAlign w:val="center"/>
          </w:tcPr>
          <w:p w14:paraId="112C4138">
            <w:pPr>
              <w:adjustRightInd w:val="0"/>
              <w:snapToGrid w:val="0"/>
              <w:jc w:val="center"/>
              <w:rPr>
                <w:rFonts w:hint="eastAsia" w:eastAsia="宋体"/>
                <w:color w:val="auto"/>
                <w:spacing w:val="6"/>
                <w:szCs w:val="21"/>
                <w:lang w:val="en-US" w:eastAsia="zh-CN"/>
              </w:rPr>
            </w:pPr>
            <w:r>
              <w:rPr>
                <w:rFonts w:hint="eastAsia"/>
                <w:color w:val="auto"/>
                <w:spacing w:val="6"/>
                <w:szCs w:val="21"/>
                <w:lang w:val="en-US" w:eastAsia="zh-CN"/>
              </w:rPr>
              <w:t>备注</w:t>
            </w:r>
          </w:p>
        </w:tc>
      </w:tr>
      <w:tr w14:paraId="67CB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restart"/>
            <w:tcBorders>
              <w:tl2br w:val="nil"/>
              <w:tr2bl w:val="nil"/>
            </w:tcBorders>
            <w:vAlign w:val="center"/>
          </w:tcPr>
          <w:p w14:paraId="3CF9099E">
            <w:pPr>
              <w:adjustRightInd w:val="0"/>
              <w:snapToGrid w:val="0"/>
              <w:ind w:left="-105" w:leftChars="-50" w:right="-105" w:rightChars="-50"/>
              <w:jc w:val="center"/>
              <w:rPr>
                <w:color w:val="auto"/>
                <w:spacing w:val="6"/>
                <w:szCs w:val="21"/>
              </w:rPr>
            </w:pPr>
            <w:r>
              <w:rPr>
                <w:color w:val="auto"/>
                <w:spacing w:val="6"/>
                <w:szCs w:val="21"/>
              </w:rPr>
              <w:t>大气</w:t>
            </w:r>
          </w:p>
        </w:tc>
        <w:tc>
          <w:tcPr>
            <w:tcW w:w="981" w:type="pct"/>
            <w:tcBorders>
              <w:tl2br w:val="nil"/>
              <w:tr2bl w:val="nil"/>
            </w:tcBorders>
            <w:vAlign w:val="center"/>
          </w:tcPr>
          <w:p w14:paraId="2B3E50EA">
            <w:pPr>
              <w:adjustRightInd w:val="0"/>
              <w:snapToGrid w:val="0"/>
              <w:ind w:left="-105" w:leftChars="-50" w:right="-105" w:rightChars="-50"/>
              <w:jc w:val="center"/>
              <w:rPr>
                <w:rFonts w:hint="default" w:eastAsia="宋体"/>
                <w:color w:val="auto"/>
                <w:spacing w:val="6"/>
                <w:szCs w:val="21"/>
                <w:lang w:val="en-US" w:eastAsia="zh-CN"/>
              </w:rPr>
            </w:pPr>
            <w:r>
              <w:rPr>
                <w:rFonts w:hint="eastAsia"/>
                <w:color w:val="auto"/>
                <w:spacing w:val="6"/>
                <w:szCs w:val="21"/>
                <w:lang w:val="en-US" w:eastAsia="zh-CN"/>
              </w:rPr>
              <w:t>破碎粉尘</w:t>
            </w:r>
          </w:p>
        </w:tc>
        <w:tc>
          <w:tcPr>
            <w:tcW w:w="2493" w:type="pct"/>
            <w:tcBorders>
              <w:tl2br w:val="nil"/>
              <w:tr2bl w:val="nil"/>
            </w:tcBorders>
            <w:vAlign w:val="center"/>
          </w:tcPr>
          <w:p w14:paraId="4596C474">
            <w:pPr>
              <w:tabs>
                <w:tab w:val="left" w:pos="2745"/>
              </w:tabs>
              <w:adjustRightInd w:val="0"/>
              <w:snapToGrid w:val="0"/>
              <w:jc w:val="center"/>
              <w:rPr>
                <w:rFonts w:hint="default" w:eastAsia="宋体"/>
                <w:color w:val="auto"/>
                <w:szCs w:val="21"/>
                <w:lang w:val="en-US" w:eastAsia="zh-CN"/>
              </w:rPr>
            </w:pPr>
            <w:r>
              <w:rPr>
                <w:rFonts w:hint="eastAsia"/>
                <w:color w:val="auto"/>
                <w:szCs w:val="21"/>
                <w:lang w:val="en-US" w:eastAsia="zh-CN"/>
              </w:rPr>
              <w:t>破碎区：依托现有布袋除尘器（TA001）处理，处理后通过1根15m高排气筒有组织排放（DA001)</w:t>
            </w:r>
          </w:p>
        </w:tc>
        <w:tc>
          <w:tcPr>
            <w:tcW w:w="594" w:type="pct"/>
            <w:tcBorders>
              <w:tl2br w:val="nil"/>
              <w:tr2bl w:val="nil"/>
            </w:tcBorders>
            <w:vAlign w:val="center"/>
          </w:tcPr>
          <w:p w14:paraId="66ABDF19">
            <w:pPr>
              <w:adjustRightInd w:val="0"/>
              <w:snapToGrid w:val="0"/>
              <w:jc w:val="center"/>
              <w:rPr>
                <w:rFonts w:hint="default"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10020F58">
            <w:pPr>
              <w:adjustRightInd w:val="0"/>
              <w:snapToGrid w:val="0"/>
              <w:jc w:val="center"/>
              <w:rPr>
                <w:rFonts w:hint="default"/>
                <w:color w:val="auto"/>
                <w:szCs w:val="21"/>
                <w:lang w:val="en-US" w:eastAsia="zh-CN"/>
              </w:rPr>
            </w:pPr>
            <w:r>
              <w:rPr>
                <w:rFonts w:hint="eastAsia"/>
                <w:color w:val="auto"/>
                <w:szCs w:val="21"/>
                <w:lang w:val="en-US" w:eastAsia="zh-CN"/>
              </w:rPr>
              <w:t>依托现有</w:t>
            </w:r>
          </w:p>
        </w:tc>
      </w:tr>
      <w:tr w14:paraId="5A900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continue"/>
            <w:tcBorders>
              <w:tl2br w:val="nil"/>
              <w:tr2bl w:val="nil"/>
            </w:tcBorders>
            <w:vAlign w:val="center"/>
          </w:tcPr>
          <w:p w14:paraId="4B4C9335">
            <w:pPr>
              <w:tabs>
                <w:tab w:val="left" w:pos="2745"/>
              </w:tabs>
              <w:adjustRightInd w:val="0"/>
              <w:snapToGrid w:val="0"/>
              <w:jc w:val="center"/>
            </w:pPr>
          </w:p>
        </w:tc>
        <w:tc>
          <w:tcPr>
            <w:tcW w:w="981" w:type="pct"/>
            <w:tcBorders>
              <w:tl2br w:val="nil"/>
              <w:tr2bl w:val="nil"/>
            </w:tcBorders>
            <w:vAlign w:val="center"/>
          </w:tcPr>
          <w:p w14:paraId="2B6BBA6A">
            <w:pPr>
              <w:tabs>
                <w:tab w:val="left" w:pos="2745"/>
              </w:tabs>
              <w:adjustRightInd w:val="0"/>
              <w:snapToGrid w:val="0"/>
              <w:jc w:val="center"/>
              <w:rPr>
                <w:rFonts w:hint="default" w:eastAsia="宋体"/>
                <w:lang w:val="en-US" w:eastAsia="zh-CN"/>
              </w:rPr>
            </w:pPr>
            <w:r>
              <w:rPr>
                <w:rFonts w:hint="eastAsia"/>
                <w:lang w:val="en-US" w:eastAsia="zh-CN"/>
              </w:rPr>
              <w:t>球磨粉尘</w:t>
            </w:r>
          </w:p>
        </w:tc>
        <w:tc>
          <w:tcPr>
            <w:tcW w:w="2493" w:type="pct"/>
            <w:tcBorders>
              <w:tl2br w:val="nil"/>
              <w:tr2bl w:val="nil"/>
            </w:tcBorders>
            <w:vAlign w:val="center"/>
          </w:tcPr>
          <w:p w14:paraId="7384D7B6">
            <w:pPr>
              <w:tabs>
                <w:tab w:val="left" w:pos="2745"/>
              </w:tabs>
              <w:adjustRightInd w:val="0"/>
              <w:snapToGrid w:val="0"/>
              <w:jc w:val="center"/>
              <w:rPr>
                <w:rFonts w:hint="default" w:eastAsia="宋体"/>
                <w:color w:val="auto"/>
                <w:szCs w:val="21"/>
                <w:lang w:val="en-US" w:eastAsia="zh-CN"/>
              </w:rPr>
            </w:pPr>
            <w:r>
              <w:rPr>
                <w:rFonts w:hint="eastAsia"/>
                <w:color w:val="auto"/>
                <w:szCs w:val="21"/>
                <w:lang w:val="en-US" w:eastAsia="zh-CN"/>
              </w:rPr>
              <w:t>球磨：在各产尘点设置集气罩，依托现有布袋除尘器（TA001）处理，处理后通过1根15m高排气筒有组织排放（DA001)</w:t>
            </w:r>
          </w:p>
        </w:tc>
        <w:tc>
          <w:tcPr>
            <w:tcW w:w="1036" w:type="dxa"/>
            <w:tcBorders>
              <w:tl2br w:val="nil"/>
              <w:tr2bl w:val="nil"/>
            </w:tcBorders>
            <w:vAlign w:val="center"/>
          </w:tcPr>
          <w:p w14:paraId="1CED0662">
            <w:pPr>
              <w:adjustRightInd w:val="0"/>
              <w:snapToGrid w:val="0"/>
              <w:jc w:val="center"/>
              <w:rPr>
                <w:rFonts w:hint="default" w:eastAsia="宋体"/>
                <w:color w:val="auto"/>
                <w:szCs w:val="21"/>
                <w:lang w:val="en-US" w:eastAsia="zh-CN"/>
              </w:rPr>
            </w:pPr>
            <w:r>
              <w:rPr>
                <w:rFonts w:hint="eastAsia"/>
                <w:color w:val="auto"/>
                <w:szCs w:val="21"/>
                <w:lang w:val="en-US" w:eastAsia="zh-CN"/>
              </w:rPr>
              <w:t>/</w:t>
            </w:r>
          </w:p>
        </w:tc>
        <w:tc>
          <w:tcPr>
            <w:tcW w:w="1036" w:type="dxa"/>
            <w:tcBorders>
              <w:tl2br w:val="nil"/>
              <w:tr2bl w:val="nil"/>
            </w:tcBorders>
            <w:vAlign w:val="center"/>
          </w:tcPr>
          <w:p w14:paraId="36AB35B8">
            <w:pPr>
              <w:adjustRightInd w:val="0"/>
              <w:snapToGrid w:val="0"/>
              <w:jc w:val="center"/>
              <w:rPr>
                <w:rFonts w:hint="eastAsia" w:eastAsia="宋体"/>
                <w:color w:val="auto"/>
                <w:szCs w:val="21"/>
                <w:lang w:val="en-US" w:eastAsia="zh-CN"/>
              </w:rPr>
            </w:pPr>
            <w:r>
              <w:rPr>
                <w:rFonts w:hint="eastAsia"/>
                <w:color w:val="auto"/>
                <w:szCs w:val="21"/>
                <w:lang w:val="en-US" w:eastAsia="zh-CN"/>
              </w:rPr>
              <w:t>依托现有</w:t>
            </w:r>
          </w:p>
        </w:tc>
      </w:tr>
      <w:tr w14:paraId="736B2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continue"/>
            <w:tcBorders>
              <w:tl2br w:val="nil"/>
              <w:tr2bl w:val="nil"/>
            </w:tcBorders>
            <w:vAlign w:val="center"/>
          </w:tcPr>
          <w:p w14:paraId="2DCE1913">
            <w:pPr>
              <w:tabs>
                <w:tab w:val="left" w:pos="2745"/>
              </w:tabs>
              <w:adjustRightInd w:val="0"/>
              <w:snapToGrid w:val="0"/>
              <w:jc w:val="center"/>
            </w:pPr>
          </w:p>
        </w:tc>
        <w:tc>
          <w:tcPr>
            <w:tcW w:w="981" w:type="pct"/>
            <w:tcBorders>
              <w:tl2br w:val="nil"/>
              <w:tr2bl w:val="nil"/>
            </w:tcBorders>
            <w:vAlign w:val="center"/>
          </w:tcPr>
          <w:p w14:paraId="07469D74">
            <w:pPr>
              <w:tabs>
                <w:tab w:val="left" w:pos="2745"/>
              </w:tabs>
              <w:adjustRightInd w:val="0"/>
              <w:snapToGrid w:val="0"/>
              <w:jc w:val="center"/>
              <w:rPr>
                <w:rFonts w:hint="default"/>
                <w:lang w:val="en-US" w:eastAsia="zh-CN"/>
              </w:rPr>
            </w:pPr>
            <w:r>
              <w:rPr>
                <w:rFonts w:hint="eastAsia"/>
                <w:lang w:val="en-US" w:eastAsia="zh-CN"/>
              </w:rPr>
              <w:t>皮带输送粉尘</w:t>
            </w:r>
          </w:p>
        </w:tc>
        <w:tc>
          <w:tcPr>
            <w:tcW w:w="2493" w:type="pct"/>
            <w:tcBorders>
              <w:tl2br w:val="nil"/>
              <w:tr2bl w:val="nil"/>
            </w:tcBorders>
            <w:vAlign w:val="center"/>
          </w:tcPr>
          <w:p w14:paraId="4BD61575">
            <w:pPr>
              <w:tabs>
                <w:tab w:val="left" w:pos="2745"/>
              </w:tabs>
              <w:adjustRightInd w:val="0"/>
              <w:snapToGrid w:val="0"/>
              <w:jc w:val="center"/>
              <w:rPr>
                <w:rFonts w:hint="eastAsia"/>
                <w:color w:val="auto"/>
                <w:szCs w:val="21"/>
                <w:lang w:val="en-US" w:eastAsia="zh-CN"/>
              </w:rPr>
            </w:pPr>
            <w:r>
              <w:rPr>
                <w:rFonts w:hint="eastAsia"/>
                <w:color w:val="auto"/>
                <w:szCs w:val="21"/>
                <w:lang w:val="en-US" w:eastAsia="zh-CN"/>
              </w:rPr>
              <w:t>矿石输送采用封闭式皮带运输廊道，转运点设</w:t>
            </w:r>
          </w:p>
          <w:p w14:paraId="26AC4BB9">
            <w:pPr>
              <w:tabs>
                <w:tab w:val="left" w:pos="2745"/>
              </w:tabs>
              <w:adjustRightInd w:val="0"/>
              <w:snapToGrid w:val="0"/>
              <w:jc w:val="center"/>
              <w:rPr>
                <w:rFonts w:hint="eastAsia"/>
                <w:color w:val="auto"/>
                <w:szCs w:val="21"/>
                <w:lang w:val="en-US" w:eastAsia="zh-CN"/>
              </w:rPr>
            </w:pPr>
            <w:r>
              <w:rPr>
                <w:rFonts w:hint="eastAsia"/>
                <w:color w:val="auto"/>
                <w:szCs w:val="21"/>
                <w:lang w:val="en-US" w:eastAsia="zh-CN"/>
              </w:rPr>
              <w:t>置喷淋洒水装置</w:t>
            </w:r>
          </w:p>
        </w:tc>
        <w:tc>
          <w:tcPr>
            <w:tcW w:w="594" w:type="pct"/>
            <w:tcBorders>
              <w:tl2br w:val="nil"/>
              <w:tr2bl w:val="nil"/>
            </w:tcBorders>
            <w:vAlign w:val="center"/>
          </w:tcPr>
          <w:p w14:paraId="237CBE89">
            <w:pPr>
              <w:tabs>
                <w:tab w:val="left" w:pos="2745"/>
              </w:tabs>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594" w:type="pct"/>
            <w:tcBorders>
              <w:tl2br w:val="nil"/>
              <w:tr2bl w:val="nil"/>
            </w:tcBorders>
            <w:vAlign w:val="center"/>
          </w:tcPr>
          <w:p w14:paraId="742CDECF">
            <w:pPr>
              <w:tabs>
                <w:tab w:val="left" w:pos="2745"/>
              </w:tabs>
              <w:adjustRightInd w:val="0"/>
              <w:snapToGrid w:val="0"/>
              <w:jc w:val="center"/>
              <w:rPr>
                <w:rFonts w:hint="eastAsia" w:eastAsia="宋体"/>
                <w:color w:val="auto"/>
                <w:szCs w:val="21"/>
                <w:lang w:val="en-US" w:eastAsia="zh-CN"/>
              </w:rPr>
            </w:pPr>
            <w:r>
              <w:rPr>
                <w:rFonts w:hint="eastAsia"/>
                <w:color w:val="auto"/>
                <w:szCs w:val="21"/>
                <w:lang w:val="en-US" w:eastAsia="zh-CN"/>
              </w:rPr>
              <w:t>新增</w:t>
            </w:r>
          </w:p>
        </w:tc>
      </w:tr>
      <w:tr w14:paraId="23D9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continue"/>
            <w:tcBorders>
              <w:tl2br w:val="nil"/>
              <w:tr2bl w:val="nil"/>
            </w:tcBorders>
            <w:vAlign w:val="center"/>
          </w:tcPr>
          <w:p w14:paraId="1C82D032">
            <w:pPr>
              <w:tabs>
                <w:tab w:val="left" w:pos="2745"/>
              </w:tabs>
              <w:adjustRightInd w:val="0"/>
              <w:snapToGrid w:val="0"/>
              <w:jc w:val="center"/>
            </w:pPr>
          </w:p>
        </w:tc>
        <w:tc>
          <w:tcPr>
            <w:tcW w:w="981" w:type="pct"/>
            <w:tcBorders>
              <w:tl2br w:val="nil"/>
              <w:tr2bl w:val="nil"/>
            </w:tcBorders>
            <w:vAlign w:val="center"/>
          </w:tcPr>
          <w:p w14:paraId="5494C96B">
            <w:pPr>
              <w:tabs>
                <w:tab w:val="left" w:pos="2745"/>
              </w:tabs>
              <w:adjustRightInd w:val="0"/>
              <w:snapToGrid w:val="0"/>
              <w:jc w:val="center"/>
              <w:rPr>
                <w:rFonts w:hint="default"/>
                <w:lang w:val="en-US" w:eastAsia="zh-CN"/>
              </w:rPr>
            </w:pPr>
            <w:r>
              <w:rPr>
                <w:rFonts w:hint="eastAsia"/>
                <w:lang w:val="en-US" w:eastAsia="zh-CN"/>
              </w:rPr>
              <w:t>道路运输粉尘</w:t>
            </w:r>
          </w:p>
        </w:tc>
        <w:tc>
          <w:tcPr>
            <w:tcW w:w="2493" w:type="pct"/>
            <w:tcBorders>
              <w:tl2br w:val="nil"/>
              <w:tr2bl w:val="nil"/>
            </w:tcBorders>
            <w:vAlign w:val="center"/>
          </w:tcPr>
          <w:p w14:paraId="307A5BAA">
            <w:pPr>
              <w:keepNext w:val="0"/>
              <w:keepLines w:val="0"/>
              <w:widowControl/>
              <w:suppressLineNumbers w:val="0"/>
              <w:jc w:val="center"/>
              <w:rPr>
                <w:rFonts w:hint="eastAsia"/>
                <w:color w:val="auto"/>
                <w:szCs w:val="21"/>
                <w:lang w:val="en-US" w:eastAsia="zh-CN"/>
              </w:rPr>
            </w:pPr>
            <w:r>
              <w:rPr>
                <w:rFonts w:hint="eastAsia" w:ascii="宋体" w:hAnsi="宋体" w:eastAsia="宋体" w:cs="宋体"/>
                <w:color w:val="000000"/>
                <w:kern w:val="0"/>
                <w:sz w:val="21"/>
                <w:szCs w:val="21"/>
                <w:lang w:val="en-US" w:eastAsia="zh-CN" w:bidi="ar"/>
              </w:rPr>
              <w:t>依托现有洒水车，厂区及运输道路洒水降尘</w:t>
            </w:r>
          </w:p>
        </w:tc>
        <w:tc>
          <w:tcPr>
            <w:tcW w:w="594" w:type="pct"/>
            <w:tcBorders>
              <w:tl2br w:val="nil"/>
              <w:tr2bl w:val="nil"/>
            </w:tcBorders>
            <w:vAlign w:val="center"/>
          </w:tcPr>
          <w:p w14:paraId="07C0D346">
            <w:pPr>
              <w:tabs>
                <w:tab w:val="left" w:pos="2745"/>
              </w:tabs>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0D1F4832">
            <w:pPr>
              <w:tabs>
                <w:tab w:val="left" w:pos="2745"/>
              </w:tabs>
              <w:adjustRightInd w:val="0"/>
              <w:snapToGrid w:val="0"/>
              <w:jc w:val="center"/>
              <w:rPr>
                <w:rFonts w:hint="eastAsia" w:eastAsia="宋体"/>
                <w:color w:val="auto"/>
                <w:szCs w:val="21"/>
                <w:lang w:val="en-US" w:eastAsia="zh-CN"/>
              </w:rPr>
            </w:pPr>
            <w:r>
              <w:rPr>
                <w:rFonts w:hint="eastAsia"/>
                <w:color w:val="auto"/>
                <w:szCs w:val="21"/>
                <w:lang w:val="en-US" w:eastAsia="zh-CN"/>
              </w:rPr>
              <w:t>依托现有</w:t>
            </w:r>
          </w:p>
        </w:tc>
      </w:tr>
      <w:tr w14:paraId="63820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continue"/>
            <w:tcBorders>
              <w:tl2br w:val="nil"/>
              <w:tr2bl w:val="nil"/>
            </w:tcBorders>
            <w:vAlign w:val="center"/>
          </w:tcPr>
          <w:p w14:paraId="05826CDC">
            <w:pPr>
              <w:tabs>
                <w:tab w:val="left" w:pos="2745"/>
              </w:tabs>
              <w:adjustRightInd w:val="0"/>
              <w:snapToGrid w:val="0"/>
              <w:jc w:val="center"/>
            </w:pPr>
          </w:p>
        </w:tc>
        <w:tc>
          <w:tcPr>
            <w:tcW w:w="981" w:type="pct"/>
            <w:tcBorders>
              <w:tl2br w:val="nil"/>
              <w:tr2bl w:val="nil"/>
            </w:tcBorders>
            <w:vAlign w:val="center"/>
          </w:tcPr>
          <w:p w14:paraId="10547B08">
            <w:pPr>
              <w:widowControl w:val="0"/>
              <w:spacing w:line="240" w:lineRule="auto"/>
              <w:ind w:firstLine="0" w:firstLineChars="0"/>
              <w:jc w:val="center"/>
              <w:rPr>
                <w:rFonts w:hint="eastAsia"/>
                <w:lang w:val="en-US" w:eastAsia="zh-CN"/>
              </w:rPr>
            </w:pP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、中间料堆场装卸扬尘</w:t>
            </w:r>
          </w:p>
        </w:tc>
        <w:tc>
          <w:tcPr>
            <w:tcW w:w="2493" w:type="pct"/>
            <w:tcBorders>
              <w:tl2br w:val="nil"/>
              <w:tr2bl w:val="nil"/>
            </w:tcBorders>
            <w:vAlign w:val="center"/>
          </w:tcPr>
          <w:p w14:paraId="2CAE17A9">
            <w:pPr>
              <w:keepNext w:val="0"/>
              <w:keepLines w:val="0"/>
              <w:widowControl/>
              <w:suppressLineNumbers w:val="0"/>
              <w:jc w:val="center"/>
              <w:rPr>
                <w:rFonts w:hint="default" w:ascii="宋体" w:hAnsi="宋体" w:eastAsia="宋体" w:cs="宋体"/>
                <w:color w:val="000000"/>
                <w:kern w:val="0"/>
                <w:sz w:val="21"/>
                <w:szCs w:val="21"/>
                <w:lang w:val="en-US" w:eastAsia="zh-CN" w:bidi="ar"/>
              </w:rPr>
            </w:pPr>
            <w:r>
              <w:rPr>
                <w:rFonts w:hint="eastAsia"/>
                <w:color w:val="000000" w:themeColor="text1"/>
                <w:szCs w:val="20"/>
                <w:lang w:val="en-US" w:eastAsia="zh-CN"/>
                <w14:textFill>
                  <w14:solidFill>
                    <w14:schemeClr w14:val="tx1"/>
                  </w14:solidFill>
                </w14:textFill>
              </w:rPr>
              <w:t>采取</w:t>
            </w:r>
            <w:r>
              <w:rPr>
                <w:rFonts w:hint="eastAsia"/>
                <w:color w:val="000000" w:themeColor="text1"/>
                <w:szCs w:val="20"/>
                <w14:textFill>
                  <w14:solidFill>
                    <w14:schemeClr w14:val="tx1"/>
                  </w14:solidFill>
                </w14:textFill>
              </w:rPr>
              <w:t>洒水抑尘</w:t>
            </w:r>
            <w:r>
              <w:rPr>
                <w:rFonts w:hint="eastAsia"/>
                <w:color w:val="000000" w:themeColor="text1"/>
                <w:szCs w:val="20"/>
                <w:lang w:val="en-US" w:eastAsia="zh-CN"/>
                <w14:textFill>
                  <w14:solidFill>
                    <w14:schemeClr w14:val="tx1"/>
                  </w14:solidFill>
                </w14:textFill>
              </w:rPr>
              <w:t>措施</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苫布等</w:t>
            </w:r>
          </w:p>
        </w:tc>
        <w:tc>
          <w:tcPr>
            <w:tcW w:w="594" w:type="pct"/>
            <w:tcBorders>
              <w:tl2br w:val="nil"/>
              <w:tr2bl w:val="nil"/>
            </w:tcBorders>
            <w:vAlign w:val="center"/>
          </w:tcPr>
          <w:p w14:paraId="1C5B056C">
            <w:pPr>
              <w:tabs>
                <w:tab w:val="left" w:pos="2745"/>
              </w:tabs>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594" w:type="pct"/>
            <w:tcBorders>
              <w:tl2br w:val="nil"/>
              <w:tr2bl w:val="nil"/>
            </w:tcBorders>
            <w:vAlign w:val="center"/>
          </w:tcPr>
          <w:p w14:paraId="0D955EEB">
            <w:pPr>
              <w:tabs>
                <w:tab w:val="left" w:pos="2745"/>
              </w:tabs>
              <w:adjustRightInd w:val="0"/>
              <w:snapToGrid w:val="0"/>
              <w:jc w:val="center"/>
              <w:rPr>
                <w:rFonts w:hint="default" w:eastAsia="宋体"/>
                <w:color w:val="auto"/>
                <w:szCs w:val="21"/>
                <w:lang w:val="en-US" w:eastAsia="zh-CN"/>
              </w:rPr>
            </w:pPr>
            <w:r>
              <w:rPr>
                <w:rFonts w:hint="eastAsia"/>
                <w:color w:val="auto"/>
                <w:szCs w:val="21"/>
                <w:lang w:val="en-US" w:eastAsia="zh-CN"/>
              </w:rPr>
              <w:t>新增</w:t>
            </w:r>
          </w:p>
        </w:tc>
      </w:tr>
      <w:tr w14:paraId="43F87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continue"/>
            <w:tcBorders>
              <w:tl2br w:val="nil"/>
              <w:tr2bl w:val="nil"/>
            </w:tcBorders>
            <w:vAlign w:val="center"/>
          </w:tcPr>
          <w:p w14:paraId="088D5586">
            <w:pPr>
              <w:tabs>
                <w:tab w:val="left" w:pos="2745"/>
              </w:tabs>
              <w:adjustRightInd w:val="0"/>
              <w:snapToGrid w:val="0"/>
              <w:jc w:val="center"/>
            </w:pPr>
          </w:p>
        </w:tc>
        <w:tc>
          <w:tcPr>
            <w:tcW w:w="981" w:type="pct"/>
            <w:tcBorders>
              <w:tl2br w:val="nil"/>
              <w:tr2bl w:val="nil"/>
            </w:tcBorders>
            <w:vAlign w:val="center"/>
          </w:tcPr>
          <w:p w14:paraId="1F5FE507">
            <w:pPr>
              <w:widowControl w:val="0"/>
              <w:spacing w:line="240" w:lineRule="auto"/>
              <w:ind w:firstLine="0" w:firstLineChars="0"/>
              <w:jc w:val="center"/>
              <w:rPr>
                <w:rFonts w:hint="eastAsia"/>
                <w:lang w:val="en-US" w:eastAsia="zh-CN"/>
              </w:rPr>
            </w:pPr>
            <w:r>
              <w:rPr>
                <w:rFonts w:hint="eastAsia" w:cs="Times New Roman"/>
                <w:b w:val="0"/>
                <w:color w:val="auto"/>
                <w:kern w:val="2"/>
                <w:sz w:val="21"/>
                <w:szCs w:val="20"/>
                <w:lang w:val="en-US" w:eastAsia="zh-CN" w:bidi="ar-SA"/>
              </w:rPr>
              <w:t>成品</w:t>
            </w:r>
            <w:r>
              <w:rPr>
                <w:rFonts w:hint="eastAsia" w:eastAsia="宋体" w:cs="Times New Roman"/>
                <w:b w:val="0"/>
                <w:color w:val="auto"/>
                <w:kern w:val="2"/>
                <w:sz w:val="21"/>
                <w:szCs w:val="20"/>
                <w:lang w:val="en-US" w:eastAsia="zh-CN" w:bidi="ar-SA"/>
              </w:rPr>
              <w:t>库房</w:t>
            </w:r>
            <w:r>
              <w:rPr>
                <w:rFonts w:hint="eastAsia" w:cs="Times New Roman"/>
                <w:b w:val="0"/>
                <w:color w:val="auto"/>
                <w:kern w:val="2"/>
                <w:sz w:val="21"/>
                <w:szCs w:val="20"/>
                <w:lang w:val="en-US" w:eastAsia="zh-CN" w:bidi="ar-SA"/>
              </w:rPr>
              <w:t>装卸扬尘</w:t>
            </w:r>
          </w:p>
        </w:tc>
        <w:tc>
          <w:tcPr>
            <w:tcW w:w="2493" w:type="pct"/>
            <w:tcBorders>
              <w:tl2br w:val="nil"/>
              <w:tr2bl w:val="nil"/>
            </w:tcBorders>
            <w:vAlign w:val="center"/>
          </w:tcPr>
          <w:p w14:paraId="07620E2E">
            <w:pPr>
              <w:keepNext w:val="0"/>
              <w:keepLines w:val="0"/>
              <w:widowControl/>
              <w:suppressLineNumbers w:val="0"/>
              <w:jc w:val="center"/>
              <w:rPr>
                <w:rFonts w:hint="eastAsia" w:ascii="宋体" w:hAnsi="宋体" w:eastAsia="宋体" w:cs="宋体"/>
                <w:color w:val="000000"/>
                <w:kern w:val="0"/>
                <w:sz w:val="21"/>
                <w:szCs w:val="21"/>
                <w:lang w:val="en-US" w:eastAsia="zh-CN" w:bidi="ar"/>
              </w:rPr>
            </w:pPr>
            <w:r>
              <w:rPr>
                <w:rFonts w:hint="eastAsia" w:cs="Times New Roman"/>
                <w:b w:val="0"/>
                <w:color w:val="auto"/>
                <w:kern w:val="2"/>
                <w:sz w:val="21"/>
                <w:szCs w:val="20"/>
                <w:lang w:val="en-US" w:eastAsia="zh-CN" w:bidi="ar-SA"/>
              </w:rPr>
              <w:t>库房全封闭</w:t>
            </w:r>
          </w:p>
        </w:tc>
        <w:tc>
          <w:tcPr>
            <w:tcW w:w="594" w:type="pct"/>
            <w:tcBorders>
              <w:tl2br w:val="nil"/>
              <w:tr2bl w:val="nil"/>
            </w:tcBorders>
            <w:vAlign w:val="center"/>
          </w:tcPr>
          <w:p w14:paraId="56F96357">
            <w:pPr>
              <w:tabs>
                <w:tab w:val="left" w:pos="2745"/>
              </w:tabs>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70226A2F">
            <w:pPr>
              <w:tabs>
                <w:tab w:val="left" w:pos="2745"/>
              </w:tabs>
              <w:adjustRightInd w:val="0"/>
              <w:snapToGrid w:val="0"/>
              <w:jc w:val="center"/>
              <w:rPr>
                <w:rFonts w:hint="default" w:eastAsia="宋体"/>
                <w:color w:val="auto"/>
                <w:szCs w:val="21"/>
                <w:lang w:val="en-US" w:eastAsia="zh-CN"/>
              </w:rPr>
            </w:pPr>
            <w:r>
              <w:rPr>
                <w:rFonts w:hint="eastAsia"/>
                <w:color w:val="auto"/>
                <w:szCs w:val="21"/>
                <w:lang w:val="en-US" w:eastAsia="zh-CN"/>
              </w:rPr>
              <w:t>依托现有</w:t>
            </w:r>
          </w:p>
        </w:tc>
      </w:tr>
      <w:tr w14:paraId="0655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9" w:hRule="atLeast"/>
        </w:trPr>
        <w:tc>
          <w:tcPr>
            <w:tcW w:w="336" w:type="pct"/>
            <w:vMerge w:val="continue"/>
            <w:tcBorders>
              <w:tl2br w:val="nil"/>
              <w:tr2bl w:val="nil"/>
            </w:tcBorders>
            <w:vAlign w:val="center"/>
          </w:tcPr>
          <w:p w14:paraId="7D2B2CB7">
            <w:pPr>
              <w:tabs>
                <w:tab w:val="left" w:pos="2745"/>
              </w:tabs>
              <w:adjustRightInd w:val="0"/>
              <w:snapToGrid w:val="0"/>
              <w:jc w:val="center"/>
              <w:rPr>
                <w:color w:val="auto"/>
                <w:szCs w:val="21"/>
              </w:rPr>
            </w:pPr>
          </w:p>
        </w:tc>
        <w:tc>
          <w:tcPr>
            <w:tcW w:w="981" w:type="pct"/>
            <w:tcBorders>
              <w:tl2br w:val="nil"/>
              <w:tr2bl w:val="nil"/>
            </w:tcBorders>
            <w:vAlign w:val="center"/>
          </w:tcPr>
          <w:p w14:paraId="7B2775DD">
            <w:pPr>
              <w:widowControl w:val="0"/>
              <w:spacing w:line="240" w:lineRule="auto"/>
              <w:ind w:firstLine="0" w:firstLineChars="0"/>
              <w:jc w:val="center"/>
              <w:rPr>
                <w:rFonts w:hint="eastAsia" w:eastAsia="宋体"/>
                <w:color w:val="auto"/>
                <w:szCs w:val="21"/>
                <w:lang w:val="en-US" w:eastAsia="zh-CN"/>
              </w:rPr>
            </w:pPr>
            <w:r>
              <w:rPr>
                <w:rFonts w:hint="eastAsia" w:cs="Times New Roman"/>
                <w:b w:val="0"/>
                <w:color w:val="auto"/>
                <w:kern w:val="2"/>
                <w:sz w:val="21"/>
                <w:szCs w:val="20"/>
                <w:lang w:val="en-US" w:eastAsia="zh-CN" w:bidi="ar-SA"/>
              </w:rPr>
              <w:t>尾矿暂存扬尘</w:t>
            </w:r>
          </w:p>
        </w:tc>
        <w:tc>
          <w:tcPr>
            <w:tcW w:w="2493" w:type="pct"/>
            <w:tcBorders>
              <w:tl2br w:val="nil"/>
              <w:tr2bl w:val="nil"/>
            </w:tcBorders>
            <w:vAlign w:val="center"/>
          </w:tcPr>
          <w:p w14:paraId="497747B7">
            <w:pPr>
              <w:tabs>
                <w:tab w:val="left" w:pos="2745"/>
              </w:tabs>
              <w:adjustRightInd w:val="0"/>
              <w:snapToGrid w:val="0"/>
              <w:jc w:val="center"/>
              <w:rPr>
                <w:color w:val="auto"/>
                <w:szCs w:val="21"/>
              </w:rPr>
            </w:pPr>
            <w:r>
              <w:rPr>
                <w:rFonts w:hint="eastAsia" w:cs="Times New Roman"/>
                <w:b w:val="0"/>
                <w:color w:val="auto"/>
                <w:kern w:val="2"/>
                <w:sz w:val="21"/>
                <w:szCs w:val="20"/>
                <w:lang w:val="en-US" w:eastAsia="zh-CN" w:bidi="ar-SA"/>
              </w:rPr>
              <w:t>车间全封闭</w:t>
            </w:r>
          </w:p>
        </w:tc>
        <w:tc>
          <w:tcPr>
            <w:tcW w:w="594" w:type="pct"/>
            <w:tcBorders>
              <w:tl2br w:val="nil"/>
              <w:tr2bl w:val="nil"/>
            </w:tcBorders>
            <w:vAlign w:val="center"/>
          </w:tcPr>
          <w:p w14:paraId="51A516F6">
            <w:pPr>
              <w:tabs>
                <w:tab w:val="left" w:pos="2745"/>
              </w:tabs>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0A1016BB">
            <w:pPr>
              <w:tabs>
                <w:tab w:val="left" w:pos="2745"/>
              </w:tabs>
              <w:adjustRightInd w:val="0"/>
              <w:snapToGrid w:val="0"/>
              <w:jc w:val="center"/>
              <w:rPr>
                <w:color w:val="auto"/>
                <w:szCs w:val="21"/>
              </w:rPr>
            </w:pPr>
            <w:r>
              <w:rPr>
                <w:rFonts w:hint="eastAsia"/>
                <w:color w:val="auto"/>
                <w:szCs w:val="21"/>
                <w:lang w:val="en-US" w:eastAsia="zh-CN"/>
              </w:rPr>
              <w:t>依托现有</w:t>
            </w:r>
          </w:p>
        </w:tc>
      </w:tr>
      <w:tr w14:paraId="6CD4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36" w:type="pct"/>
            <w:vMerge w:val="restart"/>
            <w:tcBorders>
              <w:tl2br w:val="nil"/>
              <w:tr2bl w:val="nil"/>
            </w:tcBorders>
            <w:vAlign w:val="center"/>
          </w:tcPr>
          <w:p w14:paraId="57504A96">
            <w:pPr>
              <w:adjustRightInd w:val="0"/>
              <w:snapToGrid w:val="0"/>
              <w:ind w:left="-105" w:leftChars="-50" w:right="-105" w:rightChars="-50"/>
              <w:jc w:val="center"/>
              <w:rPr>
                <w:color w:val="auto"/>
                <w:spacing w:val="6"/>
                <w:szCs w:val="21"/>
              </w:rPr>
            </w:pPr>
            <w:r>
              <w:rPr>
                <w:rFonts w:hint="eastAsia"/>
                <w:color w:val="auto"/>
                <w:spacing w:val="6"/>
                <w:szCs w:val="21"/>
                <w:lang w:eastAsia="zh-CN"/>
              </w:rPr>
              <w:t>废</w:t>
            </w:r>
            <w:r>
              <w:rPr>
                <w:color w:val="auto"/>
                <w:spacing w:val="6"/>
                <w:szCs w:val="21"/>
              </w:rPr>
              <w:t>水</w:t>
            </w:r>
          </w:p>
        </w:tc>
        <w:tc>
          <w:tcPr>
            <w:tcW w:w="981" w:type="pct"/>
            <w:tcBorders>
              <w:tl2br w:val="nil"/>
              <w:tr2bl w:val="nil"/>
            </w:tcBorders>
            <w:vAlign w:val="center"/>
          </w:tcPr>
          <w:p w14:paraId="05B61C0F">
            <w:pPr>
              <w:adjustRightInd w:val="0"/>
              <w:snapToGrid w:val="0"/>
              <w:ind w:left="-105" w:leftChars="-50" w:right="-105" w:rightChars="-50"/>
              <w:jc w:val="center"/>
              <w:rPr>
                <w:color w:val="auto"/>
                <w:spacing w:val="6"/>
                <w:szCs w:val="21"/>
              </w:rPr>
            </w:pPr>
            <w:r>
              <w:rPr>
                <w:rFonts w:hint="eastAsia"/>
                <w:color w:val="auto"/>
                <w:spacing w:val="6"/>
                <w:szCs w:val="21"/>
              </w:rPr>
              <w:t>生活污水</w:t>
            </w:r>
          </w:p>
        </w:tc>
        <w:tc>
          <w:tcPr>
            <w:tcW w:w="2493" w:type="pct"/>
            <w:tcBorders>
              <w:tl2br w:val="nil"/>
              <w:tr2bl w:val="nil"/>
            </w:tcBorders>
            <w:vAlign w:val="center"/>
          </w:tcPr>
          <w:p w14:paraId="63AB3B0E">
            <w:pPr>
              <w:adjustRightInd w:val="0"/>
              <w:snapToGrid w:val="0"/>
              <w:spacing w:line="240" w:lineRule="atLeast"/>
              <w:jc w:val="center"/>
              <w:rPr>
                <w:color w:val="auto"/>
                <w:szCs w:val="21"/>
              </w:rPr>
            </w:pPr>
            <w:r>
              <w:rPr>
                <w:color w:val="auto"/>
                <w:kern w:val="0"/>
                <w:szCs w:val="21"/>
              </w:rPr>
              <w:t>1座防渗旱厕</w:t>
            </w:r>
          </w:p>
        </w:tc>
        <w:tc>
          <w:tcPr>
            <w:tcW w:w="594" w:type="pct"/>
            <w:tcBorders>
              <w:tl2br w:val="nil"/>
              <w:tr2bl w:val="nil"/>
            </w:tcBorders>
            <w:vAlign w:val="center"/>
          </w:tcPr>
          <w:p w14:paraId="4B557E0D">
            <w:pPr>
              <w:adjustRightInd w:val="0"/>
              <w:snapToGrid w:val="0"/>
              <w:jc w:val="center"/>
              <w:rPr>
                <w:color w:val="auto"/>
                <w:szCs w:val="21"/>
              </w:rPr>
            </w:pPr>
            <w:r>
              <w:rPr>
                <w:rFonts w:hint="eastAsia"/>
                <w:color w:val="auto"/>
                <w:szCs w:val="21"/>
                <w:lang w:val="en-US" w:eastAsia="zh-CN"/>
              </w:rPr>
              <w:t>/</w:t>
            </w:r>
          </w:p>
        </w:tc>
        <w:tc>
          <w:tcPr>
            <w:tcW w:w="594" w:type="pct"/>
            <w:tcBorders>
              <w:tl2br w:val="nil"/>
              <w:tr2bl w:val="nil"/>
            </w:tcBorders>
            <w:vAlign w:val="center"/>
          </w:tcPr>
          <w:p w14:paraId="2EE4393A">
            <w:pPr>
              <w:adjustRightInd w:val="0"/>
              <w:snapToGrid w:val="0"/>
              <w:jc w:val="center"/>
              <w:rPr>
                <w:rFonts w:hint="default" w:eastAsia="宋体"/>
                <w:color w:val="auto"/>
                <w:szCs w:val="21"/>
                <w:lang w:val="en-US" w:eastAsia="zh-CN"/>
              </w:rPr>
            </w:pPr>
            <w:r>
              <w:rPr>
                <w:rFonts w:hint="eastAsia"/>
                <w:color w:val="auto"/>
                <w:szCs w:val="21"/>
                <w:lang w:val="en-US" w:eastAsia="zh-CN"/>
              </w:rPr>
              <w:t>依托现有</w:t>
            </w:r>
          </w:p>
        </w:tc>
      </w:tr>
      <w:tr w14:paraId="2DA4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36" w:type="pct"/>
            <w:vMerge w:val="continue"/>
            <w:tcBorders>
              <w:tl2br w:val="nil"/>
              <w:tr2bl w:val="nil"/>
            </w:tcBorders>
            <w:vAlign w:val="center"/>
          </w:tcPr>
          <w:p w14:paraId="14890874">
            <w:pPr>
              <w:adjustRightInd w:val="0"/>
              <w:snapToGrid w:val="0"/>
              <w:ind w:left="-105" w:leftChars="-50" w:right="-105" w:rightChars="-50"/>
              <w:jc w:val="center"/>
              <w:rPr>
                <w:color w:val="auto"/>
                <w:spacing w:val="6"/>
                <w:szCs w:val="21"/>
              </w:rPr>
            </w:pPr>
          </w:p>
        </w:tc>
        <w:tc>
          <w:tcPr>
            <w:tcW w:w="981" w:type="pct"/>
            <w:tcBorders>
              <w:tl2br w:val="nil"/>
              <w:tr2bl w:val="nil"/>
            </w:tcBorders>
            <w:vAlign w:val="center"/>
          </w:tcPr>
          <w:p w14:paraId="3944BE02">
            <w:pPr>
              <w:adjustRightInd w:val="0"/>
              <w:snapToGrid w:val="0"/>
              <w:ind w:left="-105" w:leftChars="-50" w:right="-105" w:rightChars="-50"/>
              <w:jc w:val="center"/>
              <w:rPr>
                <w:rFonts w:hint="default" w:eastAsia="宋体"/>
                <w:color w:val="auto"/>
                <w:spacing w:val="6"/>
                <w:szCs w:val="21"/>
                <w:lang w:val="en-US" w:eastAsia="zh-CN"/>
              </w:rPr>
            </w:pPr>
            <w:r>
              <w:rPr>
                <w:rFonts w:hint="eastAsia"/>
                <w:color w:val="auto"/>
                <w:spacing w:val="6"/>
                <w:szCs w:val="21"/>
                <w:lang w:val="en-US" w:eastAsia="zh-CN"/>
              </w:rPr>
              <w:t>生产废水</w:t>
            </w:r>
          </w:p>
        </w:tc>
        <w:tc>
          <w:tcPr>
            <w:tcW w:w="2493" w:type="pct"/>
            <w:tcBorders>
              <w:tl2br w:val="nil"/>
              <w:tr2bl w:val="nil"/>
            </w:tcBorders>
            <w:vAlign w:val="center"/>
          </w:tcPr>
          <w:p w14:paraId="15107A71">
            <w:pPr>
              <w:adjustRightInd w:val="0"/>
              <w:snapToGrid w:val="0"/>
              <w:spacing w:line="240" w:lineRule="atLeast"/>
              <w:jc w:val="center"/>
              <w:rPr>
                <w:rFonts w:hint="default" w:eastAsia="宋体"/>
                <w:color w:val="auto"/>
                <w:kern w:val="0"/>
                <w:szCs w:val="21"/>
                <w:lang w:val="en-US" w:eastAsia="zh-CN"/>
              </w:rPr>
            </w:pPr>
            <w:r>
              <w:rPr>
                <w:rFonts w:hint="eastAsia"/>
                <w:color w:val="auto"/>
                <w:spacing w:val="6"/>
                <w:szCs w:val="21"/>
                <w:lang w:val="en-US" w:eastAsia="zh-CN"/>
              </w:rPr>
              <w:t>依托现有循环水池，共</w:t>
            </w:r>
            <w:r>
              <w:rPr>
                <w:rFonts w:hint="eastAsia"/>
                <w:color w:val="auto"/>
                <w:kern w:val="0"/>
                <w:szCs w:val="21"/>
                <w:lang w:val="en-US" w:eastAsia="zh-CN"/>
              </w:rPr>
              <w:t>2座，单池容积1000m</w:t>
            </w:r>
            <w:r>
              <w:rPr>
                <w:rFonts w:hint="eastAsia"/>
                <w:color w:val="auto"/>
                <w:kern w:val="0"/>
                <w:szCs w:val="21"/>
                <w:vertAlign w:val="superscript"/>
                <w:lang w:val="en-US" w:eastAsia="zh-CN"/>
              </w:rPr>
              <w:t>3</w:t>
            </w:r>
          </w:p>
        </w:tc>
        <w:tc>
          <w:tcPr>
            <w:tcW w:w="594" w:type="pct"/>
            <w:tcBorders>
              <w:tl2br w:val="nil"/>
              <w:tr2bl w:val="nil"/>
            </w:tcBorders>
            <w:vAlign w:val="center"/>
          </w:tcPr>
          <w:p w14:paraId="6447C1B2">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77ED6887">
            <w:pPr>
              <w:adjustRightInd w:val="0"/>
              <w:snapToGrid w:val="0"/>
              <w:jc w:val="center"/>
              <w:rPr>
                <w:rFonts w:hint="eastAsia"/>
                <w:color w:val="auto"/>
                <w:szCs w:val="21"/>
                <w:lang w:val="en-US" w:eastAsia="zh-CN"/>
              </w:rPr>
            </w:pPr>
            <w:r>
              <w:rPr>
                <w:rFonts w:hint="eastAsia"/>
                <w:color w:val="auto"/>
                <w:szCs w:val="21"/>
                <w:lang w:val="en-US" w:eastAsia="zh-CN"/>
              </w:rPr>
              <w:t>依托现有</w:t>
            </w:r>
          </w:p>
        </w:tc>
      </w:tr>
      <w:tr w14:paraId="600B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36" w:type="pct"/>
            <w:vMerge w:val="continue"/>
            <w:tcBorders>
              <w:tl2br w:val="nil"/>
              <w:tr2bl w:val="nil"/>
            </w:tcBorders>
            <w:vAlign w:val="center"/>
          </w:tcPr>
          <w:p w14:paraId="3E8C7CCD">
            <w:pPr>
              <w:rPr>
                <w:color w:val="auto"/>
              </w:rPr>
            </w:pPr>
          </w:p>
        </w:tc>
        <w:tc>
          <w:tcPr>
            <w:tcW w:w="981" w:type="pct"/>
            <w:tcBorders>
              <w:tl2br w:val="nil"/>
              <w:tr2bl w:val="nil"/>
            </w:tcBorders>
            <w:vAlign w:val="center"/>
          </w:tcPr>
          <w:p w14:paraId="675A65B4">
            <w:pPr>
              <w:adjustRightInd w:val="0"/>
              <w:snapToGrid w:val="0"/>
              <w:spacing w:line="240" w:lineRule="atLeast"/>
              <w:jc w:val="center"/>
              <w:rPr>
                <w:color w:val="auto"/>
                <w:szCs w:val="21"/>
              </w:rPr>
            </w:pPr>
            <w:r>
              <w:rPr>
                <w:rFonts w:hint="eastAsia"/>
                <w:color w:val="auto"/>
                <w:szCs w:val="21"/>
              </w:rPr>
              <w:t>事故池</w:t>
            </w:r>
          </w:p>
        </w:tc>
        <w:tc>
          <w:tcPr>
            <w:tcW w:w="2493" w:type="pct"/>
            <w:tcBorders>
              <w:tl2br w:val="nil"/>
              <w:tr2bl w:val="nil"/>
            </w:tcBorders>
            <w:vAlign w:val="center"/>
          </w:tcPr>
          <w:p w14:paraId="5E604DD3">
            <w:pPr>
              <w:tabs>
                <w:tab w:val="left" w:pos="1109"/>
                <w:tab w:val="center" w:pos="1772"/>
              </w:tabs>
              <w:adjustRightInd w:val="0"/>
              <w:snapToGrid w:val="0"/>
              <w:spacing w:line="240" w:lineRule="atLeast"/>
              <w:jc w:val="center"/>
              <w:rPr>
                <w:color w:val="auto"/>
                <w:szCs w:val="21"/>
              </w:rPr>
            </w:pPr>
            <w:r>
              <w:rPr>
                <w:rFonts w:hint="eastAsia"/>
                <w:color w:val="auto"/>
                <w:spacing w:val="6"/>
                <w:szCs w:val="21"/>
                <w:lang w:val="en-US" w:eastAsia="zh-CN"/>
              </w:rPr>
              <w:t>依托现有事故池，1座，</w:t>
            </w:r>
            <w:r>
              <w:rPr>
                <w:color w:val="auto"/>
                <w:szCs w:val="20"/>
              </w:rPr>
              <w:t>容积</w:t>
            </w:r>
            <w:r>
              <w:rPr>
                <w:rFonts w:hint="eastAsia"/>
                <w:color w:val="auto"/>
                <w:szCs w:val="20"/>
                <w:lang w:val="en-US" w:eastAsia="zh-CN"/>
              </w:rPr>
              <w:t>1</w:t>
            </w:r>
            <w:r>
              <w:rPr>
                <w:rFonts w:hint="eastAsia"/>
                <w:color w:val="auto"/>
                <w:szCs w:val="20"/>
              </w:rPr>
              <w:t>0</w:t>
            </w:r>
            <w:r>
              <w:rPr>
                <w:rFonts w:hint="eastAsia"/>
                <w:color w:val="auto"/>
                <w:szCs w:val="20"/>
                <w:lang w:val="en-US" w:eastAsia="zh-CN"/>
              </w:rPr>
              <w:t>0</w:t>
            </w:r>
            <w:r>
              <w:rPr>
                <w:color w:val="auto"/>
                <w:szCs w:val="20"/>
              </w:rPr>
              <w:t>0m</w:t>
            </w:r>
            <w:r>
              <w:rPr>
                <w:color w:val="auto"/>
                <w:szCs w:val="20"/>
                <w:vertAlign w:val="superscript"/>
              </w:rPr>
              <w:t>3</w:t>
            </w:r>
          </w:p>
        </w:tc>
        <w:tc>
          <w:tcPr>
            <w:tcW w:w="594" w:type="pct"/>
            <w:tcBorders>
              <w:tl2br w:val="nil"/>
              <w:tr2bl w:val="nil"/>
            </w:tcBorders>
            <w:vAlign w:val="center"/>
          </w:tcPr>
          <w:p w14:paraId="044DD0DA">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1F434738">
            <w:pPr>
              <w:adjustRightInd w:val="0"/>
              <w:snapToGrid w:val="0"/>
              <w:jc w:val="center"/>
              <w:rPr>
                <w:rFonts w:hint="eastAsia"/>
                <w:color w:val="auto"/>
                <w:szCs w:val="21"/>
              </w:rPr>
            </w:pPr>
            <w:r>
              <w:rPr>
                <w:rFonts w:hint="eastAsia"/>
                <w:color w:val="auto"/>
                <w:szCs w:val="21"/>
                <w:lang w:val="en-US" w:eastAsia="zh-CN"/>
              </w:rPr>
              <w:t>依托现有</w:t>
            </w:r>
          </w:p>
        </w:tc>
      </w:tr>
      <w:tr w14:paraId="15AB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36" w:type="pct"/>
            <w:tcBorders>
              <w:tl2br w:val="nil"/>
              <w:tr2bl w:val="nil"/>
            </w:tcBorders>
            <w:vAlign w:val="center"/>
          </w:tcPr>
          <w:p w14:paraId="79398890">
            <w:pPr>
              <w:adjustRightInd w:val="0"/>
              <w:snapToGrid w:val="0"/>
              <w:ind w:left="-105" w:leftChars="-50" w:right="-105" w:rightChars="-50"/>
              <w:jc w:val="center"/>
              <w:rPr>
                <w:color w:val="auto"/>
                <w:spacing w:val="6"/>
                <w:szCs w:val="21"/>
              </w:rPr>
            </w:pPr>
            <w:r>
              <w:rPr>
                <w:color w:val="auto"/>
                <w:spacing w:val="6"/>
                <w:szCs w:val="21"/>
              </w:rPr>
              <w:t>噪声</w:t>
            </w:r>
          </w:p>
        </w:tc>
        <w:tc>
          <w:tcPr>
            <w:tcW w:w="981" w:type="pct"/>
            <w:tcBorders>
              <w:tl2br w:val="nil"/>
              <w:tr2bl w:val="nil"/>
            </w:tcBorders>
            <w:vAlign w:val="center"/>
          </w:tcPr>
          <w:p w14:paraId="5D9D198E">
            <w:pPr>
              <w:adjustRightInd w:val="0"/>
              <w:snapToGrid w:val="0"/>
              <w:ind w:left="-105" w:leftChars="-50" w:right="-105" w:rightChars="-50"/>
              <w:jc w:val="center"/>
              <w:rPr>
                <w:color w:val="auto"/>
                <w:spacing w:val="6"/>
                <w:szCs w:val="21"/>
              </w:rPr>
            </w:pPr>
            <w:r>
              <w:rPr>
                <w:color w:val="auto"/>
                <w:spacing w:val="6"/>
                <w:szCs w:val="21"/>
              </w:rPr>
              <w:t>设备噪声</w:t>
            </w:r>
          </w:p>
        </w:tc>
        <w:tc>
          <w:tcPr>
            <w:tcW w:w="2493" w:type="pct"/>
            <w:tcBorders>
              <w:tl2br w:val="nil"/>
              <w:tr2bl w:val="nil"/>
            </w:tcBorders>
            <w:vAlign w:val="center"/>
          </w:tcPr>
          <w:p w14:paraId="34095C94">
            <w:pPr>
              <w:adjustRightInd w:val="0"/>
              <w:snapToGrid w:val="0"/>
              <w:spacing w:line="240" w:lineRule="atLeast"/>
              <w:jc w:val="center"/>
              <w:rPr>
                <w:rFonts w:hint="eastAsia" w:eastAsia="宋体"/>
                <w:color w:val="auto"/>
                <w:kern w:val="0"/>
                <w:szCs w:val="21"/>
                <w:lang w:val="en-US" w:eastAsia="zh-CN"/>
              </w:rPr>
            </w:pPr>
            <w:r>
              <w:rPr>
                <w:color w:val="auto"/>
                <w:szCs w:val="21"/>
              </w:rPr>
              <w:t>选用低噪设备、减振、隔声</w:t>
            </w:r>
            <w:r>
              <w:rPr>
                <w:rFonts w:hint="eastAsia"/>
                <w:color w:val="auto"/>
                <w:szCs w:val="21"/>
                <w:lang w:val="en-US" w:eastAsia="zh-CN"/>
              </w:rPr>
              <w:t>等</w:t>
            </w:r>
          </w:p>
        </w:tc>
        <w:tc>
          <w:tcPr>
            <w:tcW w:w="594" w:type="pct"/>
            <w:tcBorders>
              <w:tl2br w:val="nil"/>
              <w:tr2bl w:val="nil"/>
            </w:tcBorders>
            <w:vAlign w:val="center"/>
          </w:tcPr>
          <w:p w14:paraId="524E00B3">
            <w:pPr>
              <w:adjustRightInd w:val="0"/>
              <w:snapToGrid w:val="0"/>
              <w:jc w:val="center"/>
              <w:rPr>
                <w:rFonts w:hint="default" w:eastAsia="宋体"/>
                <w:color w:val="auto"/>
                <w:szCs w:val="21"/>
                <w:lang w:val="en-US" w:eastAsia="zh-CN"/>
              </w:rPr>
            </w:pPr>
            <w:r>
              <w:rPr>
                <w:rFonts w:hint="eastAsia"/>
                <w:color w:val="auto"/>
                <w:szCs w:val="21"/>
                <w:lang w:val="en-US" w:eastAsia="zh-CN"/>
              </w:rPr>
              <w:t>10</w:t>
            </w:r>
          </w:p>
        </w:tc>
        <w:tc>
          <w:tcPr>
            <w:tcW w:w="594" w:type="pct"/>
            <w:tcBorders>
              <w:tl2br w:val="nil"/>
              <w:tr2bl w:val="nil"/>
            </w:tcBorders>
            <w:vAlign w:val="center"/>
          </w:tcPr>
          <w:p w14:paraId="6C92E2B6">
            <w:pPr>
              <w:adjustRightInd w:val="0"/>
              <w:snapToGrid w:val="0"/>
              <w:jc w:val="center"/>
              <w:rPr>
                <w:rFonts w:hint="default" w:eastAsia="宋体"/>
                <w:color w:val="auto"/>
                <w:szCs w:val="21"/>
                <w:lang w:val="en-US" w:eastAsia="zh-CN"/>
              </w:rPr>
            </w:pPr>
            <w:r>
              <w:rPr>
                <w:rFonts w:hint="eastAsia"/>
                <w:color w:val="auto"/>
                <w:szCs w:val="21"/>
                <w:lang w:val="en-US" w:eastAsia="zh-CN"/>
              </w:rPr>
              <w:t>新增</w:t>
            </w:r>
          </w:p>
        </w:tc>
      </w:tr>
      <w:tr w14:paraId="35A6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36" w:type="pct"/>
            <w:vMerge w:val="restart"/>
            <w:tcBorders>
              <w:tl2br w:val="nil"/>
              <w:tr2bl w:val="nil"/>
            </w:tcBorders>
            <w:vAlign w:val="center"/>
          </w:tcPr>
          <w:p w14:paraId="53D39EB7">
            <w:pPr>
              <w:adjustRightInd w:val="0"/>
              <w:snapToGrid w:val="0"/>
              <w:ind w:left="-105" w:leftChars="-50" w:right="-105" w:rightChars="-50"/>
              <w:jc w:val="center"/>
              <w:rPr>
                <w:color w:val="auto"/>
                <w:spacing w:val="6"/>
                <w:szCs w:val="21"/>
              </w:rPr>
            </w:pPr>
            <w:r>
              <w:rPr>
                <w:color w:val="auto"/>
                <w:spacing w:val="6"/>
                <w:szCs w:val="21"/>
              </w:rPr>
              <w:t>固体废物</w:t>
            </w:r>
          </w:p>
        </w:tc>
        <w:tc>
          <w:tcPr>
            <w:tcW w:w="981" w:type="pct"/>
            <w:tcBorders>
              <w:tl2br w:val="nil"/>
              <w:tr2bl w:val="nil"/>
            </w:tcBorders>
            <w:vAlign w:val="center"/>
          </w:tcPr>
          <w:p w14:paraId="7702E1AB">
            <w:pPr>
              <w:adjustRightInd w:val="0"/>
              <w:snapToGrid w:val="0"/>
              <w:ind w:left="-105" w:leftChars="-50" w:right="-105" w:rightChars="-50"/>
              <w:jc w:val="center"/>
              <w:rPr>
                <w:color w:val="auto"/>
                <w:spacing w:val="6"/>
                <w:szCs w:val="21"/>
              </w:rPr>
            </w:pPr>
            <w:r>
              <w:rPr>
                <w:color w:val="auto"/>
                <w:spacing w:val="6"/>
                <w:szCs w:val="21"/>
              </w:rPr>
              <w:t>生活垃圾</w:t>
            </w:r>
          </w:p>
        </w:tc>
        <w:tc>
          <w:tcPr>
            <w:tcW w:w="2493" w:type="pct"/>
            <w:tcBorders>
              <w:tl2br w:val="nil"/>
              <w:tr2bl w:val="nil"/>
            </w:tcBorders>
            <w:vAlign w:val="center"/>
          </w:tcPr>
          <w:p w14:paraId="133C1EA3">
            <w:pPr>
              <w:adjustRightInd w:val="0"/>
              <w:snapToGrid w:val="0"/>
              <w:spacing w:line="240" w:lineRule="atLeast"/>
              <w:jc w:val="center"/>
              <w:rPr>
                <w:color w:val="auto"/>
                <w:kern w:val="0"/>
                <w:szCs w:val="21"/>
              </w:rPr>
            </w:pPr>
            <w:r>
              <w:rPr>
                <w:rFonts w:hint="eastAsia"/>
                <w:color w:val="auto"/>
                <w:kern w:val="0"/>
                <w:szCs w:val="21"/>
                <w:lang w:val="en-US" w:eastAsia="zh-CN"/>
              </w:rPr>
              <w:t>依托现有生活</w:t>
            </w:r>
            <w:r>
              <w:rPr>
                <w:color w:val="auto"/>
                <w:kern w:val="0"/>
                <w:szCs w:val="21"/>
              </w:rPr>
              <w:t>垃圾桶</w:t>
            </w:r>
          </w:p>
        </w:tc>
        <w:tc>
          <w:tcPr>
            <w:tcW w:w="594" w:type="pct"/>
            <w:tcBorders>
              <w:tl2br w:val="nil"/>
              <w:tr2bl w:val="nil"/>
            </w:tcBorders>
            <w:vAlign w:val="center"/>
          </w:tcPr>
          <w:p w14:paraId="2FDDA2C0">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0BBD21BD">
            <w:pPr>
              <w:adjustRightInd w:val="0"/>
              <w:snapToGrid w:val="0"/>
              <w:jc w:val="center"/>
              <w:rPr>
                <w:color w:val="auto"/>
                <w:szCs w:val="21"/>
              </w:rPr>
            </w:pPr>
            <w:r>
              <w:rPr>
                <w:rFonts w:hint="eastAsia"/>
                <w:color w:val="auto"/>
                <w:szCs w:val="21"/>
                <w:lang w:val="en-US" w:eastAsia="zh-CN"/>
              </w:rPr>
              <w:t>依托现有</w:t>
            </w:r>
          </w:p>
        </w:tc>
      </w:tr>
      <w:tr w14:paraId="55FAF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36" w:type="pct"/>
            <w:vMerge w:val="continue"/>
            <w:tcBorders>
              <w:tl2br w:val="nil"/>
              <w:tr2bl w:val="nil"/>
            </w:tcBorders>
            <w:vAlign w:val="center"/>
          </w:tcPr>
          <w:p w14:paraId="18B9B0D2">
            <w:pPr>
              <w:rPr>
                <w:color w:val="auto"/>
              </w:rPr>
            </w:pPr>
          </w:p>
        </w:tc>
        <w:tc>
          <w:tcPr>
            <w:tcW w:w="981" w:type="pct"/>
            <w:tcBorders>
              <w:tl2br w:val="nil"/>
              <w:tr2bl w:val="nil"/>
            </w:tcBorders>
            <w:vAlign w:val="center"/>
          </w:tcPr>
          <w:p w14:paraId="06586B09">
            <w:pPr>
              <w:adjustRightInd w:val="0"/>
              <w:snapToGrid w:val="0"/>
              <w:ind w:left="-105" w:leftChars="-50" w:right="-105" w:rightChars="-50"/>
              <w:jc w:val="center"/>
              <w:rPr>
                <w:color w:val="auto"/>
                <w:spacing w:val="6"/>
                <w:szCs w:val="21"/>
              </w:rPr>
            </w:pPr>
            <w:r>
              <w:rPr>
                <w:rFonts w:hint="eastAsia"/>
                <w:color w:val="auto"/>
                <w:spacing w:val="6"/>
                <w:szCs w:val="21"/>
              </w:rPr>
              <w:t>危险废物</w:t>
            </w:r>
          </w:p>
        </w:tc>
        <w:tc>
          <w:tcPr>
            <w:tcW w:w="2493" w:type="pct"/>
            <w:tcBorders>
              <w:tl2br w:val="nil"/>
              <w:tr2bl w:val="nil"/>
            </w:tcBorders>
            <w:vAlign w:val="center"/>
          </w:tcPr>
          <w:p w14:paraId="21152E55">
            <w:pPr>
              <w:adjustRightInd w:val="0"/>
              <w:snapToGrid w:val="0"/>
              <w:spacing w:line="240" w:lineRule="atLeast"/>
              <w:jc w:val="center"/>
              <w:rPr>
                <w:rFonts w:hint="default"/>
                <w:color w:val="auto"/>
                <w:kern w:val="0"/>
                <w:szCs w:val="21"/>
                <w:lang w:val="en-US"/>
              </w:rPr>
            </w:pPr>
            <w:r>
              <w:rPr>
                <w:rFonts w:hint="eastAsia"/>
                <w:color w:val="auto"/>
                <w:kern w:val="0"/>
                <w:szCs w:val="21"/>
                <w:lang w:val="en-US" w:eastAsia="zh-CN"/>
              </w:rPr>
              <w:t>依托现有危废贮存点</w:t>
            </w:r>
          </w:p>
        </w:tc>
        <w:tc>
          <w:tcPr>
            <w:tcW w:w="594" w:type="pct"/>
            <w:tcBorders>
              <w:tl2br w:val="nil"/>
              <w:tr2bl w:val="nil"/>
            </w:tcBorders>
            <w:vAlign w:val="center"/>
          </w:tcPr>
          <w:p w14:paraId="2AFF6AA3">
            <w:pPr>
              <w:adjustRightInd w:val="0"/>
              <w:snapToGrid w:val="0"/>
              <w:jc w:val="center"/>
              <w:rPr>
                <w:rFonts w:hint="eastAsia" w:eastAsia="宋体"/>
                <w:color w:val="auto"/>
                <w:szCs w:val="21"/>
                <w:lang w:val="en-US" w:eastAsia="zh-CN"/>
              </w:rPr>
            </w:pPr>
            <w:r>
              <w:rPr>
                <w:rFonts w:hint="eastAsia"/>
                <w:color w:val="auto"/>
                <w:szCs w:val="21"/>
                <w:lang w:val="en-US" w:eastAsia="zh-CN"/>
              </w:rPr>
              <w:t>/</w:t>
            </w:r>
          </w:p>
        </w:tc>
        <w:tc>
          <w:tcPr>
            <w:tcW w:w="594" w:type="pct"/>
            <w:tcBorders>
              <w:tl2br w:val="nil"/>
              <w:tr2bl w:val="nil"/>
            </w:tcBorders>
            <w:vAlign w:val="center"/>
          </w:tcPr>
          <w:p w14:paraId="6B2C902B">
            <w:pPr>
              <w:adjustRightInd w:val="0"/>
              <w:snapToGrid w:val="0"/>
              <w:jc w:val="center"/>
              <w:rPr>
                <w:rFonts w:hint="eastAsia"/>
                <w:color w:val="auto"/>
                <w:szCs w:val="21"/>
              </w:rPr>
            </w:pPr>
            <w:r>
              <w:rPr>
                <w:rFonts w:hint="eastAsia"/>
                <w:color w:val="auto"/>
                <w:szCs w:val="21"/>
                <w:lang w:val="en-US" w:eastAsia="zh-CN"/>
              </w:rPr>
              <w:t>依托现有</w:t>
            </w:r>
          </w:p>
        </w:tc>
      </w:tr>
      <w:tr w14:paraId="403E9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11" w:type="pct"/>
            <w:gridSpan w:val="3"/>
            <w:tcBorders>
              <w:tl2br w:val="nil"/>
              <w:tr2bl w:val="nil"/>
            </w:tcBorders>
            <w:vAlign w:val="center"/>
          </w:tcPr>
          <w:p w14:paraId="5743A016">
            <w:pPr>
              <w:adjustRightInd w:val="0"/>
              <w:snapToGrid w:val="0"/>
              <w:ind w:left="-105" w:leftChars="-50" w:right="-105" w:rightChars="-50"/>
              <w:jc w:val="center"/>
              <w:rPr>
                <w:color w:val="auto"/>
                <w:szCs w:val="21"/>
              </w:rPr>
            </w:pPr>
            <w:r>
              <w:rPr>
                <w:rFonts w:hint="eastAsia"/>
                <w:color w:val="auto"/>
                <w:spacing w:val="6"/>
                <w:szCs w:val="21"/>
                <w:lang w:eastAsia="zh-CN"/>
              </w:rPr>
              <w:t>合计（万元）</w:t>
            </w:r>
          </w:p>
        </w:tc>
        <w:tc>
          <w:tcPr>
            <w:tcW w:w="1188" w:type="pct"/>
            <w:gridSpan w:val="2"/>
            <w:tcBorders>
              <w:tl2br w:val="nil"/>
              <w:tr2bl w:val="nil"/>
            </w:tcBorders>
            <w:vAlign w:val="center"/>
          </w:tcPr>
          <w:p w14:paraId="4BE5AFC6">
            <w:pPr>
              <w:adjustRightInd w:val="0"/>
              <w:snapToGrid w:val="0"/>
              <w:jc w:val="center"/>
              <w:rPr>
                <w:rFonts w:hint="default"/>
                <w:color w:val="auto"/>
                <w:szCs w:val="21"/>
                <w:lang w:val="en-US" w:eastAsia="zh-CN"/>
              </w:rPr>
            </w:pPr>
            <w:r>
              <w:rPr>
                <w:rFonts w:hint="eastAsia"/>
                <w:color w:val="auto"/>
                <w:szCs w:val="21"/>
                <w:lang w:val="en-US" w:eastAsia="zh-CN"/>
              </w:rPr>
              <w:t>40</w:t>
            </w:r>
          </w:p>
        </w:tc>
      </w:tr>
      <w:tr w14:paraId="1F246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11" w:type="pct"/>
            <w:gridSpan w:val="3"/>
            <w:tcBorders>
              <w:tl2br w:val="nil"/>
              <w:tr2bl w:val="nil"/>
            </w:tcBorders>
            <w:vAlign w:val="center"/>
          </w:tcPr>
          <w:p w14:paraId="73E523E4">
            <w:pPr>
              <w:adjustRightInd w:val="0"/>
              <w:snapToGrid w:val="0"/>
              <w:spacing w:line="240" w:lineRule="atLeast"/>
              <w:jc w:val="center"/>
              <w:rPr>
                <w:rFonts w:hint="eastAsia"/>
                <w:color w:val="auto"/>
                <w:szCs w:val="21"/>
              </w:rPr>
            </w:pPr>
            <w:bookmarkStart w:id="199" w:name="_Toc22398"/>
            <w:bookmarkStart w:id="200" w:name="_Toc476780334"/>
            <w:r>
              <w:rPr>
                <w:rFonts w:hint="eastAsia"/>
                <w:color w:val="auto"/>
                <w:sz w:val="21"/>
                <w:szCs w:val="21"/>
              </w:rPr>
              <w:t>环保投资占比%</w:t>
            </w:r>
          </w:p>
        </w:tc>
        <w:tc>
          <w:tcPr>
            <w:tcW w:w="1188" w:type="pct"/>
            <w:gridSpan w:val="2"/>
            <w:tcBorders>
              <w:tl2br w:val="nil"/>
              <w:tr2bl w:val="nil"/>
            </w:tcBorders>
            <w:vAlign w:val="center"/>
          </w:tcPr>
          <w:p w14:paraId="5C7EEE1F">
            <w:pPr>
              <w:adjustRightInd w:val="0"/>
              <w:snapToGrid w:val="0"/>
              <w:jc w:val="center"/>
              <w:rPr>
                <w:rFonts w:hint="default"/>
                <w:color w:val="auto"/>
                <w:szCs w:val="21"/>
                <w:lang w:val="en-US" w:eastAsia="zh-CN"/>
              </w:rPr>
            </w:pPr>
            <w:r>
              <w:rPr>
                <w:rFonts w:hint="eastAsia"/>
                <w:color w:val="auto"/>
                <w:szCs w:val="21"/>
                <w:lang w:val="en-US" w:eastAsia="zh-CN"/>
              </w:rPr>
              <w:t>8%</w:t>
            </w:r>
          </w:p>
        </w:tc>
      </w:tr>
    </w:tbl>
    <w:p w14:paraId="1A6FECA2">
      <w:pPr>
        <w:pStyle w:val="5"/>
        <w:bidi w:val="0"/>
        <w:rPr>
          <w:rFonts w:hint="eastAsia"/>
          <w:lang w:val="en-US" w:eastAsia="zh-CN"/>
        </w:rPr>
      </w:pPr>
      <w:r>
        <w:rPr>
          <w:rFonts w:hint="eastAsia"/>
          <w:lang w:val="en-US" w:eastAsia="zh-CN"/>
        </w:rPr>
        <w:t>9.1.2环保投资效益分析</w:t>
      </w:r>
    </w:p>
    <w:p w14:paraId="4C074B68">
      <w:pPr>
        <w:spacing w:line="360" w:lineRule="auto"/>
        <w:ind w:firstLine="480" w:firstLineChars="200"/>
        <w:rPr>
          <w:color w:val="auto"/>
          <w:sz w:val="24"/>
        </w:rPr>
      </w:pPr>
      <w:r>
        <w:rPr>
          <w:rFonts w:hint="eastAsia"/>
          <w:color w:val="auto"/>
          <w:sz w:val="24"/>
          <w:lang w:val="en-US" w:eastAsia="zh-CN"/>
        </w:rPr>
        <w:t>项目计划总投资500万元，其中环保投资总额约为40万元，占项目投资总额的8</w:t>
      </w:r>
      <w:r>
        <w:rPr>
          <w:rFonts w:hint="default"/>
          <w:color w:val="auto"/>
          <w:sz w:val="24"/>
          <w:lang w:val="en-US" w:eastAsia="zh-CN"/>
        </w:rPr>
        <w:t>%</w:t>
      </w:r>
      <w:r>
        <w:rPr>
          <w:rFonts w:hint="eastAsia"/>
          <w:color w:val="auto"/>
          <w:sz w:val="24"/>
          <w:lang w:val="en-US" w:eastAsia="zh-CN"/>
        </w:rPr>
        <w:t xml:space="preserve">。 </w:t>
      </w:r>
    </w:p>
    <w:p w14:paraId="51B155AC">
      <w:pPr>
        <w:spacing w:line="360" w:lineRule="auto"/>
        <w:ind w:firstLine="480" w:firstLineChars="200"/>
        <w:rPr>
          <w:color w:val="auto"/>
          <w:sz w:val="24"/>
        </w:rPr>
      </w:pPr>
      <w:r>
        <w:rPr>
          <w:rFonts w:hint="eastAsia"/>
          <w:color w:val="auto"/>
          <w:sz w:val="24"/>
          <w:lang w:val="en-US" w:eastAsia="zh-CN"/>
        </w:rPr>
        <w:t xml:space="preserve">因目前国内对环保投资获得效益的测算方法尚不成熟，有许多指标还无法直接货币化。因此，本环评中对环保投资所获得的环境效益只进行定性的描述，不做定量计算。 </w:t>
      </w:r>
    </w:p>
    <w:p w14:paraId="7E0439CB">
      <w:pPr>
        <w:spacing w:line="360" w:lineRule="auto"/>
        <w:ind w:firstLine="480" w:firstLineChars="200"/>
        <w:rPr>
          <w:color w:val="auto"/>
          <w:sz w:val="24"/>
        </w:rPr>
      </w:pPr>
      <w:r>
        <w:rPr>
          <w:rFonts w:hint="eastAsia"/>
          <w:color w:val="auto"/>
          <w:sz w:val="24"/>
          <w:lang w:val="en-US" w:eastAsia="zh-CN"/>
        </w:rPr>
        <w:t xml:space="preserve">本项目环保投资所获得的正面效益主要表现在以下几个方面： </w:t>
      </w:r>
    </w:p>
    <w:p w14:paraId="6CEEBF60">
      <w:pPr>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1</w:t>
      </w:r>
      <w:r>
        <w:rPr>
          <w:rFonts w:hint="eastAsia"/>
          <w:color w:val="auto"/>
          <w:sz w:val="24"/>
          <w:lang w:val="en-US" w:eastAsia="zh-CN"/>
        </w:rPr>
        <w:t xml:space="preserve">）本项目产生的废气做到了应收尽收，有效地减少了废气污染物的排放量，减轻了对周围空气质量的影响，有效减缓了对区域内人体健康和农业生态的影响； </w:t>
      </w:r>
    </w:p>
    <w:p w14:paraId="3ABAC8AB">
      <w:pPr>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2</w:t>
      </w:r>
      <w:r>
        <w:rPr>
          <w:rFonts w:hint="eastAsia"/>
          <w:color w:val="auto"/>
          <w:sz w:val="24"/>
          <w:lang w:val="en-US" w:eastAsia="zh-CN"/>
        </w:rPr>
        <w:t xml:space="preserve">）建设项目设备采用低噪声设备、隔声、消声等措施，减少噪声对厂界的影响，同时改善了工作环境，保护劳动者的身心健康。 </w:t>
      </w:r>
    </w:p>
    <w:p w14:paraId="13634C3B">
      <w:pPr>
        <w:spacing w:line="360" w:lineRule="auto"/>
        <w:ind w:firstLine="480" w:firstLineChars="200"/>
        <w:rPr>
          <w:color w:val="auto"/>
          <w:sz w:val="24"/>
        </w:rPr>
      </w:pPr>
      <w:r>
        <w:rPr>
          <w:rFonts w:hint="eastAsia"/>
          <w:color w:val="auto"/>
          <w:sz w:val="24"/>
          <w:lang w:val="en-US" w:eastAsia="zh-CN"/>
        </w:rPr>
        <w:t>（</w:t>
      </w:r>
      <w:r>
        <w:rPr>
          <w:rFonts w:hint="default"/>
          <w:color w:val="auto"/>
          <w:sz w:val="24"/>
          <w:lang w:val="en-US" w:eastAsia="zh-CN"/>
        </w:rPr>
        <w:t>3</w:t>
      </w:r>
      <w:r>
        <w:rPr>
          <w:rFonts w:hint="eastAsia"/>
          <w:color w:val="auto"/>
          <w:sz w:val="24"/>
          <w:lang w:val="en-US" w:eastAsia="zh-CN"/>
        </w:rPr>
        <w:t xml:space="preserve">）项目产生的生产废水经处理后全部回用，不外排。提高了水循环利用的同时，避免了废水排放对周边地表水体造成影响。 </w:t>
      </w:r>
    </w:p>
    <w:p w14:paraId="13C61940">
      <w:pPr>
        <w:spacing w:line="360" w:lineRule="auto"/>
        <w:ind w:firstLine="480" w:firstLineChars="200"/>
        <w:rPr>
          <w:rFonts w:hint="eastAsia"/>
          <w:color w:val="auto"/>
          <w:sz w:val="24"/>
          <w:lang w:val="en-US" w:eastAsia="zh-CN"/>
        </w:rPr>
      </w:pPr>
      <w:r>
        <w:rPr>
          <w:rFonts w:hint="eastAsia"/>
          <w:color w:val="auto"/>
          <w:sz w:val="24"/>
          <w:lang w:val="en-US" w:eastAsia="zh-CN"/>
        </w:rPr>
        <w:t>（</w:t>
      </w:r>
      <w:r>
        <w:rPr>
          <w:rFonts w:hint="default"/>
          <w:color w:val="auto"/>
          <w:sz w:val="24"/>
          <w:lang w:val="en-US" w:eastAsia="zh-CN"/>
        </w:rPr>
        <w:t>4</w:t>
      </w:r>
      <w:r>
        <w:rPr>
          <w:rFonts w:hint="eastAsia"/>
          <w:color w:val="auto"/>
          <w:sz w:val="24"/>
          <w:lang w:val="en-US" w:eastAsia="zh-CN"/>
        </w:rPr>
        <w:t>）生产运行过程中产生的固废均得到了妥善处置，减轻了对周围水体、大气、土壤等环境的影响</w:t>
      </w:r>
      <w:r>
        <w:rPr>
          <w:color w:val="auto"/>
          <w:sz w:val="24"/>
        </w:rPr>
        <w:t>。</w:t>
      </w:r>
    </w:p>
    <w:p w14:paraId="0D9E9979">
      <w:pPr>
        <w:spacing w:line="360" w:lineRule="auto"/>
        <w:ind w:firstLine="480" w:firstLineChars="200"/>
        <w:rPr>
          <w:rFonts w:hint="eastAsia"/>
          <w:color w:val="auto"/>
          <w:sz w:val="24"/>
          <w:lang w:val="en-US" w:eastAsia="zh-CN"/>
        </w:rPr>
      </w:pPr>
      <w:r>
        <w:rPr>
          <w:rFonts w:hint="eastAsia"/>
          <w:color w:val="auto"/>
          <w:sz w:val="24"/>
          <w:lang w:val="en-US" w:eastAsia="zh-CN"/>
        </w:rPr>
        <w:t>综合分析，本项目实施后环境效益显著，各项措施到位后可以有效规避环境污染事故发生，保护区域生态环境，并做到污染物达标排放。</w:t>
      </w:r>
    </w:p>
    <w:p w14:paraId="7BEF3530">
      <w:pPr>
        <w:pStyle w:val="4"/>
        <w:bidi w:val="0"/>
        <w:rPr>
          <w:rFonts w:hint="default" w:ascii="Times New Roman" w:hAnsi="Times New Roman" w:cs="Times New Roman" w:eastAsiaTheme="minorEastAsia"/>
          <w:lang w:val="zh-CN" w:eastAsia="zh-CN"/>
        </w:rPr>
      </w:pPr>
      <w:bookmarkStart w:id="201" w:name="_Toc6477"/>
      <w:r>
        <w:rPr>
          <w:rFonts w:hint="default" w:ascii="Times New Roman" w:hAnsi="Times New Roman" w:cs="Times New Roman" w:eastAsiaTheme="minorEastAsia"/>
          <w:lang w:val="en-US" w:eastAsia="zh-CN"/>
        </w:rPr>
        <w:t>9</w:t>
      </w:r>
      <w:r>
        <w:rPr>
          <w:rFonts w:hint="default" w:ascii="Times New Roman" w:hAnsi="Times New Roman" w:cs="Times New Roman" w:eastAsiaTheme="minorEastAsia"/>
          <w:lang w:val="zh-CN" w:eastAsia="zh-CN"/>
        </w:rPr>
        <w:t>.</w:t>
      </w:r>
      <w:r>
        <w:rPr>
          <w:rFonts w:hint="default" w:ascii="Times New Roman" w:hAnsi="Times New Roman" w:cs="Times New Roman" w:eastAsiaTheme="minorEastAsia"/>
          <w:lang w:val="en-US" w:eastAsia="zh-CN"/>
        </w:rPr>
        <w:t>2社会</w:t>
      </w:r>
      <w:r>
        <w:rPr>
          <w:rFonts w:hint="default" w:ascii="Times New Roman" w:hAnsi="Times New Roman" w:cs="Times New Roman" w:eastAsiaTheme="minorEastAsia"/>
          <w:lang w:val="zh-CN" w:eastAsia="zh-CN"/>
        </w:rPr>
        <w:t>效益分析</w:t>
      </w:r>
      <w:bookmarkEnd w:id="201"/>
    </w:p>
    <w:p w14:paraId="36ECF237">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1）</w:t>
      </w:r>
      <w:r>
        <w:rPr>
          <w:rFonts w:hint="default" w:ascii="Times New Roman" w:hAnsi="Times New Roman" w:eastAsia="宋体" w:cs="Times New Roman"/>
          <w:color w:val="auto"/>
          <w:sz w:val="24"/>
          <w:szCs w:val="32"/>
          <w:highlight w:val="none"/>
        </w:rPr>
        <w:t>本项目建设有利于地方矿产资源合理开发，有利于地方矿产企业结构调整，提高资源利用率，减轻环境污染和生态破坏。</w:t>
      </w:r>
    </w:p>
    <w:p w14:paraId="3DBF01DB">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2</w:t>
      </w:r>
      <w:r>
        <w:rPr>
          <w:rFonts w:hint="eastAsia"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项目建成后，企业每年将向当地政府上缴利税，对于增加地方财政收入，推动地方经济发展与繁荣也具有积极的促进作用。</w:t>
      </w:r>
    </w:p>
    <w:p w14:paraId="5C0CE411">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32"/>
          <w:highlight w:val="none"/>
        </w:rPr>
      </w:pPr>
      <w:r>
        <w:rPr>
          <w:rFonts w:hint="eastAsia" w:ascii="Times New Roman" w:hAnsi="Times New Roman" w:eastAsia="宋体" w:cs="Times New Roman"/>
          <w:color w:val="auto"/>
          <w:sz w:val="24"/>
          <w:szCs w:val="32"/>
          <w:highlight w:val="none"/>
          <w:lang w:eastAsia="zh-CN"/>
        </w:rPr>
        <w:t>（</w:t>
      </w:r>
      <w:r>
        <w:rPr>
          <w:rFonts w:hint="eastAsia" w:ascii="Times New Roman" w:hAnsi="Times New Roman" w:eastAsia="宋体" w:cs="Times New Roman"/>
          <w:color w:val="auto"/>
          <w:sz w:val="24"/>
          <w:szCs w:val="32"/>
          <w:highlight w:val="none"/>
          <w:lang w:val="en-US" w:eastAsia="zh-CN"/>
        </w:rPr>
        <w:t>3</w:t>
      </w:r>
      <w:r>
        <w:rPr>
          <w:rFonts w:hint="eastAsia"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本项目投产后将为社会增加</w:t>
      </w:r>
      <w:r>
        <w:rPr>
          <w:rFonts w:hint="eastAsia" w:ascii="Times New Roman" w:hAnsi="Times New Roman" w:cs="Times New Roman"/>
          <w:color w:val="auto"/>
          <w:sz w:val="24"/>
          <w:szCs w:val="32"/>
          <w:highlight w:val="none"/>
          <w:lang w:val="en-US" w:eastAsia="zh-CN"/>
        </w:rPr>
        <w:t>20</w:t>
      </w:r>
      <w:r>
        <w:rPr>
          <w:rFonts w:hint="default" w:ascii="Times New Roman" w:hAnsi="Times New Roman" w:eastAsia="宋体" w:cs="Times New Roman"/>
          <w:color w:val="auto"/>
          <w:sz w:val="24"/>
          <w:szCs w:val="32"/>
          <w:highlight w:val="none"/>
        </w:rPr>
        <w:t>人的就业机会，有利于社会稳定，促进地方经济发展，同时也将带动带动相关行业的发展，对于振兴和发展地方经济具有重要的现实意义，对构建和谐社会、促进社会稳定起到重要作用。</w:t>
      </w:r>
    </w:p>
    <w:p w14:paraId="2E94137E">
      <w:pPr>
        <w:pStyle w:val="4"/>
        <w:bidi w:val="0"/>
        <w:rPr>
          <w:rFonts w:hint="default" w:ascii="Times New Roman" w:hAnsi="Times New Roman" w:cs="Times New Roman" w:eastAsiaTheme="minorEastAsia"/>
          <w:lang w:val="en-US"/>
        </w:rPr>
      </w:pPr>
      <w:bookmarkStart w:id="202" w:name="_Toc556"/>
      <w:r>
        <w:rPr>
          <w:rFonts w:hint="default" w:ascii="Times New Roman" w:hAnsi="Times New Roman" w:cs="Times New Roman" w:eastAsiaTheme="minorEastAsia"/>
          <w:lang w:val="en-US" w:eastAsia="zh-CN"/>
        </w:rPr>
        <w:t>9</w:t>
      </w:r>
      <w:r>
        <w:rPr>
          <w:rFonts w:hint="default" w:ascii="Times New Roman" w:hAnsi="Times New Roman" w:cs="Times New Roman" w:eastAsiaTheme="minorEastAsia"/>
          <w:lang w:val="zh-CN" w:eastAsia="zh-CN"/>
        </w:rPr>
        <w:t>.</w:t>
      </w:r>
      <w:r>
        <w:rPr>
          <w:rFonts w:hint="default" w:ascii="Times New Roman" w:hAnsi="Times New Roman" w:cs="Times New Roman" w:eastAsiaTheme="minorEastAsia"/>
          <w:lang w:val="en-US" w:eastAsia="zh-CN"/>
        </w:rPr>
        <w:t>3小结</w:t>
      </w:r>
      <w:bookmarkEnd w:id="202"/>
    </w:p>
    <w:p w14:paraId="6F13BAFB">
      <w:pPr>
        <w:keepNext w:val="0"/>
        <w:keepLines w:val="0"/>
        <w:pageBreakBefore w:val="0"/>
        <w:widowControl w:val="0"/>
        <w:kinsoku/>
        <w:wordWrap/>
        <w:overflowPunct/>
        <w:topLinePunct w:val="0"/>
        <w:autoSpaceDE/>
        <w:autoSpaceDN/>
        <w:bidi w:val="0"/>
        <w:adjustRightInd w:val="0"/>
        <w:snapToGrid/>
        <w:spacing w:line="360" w:lineRule="auto"/>
        <w:ind w:firstLine="480"/>
        <w:jc w:val="left"/>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综上所述，本项目如认真落实本环评提出的各项环境保护措施，保证项目的环境可行性，将具有较为良好的社会效益、经济效益及环境效益。项目的建设运行，有利于增强地方经济实力、财力，增加就业机会；增强企业的盈利能力和资源综合利用水平；有利于地方产业结构的调整；大大改善了环境资源的利用效率。</w:t>
      </w:r>
    </w:p>
    <w:p w14:paraId="089A4B61">
      <w:pPr>
        <w:keepNext w:val="0"/>
        <w:keepLines w:val="0"/>
        <w:pageBreakBefore w:val="0"/>
        <w:widowControl w:val="0"/>
        <w:kinsoku/>
        <w:wordWrap/>
        <w:overflowPunct/>
        <w:topLinePunct w:val="0"/>
        <w:autoSpaceDE/>
        <w:autoSpaceDN/>
        <w:bidi w:val="0"/>
        <w:snapToGrid/>
        <w:spacing w:line="360" w:lineRule="auto"/>
        <w:textAlignment w:val="auto"/>
        <w:rPr>
          <w:color w:val="auto"/>
          <w:kern w:val="0"/>
          <w:sz w:val="24"/>
        </w:rPr>
      </w:pPr>
      <w:r>
        <w:rPr>
          <w:rFonts w:hint="default" w:ascii="Times New Roman" w:hAnsi="Times New Roman" w:cs="Times New Roman"/>
          <w:bCs/>
          <w:color w:val="auto"/>
          <w:sz w:val="24"/>
        </w:rPr>
        <w:t>因此，在社会效益、经济效益和环境效益三个方面都是可行的。此外，应当注意在生产过程中加强设备的管理、职工培训、严格操作规程，保证生产设备和环保设施的正常运行，确保环境保护要求的防治措施得到实施。这样，本项目的环境经济效益才能达到预期的效果</w:t>
      </w:r>
      <w:bookmarkEnd w:id="197"/>
      <w:bookmarkEnd w:id="199"/>
      <w:bookmarkEnd w:id="200"/>
      <w:r>
        <w:rPr>
          <w:color w:val="auto"/>
          <w:kern w:val="0"/>
          <w:sz w:val="24"/>
        </w:rPr>
        <w:t>。</w:t>
      </w:r>
    </w:p>
    <w:p w14:paraId="1F7E2802">
      <w:pPr>
        <w:spacing w:line="360" w:lineRule="auto"/>
        <w:jc w:val="left"/>
        <w:rPr>
          <w:bCs/>
          <w:color w:val="auto"/>
          <w:sz w:val="24"/>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51DED4A3">
      <w:pPr>
        <w:pStyle w:val="3"/>
        <w:bidi w:val="0"/>
        <w:rPr>
          <w:rFonts w:hint="default"/>
          <w:lang w:val="en-US" w:eastAsia="zh-CN"/>
        </w:rPr>
      </w:pPr>
      <w:bookmarkStart w:id="203" w:name="_Toc436571678"/>
      <w:bookmarkEnd w:id="203"/>
      <w:bookmarkStart w:id="204" w:name="_Toc12811"/>
      <w:r>
        <w:rPr>
          <w:rFonts w:hint="eastAsia"/>
          <w:lang w:val="en-US" w:eastAsia="zh-CN"/>
        </w:rPr>
        <w:t>10</w:t>
      </w:r>
      <w:r>
        <w:rPr>
          <w:rFonts w:hint="default"/>
          <w:lang w:val="en-US" w:eastAsia="zh-CN"/>
        </w:rPr>
        <w:t>环境管理与环境监测计划</w:t>
      </w:r>
      <w:bookmarkEnd w:id="204"/>
    </w:p>
    <w:p w14:paraId="5AA2F083">
      <w:pPr>
        <w:pStyle w:val="4"/>
        <w:bidi w:val="0"/>
        <w:rPr>
          <w:rFonts w:hint="default" w:ascii="Times New Roman" w:hAnsi="Times New Roman" w:cs="Times New Roman" w:eastAsiaTheme="minorEastAsia"/>
          <w:lang w:val="zh-CN" w:eastAsia="zh-CN"/>
        </w:rPr>
      </w:pPr>
      <w:bookmarkStart w:id="205" w:name="_Toc15912"/>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lang w:val="zh-CN" w:eastAsia="zh-CN"/>
        </w:rPr>
        <w:t>.1</w:t>
      </w:r>
      <w:r>
        <w:rPr>
          <w:rFonts w:hint="default" w:ascii="Times New Roman" w:hAnsi="Times New Roman" w:cs="Times New Roman" w:eastAsiaTheme="minorEastAsia"/>
          <w:lang w:val="en-US" w:eastAsia="zh-CN"/>
        </w:rPr>
        <w:t>目的</w:t>
      </w:r>
      <w:bookmarkEnd w:id="205"/>
    </w:p>
    <w:p w14:paraId="16538A79">
      <w:pPr>
        <w:bidi w:val="0"/>
        <w:spacing w:line="360" w:lineRule="auto"/>
        <w:ind w:firstLine="480" w:firstLineChars="200"/>
        <w:rPr>
          <w:rFonts w:hint="eastAsia"/>
          <w:lang w:val="en-US" w:eastAsia="zh-CN"/>
        </w:rPr>
      </w:pPr>
      <w:r>
        <w:rPr>
          <w:rFonts w:hint="eastAsia"/>
          <w:sz w:val="24"/>
          <w:szCs w:val="32"/>
          <w:lang w:val="en-US" w:eastAsia="zh-CN"/>
        </w:rPr>
        <w:t>本项目运营期间会对周围环境产生一定影响，因此，必须采取一定措施将不利影响减轻或消除，建设单位为此需加强环境保护机构的建设和管理，根据本项目污染特点和生产布局，合理制订环境监测计划，及时掌握本项目运行所造成的环境影响程度，了解环境保护措施所获取效益，以便进行必要调整与补充。根据监测结果，验证环境影响评价的科学性以及为环境影响回顾性评价提供系统性资料，准确地把握项目建设产生的环境效益。</w:t>
      </w:r>
    </w:p>
    <w:p w14:paraId="745EC1B8">
      <w:pPr>
        <w:pStyle w:val="4"/>
        <w:bidi w:val="0"/>
        <w:rPr>
          <w:rFonts w:hint="default" w:ascii="Times New Roman" w:hAnsi="Times New Roman" w:cs="Times New Roman" w:eastAsiaTheme="minorEastAsia"/>
          <w:lang w:val="zh-CN" w:eastAsia="zh-CN"/>
        </w:rPr>
      </w:pPr>
      <w:bookmarkStart w:id="206" w:name="_Toc29973"/>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lang w:val="zh-CN" w:eastAsia="zh-CN"/>
        </w:rPr>
        <w:t>.1环境管理</w:t>
      </w:r>
      <w:bookmarkEnd w:id="206"/>
    </w:p>
    <w:p w14:paraId="7956C033">
      <w:pPr>
        <w:pStyle w:val="5"/>
        <w:bidi w:val="0"/>
        <w:rPr>
          <w:rFonts w:hint="default"/>
          <w:lang w:val="en-US" w:eastAsia="zh-CN"/>
        </w:rPr>
      </w:pPr>
      <w:r>
        <w:rPr>
          <w:rFonts w:hint="eastAsia"/>
          <w:lang w:val="en-US" w:eastAsia="zh-CN"/>
        </w:rPr>
        <w:t>10.1.1环境管理要求</w:t>
      </w:r>
    </w:p>
    <w:p w14:paraId="70106177">
      <w:pPr>
        <w:spacing w:line="360" w:lineRule="auto"/>
        <w:ind w:firstLine="480" w:firstLineChars="200"/>
        <w:jc w:val="left"/>
        <w:rPr>
          <w:color w:val="auto"/>
          <w:sz w:val="24"/>
        </w:rPr>
      </w:pPr>
      <w:r>
        <w:rPr>
          <w:color w:val="auto"/>
          <w:sz w:val="24"/>
        </w:rPr>
        <w:t>环境管理是以环境科学理论为基础，运用经济、法律、技术、行政等手段去约束人类的社会经济活动，使项目建设达到不超出环境容量的极限，又能满足人类日益增长的物质生活需要，并使经济发展与生态环境维持在相互可以接受的水平。实践证明，要解决好企业的环境问题，必须强化企业的环境管理，由于企业的产品产出与“三废”的排放是生产过程同时存在的两个方面，因此，企业的环境管理实质上是生产管理的主要内容之一，其目的是在发展生产的同时，对污染物的排放实行必要的控制，保护环境质量，以实现环境效益、社会效益、经济效益的统一。</w:t>
      </w:r>
    </w:p>
    <w:p w14:paraId="7DD14CCD">
      <w:pPr>
        <w:pStyle w:val="5"/>
        <w:bidi w:val="0"/>
        <w:rPr>
          <w:rFonts w:hint="default"/>
          <w:lang w:val="zh-CN" w:eastAsia="zh-CN"/>
        </w:rPr>
      </w:pPr>
      <w:r>
        <w:rPr>
          <w:rFonts w:hint="eastAsia"/>
          <w:lang w:val="en-US" w:eastAsia="zh-CN"/>
        </w:rPr>
        <w:t>10</w:t>
      </w:r>
      <w:r>
        <w:rPr>
          <w:rFonts w:hint="default"/>
          <w:lang w:val="zh-CN" w:eastAsia="zh-CN"/>
        </w:rPr>
        <w:t>.</w:t>
      </w:r>
      <w:r>
        <w:rPr>
          <w:rFonts w:hint="eastAsia"/>
          <w:lang w:val="en-US" w:eastAsia="zh-CN"/>
        </w:rPr>
        <w:t>1.2</w:t>
      </w:r>
      <w:r>
        <w:rPr>
          <w:rFonts w:hint="default"/>
          <w:lang w:val="zh-CN" w:eastAsia="zh-CN"/>
        </w:rPr>
        <w:t>环境管理机构及职责</w:t>
      </w:r>
    </w:p>
    <w:p w14:paraId="1CDBDFF3">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 xml:space="preserve">本项目需设环境管理机构，其任务是组织、落实和监督本单位的环境保护工作，以满足《建设项目环境保护设计规定》及工程的环境管理要求，同时由当地生态环境局负责检查监督其环保工作执行情况。 </w:t>
      </w:r>
    </w:p>
    <w:p w14:paraId="3FFA41EA">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 xml:space="preserve">公司环保职责： </w:t>
      </w:r>
    </w:p>
    <w:p w14:paraId="077C7795">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1</w:t>
      </w:r>
      <w:r>
        <w:rPr>
          <w:rFonts w:hint="eastAsia" w:ascii="Times New Roman" w:hAnsi="Times New Roman" w:cs="Times New Roman"/>
          <w:color w:val="auto"/>
          <w:sz w:val="24"/>
          <w:lang w:val="en-US" w:eastAsia="zh-CN"/>
        </w:rPr>
        <w:t xml:space="preserve">）贯彻执行各项环境保护政策、法规及标准； </w:t>
      </w:r>
    </w:p>
    <w:p w14:paraId="6EF136B3">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2</w:t>
      </w:r>
      <w:r>
        <w:rPr>
          <w:rFonts w:hint="eastAsia" w:ascii="Times New Roman" w:hAnsi="Times New Roman" w:cs="Times New Roman"/>
          <w:color w:val="auto"/>
          <w:sz w:val="24"/>
          <w:lang w:val="en-US" w:eastAsia="zh-CN"/>
        </w:rPr>
        <w:t xml:space="preserve">）建立健全企业的环境管理制度，并实施检查和监督； </w:t>
      </w:r>
    </w:p>
    <w:p w14:paraId="26DAEFB7">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3</w:t>
      </w:r>
      <w:r>
        <w:rPr>
          <w:rFonts w:hint="eastAsia" w:ascii="Times New Roman" w:hAnsi="Times New Roman" w:cs="Times New Roman"/>
          <w:color w:val="auto"/>
          <w:sz w:val="24"/>
          <w:lang w:val="en-US" w:eastAsia="zh-CN"/>
        </w:rPr>
        <w:t xml:space="preserve">）拟定企业的环保工作计划，配合企业领导完成环境保护责任目标； </w:t>
      </w:r>
    </w:p>
    <w:p w14:paraId="20C1D004">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4</w:t>
      </w:r>
      <w:r>
        <w:rPr>
          <w:rFonts w:hint="eastAsia" w:ascii="Times New Roman" w:hAnsi="Times New Roman" w:cs="Times New Roman"/>
          <w:color w:val="auto"/>
          <w:sz w:val="24"/>
          <w:lang w:val="en-US" w:eastAsia="zh-CN"/>
        </w:rPr>
        <w:t xml:space="preserve">）领导并组织企业环境监测工作，检查环境保护设施运行状况，建立监控档案； </w:t>
      </w:r>
    </w:p>
    <w:p w14:paraId="171C1079">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5</w:t>
      </w:r>
      <w:r>
        <w:rPr>
          <w:rFonts w:hint="eastAsia" w:ascii="Times New Roman" w:hAnsi="Times New Roman" w:cs="Times New Roman"/>
          <w:color w:val="auto"/>
          <w:sz w:val="24"/>
          <w:lang w:val="en-US" w:eastAsia="zh-CN"/>
        </w:rPr>
        <w:t xml:space="preserve">）协调企业所在区域内环境管理； </w:t>
      </w:r>
    </w:p>
    <w:p w14:paraId="7728B886">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6</w:t>
      </w:r>
      <w:r>
        <w:rPr>
          <w:rFonts w:hint="eastAsia" w:ascii="Times New Roman" w:hAnsi="Times New Roman" w:cs="Times New Roman"/>
          <w:color w:val="auto"/>
          <w:sz w:val="24"/>
          <w:lang w:val="en-US" w:eastAsia="zh-CN"/>
        </w:rPr>
        <w:t xml:space="preserve">）开展环保教育和专业培训，提高企业员工的环保素质； </w:t>
      </w:r>
    </w:p>
    <w:p w14:paraId="2FA5287C">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7</w:t>
      </w:r>
      <w:r>
        <w:rPr>
          <w:rFonts w:hint="eastAsia" w:ascii="Times New Roman" w:hAnsi="Times New Roman" w:cs="Times New Roman"/>
          <w:color w:val="auto"/>
          <w:sz w:val="24"/>
          <w:lang w:val="en-US" w:eastAsia="zh-CN"/>
        </w:rPr>
        <w:t xml:space="preserve">）组织开展环保研究和学术交流，推广并应用先进环保技术； </w:t>
      </w:r>
    </w:p>
    <w:p w14:paraId="0759C198">
      <w:pPr>
        <w:spacing w:line="360" w:lineRule="auto"/>
        <w:ind w:firstLine="480" w:firstLineChars="200"/>
        <w:jc w:val="left"/>
        <w:rPr>
          <w:rFonts w:ascii="Times New Roman" w:hAnsi="Times New Roman" w:cs="Times New Roman"/>
          <w:color w:val="auto"/>
          <w:sz w:val="24"/>
        </w:rPr>
      </w:pPr>
      <w:r>
        <w:rPr>
          <w:rFonts w:hint="eastAsia" w:ascii="Times New Roman" w:hAnsi="Times New Roman" w:cs="Times New Roman"/>
          <w:color w:val="auto"/>
          <w:sz w:val="24"/>
          <w:lang w:val="en-US" w:eastAsia="zh-CN"/>
        </w:rPr>
        <w:t>（</w:t>
      </w:r>
      <w:r>
        <w:rPr>
          <w:rFonts w:hint="default" w:ascii="Times New Roman" w:hAnsi="Times New Roman" w:cs="Times New Roman"/>
          <w:color w:val="auto"/>
          <w:sz w:val="24"/>
          <w:lang w:val="en-US" w:eastAsia="zh-CN"/>
        </w:rPr>
        <w:t>8</w:t>
      </w:r>
      <w:r>
        <w:rPr>
          <w:rFonts w:hint="eastAsia" w:ascii="Times New Roman" w:hAnsi="Times New Roman" w:cs="Times New Roman"/>
          <w:color w:val="auto"/>
          <w:sz w:val="24"/>
          <w:lang w:val="en-US" w:eastAsia="zh-CN"/>
        </w:rPr>
        <w:t>）负责厂区绿化和日常环境保护管理工作。</w:t>
      </w:r>
    </w:p>
    <w:p w14:paraId="1AC7C030">
      <w:pPr>
        <w:pStyle w:val="5"/>
        <w:bidi w:val="0"/>
        <w:rPr>
          <w:rFonts w:hint="default"/>
          <w:lang w:val="zh-CN" w:eastAsia="zh-CN"/>
        </w:rPr>
      </w:pPr>
      <w:r>
        <w:rPr>
          <w:rFonts w:hint="eastAsia"/>
          <w:lang w:val="en-US" w:eastAsia="zh-CN"/>
        </w:rPr>
        <w:t>10</w:t>
      </w:r>
      <w:r>
        <w:rPr>
          <w:rFonts w:hint="default"/>
          <w:lang w:val="zh-CN" w:eastAsia="zh-CN"/>
        </w:rPr>
        <w:t>.</w:t>
      </w:r>
      <w:r>
        <w:rPr>
          <w:rFonts w:hint="eastAsia"/>
          <w:lang w:val="en-US" w:eastAsia="zh-CN"/>
        </w:rPr>
        <w:t>1.3</w:t>
      </w:r>
      <w:r>
        <w:rPr>
          <w:rFonts w:hint="default"/>
          <w:lang w:val="zh-CN" w:eastAsia="zh-CN"/>
        </w:rPr>
        <w:t>环境</w:t>
      </w:r>
      <w:r>
        <w:rPr>
          <w:rFonts w:hint="eastAsia"/>
          <w:lang w:val="en-US" w:eastAsia="zh-CN"/>
        </w:rPr>
        <w:t>管理内容</w:t>
      </w:r>
    </w:p>
    <w:p w14:paraId="134EF07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b/>
          <w:bCs/>
          <w:sz w:val="24"/>
          <w:szCs w:val="24"/>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）施工期环境管理内容 </w:t>
      </w:r>
    </w:p>
    <w:p w14:paraId="3F45447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建设单位应与施工单位联合组建施工期环境保护管理机构，其职责是组织实施环保设施的</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三同时</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和施工过程的污染防治，监督和检查建设项目环境保护设施的施工进度和质量。施工单位</w:t>
      </w:r>
      <w:r>
        <w:rPr>
          <w:rFonts w:hint="eastAsia" w:ascii="宋体" w:hAnsi="宋体" w:cs="宋体"/>
          <w:color w:val="000000"/>
          <w:kern w:val="0"/>
          <w:sz w:val="24"/>
          <w:szCs w:val="24"/>
          <w:lang w:val="en-US" w:eastAsia="zh-CN" w:bidi="ar"/>
        </w:rPr>
        <w:t>在施工过程中加强</w:t>
      </w:r>
      <w:r>
        <w:rPr>
          <w:rFonts w:hint="eastAsia" w:ascii="宋体" w:hAnsi="宋体" w:eastAsia="宋体" w:cs="宋体"/>
          <w:color w:val="000000"/>
          <w:kern w:val="0"/>
          <w:sz w:val="24"/>
          <w:szCs w:val="24"/>
          <w:lang w:val="en-US" w:eastAsia="zh-CN" w:bidi="ar"/>
        </w:rPr>
        <w:t>环境管理，提倡文明施工；尽可能</w:t>
      </w:r>
      <w:r>
        <w:rPr>
          <w:rFonts w:hint="eastAsia" w:ascii="宋体" w:hAnsi="宋体" w:cs="宋体"/>
          <w:color w:val="000000"/>
          <w:kern w:val="0"/>
          <w:sz w:val="24"/>
          <w:szCs w:val="24"/>
          <w:lang w:val="en-US" w:eastAsia="zh-CN" w:bidi="ar"/>
        </w:rPr>
        <w:t>地</w:t>
      </w:r>
      <w:r>
        <w:rPr>
          <w:rFonts w:hint="eastAsia" w:ascii="宋体" w:hAnsi="宋体" w:eastAsia="宋体" w:cs="宋体"/>
          <w:color w:val="000000"/>
          <w:kern w:val="0"/>
          <w:sz w:val="24"/>
          <w:szCs w:val="24"/>
          <w:lang w:val="en-US" w:eastAsia="zh-CN" w:bidi="ar"/>
        </w:rPr>
        <w:t>减轻和避免</w:t>
      </w:r>
      <w:r>
        <w:rPr>
          <w:rFonts w:hint="eastAsia" w:ascii="宋体" w:hAnsi="宋体" w:cs="宋体"/>
          <w:color w:val="000000"/>
          <w:kern w:val="0"/>
          <w:sz w:val="24"/>
          <w:szCs w:val="24"/>
          <w:lang w:val="en-US" w:eastAsia="zh-CN" w:bidi="ar"/>
        </w:rPr>
        <w:t>了</w:t>
      </w:r>
      <w:r>
        <w:rPr>
          <w:rFonts w:hint="eastAsia" w:ascii="宋体" w:hAnsi="宋体" w:eastAsia="宋体" w:cs="宋体"/>
          <w:color w:val="000000"/>
          <w:kern w:val="0"/>
          <w:sz w:val="24"/>
          <w:szCs w:val="24"/>
          <w:lang w:val="en-US" w:eastAsia="zh-CN" w:bidi="ar"/>
        </w:rPr>
        <w:t>施工阶段对区域环境的影响，促进</w:t>
      </w:r>
      <w:r>
        <w:rPr>
          <w:rFonts w:hint="eastAsia" w:ascii="宋体" w:hAnsi="宋体" w:cs="宋体"/>
          <w:color w:val="000000"/>
          <w:kern w:val="0"/>
          <w:sz w:val="24"/>
          <w:szCs w:val="24"/>
          <w:lang w:val="en-US" w:eastAsia="zh-CN" w:bidi="ar"/>
        </w:rPr>
        <w:t>了</w:t>
      </w:r>
      <w:r>
        <w:rPr>
          <w:rFonts w:hint="eastAsia" w:ascii="宋体" w:hAnsi="宋体" w:eastAsia="宋体" w:cs="宋体"/>
          <w:color w:val="000000"/>
          <w:kern w:val="0"/>
          <w:sz w:val="24"/>
          <w:szCs w:val="24"/>
          <w:lang w:val="en-US" w:eastAsia="zh-CN" w:bidi="ar"/>
        </w:rPr>
        <w:t>该工程施工的顺利进行，确保</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三同时</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制度的贯彻落实。 </w:t>
      </w:r>
    </w:p>
    <w:p w14:paraId="75A9C5F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4"/>
          <w:szCs w:val="24"/>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）营运期环境管理内容</w:t>
      </w:r>
    </w:p>
    <w:p w14:paraId="6DC4CA2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建立健全各项规章制度，宣传和组织贯彻国家和地方有关环境保护的方针、政策、法令和条例，搞好项目的环境保护工作，制定和实施各项环境管理计划。 </w:t>
      </w:r>
    </w:p>
    <w:p w14:paraId="313D246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4"/>
          <w:szCs w:val="24"/>
        </w:rPr>
      </w:pPr>
      <w:r>
        <w:rPr>
          <w:rFonts w:hint="eastAsia" w:ascii="宋体" w:hAnsi="宋体" w:eastAsia="宋体" w:cs="宋体"/>
          <w:color w:val="000000"/>
          <w:kern w:val="0"/>
          <w:sz w:val="24"/>
          <w:szCs w:val="24"/>
          <w:lang w:val="en-US" w:eastAsia="zh-CN" w:bidi="ar"/>
        </w:rPr>
        <w:t xml:space="preserve">组织和落实项目的环境监测、监督工作，明确环境监测的职责，定期监测选矿 </w:t>
      </w:r>
    </w:p>
    <w:p w14:paraId="3C96AD9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sz w:val="24"/>
          <w:szCs w:val="24"/>
        </w:rPr>
      </w:pPr>
      <w:r>
        <w:rPr>
          <w:rFonts w:hint="eastAsia" w:ascii="宋体" w:hAnsi="宋体" w:eastAsia="宋体" w:cs="宋体"/>
          <w:color w:val="000000"/>
          <w:kern w:val="0"/>
          <w:sz w:val="24"/>
          <w:szCs w:val="24"/>
          <w:lang w:val="en-US" w:eastAsia="zh-CN" w:bidi="ar"/>
        </w:rPr>
        <w:t xml:space="preserve">作业区各项污染物及环保设施运行情况。 </w:t>
      </w:r>
    </w:p>
    <w:p w14:paraId="160586C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掌握项目所在地周围的环境特征和重点环境保护目标情况。建立环境管理和环境监测技术文件，做好记录、建档工作，并定期向当地环保主管部门申报。技术文件应包括：污染源的监测记录技术文件；污染控制、环境保护设施的设计和运行管理文件；导致严重环境影响事件的分析报告和监测数据资料等。 </w:t>
      </w:r>
    </w:p>
    <w:p w14:paraId="3B2B46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监督环保设施和设备的安装、调试和运行，保证</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三同时</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验收合格，检查环保设施运行情况，及时处理出现的问题，保证治理设施的正常运行。对各项环保设施操作、维护定量考核，建立环保设施运行档案。 </w:t>
      </w:r>
    </w:p>
    <w:p w14:paraId="6F8977C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color w:val="000000"/>
          <w:kern w:val="0"/>
          <w:sz w:val="24"/>
          <w:szCs w:val="24"/>
          <w:lang w:val="en-US" w:eastAsia="zh-CN" w:bidi="ar"/>
        </w:rPr>
        <w:t xml:space="preserve">建立奖惩制度，归纳整理监督数据，配合技术部门进行工艺改进，处理产生的污染事故和污染纠纷，配合环保主管部门检查验收工作。 </w:t>
      </w:r>
    </w:p>
    <w:p w14:paraId="5B1FF50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lang w:val="zh-CN" w:eastAsia="zh-CN"/>
        </w:rPr>
      </w:pPr>
      <w:r>
        <w:rPr>
          <w:rFonts w:hint="eastAsia" w:ascii="宋体" w:hAnsi="宋体" w:eastAsia="宋体" w:cs="宋体"/>
          <w:color w:val="000000"/>
          <w:kern w:val="0"/>
          <w:sz w:val="24"/>
          <w:szCs w:val="24"/>
          <w:lang w:val="en-US" w:eastAsia="zh-CN" w:bidi="ar"/>
        </w:rPr>
        <w:t>合理利用资源、能源，做到节水、节能，加强对工作人员的环境保护知识、技能和认识的培训，使每个职工都为改善环境质量作出贡献。</w:t>
      </w:r>
    </w:p>
    <w:p w14:paraId="66A61A7A">
      <w:pPr>
        <w:pStyle w:val="5"/>
        <w:bidi w:val="0"/>
        <w:rPr>
          <w:rFonts w:hint="default"/>
          <w:lang w:val="zh-CN" w:eastAsia="zh-CN"/>
        </w:rPr>
      </w:pPr>
      <w:r>
        <w:rPr>
          <w:rFonts w:hint="eastAsia"/>
          <w:lang w:val="en-US" w:eastAsia="zh-CN"/>
        </w:rPr>
        <w:t>10</w:t>
      </w:r>
      <w:r>
        <w:rPr>
          <w:rFonts w:hint="default"/>
          <w:lang w:val="zh-CN" w:eastAsia="zh-CN"/>
        </w:rPr>
        <w:t>.</w:t>
      </w:r>
      <w:r>
        <w:rPr>
          <w:rFonts w:hint="eastAsia"/>
          <w:lang w:val="en-US" w:eastAsia="zh-CN"/>
        </w:rPr>
        <w:t>1.4污染物排放清单</w:t>
      </w:r>
    </w:p>
    <w:p w14:paraId="2C9A50B7">
      <w:pPr>
        <w:keepNext w:val="0"/>
        <w:keepLines w:val="0"/>
        <w:pageBreakBefore w:val="0"/>
        <w:widowControl w:val="0"/>
        <w:kinsoku/>
        <w:wordWrap/>
        <w:overflowPunct/>
        <w:topLinePunct w:val="0"/>
        <w:autoSpaceDE/>
        <w:autoSpaceDN/>
        <w:bidi w:val="0"/>
        <w:adjustRightInd/>
        <w:snapToGrid w:val="0"/>
        <w:spacing w:line="360" w:lineRule="auto"/>
        <w:ind w:firstLine="482" w:firstLineChars="200"/>
        <w:jc w:val="center"/>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eastAsia" w:cs="Times New Roman"/>
          <w:b/>
          <w:bCs/>
          <w:color w:val="auto"/>
          <w:sz w:val="24"/>
          <w:szCs w:val="24"/>
          <w:lang w:val="en-US" w:eastAsia="zh-CN"/>
        </w:rPr>
        <w:t>10.1</w:t>
      </w:r>
      <w:r>
        <w:rPr>
          <w:rFonts w:hint="default" w:ascii="Times New Roman" w:hAnsi="Times New Roman" w:cs="Times New Roman"/>
          <w:b/>
          <w:bCs/>
          <w:color w:val="auto"/>
          <w:sz w:val="24"/>
          <w:szCs w:val="24"/>
          <w:lang w:val="en-US" w:eastAsia="zh-CN"/>
        </w:rPr>
        <w:t>-</w:t>
      </w:r>
      <w:r>
        <w:rPr>
          <w:rFonts w:hint="eastAsia"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污染物排放清单</w:t>
      </w:r>
    </w:p>
    <w:tbl>
      <w:tblPr>
        <w:tblStyle w:val="75"/>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1"/>
        <w:gridCol w:w="1485"/>
        <w:gridCol w:w="1485"/>
        <w:gridCol w:w="1190"/>
        <w:gridCol w:w="1103"/>
        <w:gridCol w:w="1372"/>
        <w:gridCol w:w="910"/>
        <w:gridCol w:w="1803"/>
      </w:tblGrid>
      <w:tr w14:paraId="5182F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tcBorders>
              <w:tl2br w:val="nil"/>
              <w:tr2bl w:val="nil"/>
            </w:tcBorders>
            <w:noWrap w:val="0"/>
            <w:vAlign w:val="center"/>
          </w:tcPr>
          <w:p w14:paraId="10B6A7E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1485" w:type="dxa"/>
            <w:tcBorders>
              <w:tl2br w:val="nil"/>
              <w:tr2bl w:val="nil"/>
            </w:tcBorders>
            <w:noWrap w:val="0"/>
            <w:vAlign w:val="center"/>
          </w:tcPr>
          <w:p w14:paraId="103617A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污染源</w:t>
            </w:r>
          </w:p>
        </w:tc>
        <w:tc>
          <w:tcPr>
            <w:tcW w:w="1485" w:type="dxa"/>
            <w:tcBorders>
              <w:tl2br w:val="nil"/>
              <w:tr2bl w:val="nil"/>
            </w:tcBorders>
            <w:noWrap w:val="0"/>
            <w:vAlign w:val="center"/>
          </w:tcPr>
          <w:p w14:paraId="16BCAB55">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污染物名称</w:t>
            </w:r>
          </w:p>
        </w:tc>
        <w:tc>
          <w:tcPr>
            <w:tcW w:w="1190" w:type="dxa"/>
            <w:tcBorders>
              <w:tl2br w:val="nil"/>
              <w:tr2bl w:val="nil"/>
            </w:tcBorders>
            <w:noWrap w:val="0"/>
            <w:vAlign w:val="center"/>
          </w:tcPr>
          <w:p w14:paraId="6ABFCE2A">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产生浓度</w:t>
            </w:r>
            <w:r>
              <w:rPr>
                <w:rFonts w:hint="eastAsia" w:ascii="Times New Roman" w:hAnsi="Times New Roman" w:cs="Times New Roman"/>
                <w:b w:val="0"/>
                <w:bCs w:val="0"/>
                <w:color w:val="000000" w:themeColor="text1"/>
                <w:szCs w:val="21"/>
                <w:highlight w:val="none"/>
                <w14:textFill>
                  <w14:solidFill>
                    <w14:schemeClr w14:val="tx1"/>
                  </w14:solidFill>
                </w14:textFill>
              </w:rPr>
              <w:t>mg</w:t>
            </w:r>
            <w:r>
              <w:rPr>
                <w:rFonts w:ascii="Times New Roman" w:hAnsi="Times New Roman" w:cs="Times New Roman"/>
                <w:b w:val="0"/>
                <w:bCs w:val="0"/>
                <w:color w:val="000000" w:themeColor="text1"/>
                <w:szCs w:val="21"/>
                <w:highlight w:val="none"/>
                <w14:textFill>
                  <w14:solidFill>
                    <w14:schemeClr w14:val="tx1"/>
                  </w14:solidFill>
                </w14:textFill>
              </w:rPr>
              <w:t>/</w:t>
            </w:r>
            <w:r>
              <w:rPr>
                <w:rFonts w:hint="eastAsia" w:ascii="Times New Roman" w:hAnsi="Times New Roman" w:cs="Times New Roman"/>
                <w:b w:val="0"/>
                <w:bCs w:val="0"/>
                <w:color w:val="000000" w:themeColor="text1"/>
                <w:szCs w:val="21"/>
                <w:highlight w:val="none"/>
                <w14:textFill>
                  <w14:solidFill>
                    <w14:schemeClr w14:val="tx1"/>
                  </w14:solidFill>
                </w14:textFill>
              </w:rPr>
              <w:t>N</w:t>
            </w:r>
            <w:r>
              <w:rPr>
                <w:rFonts w:ascii="Times New Roman" w:hAnsi="Times New Roman" w:cs="Times New Roman"/>
                <w:b w:val="0"/>
                <w:bCs w:val="0"/>
                <w:color w:val="000000" w:themeColor="text1"/>
                <w:szCs w:val="21"/>
                <w:highlight w:val="none"/>
                <w14:textFill>
                  <w14:solidFill>
                    <w14:schemeClr w14:val="tx1"/>
                  </w14:solidFill>
                </w14:textFill>
              </w:rPr>
              <w:t>m</w:t>
            </w:r>
            <w:r>
              <w:rPr>
                <w:rFonts w:ascii="Times New Roman" w:hAnsi="Times New Roman" w:cs="Times New Roman"/>
                <w:b w:val="0"/>
                <w:bCs w:val="0"/>
                <w:color w:val="000000" w:themeColor="text1"/>
                <w:szCs w:val="21"/>
                <w:highlight w:val="none"/>
                <w:vertAlign w:val="superscript"/>
                <w14:textFill>
                  <w14:solidFill>
                    <w14:schemeClr w14:val="tx1"/>
                  </w14:solidFill>
                </w14:textFill>
              </w:rPr>
              <w:t>3</w:t>
            </w:r>
          </w:p>
        </w:tc>
        <w:tc>
          <w:tcPr>
            <w:tcW w:w="1103" w:type="dxa"/>
            <w:tcBorders>
              <w:tl2br w:val="nil"/>
              <w:tr2bl w:val="nil"/>
            </w:tcBorders>
            <w:noWrap w:val="0"/>
            <w:vAlign w:val="center"/>
          </w:tcPr>
          <w:p w14:paraId="6F40934A">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产生量</w:t>
            </w:r>
            <w:r>
              <w:rPr>
                <w:rFonts w:hint="eastAsia" w:cs="Times New Roman"/>
                <w:color w:val="000000" w:themeColor="text1"/>
                <w:sz w:val="21"/>
                <w:szCs w:val="21"/>
                <w:lang w:val="en-US" w:eastAsia="zh-CN"/>
                <w14:textFill>
                  <w14:solidFill>
                    <w14:schemeClr w14:val="tx1"/>
                  </w14:solidFill>
                </w14:textFill>
              </w:rPr>
              <w:t>t/a</w:t>
            </w:r>
          </w:p>
        </w:tc>
        <w:tc>
          <w:tcPr>
            <w:tcW w:w="1372" w:type="dxa"/>
            <w:tcBorders>
              <w:tl2br w:val="nil"/>
              <w:tr2bl w:val="nil"/>
            </w:tcBorders>
            <w:noWrap w:val="0"/>
            <w:vAlign w:val="center"/>
          </w:tcPr>
          <w:p w14:paraId="47694BA1">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排放浓度</w:t>
            </w:r>
          </w:p>
        </w:tc>
        <w:tc>
          <w:tcPr>
            <w:tcW w:w="910" w:type="dxa"/>
            <w:tcBorders>
              <w:tl2br w:val="nil"/>
              <w:tr2bl w:val="nil"/>
            </w:tcBorders>
            <w:noWrap w:val="0"/>
            <w:vAlign w:val="center"/>
          </w:tcPr>
          <w:p w14:paraId="3F1AD88A">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排放量</w:t>
            </w:r>
            <w:r>
              <w:rPr>
                <w:rFonts w:hint="eastAsia" w:cs="Times New Roman"/>
                <w:color w:val="auto"/>
                <w:sz w:val="21"/>
                <w:szCs w:val="21"/>
                <w:lang w:val="en-US" w:eastAsia="zh-CN"/>
              </w:rPr>
              <w:t>t/a</w:t>
            </w:r>
          </w:p>
        </w:tc>
        <w:tc>
          <w:tcPr>
            <w:tcW w:w="1803" w:type="dxa"/>
            <w:tcBorders>
              <w:tl2br w:val="nil"/>
              <w:tr2bl w:val="nil"/>
            </w:tcBorders>
            <w:noWrap w:val="0"/>
            <w:vAlign w:val="center"/>
          </w:tcPr>
          <w:p w14:paraId="1176228F">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去向</w:t>
            </w:r>
          </w:p>
        </w:tc>
      </w:tr>
      <w:tr w14:paraId="5189D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restart"/>
            <w:tcBorders>
              <w:tl2br w:val="nil"/>
              <w:tr2bl w:val="nil"/>
            </w:tcBorders>
            <w:noWrap w:val="0"/>
            <w:vAlign w:val="center"/>
          </w:tcPr>
          <w:p w14:paraId="2A654C03">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63B7F98C">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DA001</w:t>
            </w:r>
          </w:p>
        </w:tc>
        <w:tc>
          <w:tcPr>
            <w:tcW w:w="1485" w:type="dxa"/>
            <w:tcBorders>
              <w:tl2br w:val="nil"/>
              <w:tr2bl w:val="nil"/>
            </w:tcBorders>
            <w:noWrap w:val="0"/>
            <w:vAlign w:val="center"/>
          </w:tcPr>
          <w:p w14:paraId="56FC28B3">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有组织</w:t>
            </w:r>
            <w:r>
              <w:rPr>
                <w:rFonts w:hint="eastAsia" w:ascii="Times New Roman" w:hAnsi="Times New Roman" w:eastAsia="宋体" w:cs="Times New Roman"/>
                <w:color w:val="auto"/>
                <w:sz w:val="21"/>
                <w:szCs w:val="21"/>
                <w:lang w:val="en-US" w:eastAsia="zh-CN"/>
              </w:rPr>
              <w:t>颗粒物</w:t>
            </w:r>
          </w:p>
        </w:tc>
        <w:tc>
          <w:tcPr>
            <w:tcW w:w="1190" w:type="dxa"/>
            <w:tcBorders>
              <w:tl2br w:val="nil"/>
              <w:tr2bl w:val="nil"/>
            </w:tcBorders>
            <w:noWrap w:val="0"/>
            <w:vAlign w:val="center"/>
          </w:tcPr>
          <w:p w14:paraId="2A5B5793">
            <w:pPr>
              <w:spacing w:line="36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t>923</w:t>
            </w:r>
          </w:p>
        </w:tc>
        <w:tc>
          <w:tcPr>
            <w:tcW w:w="1103" w:type="dxa"/>
            <w:tcBorders>
              <w:tl2br w:val="nil"/>
              <w:tr2bl w:val="nil"/>
            </w:tcBorders>
            <w:noWrap w:val="0"/>
            <w:vAlign w:val="center"/>
          </w:tcPr>
          <w:p w14:paraId="2373519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w:t>
            </w:r>
          </w:p>
        </w:tc>
        <w:tc>
          <w:tcPr>
            <w:tcW w:w="1372" w:type="dxa"/>
            <w:tcBorders>
              <w:tl2br w:val="nil"/>
              <w:tr2bl w:val="nil"/>
            </w:tcBorders>
            <w:noWrap w:val="0"/>
            <w:vAlign w:val="center"/>
          </w:tcPr>
          <w:p w14:paraId="3108F2B4">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9.23</w:t>
            </w: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910" w:type="dxa"/>
            <w:tcBorders>
              <w:tl2br w:val="nil"/>
              <w:tr2bl w:val="nil"/>
            </w:tcBorders>
            <w:noWrap w:val="0"/>
            <w:vAlign w:val="center"/>
          </w:tcPr>
          <w:p w14:paraId="2C6C0D1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0.63</w:t>
            </w:r>
          </w:p>
        </w:tc>
        <w:tc>
          <w:tcPr>
            <w:tcW w:w="1803" w:type="dxa"/>
            <w:tcBorders>
              <w:tl2br w:val="nil"/>
              <w:tr2bl w:val="nil"/>
            </w:tcBorders>
            <w:noWrap w:val="0"/>
            <w:vAlign w:val="center"/>
          </w:tcPr>
          <w:p w14:paraId="7CA0353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环境空气</w:t>
            </w:r>
          </w:p>
        </w:tc>
      </w:tr>
      <w:tr w14:paraId="383A1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58D532D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0B8075F3">
            <w:pPr>
              <w:spacing w:line="360" w:lineRule="auto"/>
              <w:jc w:val="center"/>
              <w:rPr>
                <w:rFonts w:hint="default" w:cs="Times New Roman"/>
                <w:b w:val="0"/>
                <w:bCs w:val="0"/>
                <w:color w:val="000000" w:themeColor="text1"/>
                <w:sz w:val="21"/>
                <w:szCs w:val="21"/>
                <w:vertAlign w:val="baseline"/>
                <w:lang w:val="en-US" w:eastAsia="zh-CN"/>
                <w14:textFill>
                  <w14:solidFill>
                    <w14:schemeClr w14:val="tx1"/>
                  </w14:solidFill>
                </w14:textFill>
              </w:rPr>
            </w:pPr>
            <w:r>
              <w:rPr>
                <w:rFonts w:hint="eastAsia" w:cs="Times New Roman"/>
                <w:b w:val="0"/>
                <w:bCs w:val="0"/>
                <w:color w:val="000000" w:themeColor="text1"/>
                <w:sz w:val="21"/>
                <w:szCs w:val="21"/>
                <w:vertAlign w:val="baseline"/>
                <w:lang w:val="en-US" w:eastAsia="zh-CN"/>
                <w14:textFill>
                  <w14:solidFill>
                    <w14:schemeClr w14:val="tx1"/>
                  </w14:solidFill>
                </w14:textFill>
              </w:rPr>
              <w:t>选矿车间</w:t>
            </w:r>
          </w:p>
        </w:tc>
        <w:tc>
          <w:tcPr>
            <w:tcW w:w="1485" w:type="dxa"/>
            <w:tcBorders>
              <w:tl2br w:val="nil"/>
              <w:tr2bl w:val="nil"/>
            </w:tcBorders>
            <w:noWrap w:val="0"/>
            <w:vAlign w:val="center"/>
          </w:tcPr>
          <w:p w14:paraId="4613E2B7">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b w:val="0"/>
                <w:bCs w:val="0"/>
                <w:color w:val="000000" w:themeColor="text1"/>
                <w:sz w:val="21"/>
                <w:szCs w:val="21"/>
                <w:vertAlign w:val="baseline"/>
                <w:lang w:val="en-US" w:eastAsia="zh-CN"/>
                <w14:textFill>
                  <w14:solidFill>
                    <w14:schemeClr w14:val="tx1"/>
                  </w14:solidFill>
                </w14:textFill>
              </w:rPr>
              <w:t>无组织</w:t>
            </w:r>
            <w:r>
              <w:rPr>
                <w:rFonts w:hint="eastAsia" w:ascii="Times New Roman" w:hAnsi="Times New Roman" w:eastAsia="宋体" w:cs="Times New Roman"/>
                <w:color w:val="auto"/>
                <w:sz w:val="21"/>
                <w:szCs w:val="21"/>
                <w:lang w:val="en-US" w:eastAsia="zh-CN"/>
              </w:rPr>
              <w:t>颗粒物</w:t>
            </w:r>
          </w:p>
        </w:tc>
        <w:tc>
          <w:tcPr>
            <w:tcW w:w="1190" w:type="dxa"/>
            <w:tcBorders>
              <w:tl2br w:val="nil"/>
              <w:tr2bl w:val="nil"/>
            </w:tcBorders>
            <w:noWrap w:val="0"/>
            <w:vAlign w:val="center"/>
          </w:tcPr>
          <w:p w14:paraId="2DCE5D80">
            <w:pPr>
              <w:spacing w:line="360" w:lineRule="auto"/>
              <w:jc w:val="center"/>
              <w:rPr>
                <w:rFonts w:hint="eastAsia" w:ascii="Times New Roman" w:hAnsi="Times New Roman" w:cs="Times New Roman"/>
                <w:b w:val="0"/>
                <w:bCs w:val="0"/>
                <w:color w:val="000000" w:themeColor="text1"/>
                <w:sz w:val="21"/>
                <w:szCs w:val="21"/>
                <w:vertAlign w:val="baseline"/>
                <w:lang w:val="en-US" w:eastAsia="zh-CN"/>
                <w14:textFill>
                  <w14:solidFill>
                    <w14:schemeClr w14:val="tx1"/>
                  </w14:solidFill>
                </w14:textFill>
              </w:rPr>
            </w:pPr>
            <w:r>
              <w:rPr>
                <w:rFonts w:hint="eastAsia"/>
                <w:sz w:val="21"/>
                <w:szCs w:val="21"/>
                <w:vertAlign w:val="baseline"/>
                <w:lang w:val="en-US" w:eastAsia="zh-CN"/>
              </w:rPr>
              <w:t>-</w:t>
            </w:r>
          </w:p>
        </w:tc>
        <w:tc>
          <w:tcPr>
            <w:tcW w:w="1103" w:type="dxa"/>
            <w:tcBorders>
              <w:tl2br w:val="nil"/>
              <w:tr2bl w:val="nil"/>
            </w:tcBorders>
            <w:noWrap w:val="0"/>
            <w:vAlign w:val="center"/>
          </w:tcPr>
          <w:p w14:paraId="369CE67A">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7</w:t>
            </w:r>
          </w:p>
        </w:tc>
        <w:tc>
          <w:tcPr>
            <w:tcW w:w="1372" w:type="dxa"/>
            <w:tcBorders>
              <w:tl2br w:val="nil"/>
              <w:tr2bl w:val="nil"/>
            </w:tcBorders>
            <w:noWrap w:val="0"/>
            <w:vAlign w:val="center"/>
          </w:tcPr>
          <w:p w14:paraId="48BD63F9">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10" w:type="dxa"/>
            <w:tcBorders>
              <w:tl2br w:val="nil"/>
              <w:tr2bl w:val="nil"/>
            </w:tcBorders>
            <w:noWrap w:val="0"/>
            <w:vAlign w:val="center"/>
          </w:tcPr>
          <w:p w14:paraId="7BBF052F">
            <w:pPr>
              <w:keepNext w:val="0"/>
              <w:keepLines w:val="0"/>
              <w:pageBreakBefore w:val="0"/>
              <w:kinsoku/>
              <w:wordWrap/>
              <w:overflowPunct/>
              <w:topLinePunct w:val="0"/>
              <w:autoSpaceDE/>
              <w:autoSpaceDN/>
              <w:bidi w:val="0"/>
              <w:spacing w:line="24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1.05</w:t>
            </w:r>
          </w:p>
        </w:tc>
        <w:tc>
          <w:tcPr>
            <w:tcW w:w="1803" w:type="dxa"/>
            <w:tcBorders>
              <w:tl2br w:val="nil"/>
              <w:tr2bl w:val="nil"/>
            </w:tcBorders>
            <w:noWrap w:val="0"/>
            <w:vAlign w:val="center"/>
          </w:tcPr>
          <w:p w14:paraId="3DB9502D">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环境空气</w:t>
            </w:r>
          </w:p>
        </w:tc>
      </w:tr>
      <w:tr w14:paraId="1953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014B6935">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3B97748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sz w:val="21"/>
                <w:szCs w:val="21"/>
                <w:vertAlign w:val="baseline"/>
                <w:lang w:val="en-US" w:eastAsia="zh-CN"/>
              </w:rPr>
              <w:t>原矿装卸</w:t>
            </w:r>
          </w:p>
        </w:tc>
        <w:tc>
          <w:tcPr>
            <w:tcW w:w="1485" w:type="dxa"/>
            <w:tcBorders>
              <w:tl2br w:val="nil"/>
              <w:tr2bl w:val="nil"/>
            </w:tcBorders>
            <w:noWrap w:val="0"/>
            <w:vAlign w:val="center"/>
          </w:tcPr>
          <w:p w14:paraId="45701E80">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outlineLvl w:val="9"/>
              <w:rPr>
                <w:rFonts w:hint="default" w:ascii="Times New Roman" w:hAnsi="Times New Roman" w:eastAsia="宋体" w:cs="Times New Roman"/>
                <w:color w:val="auto"/>
                <w:sz w:val="21"/>
                <w:szCs w:val="21"/>
                <w:lang w:eastAsia="zh-CN"/>
              </w:rPr>
            </w:pPr>
            <w:r>
              <w:rPr>
                <w:rFonts w:hint="eastAsia" w:cs="Times New Roman"/>
                <w:b w:val="0"/>
                <w:bCs w:val="0"/>
                <w:color w:val="000000" w:themeColor="text1"/>
                <w:sz w:val="21"/>
                <w:szCs w:val="21"/>
                <w:vertAlign w:val="baseline"/>
                <w:lang w:val="en-US" w:eastAsia="zh-CN"/>
                <w14:textFill>
                  <w14:solidFill>
                    <w14:schemeClr w14:val="tx1"/>
                  </w14:solidFill>
                </w14:textFill>
              </w:rPr>
              <w:t>无组织</w:t>
            </w:r>
            <w:r>
              <w:rPr>
                <w:rFonts w:hint="eastAsia" w:ascii="Times New Roman" w:hAnsi="Times New Roman" w:eastAsia="宋体" w:cs="Times New Roman"/>
                <w:color w:val="auto"/>
                <w:sz w:val="21"/>
                <w:szCs w:val="21"/>
                <w:lang w:val="en-US" w:eastAsia="zh-CN"/>
              </w:rPr>
              <w:t>颗粒物</w:t>
            </w:r>
          </w:p>
        </w:tc>
        <w:tc>
          <w:tcPr>
            <w:tcW w:w="1190" w:type="dxa"/>
            <w:tcBorders>
              <w:tl2br w:val="nil"/>
              <w:tr2bl w:val="nil"/>
            </w:tcBorders>
            <w:noWrap w:val="0"/>
            <w:vAlign w:val="center"/>
          </w:tcPr>
          <w:p w14:paraId="2E32F5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w:t>
            </w:r>
          </w:p>
        </w:tc>
        <w:tc>
          <w:tcPr>
            <w:tcW w:w="1103" w:type="dxa"/>
            <w:tcBorders>
              <w:tl2br w:val="nil"/>
              <w:tr2bl w:val="nil"/>
            </w:tcBorders>
            <w:noWrap w:val="0"/>
            <w:vAlign w:val="center"/>
          </w:tcPr>
          <w:p w14:paraId="43021F53">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0.965t/a</w:t>
            </w:r>
          </w:p>
        </w:tc>
        <w:tc>
          <w:tcPr>
            <w:tcW w:w="1372" w:type="dxa"/>
            <w:tcBorders>
              <w:tl2br w:val="nil"/>
              <w:tr2bl w:val="nil"/>
            </w:tcBorders>
            <w:noWrap w:val="0"/>
            <w:vAlign w:val="center"/>
          </w:tcPr>
          <w:p w14:paraId="0A7E4763">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周界处&lt;1.0mg/m</w:t>
            </w:r>
            <w:r>
              <w:rPr>
                <w:rFonts w:hint="default" w:ascii="Times New Roman" w:hAnsi="Times New Roman" w:eastAsia="宋体" w:cs="Times New Roman"/>
                <w:color w:val="auto"/>
                <w:sz w:val="21"/>
                <w:szCs w:val="21"/>
                <w:vertAlign w:val="superscript"/>
              </w:rPr>
              <w:t>3</w:t>
            </w:r>
          </w:p>
        </w:tc>
        <w:tc>
          <w:tcPr>
            <w:tcW w:w="910" w:type="dxa"/>
            <w:tcBorders>
              <w:tl2br w:val="nil"/>
              <w:tr2bl w:val="nil"/>
            </w:tcBorders>
            <w:noWrap w:val="0"/>
            <w:vAlign w:val="center"/>
          </w:tcPr>
          <w:p w14:paraId="5FFA4C2C">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0.145</w:t>
            </w:r>
          </w:p>
        </w:tc>
        <w:tc>
          <w:tcPr>
            <w:tcW w:w="1803" w:type="dxa"/>
            <w:tcBorders>
              <w:tl2br w:val="nil"/>
              <w:tr2bl w:val="nil"/>
            </w:tcBorders>
            <w:noWrap w:val="0"/>
            <w:vAlign w:val="center"/>
          </w:tcPr>
          <w:p w14:paraId="544F1669">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环境空气</w:t>
            </w:r>
          </w:p>
        </w:tc>
      </w:tr>
      <w:tr w14:paraId="60361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6066E6D5">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72CBEEF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sz w:val="21"/>
                <w:szCs w:val="21"/>
                <w:vertAlign w:val="baseline"/>
                <w:lang w:val="en-US" w:eastAsia="zh-CN"/>
              </w:rPr>
              <w:t>尾矿装卸</w:t>
            </w:r>
          </w:p>
        </w:tc>
        <w:tc>
          <w:tcPr>
            <w:tcW w:w="1485" w:type="dxa"/>
            <w:tcBorders>
              <w:tl2br w:val="nil"/>
              <w:tr2bl w:val="nil"/>
            </w:tcBorders>
            <w:noWrap w:val="0"/>
            <w:vAlign w:val="center"/>
          </w:tcPr>
          <w:p w14:paraId="09DC38FA">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outlineLvl w:val="9"/>
              <w:rPr>
                <w:rFonts w:hint="default" w:ascii="Times New Roman" w:hAnsi="Times New Roman" w:eastAsia="宋体" w:cs="Times New Roman"/>
                <w:color w:val="auto"/>
                <w:sz w:val="21"/>
                <w:szCs w:val="21"/>
                <w:lang w:eastAsia="zh-CN"/>
              </w:rPr>
            </w:pPr>
            <w:r>
              <w:rPr>
                <w:rFonts w:hint="eastAsia" w:cs="Times New Roman"/>
                <w:b w:val="0"/>
                <w:bCs w:val="0"/>
                <w:color w:val="000000" w:themeColor="text1"/>
                <w:sz w:val="21"/>
                <w:szCs w:val="21"/>
                <w:vertAlign w:val="baseline"/>
                <w:lang w:val="en-US" w:eastAsia="zh-CN"/>
                <w14:textFill>
                  <w14:solidFill>
                    <w14:schemeClr w14:val="tx1"/>
                  </w14:solidFill>
                </w14:textFill>
              </w:rPr>
              <w:t>无组织</w:t>
            </w:r>
            <w:r>
              <w:rPr>
                <w:rFonts w:hint="eastAsia" w:ascii="Times New Roman" w:hAnsi="Times New Roman" w:eastAsia="宋体" w:cs="Times New Roman"/>
                <w:color w:val="auto"/>
                <w:sz w:val="21"/>
                <w:szCs w:val="21"/>
                <w:lang w:val="en-US" w:eastAsia="zh-CN"/>
              </w:rPr>
              <w:t>颗粒物</w:t>
            </w:r>
          </w:p>
        </w:tc>
        <w:tc>
          <w:tcPr>
            <w:tcW w:w="1190" w:type="dxa"/>
            <w:tcBorders>
              <w:tl2br w:val="nil"/>
              <w:tr2bl w:val="nil"/>
            </w:tcBorders>
            <w:noWrap w:val="0"/>
            <w:vAlign w:val="center"/>
          </w:tcPr>
          <w:p w14:paraId="31986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w:t>
            </w:r>
          </w:p>
        </w:tc>
        <w:tc>
          <w:tcPr>
            <w:tcW w:w="1103" w:type="dxa"/>
            <w:tcBorders>
              <w:tl2br w:val="nil"/>
              <w:tr2bl w:val="nil"/>
            </w:tcBorders>
            <w:noWrap w:val="0"/>
            <w:vAlign w:val="center"/>
          </w:tcPr>
          <w:p w14:paraId="4A660B7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000000" w:themeColor="text1"/>
                <w:sz w:val="21"/>
                <w:szCs w:val="21"/>
                <w:lang w:val="en-US" w:eastAsia="zh-CN"/>
                <w14:textFill>
                  <w14:solidFill>
                    <w14:schemeClr w14:val="tx1"/>
                  </w14:solidFill>
                </w14:textFill>
              </w:rPr>
              <w:t>0.093</w:t>
            </w:r>
            <w:r>
              <w:rPr>
                <w:rFonts w:ascii="Times New Roman" w:hAnsi="Times New Roman" w:cs="Times New Roman"/>
                <w:color w:val="000000" w:themeColor="text1"/>
                <w:sz w:val="21"/>
                <w:szCs w:val="21"/>
                <w14:textFill>
                  <w14:solidFill>
                    <w14:schemeClr w14:val="tx1"/>
                  </w14:solidFill>
                </w14:textFill>
              </w:rPr>
              <w:t>t/a</w:t>
            </w:r>
          </w:p>
        </w:tc>
        <w:tc>
          <w:tcPr>
            <w:tcW w:w="1372" w:type="dxa"/>
            <w:tcBorders>
              <w:tl2br w:val="nil"/>
              <w:tr2bl w:val="nil"/>
            </w:tcBorders>
            <w:noWrap w:val="0"/>
            <w:vAlign w:val="center"/>
          </w:tcPr>
          <w:p w14:paraId="65E3DEF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周界处&lt;1.0mg/m</w:t>
            </w:r>
            <w:r>
              <w:rPr>
                <w:rFonts w:hint="default" w:ascii="Times New Roman" w:hAnsi="Times New Roman" w:eastAsia="宋体" w:cs="Times New Roman"/>
                <w:color w:val="auto"/>
                <w:sz w:val="21"/>
                <w:szCs w:val="21"/>
                <w:vertAlign w:val="superscript"/>
              </w:rPr>
              <w:t>3</w:t>
            </w:r>
          </w:p>
        </w:tc>
        <w:tc>
          <w:tcPr>
            <w:tcW w:w="910" w:type="dxa"/>
            <w:tcBorders>
              <w:tl2br w:val="nil"/>
              <w:tr2bl w:val="nil"/>
            </w:tcBorders>
            <w:noWrap w:val="0"/>
            <w:vAlign w:val="center"/>
          </w:tcPr>
          <w:p w14:paraId="49D96179">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0.014</w:t>
            </w:r>
          </w:p>
        </w:tc>
        <w:tc>
          <w:tcPr>
            <w:tcW w:w="1803" w:type="dxa"/>
            <w:tcBorders>
              <w:tl2br w:val="nil"/>
              <w:tr2bl w:val="nil"/>
            </w:tcBorders>
            <w:noWrap w:val="0"/>
            <w:vAlign w:val="center"/>
          </w:tcPr>
          <w:p w14:paraId="1DA1D443">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环境空气</w:t>
            </w:r>
          </w:p>
        </w:tc>
      </w:tr>
      <w:tr w14:paraId="1976B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7A09C3D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2D9917D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道路运输</w:t>
            </w:r>
          </w:p>
        </w:tc>
        <w:tc>
          <w:tcPr>
            <w:tcW w:w="1485" w:type="dxa"/>
            <w:tcBorders>
              <w:tl2br w:val="nil"/>
              <w:tr2bl w:val="nil"/>
            </w:tcBorders>
            <w:noWrap w:val="0"/>
            <w:vAlign w:val="center"/>
          </w:tcPr>
          <w:p w14:paraId="126F8EDF">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000000" w:themeColor="text1"/>
                <w:sz w:val="21"/>
                <w:szCs w:val="21"/>
                <w:vertAlign w:val="baseline"/>
                <w:lang w:val="en-US" w:eastAsia="zh-CN"/>
                <w14:textFill>
                  <w14:solidFill>
                    <w14:schemeClr w14:val="tx1"/>
                  </w14:solidFill>
                </w14:textFill>
              </w:rPr>
              <w:t>无组织</w:t>
            </w:r>
            <w:r>
              <w:rPr>
                <w:rFonts w:hint="eastAsia" w:ascii="Times New Roman" w:hAnsi="Times New Roman" w:eastAsia="宋体" w:cs="Times New Roman"/>
                <w:color w:val="auto"/>
                <w:sz w:val="21"/>
                <w:szCs w:val="21"/>
                <w:lang w:val="en-US" w:eastAsia="zh-CN"/>
              </w:rPr>
              <w:t>颗粒物</w:t>
            </w:r>
          </w:p>
        </w:tc>
        <w:tc>
          <w:tcPr>
            <w:tcW w:w="1190" w:type="dxa"/>
            <w:tcBorders>
              <w:tl2br w:val="nil"/>
              <w:tr2bl w:val="nil"/>
            </w:tcBorders>
            <w:noWrap w:val="0"/>
            <w:vAlign w:val="center"/>
          </w:tcPr>
          <w:p w14:paraId="48ADC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w:t>
            </w:r>
          </w:p>
        </w:tc>
        <w:tc>
          <w:tcPr>
            <w:tcW w:w="1103" w:type="dxa"/>
            <w:tcBorders>
              <w:tl2br w:val="nil"/>
              <w:tr2bl w:val="nil"/>
            </w:tcBorders>
            <w:noWrap w:val="0"/>
            <w:vAlign w:val="center"/>
          </w:tcPr>
          <w:p w14:paraId="7C44D88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color w:val="auto"/>
                <w:sz w:val="21"/>
                <w:szCs w:val="21"/>
                <w:lang w:val="en-US" w:eastAsia="zh-CN"/>
              </w:rPr>
              <w:t>4.052</w:t>
            </w:r>
            <w:r>
              <w:rPr>
                <w:rFonts w:hint="eastAsia" w:ascii="Times New Roman" w:eastAsia="宋体"/>
                <w:color w:val="auto"/>
                <w:sz w:val="21"/>
                <w:szCs w:val="21"/>
                <w:lang w:val="en-US" w:eastAsia="zh-CN"/>
              </w:rPr>
              <w:t>t</w:t>
            </w:r>
            <w:r>
              <w:rPr>
                <w:rFonts w:hint="default"/>
                <w:color w:val="auto"/>
                <w:sz w:val="21"/>
                <w:szCs w:val="21"/>
              </w:rPr>
              <w:t>/a</w:t>
            </w:r>
          </w:p>
        </w:tc>
        <w:tc>
          <w:tcPr>
            <w:tcW w:w="1372" w:type="dxa"/>
            <w:tcBorders>
              <w:tl2br w:val="nil"/>
              <w:tr2bl w:val="nil"/>
            </w:tcBorders>
            <w:noWrap w:val="0"/>
            <w:vAlign w:val="center"/>
          </w:tcPr>
          <w:p w14:paraId="5B1EFC08">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周界处&lt;1.0</w:t>
            </w:r>
          </w:p>
          <w:p w14:paraId="17ABABCF">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910" w:type="dxa"/>
            <w:tcBorders>
              <w:tl2br w:val="nil"/>
              <w:tr2bl w:val="nil"/>
            </w:tcBorders>
            <w:noWrap w:val="0"/>
            <w:vAlign w:val="center"/>
          </w:tcPr>
          <w:p w14:paraId="78EA96A7">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color w:val="auto"/>
                <w:sz w:val="21"/>
                <w:szCs w:val="21"/>
                <w:lang w:val="en-US" w:eastAsia="zh-CN"/>
              </w:rPr>
              <w:t>0.608</w:t>
            </w:r>
          </w:p>
        </w:tc>
        <w:tc>
          <w:tcPr>
            <w:tcW w:w="1803" w:type="dxa"/>
            <w:tcBorders>
              <w:tl2br w:val="nil"/>
              <w:tr2bl w:val="nil"/>
            </w:tcBorders>
            <w:noWrap w:val="0"/>
            <w:vAlign w:val="center"/>
          </w:tcPr>
          <w:p w14:paraId="4BB7371E">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r>
      <w:tr w14:paraId="6715D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608DBDAD">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7099355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皮带输送</w:t>
            </w:r>
          </w:p>
        </w:tc>
        <w:tc>
          <w:tcPr>
            <w:tcW w:w="1485" w:type="dxa"/>
            <w:tcBorders>
              <w:tl2br w:val="nil"/>
              <w:tr2bl w:val="nil"/>
            </w:tcBorders>
            <w:noWrap w:val="0"/>
            <w:vAlign w:val="center"/>
          </w:tcPr>
          <w:p w14:paraId="50406DD2">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default" w:ascii="Times New Roman" w:hAnsi="Times New Roman" w:eastAsia="宋体" w:cs="Times New Roman"/>
                <w:color w:val="auto"/>
                <w:sz w:val="21"/>
                <w:szCs w:val="21"/>
              </w:rPr>
            </w:pPr>
            <w:r>
              <w:rPr>
                <w:rFonts w:hint="eastAsia" w:cs="Times New Roman"/>
                <w:b w:val="0"/>
                <w:bCs w:val="0"/>
                <w:color w:val="000000" w:themeColor="text1"/>
                <w:sz w:val="21"/>
                <w:szCs w:val="21"/>
                <w:vertAlign w:val="baseline"/>
                <w:lang w:val="en-US" w:eastAsia="zh-CN"/>
                <w14:textFill>
                  <w14:solidFill>
                    <w14:schemeClr w14:val="tx1"/>
                  </w14:solidFill>
                </w14:textFill>
              </w:rPr>
              <w:t>无组织</w:t>
            </w:r>
            <w:r>
              <w:rPr>
                <w:rFonts w:hint="eastAsia" w:ascii="Times New Roman" w:hAnsi="Times New Roman" w:eastAsia="宋体" w:cs="Times New Roman"/>
                <w:color w:val="auto"/>
                <w:sz w:val="21"/>
                <w:szCs w:val="21"/>
                <w:lang w:val="en-US" w:eastAsia="zh-CN"/>
              </w:rPr>
              <w:t>颗粒物</w:t>
            </w:r>
          </w:p>
        </w:tc>
        <w:tc>
          <w:tcPr>
            <w:tcW w:w="1190" w:type="dxa"/>
            <w:tcBorders>
              <w:tl2br w:val="nil"/>
              <w:tr2bl w:val="nil"/>
            </w:tcBorders>
            <w:noWrap w:val="0"/>
            <w:vAlign w:val="center"/>
          </w:tcPr>
          <w:p w14:paraId="307FD8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sz w:val="21"/>
                <w:szCs w:val="21"/>
                <w:vertAlign w:val="baseline"/>
                <w:lang w:val="en-US" w:eastAsia="zh-CN"/>
              </w:rPr>
              <w:t>-</w:t>
            </w:r>
          </w:p>
        </w:tc>
        <w:tc>
          <w:tcPr>
            <w:tcW w:w="1103" w:type="dxa"/>
            <w:tcBorders>
              <w:tl2br w:val="nil"/>
              <w:tr2bl w:val="nil"/>
            </w:tcBorders>
            <w:noWrap w:val="0"/>
            <w:vAlign w:val="center"/>
          </w:tcPr>
          <w:p w14:paraId="69CAC3D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hAnsi="宋体"/>
                <w:bCs/>
                <w:color w:val="auto"/>
                <w:sz w:val="21"/>
                <w:szCs w:val="21"/>
                <w:highlight w:val="none"/>
                <w:lang w:val="en-US" w:eastAsia="zh-CN"/>
              </w:rPr>
              <w:t>0.29t/a</w:t>
            </w:r>
          </w:p>
        </w:tc>
        <w:tc>
          <w:tcPr>
            <w:tcW w:w="1372" w:type="dxa"/>
            <w:tcBorders>
              <w:tl2br w:val="nil"/>
              <w:tr2bl w:val="nil"/>
            </w:tcBorders>
            <w:noWrap w:val="0"/>
            <w:vAlign w:val="center"/>
          </w:tcPr>
          <w:p w14:paraId="18E15E30">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周界处&lt;1.0</w:t>
            </w:r>
          </w:p>
          <w:p w14:paraId="0204BA50">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910" w:type="dxa"/>
            <w:tcBorders>
              <w:tl2br w:val="nil"/>
              <w:tr2bl w:val="nil"/>
            </w:tcBorders>
            <w:noWrap w:val="0"/>
            <w:vAlign w:val="center"/>
          </w:tcPr>
          <w:p w14:paraId="3B498481">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hAnsi="宋体"/>
                <w:bCs/>
                <w:color w:val="auto"/>
                <w:sz w:val="21"/>
                <w:szCs w:val="21"/>
                <w:highlight w:val="none"/>
                <w:lang w:val="en-US" w:eastAsia="zh-CN"/>
              </w:rPr>
              <w:t>0.0435</w:t>
            </w:r>
          </w:p>
        </w:tc>
        <w:tc>
          <w:tcPr>
            <w:tcW w:w="1803" w:type="dxa"/>
            <w:tcBorders>
              <w:tl2br w:val="nil"/>
              <w:tr2bl w:val="nil"/>
            </w:tcBorders>
            <w:noWrap w:val="0"/>
            <w:vAlign w:val="center"/>
          </w:tcPr>
          <w:p w14:paraId="29FAB4CD">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p>
        </w:tc>
      </w:tr>
      <w:tr w14:paraId="4823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restart"/>
            <w:tcBorders>
              <w:tl2br w:val="nil"/>
              <w:tr2bl w:val="nil"/>
            </w:tcBorders>
            <w:noWrap w:val="0"/>
            <w:vAlign w:val="center"/>
          </w:tcPr>
          <w:p w14:paraId="241F6A07">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485" w:type="dxa"/>
            <w:tcBorders>
              <w:tl2br w:val="nil"/>
              <w:tr2bl w:val="nil"/>
            </w:tcBorders>
            <w:noWrap w:val="0"/>
            <w:vAlign w:val="center"/>
          </w:tcPr>
          <w:p w14:paraId="733E272A">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选矿废水</w:t>
            </w:r>
          </w:p>
        </w:tc>
        <w:tc>
          <w:tcPr>
            <w:tcW w:w="1485" w:type="dxa"/>
            <w:tcBorders>
              <w:tl2br w:val="nil"/>
              <w:tr2bl w:val="nil"/>
            </w:tcBorders>
            <w:noWrap w:val="0"/>
            <w:vAlign w:val="center"/>
          </w:tcPr>
          <w:p w14:paraId="048D630F">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SS等</w:t>
            </w:r>
          </w:p>
        </w:tc>
        <w:tc>
          <w:tcPr>
            <w:tcW w:w="1190" w:type="dxa"/>
            <w:tcBorders>
              <w:tl2br w:val="nil"/>
              <w:tr2bl w:val="nil"/>
            </w:tcBorders>
            <w:noWrap w:val="0"/>
            <w:vAlign w:val="center"/>
          </w:tcPr>
          <w:p w14:paraId="6DFBB61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eastAsia"/>
                <w:sz w:val="21"/>
                <w:szCs w:val="21"/>
                <w:vertAlign w:val="baseline"/>
                <w:lang w:val="en-US" w:eastAsia="zh-CN"/>
              </w:rPr>
            </w:pPr>
            <w:r>
              <w:rPr>
                <w:rFonts w:hint="eastAsia"/>
                <w:sz w:val="21"/>
                <w:szCs w:val="21"/>
                <w:vertAlign w:val="baseline"/>
                <w:lang w:val="en-US" w:eastAsia="zh-CN"/>
              </w:rPr>
              <w:t>-</w:t>
            </w:r>
          </w:p>
        </w:tc>
        <w:tc>
          <w:tcPr>
            <w:tcW w:w="1103" w:type="dxa"/>
            <w:tcBorders>
              <w:tl2br w:val="nil"/>
              <w:tr2bl w:val="nil"/>
            </w:tcBorders>
            <w:noWrap w:val="0"/>
            <w:vAlign w:val="center"/>
          </w:tcPr>
          <w:p w14:paraId="16E3D41E">
            <w:pPr>
              <w:keepNext w:val="0"/>
              <w:keepLines w:val="0"/>
              <w:pageBreakBefore w:val="0"/>
              <w:kinsoku/>
              <w:wordWrap/>
              <w:overflowPunct/>
              <w:topLinePunct w:val="0"/>
              <w:autoSpaceDE/>
              <w:autoSpaceDN/>
              <w:bidi w:val="0"/>
              <w:spacing w:line="240" w:lineRule="auto"/>
              <w:jc w:val="center"/>
              <w:rPr>
                <w:rFonts w:hint="eastAsia"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Cs w:val="21"/>
                <w:highlight w:val="none"/>
                <w:lang w:val="en-US" w:eastAsia="zh-CN"/>
                <w14:textFill>
                  <w14:solidFill>
                    <w14:schemeClr w14:val="tx1"/>
                  </w14:solidFill>
                </w14:textFill>
              </w:rPr>
              <w:t>862.055</w:t>
            </w:r>
            <w:r>
              <w:rPr>
                <w:rFonts w:hint="eastAsia" w:hAnsi="宋体"/>
                <w:bCs/>
                <w:color w:val="auto"/>
                <w:sz w:val="21"/>
                <w:szCs w:val="21"/>
                <w:highlight w:val="none"/>
                <w:lang w:val="en-US" w:eastAsia="zh-CN"/>
              </w:rPr>
              <w:t>t/d</w:t>
            </w:r>
          </w:p>
        </w:tc>
        <w:tc>
          <w:tcPr>
            <w:tcW w:w="1372" w:type="dxa"/>
            <w:tcBorders>
              <w:tl2br w:val="nil"/>
              <w:tr2bl w:val="nil"/>
            </w:tcBorders>
            <w:noWrap w:val="0"/>
            <w:vAlign w:val="center"/>
          </w:tcPr>
          <w:p w14:paraId="07C36327">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117EDAB6">
            <w:pPr>
              <w:keepNext w:val="0"/>
              <w:keepLines w:val="0"/>
              <w:pageBreakBefore w:val="0"/>
              <w:widowControl w:val="0"/>
              <w:kinsoku/>
              <w:wordWrap/>
              <w:overflowPunct/>
              <w:topLinePunct w:val="0"/>
              <w:autoSpaceDE/>
              <w:autoSpaceDN/>
              <w:bidi w:val="0"/>
              <w:adjustRightInd/>
              <w:snapToGrid w:val="0"/>
              <w:spacing w:line="400" w:lineRule="exact"/>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w:t>
            </w:r>
          </w:p>
        </w:tc>
        <w:tc>
          <w:tcPr>
            <w:tcW w:w="1803" w:type="dxa"/>
            <w:tcBorders>
              <w:tl2br w:val="nil"/>
              <w:tr2bl w:val="nil"/>
            </w:tcBorders>
            <w:noWrap w:val="0"/>
            <w:vAlign w:val="center"/>
          </w:tcPr>
          <w:p w14:paraId="25BE1765">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回用于生产工序</w:t>
            </w:r>
          </w:p>
        </w:tc>
      </w:tr>
      <w:tr w14:paraId="7E73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7737F87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highlight w:val="none"/>
              </w:rPr>
            </w:pPr>
          </w:p>
        </w:tc>
        <w:tc>
          <w:tcPr>
            <w:tcW w:w="1485" w:type="dxa"/>
            <w:tcBorders>
              <w:tl2br w:val="nil"/>
              <w:tr2bl w:val="nil"/>
            </w:tcBorders>
            <w:noWrap w:val="0"/>
            <w:vAlign w:val="center"/>
          </w:tcPr>
          <w:p w14:paraId="08793AA8">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lang w:eastAsia="zh-CN"/>
              </w:rPr>
            </w:pPr>
            <w:r>
              <w:rPr>
                <w:rFonts w:hint="eastAsia" w:cs="Times New Roman"/>
                <w:color w:val="000000" w:themeColor="text1"/>
                <w:szCs w:val="21"/>
                <w:highlight w:val="none"/>
                <w:lang w:val="en-US" w:eastAsia="zh-CN"/>
                <w14:textFill>
                  <w14:solidFill>
                    <w14:schemeClr w14:val="tx1"/>
                  </w14:solidFill>
                </w14:textFill>
              </w:rPr>
              <w:t>车间地面冲洗水</w:t>
            </w:r>
          </w:p>
        </w:tc>
        <w:tc>
          <w:tcPr>
            <w:tcW w:w="1485" w:type="dxa"/>
            <w:tcBorders>
              <w:tl2br w:val="nil"/>
              <w:tr2bl w:val="nil"/>
            </w:tcBorders>
            <w:noWrap w:val="0"/>
            <w:vAlign w:val="center"/>
          </w:tcPr>
          <w:p w14:paraId="77A16A96">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000000" w:themeColor="text1"/>
                <w:szCs w:val="21"/>
                <w:highlight w:val="none"/>
                <w:lang w:val="en-US" w:eastAsia="zh-CN"/>
                <w14:textFill>
                  <w14:solidFill>
                    <w14:schemeClr w14:val="tx1"/>
                  </w14:solidFill>
                </w14:textFill>
              </w:rPr>
              <w:t>SS等</w:t>
            </w:r>
          </w:p>
        </w:tc>
        <w:tc>
          <w:tcPr>
            <w:tcW w:w="1190" w:type="dxa"/>
            <w:tcBorders>
              <w:tl2br w:val="nil"/>
              <w:tr2bl w:val="nil"/>
            </w:tcBorders>
            <w:noWrap w:val="0"/>
            <w:vAlign w:val="center"/>
          </w:tcPr>
          <w:p w14:paraId="3172F1CF">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eastAsia"/>
                <w:sz w:val="21"/>
                <w:szCs w:val="21"/>
                <w:vertAlign w:val="baseline"/>
                <w:lang w:val="en-US" w:eastAsia="zh-CN"/>
              </w:rPr>
              <w:t>-</w:t>
            </w:r>
          </w:p>
        </w:tc>
        <w:tc>
          <w:tcPr>
            <w:tcW w:w="1103" w:type="dxa"/>
            <w:tcBorders>
              <w:tl2br w:val="nil"/>
              <w:tr2bl w:val="nil"/>
            </w:tcBorders>
            <w:noWrap w:val="0"/>
            <w:vAlign w:val="center"/>
          </w:tcPr>
          <w:p w14:paraId="19357EB2">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cs="Times New Roman"/>
                <w:color w:val="000000" w:themeColor="text1"/>
                <w:szCs w:val="21"/>
                <w:highlight w:val="none"/>
                <w:lang w:val="en-US" w:eastAsia="zh-CN"/>
                <w14:textFill>
                  <w14:solidFill>
                    <w14:schemeClr w14:val="tx1"/>
                  </w14:solidFill>
                </w14:textFill>
              </w:rPr>
              <w:t>0.8t/d</w:t>
            </w:r>
          </w:p>
        </w:tc>
        <w:tc>
          <w:tcPr>
            <w:tcW w:w="1372" w:type="dxa"/>
            <w:tcBorders>
              <w:tl2br w:val="nil"/>
              <w:tr2bl w:val="nil"/>
            </w:tcBorders>
            <w:noWrap w:val="0"/>
            <w:vAlign w:val="center"/>
          </w:tcPr>
          <w:p w14:paraId="06B2ECAB">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4C437499">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803" w:type="dxa"/>
            <w:tcBorders>
              <w:tl2br w:val="nil"/>
              <w:tr2bl w:val="nil"/>
            </w:tcBorders>
            <w:noWrap w:val="0"/>
            <w:vAlign w:val="center"/>
          </w:tcPr>
          <w:p w14:paraId="209B0E91">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eastAsia="zh-CN"/>
              </w:rPr>
            </w:pPr>
            <w:r>
              <w:rPr>
                <w:rFonts w:hint="eastAsia" w:cs="Times New Roman"/>
                <w:color w:val="auto"/>
                <w:sz w:val="21"/>
                <w:szCs w:val="21"/>
                <w:lang w:val="en-US" w:eastAsia="zh-CN"/>
              </w:rPr>
              <w:t>回用于生产工序</w:t>
            </w:r>
          </w:p>
        </w:tc>
      </w:tr>
      <w:tr w14:paraId="39071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2C457108">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p>
        </w:tc>
        <w:tc>
          <w:tcPr>
            <w:tcW w:w="1485" w:type="dxa"/>
            <w:tcBorders>
              <w:tl2br w:val="nil"/>
              <w:tr2bl w:val="nil"/>
            </w:tcBorders>
            <w:noWrap w:val="0"/>
            <w:vAlign w:val="center"/>
          </w:tcPr>
          <w:p w14:paraId="6B4EE7F9">
            <w:pPr>
              <w:keepNext w:val="0"/>
              <w:keepLines w:val="0"/>
              <w:pageBreakBefore w:val="0"/>
              <w:widowControl/>
              <w:kinsoku/>
              <w:wordWrap/>
              <w:overflowPunct/>
              <w:topLinePunct w:val="0"/>
              <w:autoSpaceDE/>
              <w:autoSpaceDN/>
              <w:bidi w:val="0"/>
              <w:snapToGrid w:val="0"/>
              <w:spacing w:line="240" w:lineRule="auto"/>
              <w:ind w:firstLine="0" w:firstLineChars="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员工生活</w:t>
            </w:r>
          </w:p>
        </w:tc>
        <w:tc>
          <w:tcPr>
            <w:tcW w:w="1485" w:type="dxa"/>
            <w:tcBorders>
              <w:tl2br w:val="nil"/>
              <w:tr2bl w:val="nil"/>
            </w:tcBorders>
            <w:noWrap w:val="0"/>
            <w:vAlign w:val="center"/>
          </w:tcPr>
          <w:p w14:paraId="084299D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rPr>
            </w:pPr>
            <w:r>
              <w:rPr>
                <w:rFonts w:hint="eastAsia" w:cs="Times New Roman"/>
                <w:color w:val="000000" w:themeColor="text1"/>
                <w:szCs w:val="21"/>
                <w:highlight w:val="none"/>
                <w:lang w:val="en-US" w:eastAsia="zh-CN"/>
                <w14:textFill>
                  <w14:solidFill>
                    <w14:schemeClr w14:val="tx1"/>
                  </w14:solidFill>
                </w14:textFill>
              </w:rPr>
              <w:t>COD、BOD、氨氮、SS等</w:t>
            </w:r>
          </w:p>
        </w:tc>
        <w:tc>
          <w:tcPr>
            <w:tcW w:w="1190" w:type="dxa"/>
            <w:tcBorders>
              <w:tl2br w:val="nil"/>
              <w:tr2bl w:val="nil"/>
            </w:tcBorders>
            <w:noWrap w:val="0"/>
            <w:vAlign w:val="center"/>
          </w:tcPr>
          <w:p w14:paraId="0C8229F4">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eastAsia"/>
                <w:sz w:val="21"/>
                <w:szCs w:val="21"/>
                <w:vertAlign w:val="baseline"/>
                <w:lang w:val="en-US" w:eastAsia="zh-CN"/>
              </w:rPr>
              <w:t>-</w:t>
            </w:r>
          </w:p>
        </w:tc>
        <w:tc>
          <w:tcPr>
            <w:tcW w:w="1103" w:type="dxa"/>
            <w:tcBorders>
              <w:tl2br w:val="nil"/>
              <w:tr2bl w:val="nil"/>
            </w:tcBorders>
            <w:noWrap w:val="0"/>
            <w:vAlign w:val="center"/>
          </w:tcPr>
          <w:p w14:paraId="0C43D2C8">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000000" w:themeColor="text1"/>
                <w:szCs w:val="21"/>
                <w:highlight w:val="none"/>
                <w:lang w:val="en-US" w:eastAsia="zh-CN"/>
                <w14:textFill>
                  <w14:solidFill>
                    <w14:schemeClr w14:val="tx1"/>
                  </w14:solidFill>
                </w14:textFill>
              </w:rPr>
              <w:t>0.64t/d</w:t>
            </w:r>
          </w:p>
        </w:tc>
        <w:tc>
          <w:tcPr>
            <w:tcW w:w="1372" w:type="dxa"/>
            <w:tcBorders>
              <w:tl2br w:val="nil"/>
              <w:tr2bl w:val="nil"/>
            </w:tcBorders>
            <w:noWrap w:val="0"/>
            <w:vAlign w:val="center"/>
          </w:tcPr>
          <w:p w14:paraId="29678440">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27FE1913">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w:t>
            </w:r>
          </w:p>
        </w:tc>
        <w:tc>
          <w:tcPr>
            <w:tcW w:w="1803" w:type="dxa"/>
            <w:tcBorders>
              <w:tl2br w:val="nil"/>
              <w:tr2bl w:val="nil"/>
            </w:tcBorders>
            <w:noWrap w:val="0"/>
            <w:vAlign w:val="center"/>
          </w:tcPr>
          <w:p w14:paraId="58941C7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cs="Times New Roman"/>
                <w:color w:val="auto"/>
                <w:sz w:val="21"/>
                <w:szCs w:val="21"/>
                <w:lang w:eastAsia="zh-CN"/>
              </w:rPr>
              <w:t>定期清掏，不外排</w:t>
            </w:r>
          </w:p>
        </w:tc>
      </w:tr>
      <w:tr w14:paraId="2090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restart"/>
            <w:tcBorders>
              <w:tl2br w:val="nil"/>
              <w:tr2bl w:val="nil"/>
            </w:tcBorders>
            <w:noWrap w:val="0"/>
            <w:vAlign w:val="center"/>
          </w:tcPr>
          <w:p w14:paraId="69A1E3F7">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固废</w:t>
            </w:r>
          </w:p>
        </w:tc>
        <w:tc>
          <w:tcPr>
            <w:tcW w:w="1485" w:type="dxa"/>
            <w:tcBorders>
              <w:tl2br w:val="nil"/>
              <w:tr2bl w:val="nil"/>
            </w:tcBorders>
            <w:noWrap w:val="0"/>
            <w:vAlign w:val="center"/>
          </w:tcPr>
          <w:p w14:paraId="13FF2800">
            <w:pPr>
              <w:widowControl/>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尾矿压滤</w:t>
            </w:r>
          </w:p>
        </w:tc>
        <w:tc>
          <w:tcPr>
            <w:tcW w:w="1485" w:type="dxa"/>
            <w:tcBorders>
              <w:tl2br w:val="nil"/>
              <w:tr2bl w:val="nil"/>
            </w:tcBorders>
            <w:noWrap w:val="0"/>
            <w:vAlign w:val="center"/>
          </w:tcPr>
          <w:p w14:paraId="0F1E51FF">
            <w:pPr>
              <w:keepNext w:val="0"/>
              <w:keepLines w:val="0"/>
              <w:pageBreakBefore w:val="0"/>
              <w:tabs>
                <w:tab w:val="left" w:pos="5295"/>
              </w:tabs>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cs="Times New Roman"/>
                <w:b w:val="0"/>
                <w:bCs w:val="0"/>
                <w:color w:val="auto"/>
                <w:szCs w:val="21"/>
                <w:highlight w:val="none"/>
                <w:lang w:eastAsia="zh-CN"/>
              </w:rPr>
              <w:t>尾矿</w:t>
            </w:r>
          </w:p>
        </w:tc>
        <w:tc>
          <w:tcPr>
            <w:tcW w:w="1190" w:type="dxa"/>
            <w:tcBorders>
              <w:tl2br w:val="nil"/>
              <w:tr2bl w:val="nil"/>
            </w:tcBorders>
            <w:noWrap w:val="0"/>
            <w:vAlign w:val="center"/>
          </w:tcPr>
          <w:p w14:paraId="20E57AA1">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1103" w:type="dxa"/>
            <w:tcBorders>
              <w:tl2br w:val="nil"/>
              <w:tr2bl w:val="nil"/>
            </w:tcBorders>
            <w:noWrap w:val="0"/>
            <w:vAlign w:val="center"/>
          </w:tcPr>
          <w:p w14:paraId="325376E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Times New Roman"/>
                <w:b w:val="0"/>
                <w:bCs w:val="0"/>
                <w:color w:val="auto"/>
                <w:szCs w:val="21"/>
                <w:highlight w:val="none"/>
                <w:lang w:val="en-US" w:eastAsia="zh-CN"/>
              </w:rPr>
              <w:t>18.594万</w:t>
            </w:r>
            <w:r>
              <w:rPr>
                <w:rFonts w:hint="eastAsia" w:ascii="Times New Roman" w:hAnsi="Times New Roman" w:cs="Times New Roman"/>
                <w:b w:val="0"/>
                <w:bCs w:val="0"/>
                <w:color w:val="auto"/>
                <w:szCs w:val="21"/>
                <w:highlight w:val="none"/>
                <w:lang w:val="en-US" w:eastAsia="zh-CN"/>
              </w:rPr>
              <w:t>t/a</w:t>
            </w:r>
          </w:p>
        </w:tc>
        <w:tc>
          <w:tcPr>
            <w:tcW w:w="1372" w:type="dxa"/>
            <w:tcBorders>
              <w:tl2br w:val="nil"/>
              <w:tr2bl w:val="nil"/>
            </w:tcBorders>
            <w:noWrap w:val="0"/>
            <w:vAlign w:val="center"/>
          </w:tcPr>
          <w:p w14:paraId="612280FB">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7F1F763A">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03" w:type="dxa"/>
            <w:tcBorders>
              <w:tl2br w:val="nil"/>
              <w:tr2bl w:val="nil"/>
            </w:tcBorders>
            <w:noWrap w:val="0"/>
            <w:vAlign w:val="center"/>
          </w:tcPr>
          <w:p w14:paraId="07366BA8">
            <w:pPr>
              <w:keepNext w:val="0"/>
              <w:keepLines w:val="0"/>
              <w:pageBreakBefore w:val="0"/>
              <w:tabs>
                <w:tab w:val="left" w:pos="3240"/>
              </w:tabs>
              <w:kinsoku/>
              <w:wordWrap/>
              <w:overflowPunct/>
              <w:topLinePunct w:val="0"/>
              <w:autoSpaceDE/>
              <w:autoSpaceDN/>
              <w:bidi w:val="0"/>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Cs w:val="21"/>
                <w:highlight w:val="none"/>
                <w:lang w:val="en-US" w:eastAsia="zh-CN"/>
              </w:rPr>
              <w:t>外运作为建筑材料原料综合利用</w:t>
            </w:r>
          </w:p>
        </w:tc>
      </w:tr>
      <w:tr w14:paraId="4E176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42CC1D0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noWrap w:val="0"/>
            <w:vAlign w:val="center"/>
          </w:tcPr>
          <w:p w14:paraId="64AA437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布袋除尘器除尘</w:t>
            </w:r>
          </w:p>
        </w:tc>
        <w:tc>
          <w:tcPr>
            <w:tcW w:w="1485" w:type="dxa"/>
            <w:tcBorders>
              <w:tl2br w:val="nil"/>
              <w:tr2bl w:val="nil"/>
            </w:tcBorders>
            <w:noWrap w:val="0"/>
            <w:vAlign w:val="center"/>
          </w:tcPr>
          <w:p w14:paraId="3057647C">
            <w:pPr>
              <w:keepNext w:val="0"/>
              <w:keepLines w:val="0"/>
              <w:pageBreakBefore w:val="0"/>
              <w:tabs>
                <w:tab w:val="left" w:pos="5295"/>
              </w:tabs>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cs="Times New Roman"/>
                <w:b w:val="0"/>
                <w:bCs w:val="0"/>
                <w:color w:val="auto"/>
                <w:szCs w:val="21"/>
                <w:highlight w:val="none"/>
                <w:lang w:val="en-US" w:eastAsia="zh-CN"/>
              </w:rPr>
              <w:t>除尘灰</w:t>
            </w:r>
          </w:p>
        </w:tc>
        <w:tc>
          <w:tcPr>
            <w:tcW w:w="1190" w:type="dxa"/>
            <w:tcBorders>
              <w:tl2br w:val="nil"/>
              <w:tr2bl w:val="nil"/>
            </w:tcBorders>
            <w:noWrap w:val="0"/>
            <w:vAlign w:val="center"/>
          </w:tcPr>
          <w:p w14:paraId="0331EC27">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103" w:type="dxa"/>
            <w:tcBorders>
              <w:tl2br w:val="nil"/>
              <w:tr2bl w:val="nil"/>
            </w:tcBorders>
            <w:noWrap w:val="0"/>
            <w:vAlign w:val="center"/>
          </w:tcPr>
          <w:p w14:paraId="34845A62">
            <w:pPr>
              <w:keepNext w:val="0"/>
              <w:keepLines w:val="0"/>
              <w:pageBreakBefore w:val="0"/>
              <w:kinsoku/>
              <w:wordWrap/>
              <w:overflowPunct/>
              <w:topLinePunct w:val="0"/>
              <w:autoSpaceDE/>
              <w:autoSpaceDN/>
              <w:bidi w:val="0"/>
              <w:spacing w:line="240" w:lineRule="auto"/>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62.37</w:t>
            </w:r>
            <w:r>
              <w:rPr>
                <w:rFonts w:hint="eastAsia" w:ascii="Times New Roman" w:hAnsi="Times New Roman" w:cs="Times New Roman"/>
                <w:b w:val="0"/>
                <w:bCs w:val="0"/>
                <w:color w:val="auto"/>
                <w:szCs w:val="21"/>
                <w:highlight w:val="none"/>
                <w:lang w:val="en-US" w:eastAsia="zh-CN"/>
              </w:rPr>
              <w:t>t/a</w:t>
            </w:r>
          </w:p>
        </w:tc>
        <w:tc>
          <w:tcPr>
            <w:tcW w:w="1372" w:type="dxa"/>
            <w:tcBorders>
              <w:tl2br w:val="nil"/>
              <w:tr2bl w:val="nil"/>
            </w:tcBorders>
            <w:noWrap w:val="0"/>
            <w:vAlign w:val="center"/>
          </w:tcPr>
          <w:p w14:paraId="2918BDDD">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2D9C3F8D">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03" w:type="dxa"/>
            <w:tcBorders>
              <w:tl2br w:val="nil"/>
              <w:tr2bl w:val="nil"/>
            </w:tcBorders>
            <w:noWrap w:val="0"/>
            <w:vAlign w:val="center"/>
          </w:tcPr>
          <w:p w14:paraId="2E10CF9A">
            <w:pPr>
              <w:keepNext w:val="0"/>
              <w:keepLines w:val="0"/>
              <w:pageBreakBefore w:val="0"/>
              <w:tabs>
                <w:tab w:val="left" w:pos="3240"/>
              </w:tabs>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eastAsia="宋体" w:cs="Times New Roman"/>
                <w:b w:val="0"/>
                <w:bCs/>
                <w:color w:val="auto"/>
                <w:lang w:val="en-US" w:eastAsia="zh-CN"/>
              </w:rPr>
              <w:t>全部返回磨矿工艺</w:t>
            </w:r>
          </w:p>
        </w:tc>
      </w:tr>
      <w:tr w14:paraId="3B79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286D6F48">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p>
        </w:tc>
        <w:tc>
          <w:tcPr>
            <w:tcW w:w="1485" w:type="dxa"/>
            <w:vMerge w:val="restart"/>
            <w:tcBorders>
              <w:tl2br w:val="nil"/>
              <w:tr2bl w:val="nil"/>
            </w:tcBorders>
            <w:noWrap w:val="0"/>
            <w:vAlign w:val="center"/>
          </w:tcPr>
          <w:p w14:paraId="0E9D904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设备维修保养</w:t>
            </w:r>
          </w:p>
        </w:tc>
        <w:tc>
          <w:tcPr>
            <w:tcW w:w="1485" w:type="dxa"/>
            <w:tcBorders>
              <w:tl2br w:val="nil"/>
              <w:tr2bl w:val="nil"/>
            </w:tcBorders>
            <w:noWrap w:val="0"/>
            <w:vAlign w:val="center"/>
          </w:tcPr>
          <w:p w14:paraId="64DC4CDA">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ascii="Times New Roman" w:hAnsi="Times New Roman" w:cs="Times New Roman"/>
                <w:color w:val="000000" w:themeColor="text1"/>
                <w:szCs w:val="21"/>
                <w:highlight w:val="none"/>
                <w14:textFill>
                  <w14:solidFill>
                    <w14:schemeClr w14:val="tx1"/>
                  </w14:solidFill>
                </w14:textFill>
              </w:rPr>
              <w:t>废机油</w:t>
            </w:r>
          </w:p>
        </w:tc>
        <w:tc>
          <w:tcPr>
            <w:tcW w:w="1190" w:type="dxa"/>
            <w:tcBorders>
              <w:tl2br w:val="nil"/>
              <w:tr2bl w:val="nil"/>
            </w:tcBorders>
            <w:noWrap w:val="0"/>
            <w:vAlign w:val="center"/>
          </w:tcPr>
          <w:p w14:paraId="1B0513B6">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03" w:type="dxa"/>
            <w:tcBorders>
              <w:tl2br w:val="nil"/>
              <w:tr2bl w:val="nil"/>
            </w:tcBorders>
            <w:noWrap w:val="0"/>
            <w:vAlign w:val="center"/>
          </w:tcPr>
          <w:p w14:paraId="45339935">
            <w:pPr>
              <w:keepNext w:val="0"/>
              <w:keepLines w:val="0"/>
              <w:pageBreakBefore w:val="0"/>
              <w:tabs>
                <w:tab w:val="left" w:pos="5295"/>
              </w:tabs>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highlight w:val="none"/>
                <w:lang w:val="en-US" w:eastAsia="zh-CN" w:bidi="ar-SA"/>
              </w:rPr>
              <w:t>0.5</w:t>
            </w:r>
            <w:r>
              <w:rPr>
                <w:rFonts w:hint="eastAsia" w:ascii="Times New Roman" w:hAnsi="Times New Roman" w:cs="Times New Roman"/>
                <w:b w:val="0"/>
                <w:bCs w:val="0"/>
                <w:color w:val="auto"/>
                <w:szCs w:val="21"/>
                <w:highlight w:val="none"/>
                <w:lang w:val="en-US" w:eastAsia="zh-CN"/>
              </w:rPr>
              <w:t>t/a</w:t>
            </w:r>
          </w:p>
        </w:tc>
        <w:tc>
          <w:tcPr>
            <w:tcW w:w="1372" w:type="dxa"/>
            <w:tcBorders>
              <w:tl2br w:val="nil"/>
              <w:tr2bl w:val="nil"/>
            </w:tcBorders>
            <w:noWrap w:val="0"/>
            <w:vAlign w:val="center"/>
          </w:tcPr>
          <w:p w14:paraId="6108211E">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2C2CAC2E">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03" w:type="dxa"/>
            <w:vMerge w:val="restart"/>
            <w:tcBorders>
              <w:tl2br w:val="nil"/>
              <w:tr2bl w:val="nil"/>
            </w:tcBorders>
            <w:noWrap w:val="0"/>
            <w:vAlign w:val="center"/>
          </w:tcPr>
          <w:p w14:paraId="1FDB0CEE">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b w:val="0"/>
                <w:bCs w:val="0"/>
                <w:color w:val="auto"/>
                <w:spacing w:val="-1"/>
                <w:w w:val="100"/>
                <w:sz w:val="21"/>
                <w:szCs w:val="21"/>
              </w:rPr>
            </w:pPr>
            <w:r>
              <w:rPr>
                <w:rFonts w:hint="default" w:ascii="Times New Roman" w:hAnsi="Times New Roman" w:eastAsia="宋体" w:cs="Times New Roman"/>
                <w:bCs/>
                <w:color w:val="auto"/>
                <w:sz w:val="21"/>
                <w:szCs w:val="21"/>
              </w:rPr>
              <w:t>暂存于</w:t>
            </w:r>
            <w:r>
              <w:rPr>
                <w:rFonts w:hint="eastAsia" w:cs="Times New Roman"/>
                <w:bCs/>
                <w:color w:val="auto"/>
                <w:sz w:val="21"/>
                <w:szCs w:val="21"/>
                <w:lang w:val="en-US" w:eastAsia="zh-CN"/>
              </w:rPr>
              <w:t>现有</w:t>
            </w:r>
            <w:r>
              <w:rPr>
                <w:rFonts w:hint="default" w:ascii="Times New Roman" w:hAnsi="Times New Roman" w:eastAsia="宋体" w:cs="Times New Roman"/>
                <w:bCs/>
                <w:color w:val="auto"/>
                <w:sz w:val="21"/>
                <w:szCs w:val="21"/>
              </w:rPr>
              <w:t>危废</w:t>
            </w:r>
            <w:r>
              <w:rPr>
                <w:rFonts w:hint="default" w:ascii="Times New Roman" w:hAnsi="Times New Roman" w:eastAsia="宋体" w:cs="Times New Roman"/>
                <w:bCs/>
                <w:color w:val="auto"/>
                <w:sz w:val="21"/>
                <w:szCs w:val="21"/>
                <w:lang w:eastAsia="zh-CN"/>
              </w:rPr>
              <w:t>贮存点</w:t>
            </w:r>
            <w:r>
              <w:rPr>
                <w:rFonts w:hint="default" w:ascii="Times New Roman" w:hAnsi="Times New Roman" w:eastAsia="宋体" w:cs="Times New Roman"/>
                <w:bCs/>
                <w:color w:val="auto"/>
                <w:sz w:val="21"/>
                <w:szCs w:val="21"/>
              </w:rPr>
              <w:t>，定期</w:t>
            </w:r>
            <w:r>
              <w:rPr>
                <w:rFonts w:hint="default" w:ascii="Times New Roman" w:hAnsi="Times New Roman" w:eastAsia="宋体" w:cs="Times New Roman"/>
                <w:bCs/>
                <w:color w:val="auto"/>
                <w:sz w:val="21"/>
                <w:szCs w:val="21"/>
                <w:lang w:eastAsia="zh-CN"/>
              </w:rPr>
              <w:t>交</w:t>
            </w:r>
            <w:r>
              <w:rPr>
                <w:rFonts w:hint="default" w:ascii="Times New Roman" w:hAnsi="Times New Roman" w:eastAsia="宋体" w:cs="Times New Roman"/>
                <w:bCs/>
                <w:color w:val="auto"/>
                <w:sz w:val="21"/>
                <w:szCs w:val="21"/>
              </w:rPr>
              <w:t>有资质</w:t>
            </w:r>
            <w:r>
              <w:rPr>
                <w:rFonts w:hint="default" w:ascii="Times New Roman" w:hAnsi="Times New Roman" w:eastAsia="宋体" w:cs="Times New Roman"/>
                <w:bCs/>
                <w:color w:val="auto"/>
                <w:sz w:val="21"/>
                <w:szCs w:val="21"/>
                <w:lang w:eastAsia="zh-CN"/>
              </w:rPr>
              <w:t>单位</w:t>
            </w:r>
            <w:r>
              <w:rPr>
                <w:rFonts w:hint="default" w:ascii="Times New Roman" w:hAnsi="Times New Roman" w:eastAsia="宋体" w:cs="Times New Roman"/>
                <w:bCs/>
                <w:color w:val="auto"/>
                <w:sz w:val="21"/>
                <w:szCs w:val="21"/>
              </w:rPr>
              <w:t>处置</w:t>
            </w:r>
          </w:p>
        </w:tc>
      </w:tr>
      <w:tr w14:paraId="3E6FC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453909F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p>
        </w:tc>
        <w:tc>
          <w:tcPr>
            <w:tcW w:w="1485" w:type="dxa"/>
            <w:vMerge w:val="continue"/>
            <w:tcBorders>
              <w:tl2br w:val="nil"/>
              <w:tr2bl w:val="nil"/>
            </w:tcBorders>
            <w:noWrap w:val="0"/>
            <w:vAlign w:val="center"/>
          </w:tcPr>
          <w:p w14:paraId="77F2BF17">
            <w:pPr>
              <w:jc w:val="center"/>
              <w:rPr>
                <w:rFonts w:hint="default" w:ascii="Times New Roman" w:hAnsi="Times New Roman" w:eastAsia="宋体" w:cs="Times New Roman"/>
                <w:color w:val="auto"/>
                <w:sz w:val="21"/>
                <w:szCs w:val="21"/>
                <w:lang w:eastAsia="zh-CN"/>
              </w:rPr>
            </w:pPr>
          </w:p>
        </w:tc>
        <w:tc>
          <w:tcPr>
            <w:tcW w:w="1485" w:type="dxa"/>
            <w:tcBorders>
              <w:tl2br w:val="nil"/>
              <w:tr2bl w:val="nil"/>
            </w:tcBorders>
            <w:noWrap w:val="0"/>
            <w:vAlign w:val="center"/>
          </w:tcPr>
          <w:p w14:paraId="4B78FC70">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000000" w:themeColor="text1"/>
                <w:szCs w:val="21"/>
                <w:highlight w:val="none"/>
                <w:lang w:val="en-US" w:eastAsia="zh-CN"/>
                <w14:textFill>
                  <w14:solidFill>
                    <w14:schemeClr w14:val="tx1"/>
                  </w14:solidFill>
                </w14:textFill>
              </w:rPr>
              <w:t>废油桶</w:t>
            </w:r>
          </w:p>
        </w:tc>
        <w:tc>
          <w:tcPr>
            <w:tcW w:w="1190" w:type="dxa"/>
            <w:tcBorders>
              <w:tl2br w:val="nil"/>
              <w:tr2bl w:val="nil"/>
            </w:tcBorders>
            <w:noWrap w:val="0"/>
            <w:vAlign w:val="center"/>
          </w:tcPr>
          <w:p w14:paraId="317C44A0">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03" w:type="dxa"/>
            <w:tcBorders>
              <w:tl2br w:val="nil"/>
              <w:tr2bl w:val="nil"/>
            </w:tcBorders>
            <w:noWrap w:val="0"/>
            <w:vAlign w:val="center"/>
          </w:tcPr>
          <w:p w14:paraId="6ACFEC27">
            <w:pPr>
              <w:keepNext w:val="0"/>
              <w:keepLines w:val="0"/>
              <w:pageBreakBefore w:val="0"/>
              <w:tabs>
                <w:tab w:val="left" w:pos="5295"/>
              </w:tabs>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highlight w:val="none"/>
                <w:lang w:val="en-US" w:eastAsia="zh-CN" w:bidi="ar-SA"/>
              </w:rPr>
              <w:t>0.1</w:t>
            </w:r>
            <w:r>
              <w:rPr>
                <w:rFonts w:hint="eastAsia" w:ascii="Times New Roman" w:hAnsi="Times New Roman" w:cs="Times New Roman"/>
                <w:b w:val="0"/>
                <w:bCs w:val="0"/>
                <w:color w:val="auto"/>
                <w:szCs w:val="21"/>
                <w:highlight w:val="none"/>
                <w:lang w:val="en-US" w:eastAsia="zh-CN"/>
              </w:rPr>
              <w:t>t/a</w:t>
            </w:r>
          </w:p>
        </w:tc>
        <w:tc>
          <w:tcPr>
            <w:tcW w:w="1372" w:type="dxa"/>
            <w:tcBorders>
              <w:tl2br w:val="nil"/>
              <w:tr2bl w:val="nil"/>
            </w:tcBorders>
            <w:noWrap w:val="0"/>
            <w:vAlign w:val="center"/>
          </w:tcPr>
          <w:p w14:paraId="18502417">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0A78BCDA">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03" w:type="dxa"/>
            <w:vMerge w:val="continue"/>
            <w:tcBorders>
              <w:tl2br w:val="nil"/>
              <w:tr2bl w:val="nil"/>
            </w:tcBorders>
            <w:noWrap w:val="0"/>
            <w:vAlign w:val="center"/>
          </w:tcPr>
          <w:p w14:paraId="4DDBD62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b w:val="0"/>
                <w:bCs w:val="0"/>
                <w:color w:val="auto"/>
                <w:spacing w:val="-1"/>
                <w:w w:val="100"/>
                <w:sz w:val="21"/>
                <w:szCs w:val="21"/>
              </w:rPr>
            </w:pPr>
          </w:p>
        </w:tc>
      </w:tr>
      <w:tr w14:paraId="6BD93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52EC21BC">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noWrap w:val="0"/>
            <w:vAlign w:val="center"/>
          </w:tcPr>
          <w:p w14:paraId="6890D0B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浮选工艺</w:t>
            </w:r>
          </w:p>
        </w:tc>
        <w:tc>
          <w:tcPr>
            <w:tcW w:w="1485" w:type="dxa"/>
            <w:tcBorders>
              <w:tl2br w:val="nil"/>
              <w:tr2bl w:val="nil"/>
            </w:tcBorders>
            <w:noWrap w:val="0"/>
            <w:vAlign w:val="center"/>
          </w:tcPr>
          <w:p w14:paraId="641936C5">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hint="eastAsia" w:cs="Times New Roman"/>
                <w:color w:val="000000" w:themeColor="text1"/>
                <w:szCs w:val="21"/>
                <w:highlight w:val="none"/>
                <w:lang w:val="en-US" w:eastAsia="zh-CN"/>
                <w14:textFill>
                  <w14:solidFill>
                    <w14:schemeClr w14:val="tx1"/>
                  </w14:solidFill>
                </w14:textFill>
              </w:rPr>
              <w:t>浮选剂废包装</w:t>
            </w:r>
          </w:p>
        </w:tc>
        <w:tc>
          <w:tcPr>
            <w:tcW w:w="1190" w:type="dxa"/>
            <w:tcBorders>
              <w:tl2br w:val="nil"/>
              <w:tr2bl w:val="nil"/>
            </w:tcBorders>
            <w:noWrap w:val="0"/>
            <w:vAlign w:val="center"/>
          </w:tcPr>
          <w:p w14:paraId="2383BC77">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03" w:type="dxa"/>
            <w:tcBorders>
              <w:tl2br w:val="nil"/>
              <w:tr2bl w:val="nil"/>
            </w:tcBorders>
            <w:noWrap w:val="0"/>
            <w:vAlign w:val="center"/>
          </w:tcPr>
          <w:p w14:paraId="5FD61745">
            <w:pPr>
              <w:keepNext w:val="0"/>
              <w:keepLines w:val="0"/>
              <w:pageBreakBefore w:val="0"/>
              <w:tabs>
                <w:tab w:val="left" w:pos="5295"/>
              </w:tabs>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3</w:t>
            </w:r>
            <w:r>
              <w:rPr>
                <w:rFonts w:hint="eastAsia" w:ascii="Times New Roman" w:hAnsi="Times New Roman" w:cs="Times New Roman"/>
                <w:b w:val="0"/>
                <w:bCs w:val="0"/>
                <w:color w:val="auto"/>
                <w:szCs w:val="21"/>
                <w:highlight w:val="none"/>
                <w:lang w:val="en-US" w:eastAsia="zh-CN"/>
              </w:rPr>
              <w:t>t/a</w:t>
            </w:r>
          </w:p>
        </w:tc>
        <w:tc>
          <w:tcPr>
            <w:tcW w:w="1372" w:type="dxa"/>
            <w:tcBorders>
              <w:tl2br w:val="nil"/>
              <w:tr2bl w:val="nil"/>
            </w:tcBorders>
            <w:noWrap w:val="0"/>
            <w:vAlign w:val="center"/>
          </w:tcPr>
          <w:p w14:paraId="15C896B7">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67A00E56">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03" w:type="dxa"/>
            <w:vMerge w:val="continue"/>
            <w:tcBorders>
              <w:tl2br w:val="nil"/>
              <w:tr2bl w:val="nil"/>
            </w:tcBorders>
            <w:noWrap w:val="0"/>
            <w:vAlign w:val="center"/>
          </w:tcPr>
          <w:p w14:paraId="270F0505">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b w:val="0"/>
                <w:bCs w:val="0"/>
                <w:color w:val="auto"/>
                <w:spacing w:val="-1"/>
                <w:w w:val="100"/>
                <w:sz w:val="21"/>
                <w:szCs w:val="21"/>
              </w:rPr>
            </w:pPr>
          </w:p>
        </w:tc>
      </w:tr>
      <w:tr w14:paraId="6131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41" w:type="dxa"/>
            <w:vMerge w:val="continue"/>
            <w:tcBorders>
              <w:tl2br w:val="nil"/>
              <w:tr2bl w:val="nil"/>
            </w:tcBorders>
            <w:noWrap w:val="0"/>
            <w:vAlign w:val="center"/>
          </w:tcPr>
          <w:p w14:paraId="51EE917A">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cs="Times New Roman"/>
                <w:color w:val="auto"/>
                <w:sz w:val="21"/>
                <w:szCs w:val="21"/>
              </w:rPr>
            </w:pPr>
          </w:p>
        </w:tc>
        <w:tc>
          <w:tcPr>
            <w:tcW w:w="1485" w:type="dxa"/>
            <w:tcBorders>
              <w:tl2br w:val="nil"/>
              <w:tr2bl w:val="nil"/>
            </w:tcBorders>
            <w:noWrap w:val="0"/>
            <w:vAlign w:val="center"/>
          </w:tcPr>
          <w:p w14:paraId="3D03F96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员工生活</w:t>
            </w:r>
          </w:p>
        </w:tc>
        <w:tc>
          <w:tcPr>
            <w:tcW w:w="1485" w:type="dxa"/>
            <w:tcBorders>
              <w:tl2br w:val="nil"/>
              <w:tr2bl w:val="nil"/>
            </w:tcBorders>
            <w:noWrap w:val="0"/>
            <w:vAlign w:val="center"/>
          </w:tcPr>
          <w:p w14:paraId="2A48795D">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eastAsia="zh-CN"/>
              </w:rPr>
            </w:pPr>
            <w:r>
              <w:rPr>
                <w:rFonts w:ascii="Times New Roman" w:hAnsi="Times New Roman" w:cs="Times New Roman"/>
                <w:color w:val="000000" w:themeColor="text1"/>
                <w:szCs w:val="21"/>
                <w:highlight w:val="none"/>
                <w14:textFill>
                  <w14:solidFill>
                    <w14:schemeClr w14:val="tx1"/>
                  </w14:solidFill>
                </w14:textFill>
              </w:rPr>
              <w:t>生活垃圾</w:t>
            </w:r>
          </w:p>
        </w:tc>
        <w:tc>
          <w:tcPr>
            <w:tcW w:w="1190" w:type="dxa"/>
            <w:tcBorders>
              <w:tl2br w:val="nil"/>
              <w:tr2bl w:val="nil"/>
            </w:tcBorders>
            <w:noWrap w:val="0"/>
            <w:vAlign w:val="center"/>
          </w:tcPr>
          <w:p w14:paraId="605A9C98">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03" w:type="dxa"/>
            <w:tcBorders>
              <w:tl2br w:val="nil"/>
              <w:tr2bl w:val="nil"/>
            </w:tcBorders>
            <w:noWrap w:val="0"/>
            <w:vAlign w:val="center"/>
          </w:tcPr>
          <w:p w14:paraId="5C209A0B">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000000" w:themeColor="text1"/>
                <w:szCs w:val="21"/>
                <w:highlight w:val="none"/>
                <w:lang w:val="en-US" w:eastAsia="zh-CN"/>
                <w14:textFill>
                  <w14:solidFill>
                    <w14:schemeClr w14:val="tx1"/>
                  </w14:solidFill>
                </w14:textFill>
              </w:rPr>
              <w:t>3</w:t>
            </w:r>
            <w:r>
              <w:rPr>
                <w:rFonts w:hint="eastAsia" w:ascii="Times New Roman" w:hAnsi="Times New Roman" w:cs="Times New Roman"/>
                <w:b w:val="0"/>
                <w:bCs w:val="0"/>
                <w:color w:val="auto"/>
                <w:szCs w:val="21"/>
                <w:highlight w:val="none"/>
                <w:lang w:val="en-US" w:eastAsia="zh-CN"/>
              </w:rPr>
              <w:t>t/a</w:t>
            </w:r>
          </w:p>
        </w:tc>
        <w:tc>
          <w:tcPr>
            <w:tcW w:w="1372" w:type="dxa"/>
            <w:tcBorders>
              <w:tl2br w:val="nil"/>
              <w:tr2bl w:val="nil"/>
            </w:tcBorders>
            <w:noWrap w:val="0"/>
            <w:vAlign w:val="center"/>
          </w:tcPr>
          <w:p w14:paraId="6C4F7AC2">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910" w:type="dxa"/>
            <w:tcBorders>
              <w:tl2br w:val="nil"/>
              <w:tr2bl w:val="nil"/>
            </w:tcBorders>
            <w:noWrap w:val="0"/>
            <w:vAlign w:val="center"/>
          </w:tcPr>
          <w:p w14:paraId="3E9FC87D">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w:t>
            </w:r>
          </w:p>
        </w:tc>
        <w:tc>
          <w:tcPr>
            <w:tcW w:w="1803" w:type="dxa"/>
            <w:tcBorders>
              <w:tl2br w:val="nil"/>
              <w:tr2bl w:val="nil"/>
            </w:tcBorders>
            <w:noWrap w:val="0"/>
            <w:vAlign w:val="center"/>
          </w:tcPr>
          <w:p w14:paraId="19ABA218">
            <w:pPr>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宋体" w:cs="Times New Roman"/>
                <w:b w:val="0"/>
                <w:bCs w:val="0"/>
                <w:color w:val="auto"/>
                <w:spacing w:val="-1"/>
                <w:w w:val="100"/>
                <w:sz w:val="21"/>
                <w:szCs w:val="21"/>
              </w:rPr>
            </w:pPr>
            <w:r>
              <w:rPr>
                <w:rFonts w:hint="eastAsia" w:cs="Times New Roman"/>
                <w:b w:val="0"/>
                <w:bCs/>
                <w:color w:val="auto"/>
                <w:lang w:val="en-US" w:eastAsia="zh-CN"/>
              </w:rPr>
              <w:t>暂存现有生活垃圾箱，由</w:t>
            </w:r>
            <w:r>
              <w:rPr>
                <w:rFonts w:hint="default" w:ascii="Times New Roman" w:hAnsi="Times New Roman" w:eastAsia="宋体" w:cs="Times New Roman"/>
                <w:color w:val="auto"/>
              </w:rPr>
              <w:t>环卫部门定期清运处理</w:t>
            </w:r>
          </w:p>
        </w:tc>
      </w:tr>
    </w:tbl>
    <w:p w14:paraId="2B6FAE68">
      <w:pPr>
        <w:pStyle w:val="5"/>
        <w:bidi w:val="0"/>
        <w:rPr>
          <w:rFonts w:hint="default"/>
          <w:lang w:val="en-US" w:eastAsia="zh-CN"/>
        </w:rPr>
      </w:pPr>
      <w:r>
        <w:rPr>
          <w:rFonts w:hint="eastAsia"/>
          <w:lang w:val="en-US" w:eastAsia="zh-CN"/>
        </w:rPr>
        <w:t>10</w:t>
      </w:r>
      <w:r>
        <w:rPr>
          <w:rFonts w:hint="default"/>
          <w:lang w:val="zh-CN" w:eastAsia="zh-CN"/>
        </w:rPr>
        <w:t>.</w:t>
      </w:r>
      <w:r>
        <w:rPr>
          <w:rFonts w:hint="eastAsia"/>
          <w:lang w:val="en-US" w:eastAsia="zh-CN"/>
        </w:rPr>
        <w:t>1.5信息公开</w:t>
      </w:r>
    </w:p>
    <w:p w14:paraId="3A4AF09B">
      <w:pPr>
        <w:spacing w:line="360" w:lineRule="auto"/>
        <w:rPr>
          <w:rFonts w:hint="default"/>
          <w:sz w:val="24"/>
          <w:szCs w:val="32"/>
          <w:lang w:val="zh-CN" w:eastAsia="zh-CN"/>
        </w:rPr>
      </w:pPr>
      <w:r>
        <w:rPr>
          <w:rFonts w:hint="eastAsia"/>
          <w:sz w:val="24"/>
          <w:szCs w:val="32"/>
          <w:lang w:val="en-US" w:eastAsia="zh-CN"/>
        </w:rPr>
        <w:t>本项目</w:t>
      </w:r>
      <w:r>
        <w:rPr>
          <w:rFonts w:hint="default"/>
          <w:sz w:val="24"/>
          <w:szCs w:val="32"/>
          <w:lang w:val="zh-CN" w:eastAsia="zh-CN"/>
        </w:rPr>
        <w:t xml:space="preserve">生产运行期间需向社会公开的信息包括： </w:t>
      </w:r>
    </w:p>
    <w:p w14:paraId="07F1AB54">
      <w:pPr>
        <w:spacing w:line="360" w:lineRule="auto"/>
        <w:rPr>
          <w:rFonts w:hint="default"/>
          <w:sz w:val="24"/>
          <w:szCs w:val="32"/>
          <w:lang w:val="zh-CN" w:eastAsia="zh-CN"/>
        </w:rPr>
      </w:pPr>
      <w:r>
        <w:rPr>
          <w:rFonts w:hint="default"/>
          <w:sz w:val="24"/>
          <w:szCs w:val="32"/>
          <w:lang w:val="zh-CN" w:eastAsia="zh-CN"/>
        </w:rPr>
        <w:t xml:space="preserve">a、环境保护方针、年度环境保护目标及成效； </w:t>
      </w:r>
    </w:p>
    <w:p w14:paraId="094EF8C2">
      <w:pPr>
        <w:spacing w:line="360" w:lineRule="auto"/>
        <w:rPr>
          <w:rFonts w:hint="default"/>
          <w:sz w:val="24"/>
          <w:szCs w:val="32"/>
          <w:lang w:val="zh-CN" w:eastAsia="zh-CN"/>
        </w:rPr>
      </w:pPr>
      <w:r>
        <w:rPr>
          <w:rFonts w:hint="default"/>
          <w:sz w:val="24"/>
          <w:szCs w:val="32"/>
          <w:lang w:val="zh-CN" w:eastAsia="zh-CN"/>
        </w:rPr>
        <w:t xml:space="preserve">b、环保投资和环境技术开发情况； </w:t>
      </w:r>
    </w:p>
    <w:p w14:paraId="7E502A87">
      <w:pPr>
        <w:spacing w:line="360" w:lineRule="auto"/>
        <w:rPr>
          <w:rFonts w:hint="default"/>
          <w:sz w:val="24"/>
          <w:szCs w:val="32"/>
          <w:lang w:val="zh-CN" w:eastAsia="zh-CN"/>
        </w:rPr>
      </w:pPr>
      <w:r>
        <w:rPr>
          <w:rFonts w:hint="default"/>
          <w:sz w:val="24"/>
          <w:szCs w:val="32"/>
          <w:lang w:val="zh-CN" w:eastAsia="zh-CN"/>
        </w:rPr>
        <w:t xml:space="preserve">c、排放污染物种类、数量、浓度和去向； </w:t>
      </w:r>
    </w:p>
    <w:p w14:paraId="0CD187F2">
      <w:pPr>
        <w:spacing w:line="360" w:lineRule="auto"/>
        <w:rPr>
          <w:rFonts w:hint="default"/>
          <w:sz w:val="24"/>
          <w:szCs w:val="32"/>
          <w:lang w:val="zh-CN" w:eastAsia="zh-CN"/>
        </w:rPr>
      </w:pPr>
      <w:r>
        <w:rPr>
          <w:rFonts w:hint="default"/>
          <w:sz w:val="24"/>
          <w:szCs w:val="32"/>
          <w:lang w:val="zh-CN" w:eastAsia="zh-CN"/>
        </w:rPr>
        <w:t xml:space="preserve">d、环保设施的建设和运行情况； </w:t>
      </w:r>
    </w:p>
    <w:p w14:paraId="5EAF8125">
      <w:pPr>
        <w:spacing w:line="360" w:lineRule="auto"/>
        <w:rPr>
          <w:rFonts w:hint="default"/>
          <w:sz w:val="24"/>
          <w:szCs w:val="32"/>
          <w:lang w:val="zh-CN" w:eastAsia="zh-CN"/>
        </w:rPr>
      </w:pPr>
      <w:r>
        <w:rPr>
          <w:rFonts w:hint="default"/>
          <w:sz w:val="24"/>
          <w:szCs w:val="32"/>
          <w:lang w:val="zh-CN" w:eastAsia="zh-CN"/>
        </w:rPr>
        <w:t xml:space="preserve">e、生产过程中产生的废物的处理、处置情况，废弃产品的处置情况； </w:t>
      </w:r>
    </w:p>
    <w:p w14:paraId="683736D1">
      <w:pPr>
        <w:spacing w:line="360" w:lineRule="auto"/>
        <w:rPr>
          <w:rFonts w:hint="default"/>
          <w:sz w:val="24"/>
          <w:szCs w:val="32"/>
          <w:lang w:val="zh-CN" w:eastAsia="zh-CN"/>
        </w:rPr>
      </w:pPr>
      <w:r>
        <w:rPr>
          <w:rFonts w:hint="default"/>
          <w:sz w:val="24"/>
          <w:szCs w:val="32"/>
          <w:lang w:val="zh-CN" w:eastAsia="zh-CN"/>
        </w:rPr>
        <w:t xml:space="preserve">f、与环保部门签订的改善环境行为的自愿协议； </w:t>
      </w:r>
    </w:p>
    <w:p w14:paraId="7928E7C9">
      <w:pPr>
        <w:spacing w:line="360" w:lineRule="auto"/>
        <w:rPr>
          <w:rFonts w:hint="default"/>
          <w:sz w:val="24"/>
          <w:szCs w:val="32"/>
          <w:lang w:val="zh-CN" w:eastAsia="zh-CN"/>
        </w:rPr>
      </w:pPr>
      <w:r>
        <w:rPr>
          <w:rFonts w:hint="default"/>
          <w:sz w:val="24"/>
          <w:szCs w:val="32"/>
          <w:lang w:val="zh-CN" w:eastAsia="zh-CN"/>
        </w:rPr>
        <w:t xml:space="preserve">g、企业履行社会责任的情况； </w:t>
      </w:r>
    </w:p>
    <w:p w14:paraId="2822B066">
      <w:pPr>
        <w:spacing w:line="360" w:lineRule="auto"/>
        <w:rPr>
          <w:rFonts w:hint="default"/>
          <w:sz w:val="24"/>
          <w:szCs w:val="32"/>
          <w:lang w:val="zh-CN" w:eastAsia="zh-CN"/>
        </w:rPr>
      </w:pPr>
      <w:r>
        <w:rPr>
          <w:rFonts w:hint="default"/>
          <w:sz w:val="24"/>
          <w:szCs w:val="32"/>
          <w:lang w:val="zh-CN" w:eastAsia="zh-CN"/>
        </w:rPr>
        <w:t xml:space="preserve">h、按排污许可证技术规范、排污单位自行监测技术指南规定的监测点位、监测因子、监测频次和相关监测技术规范开展自行监测并公开，按规定依法公开定期污染源自行监测结果； </w:t>
      </w:r>
    </w:p>
    <w:p w14:paraId="4F5A43B0">
      <w:pPr>
        <w:spacing w:line="360" w:lineRule="auto"/>
        <w:rPr>
          <w:rFonts w:hint="default"/>
          <w:sz w:val="24"/>
          <w:szCs w:val="32"/>
          <w:lang w:val="zh-CN" w:eastAsia="zh-CN"/>
        </w:rPr>
      </w:pPr>
      <w:r>
        <w:rPr>
          <w:rFonts w:hint="default"/>
          <w:sz w:val="24"/>
          <w:szCs w:val="32"/>
          <w:lang w:val="zh-CN" w:eastAsia="zh-CN"/>
        </w:rPr>
        <w:t xml:space="preserve">i、企业自愿公开的其他环境信息； </w:t>
      </w:r>
    </w:p>
    <w:p w14:paraId="3EA19433">
      <w:pPr>
        <w:spacing w:line="360" w:lineRule="auto"/>
        <w:rPr>
          <w:rFonts w:hint="default"/>
          <w:sz w:val="24"/>
          <w:szCs w:val="32"/>
          <w:lang w:val="zh-CN" w:eastAsia="zh-CN"/>
        </w:rPr>
      </w:pPr>
      <w:r>
        <w:rPr>
          <w:rFonts w:hint="default"/>
          <w:sz w:val="24"/>
          <w:szCs w:val="32"/>
          <w:lang w:val="zh-CN" w:eastAsia="zh-CN"/>
        </w:rPr>
        <w:t xml:space="preserve">j、排污单位自行监测信息公开内容及方式按照《企业事业单位环境信息公开办法》（环境保护部令第31号）及《国家重点监控企业自行监测及信息公开办法（试行）》（环发〔2013〕81号）执行； </w:t>
      </w:r>
    </w:p>
    <w:p w14:paraId="7725B95B">
      <w:pPr>
        <w:spacing w:line="360" w:lineRule="auto"/>
        <w:rPr>
          <w:rFonts w:hint="default"/>
          <w:sz w:val="24"/>
          <w:szCs w:val="32"/>
          <w:lang w:val="zh-CN" w:eastAsia="zh-CN"/>
        </w:rPr>
      </w:pPr>
      <w:r>
        <w:rPr>
          <w:rFonts w:hint="default"/>
          <w:sz w:val="24"/>
          <w:szCs w:val="32"/>
          <w:lang w:val="zh-CN" w:eastAsia="zh-CN"/>
        </w:rPr>
        <w:t>k、按排污许可证规定，定期在国家排污许可证管理信息平台填报信息，编制排污许可证执行报告，及时报送有核发权的当地环境保护主管部门并公开，执行报告主要内容包括生产信息、污染防治设施运行情况、污染物按证排放情况等。</w:t>
      </w:r>
    </w:p>
    <w:p w14:paraId="6206A047">
      <w:pPr>
        <w:spacing w:line="360" w:lineRule="auto"/>
        <w:rPr>
          <w:rFonts w:hint="default"/>
          <w:sz w:val="24"/>
          <w:szCs w:val="32"/>
          <w:lang w:val="zh-CN" w:eastAsia="zh-CN"/>
        </w:rPr>
      </w:pPr>
    </w:p>
    <w:p w14:paraId="0908E63E">
      <w:pPr>
        <w:spacing w:line="360" w:lineRule="auto"/>
        <w:rPr>
          <w:rFonts w:hint="default"/>
          <w:sz w:val="24"/>
          <w:szCs w:val="32"/>
          <w:lang w:val="zh-CN" w:eastAsia="zh-CN"/>
        </w:rPr>
      </w:pPr>
    </w:p>
    <w:p w14:paraId="2F9B00A3">
      <w:pPr>
        <w:spacing w:line="360" w:lineRule="auto"/>
        <w:rPr>
          <w:rFonts w:hint="default"/>
          <w:sz w:val="24"/>
          <w:szCs w:val="32"/>
          <w:lang w:val="zh-CN" w:eastAsia="zh-CN"/>
        </w:rPr>
      </w:pPr>
    </w:p>
    <w:p w14:paraId="1F5D398C">
      <w:pPr>
        <w:pStyle w:val="4"/>
        <w:bidi w:val="0"/>
        <w:rPr>
          <w:rFonts w:hint="default"/>
          <w:lang w:val="zh-CN" w:eastAsia="zh-CN"/>
        </w:rPr>
      </w:pPr>
      <w:bookmarkStart w:id="207" w:name="_Toc29485"/>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lang w:val="zh-CN" w:eastAsia="zh-CN"/>
        </w:rPr>
        <w:t>.</w:t>
      </w:r>
      <w:r>
        <w:rPr>
          <w:rFonts w:hint="default" w:ascii="Times New Roman" w:hAnsi="Times New Roman" w:cs="Times New Roman" w:eastAsiaTheme="minorEastAsia"/>
          <w:lang w:val="en-US" w:eastAsia="zh-CN"/>
        </w:rPr>
        <w:t>2</w:t>
      </w:r>
      <w:r>
        <w:rPr>
          <w:rFonts w:hint="default" w:ascii="Times New Roman" w:hAnsi="Times New Roman" w:cs="Times New Roman" w:eastAsiaTheme="minorEastAsia"/>
          <w:lang w:val="zh-CN" w:eastAsia="zh-CN"/>
        </w:rPr>
        <w:t>环境</w:t>
      </w:r>
      <w:r>
        <w:rPr>
          <w:rFonts w:hint="default" w:ascii="Times New Roman" w:hAnsi="Times New Roman" w:cs="Times New Roman" w:eastAsiaTheme="minorEastAsia"/>
          <w:lang w:val="en-US" w:eastAsia="zh-CN"/>
        </w:rPr>
        <w:t>监测计划</w:t>
      </w:r>
      <w:bookmarkEnd w:id="207"/>
    </w:p>
    <w:p w14:paraId="49F68C6E">
      <w:pPr>
        <w:pStyle w:val="5"/>
        <w:bidi w:val="0"/>
        <w:rPr>
          <w:rFonts w:hint="eastAsia"/>
          <w:lang w:val="en-US" w:eastAsia="zh-CN"/>
        </w:rPr>
      </w:pPr>
      <w:r>
        <w:rPr>
          <w:rFonts w:hint="eastAsia"/>
          <w:lang w:val="en-US" w:eastAsia="zh-CN"/>
        </w:rPr>
        <w:t>10</w:t>
      </w:r>
      <w:r>
        <w:rPr>
          <w:rFonts w:hint="default"/>
          <w:lang w:val="zh-CN" w:eastAsia="zh-CN"/>
        </w:rPr>
        <w:t>.</w:t>
      </w:r>
      <w:r>
        <w:rPr>
          <w:rFonts w:hint="eastAsia"/>
          <w:lang w:val="en-US" w:eastAsia="zh-CN"/>
        </w:rPr>
        <w:t>2.1污染源监测</w:t>
      </w:r>
    </w:p>
    <w:p w14:paraId="38E463B1">
      <w:pPr>
        <w:spacing w:line="360" w:lineRule="auto"/>
        <w:ind w:firstLine="480" w:firstLineChars="200"/>
        <w:rPr>
          <w:rFonts w:hint="default"/>
          <w:sz w:val="24"/>
          <w:szCs w:val="32"/>
          <w:lang w:val="en-US" w:eastAsia="zh-CN"/>
        </w:rPr>
      </w:pPr>
      <w:r>
        <w:rPr>
          <w:rFonts w:hint="default"/>
          <w:sz w:val="24"/>
          <w:szCs w:val="32"/>
          <w:lang w:val="en-US" w:eastAsia="zh-CN"/>
        </w:rPr>
        <w:t>根据《排污单位自行监测技术指南 总则》（HJ 819-2017），</w:t>
      </w:r>
      <w:r>
        <w:rPr>
          <w:rFonts w:hint="eastAsia"/>
          <w:sz w:val="24"/>
          <w:szCs w:val="32"/>
          <w:lang w:val="en-US" w:eastAsia="zh-CN"/>
        </w:rPr>
        <w:t>本项目需明确</w:t>
      </w:r>
      <w:r>
        <w:rPr>
          <w:rFonts w:hint="default"/>
          <w:sz w:val="24"/>
          <w:szCs w:val="32"/>
          <w:lang w:val="en-US" w:eastAsia="zh-CN"/>
        </w:rPr>
        <w:t>主要污染源及主要监测指标，编制监测方案。监测方案内容主要包括：单位基本情况、监测点位及示意图、监测指标、执行标准及其限值、监测频次、采样和样品保存方法、监测分析方法和仪器、质量保证与质量控制等。</w:t>
      </w:r>
      <w:r>
        <w:rPr>
          <w:rFonts w:hint="eastAsia"/>
          <w:sz w:val="24"/>
          <w:szCs w:val="32"/>
          <w:lang w:val="en-US" w:eastAsia="zh-CN"/>
        </w:rPr>
        <w:t>具体见下表。</w:t>
      </w:r>
    </w:p>
    <w:p w14:paraId="1BB7FD3F">
      <w:pPr>
        <w:pStyle w:val="47"/>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表</w:t>
      </w:r>
      <w:r>
        <w:rPr>
          <w:rFonts w:hint="eastAsia" w:cs="Times New Roman"/>
          <w:b/>
          <w:bCs/>
          <w:color w:val="auto"/>
          <w:sz w:val="24"/>
          <w:szCs w:val="24"/>
          <w:lang w:val="en-US" w:eastAsia="zh-CN"/>
        </w:rPr>
        <w:t>10.2</w:t>
      </w:r>
      <w:r>
        <w:rPr>
          <w:rFonts w:hint="default"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 xml:space="preserve"> 污染源监测计划一览表</w:t>
      </w:r>
    </w:p>
    <w:tbl>
      <w:tblPr>
        <w:tblStyle w:val="76"/>
        <w:tblW w:w="9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155"/>
        <w:gridCol w:w="1460"/>
        <w:gridCol w:w="1788"/>
        <w:gridCol w:w="1523"/>
        <w:gridCol w:w="1108"/>
        <w:gridCol w:w="1983"/>
      </w:tblGrid>
      <w:tr w14:paraId="5B64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6" w:type="dxa"/>
            <w:gridSpan w:val="2"/>
            <w:tcBorders>
              <w:tl2br w:val="nil"/>
              <w:tr2bl w:val="nil"/>
            </w:tcBorders>
            <w:noWrap w:val="0"/>
            <w:vAlign w:val="center"/>
          </w:tcPr>
          <w:p w14:paraId="7EBA0AB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污染源名称</w:t>
            </w:r>
          </w:p>
        </w:tc>
        <w:tc>
          <w:tcPr>
            <w:tcW w:w="1460" w:type="dxa"/>
            <w:tcBorders>
              <w:tl2br w:val="nil"/>
              <w:tr2bl w:val="nil"/>
            </w:tcBorders>
            <w:noWrap w:val="0"/>
            <w:vAlign w:val="center"/>
          </w:tcPr>
          <w:p w14:paraId="6066471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监测项目</w:t>
            </w:r>
          </w:p>
        </w:tc>
        <w:tc>
          <w:tcPr>
            <w:tcW w:w="1788" w:type="dxa"/>
            <w:tcBorders>
              <w:tl2br w:val="nil"/>
              <w:tr2bl w:val="nil"/>
            </w:tcBorders>
            <w:noWrap w:val="0"/>
            <w:vAlign w:val="center"/>
          </w:tcPr>
          <w:p w14:paraId="5F06C66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监测点</w:t>
            </w:r>
            <w:r>
              <w:rPr>
                <w:rFonts w:hint="eastAsia" w:ascii="Times New Roman" w:hAnsi="Times New Roman" w:eastAsia="宋体" w:cs="Times New Roman"/>
                <w:b w:val="0"/>
                <w:bCs w:val="0"/>
                <w:color w:val="auto"/>
                <w:sz w:val="21"/>
                <w:szCs w:val="21"/>
                <w:vertAlign w:val="baseline"/>
                <w:lang w:val="en-US" w:eastAsia="zh-CN"/>
              </w:rPr>
              <w:t>位置</w:t>
            </w:r>
          </w:p>
        </w:tc>
        <w:tc>
          <w:tcPr>
            <w:tcW w:w="1523" w:type="dxa"/>
            <w:tcBorders>
              <w:tl2br w:val="nil"/>
              <w:tr2bl w:val="nil"/>
            </w:tcBorders>
            <w:noWrap w:val="0"/>
            <w:vAlign w:val="center"/>
          </w:tcPr>
          <w:p w14:paraId="5FA2F7A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监测点数量</w:t>
            </w:r>
          </w:p>
        </w:tc>
        <w:tc>
          <w:tcPr>
            <w:tcW w:w="1108" w:type="dxa"/>
            <w:tcBorders>
              <w:tl2br w:val="nil"/>
              <w:tr2bl w:val="nil"/>
            </w:tcBorders>
            <w:noWrap w:val="0"/>
            <w:vAlign w:val="center"/>
          </w:tcPr>
          <w:p w14:paraId="4DDB8FC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监测频次</w:t>
            </w:r>
          </w:p>
        </w:tc>
        <w:tc>
          <w:tcPr>
            <w:tcW w:w="1983" w:type="dxa"/>
            <w:tcBorders>
              <w:tl2br w:val="nil"/>
              <w:tr2bl w:val="nil"/>
            </w:tcBorders>
            <w:noWrap w:val="0"/>
            <w:vAlign w:val="center"/>
          </w:tcPr>
          <w:p w14:paraId="16808E2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执行标准</w:t>
            </w:r>
          </w:p>
        </w:tc>
      </w:tr>
      <w:tr w14:paraId="68CFB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restart"/>
            <w:tcBorders>
              <w:tl2br w:val="nil"/>
              <w:tr2bl w:val="nil"/>
            </w:tcBorders>
            <w:noWrap w:val="0"/>
            <w:vAlign w:val="center"/>
          </w:tcPr>
          <w:p w14:paraId="212E172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废气</w:t>
            </w:r>
          </w:p>
        </w:tc>
        <w:tc>
          <w:tcPr>
            <w:tcW w:w="1155" w:type="dxa"/>
            <w:tcBorders>
              <w:tl2br w:val="nil"/>
              <w:tr2bl w:val="nil"/>
            </w:tcBorders>
            <w:noWrap w:val="0"/>
            <w:vAlign w:val="center"/>
          </w:tcPr>
          <w:p w14:paraId="173B9A9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DA00</w:t>
            </w:r>
            <w:r>
              <w:rPr>
                <w:rFonts w:hint="eastAsia" w:cs="Times New Roman"/>
                <w:b w:val="0"/>
                <w:bCs w:val="0"/>
                <w:color w:val="auto"/>
                <w:sz w:val="21"/>
                <w:szCs w:val="21"/>
                <w:vertAlign w:val="baseline"/>
                <w:lang w:val="en-US" w:eastAsia="zh-CN"/>
              </w:rPr>
              <w:t>1</w:t>
            </w:r>
            <w:r>
              <w:rPr>
                <w:rFonts w:hint="eastAsia" w:ascii="Times New Roman" w:hAnsi="Times New Roman" w:eastAsia="宋体" w:cs="Times New Roman"/>
                <w:b w:val="0"/>
                <w:bCs w:val="0"/>
                <w:color w:val="auto"/>
                <w:sz w:val="21"/>
                <w:szCs w:val="21"/>
                <w:vertAlign w:val="baseline"/>
                <w:lang w:val="en-US" w:eastAsia="zh-CN"/>
              </w:rPr>
              <w:t>出口颗粒物</w:t>
            </w:r>
          </w:p>
        </w:tc>
        <w:tc>
          <w:tcPr>
            <w:tcW w:w="1460" w:type="dxa"/>
            <w:tcBorders>
              <w:tl2br w:val="nil"/>
              <w:tr2bl w:val="nil"/>
            </w:tcBorders>
            <w:noWrap w:val="0"/>
            <w:vAlign w:val="center"/>
          </w:tcPr>
          <w:p w14:paraId="1EF99EA6">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颗粒物</w:t>
            </w:r>
          </w:p>
        </w:tc>
        <w:tc>
          <w:tcPr>
            <w:tcW w:w="1788" w:type="dxa"/>
            <w:tcBorders>
              <w:tl2br w:val="nil"/>
              <w:tr2bl w:val="nil"/>
            </w:tcBorders>
            <w:noWrap w:val="0"/>
            <w:vAlign w:val="center"/>
          </w:tcPr>
          <w:p w14:paraId="6F94671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排气筒出口</w:t>
            </w:r>
          </w:p>
        </w:tc>
        <w:tc>
          <w:tcPr>
            <w:tcW w:w="1523" w:type="dxa"/>
            <w:tcBorders>
              <w:tl2br w:val="nil"/>
              <w:tr2bl w:val="nil"/>
            </w:tcBorders>
            <w:noWrap w:val="0"/>
            <w:vAlign w:val="center"/>
          </w:tcPr>
          <w:p w14:paraId="4552CEFD">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1个</w:t>
            </w:r>
          </w:p>
        </w:tc>
        <w:tc>
          <w:tcPr>
            <w:tcW w:w="1108" w:type="dxa"/>
            <w:tcBorders>
              <w:tl2br w:val="nil"/>
              <w:tr2bl w:val="nil"/>
            </w:tcBorders>
            <w:noWrap w:val="0"/>
            <w:vAlign w:val="center"/>
          </w:tcPr>
          <w:p w14:paraId="3144CB3A">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每季一次</w:t>
            </w:r>
          </w:p>
        </w:tc>
        <w:tc>
          <w:tcPr>
            <w:tcW w:w="1983" w:type="dxa"/>
            <w:vMerge w:val="restart"/>
            <w:tcBorders>
              <w:tl2br w:val="nil"/>
              <w:tr2bl w:val="nil"/>
            </w:tcBorders>
            <w:noWrap w:val="0"/>
            <w:vAlign w:val="center"/>
          </w:tcPr>
          <w:p w14:paraId="51309E5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《大气污染物综合排放标准》(GB16297- 1996）</w:t>
            </w:r>
          </w:p>
        </w:tc>
      </w:tr>
      <w:tr w14:paraId="06260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vMerge w:val="continue"/>
            <w:tcBorders>
              <w:tl2br w:val="nil"/>
              <w:tr2bl w:val="nil"/>
            </w:tcBorders>
            <w:noWrap w:val="0"/>
            <w:vAlign w:val="center"/>
          </w:tcPr>
          <w:p w14:paraId="16218A41">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c>
          <w:tcPr>
            <w:tcW w:w="1155" w:type="dxa"/>
            <w:tcBorders>
              <w:tl2br w:val="nil"/>
              <w:tr2bl w:val="nil"/>
            </w:tcBorders>
            <w:noWrap w:val="0"/>
            <w:vAlign w:val="center"/>
          </w:tcPr>
          <w:p w14:paraId="67E6F42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无组织粉尘</w:t>
            </w:r>
          </w:p>
        </w:tc>
        <w:tc>
          <w:tcPr>
            <w:tcW w:w="1460" w:type="dxa"/>
            <w:tcBorders>
              <w:tl2br w:val="nil"/>
              <w:tr2bl w:val="nil"/>
            </w:tcBorders>
            <w:noWrap w:val="0"/>
            <w:vAlign w:val="center"/>
          </w:tcPr>
          <w:p w14:paraId="768FD61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TSP</w:t>
            </w:r>
          </w:p>
        </w:tc>
        <w:tc>
          <w:tcPr>
            <w:tcW w:w="1788" w:type="dxa"/>
            <w:tcBorders>
              <w:tl2br w:val="nil"/>
              <w:tr2bl w:val="nil"/>
            </w:tcBorders>
            <w:noWrap w:val="0"/>
            <w:vAlign w:val="center"/>
          </w:tcPr>
          <w:p w14:paraId="2B1946A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厂区</w:t>
            </w:r>
            <w:r>
              <w:rPr>
                <w:rFonts w:hint="default" w:ascii="Times New Roman" w:hAnsi="Times New Roman" w:eastAsia="宋体" w:cs="Times New Roman"/>
                <w:b w:val="0"/>
                <w:bCs w:val="0"/>
                <w:color w:val="auto"/>
                <w:sz w:val="21"/>
                <w:szCs w:val="21"/>
                <w:vertAlign w:val="baseline"/>
                <w:lang w:val="en-US" w:eastAsia="zh-CN"/>
              </w:rPr>
              <w:t>上风向、下风向</w:t>
            </w:r>
          </w:p>
        </w:tc>
        <w:tc>
          <w:tcPr>
            <w:tcW w:w="1523" w:type="dxa"/>
            <w:tcBorders>
              <w:tl2br w:val="nil"/>
              <w:tr2bl w:val="nil"/>
            </w:tcBorders>
            <w:noWrap w:val="0"/>
            <w:vAlign w:val="center"/>
          </w:tcPr>
          <w:p w14:paraId="204F3DC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上风向10</w:t>
            </w:r>
            <w:r>
              <w:rPr>
                <w:rFonts w:hint="eastAsia" w:ascii="Times New Roman" w:hAnsi="Times New Roman" w:eastAsia="宋体" w:cs="Times New Roman"/>
                <w:b w:val="0"/>
                <w:bCs w:val="0"/>
                <w:color w:val="auto"/>
                <w:sz w:val="21"/>
                <w:szCs w:val="21"/>
                <w:vertAlign w:val="baseline"/>
                <w:lang w:val="en-US" w:eastAsia="zh-CN"/>
              </w:rPr>
              <w:t>m设</w:t>
            </w:r>
            <w:r>
              <w:rPr>
                <w:rFonts w:hint="default" w:ascii="Times New Roman" w:hAnsi="Times New Roman"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个；下风向10</w:t>
            </w:r>
            <w:r>
              <w:rPr>
                <w:rFonts w:hint="eastAsia" w:ascii="Times New Roman" w:hAnsi="Times New Roman" w:eastAsia="宋体" w:cs="Times New Roman"/>
                <w:b w:val="0"/>
                <w:bCs w:val="0"/>
                <w:color w:val="auto"/>
                <w:sz w:val="21"/>
                <w:szCs w:val="21"/>
                <w:vertAlign w:val="baseline"/>
                <w:lang w:val="en-US" w:eastAsia="zh-CN"/>
              </w:rPr>
              <w:t>m设</w:t>
            </w:r>
            <w:r>
              <w:rPr>
                <w:rFonts w:hint="default" w:ascii="Times New Roman" w:hAnsi="Times New Roman" w:eastAsia="宋体" w:cs="Times New Roman"/>
                <w:b w:val="0"/>
                <w:bCs w:val="0"/>
                <w:color w:val="auto"/>
                <w:sz w:val="21"/>
                <w:szCs w:val="21"/>
                <w:vertAlign w:val="baseline"/>
                <w:lang w:val="en-US" w:eastAsia="zh-CN"/>
              </w:rPr>
              <w:t>3个</w:t>
            </w:r>
          </w:p>
        </w:tc>
        <w:tc>
          <w:tcPr>
            <w:tcW w:w="1108" w:type="dxa"/>
            <w:tcBorders>
              <w:tl2br w:val="nil"/>
              <w:tr2bl w:val="nil"/>
            </w:tcBorders>
            <w:noWrap w:val="0"/>
            <w:vAlign w:val="center"/>
          </w:tcPr>
          <w:p w14:paraId="1993E4E9">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每季一次</w:t>
            </w:r>
          </w:p>
        </w:tc>
        <w:tc>
          <w:tcPr>
            <w:tcW w:w="1983" w:type="dxa"/>
            <w:vMerge w:val="continue"/>
            <w:tcBorders>
              <w:tl2br w:val="nil"/>
              <w:tr2bl w:val="nil"/>
            </w:tcBorders>
            <w:noWrap w:val="0"/>
            <w:vAlign w:val="center"/>
          </w:tcPr>
          <w:p w14:paraId="550AA76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p>
        </w:tc>
      </w:tr>
      <w:tr w14:paraId="6E8D3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6E18980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废水</w:t>
            </w:r>
          </w:p>
        </w:tc>
        <w:tc>
          <w:tcPr>
            <w:tcW w:w="1155" w:type="dxa"/>
            <w:tcBorders>
              <w:tl2br w:val="nil"/>
              <w:tr2bl w:val="nil"/>
            </w:tcBorders>
            <w:noWrap w:val="0"/>
            <w:vAlign w:val="center"/>
          </w:tcPr>
          <w:p w14:paraId="0B2D55A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生产废水</w:t>
            </w:r>
          </w:p>
        </w:tc>
        <w:tc>
          <w:tcPr>
            <w:tcW w:w="1460" w:type="dxa"/>
            <w:tcBorders>
              <w:tl2br w:val="nil"/>
              <w:tr2bl w:val="nil"/>
            </w:tcBorders>
            <w:noWrap w:val="0"/>
            <w:vAlign w:val="center"/>
          </w:tcPr>
          <w:p w14:paraId="26CE9B37">
            <w:pPr>
              <w:pStyle w:val="1516"/>
              <w:keepNext w:val="0"/>
              <w:keepLines w:val="0"/>
              <w:pageBreakBefore w:val="0"/>
              <w:widowControl w:val="0"/>
              <w:kinsoku/>
              <w:wordWrap/>
              <w:overflowPunct/>
              <w:topLinePunct w:val="0"/>
              <w:autoSpaceDE/>
              <w:autoSpaceDN/>
              <w:bidi w:val="0"/>
              <w:snapToGrid w:val="0"/>
              <w:spacing w:before="0" w:after="0" w:line="240" w:lineRule="auto"/>
              <w:ind w:left="0" w:right="0" w:firstLine="0"/>
              <w:jc w:val="left"/>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pH、COD、BOD</w:t>
            </w:r>
            <w:r>
              <w:rPr>
                <w:rFonts w:hint="default" w:ascii="Times New Roman" w:hAnsi="Times New Roman" w:eastAsia="宋体" w:cs="Times New Roman"/>
                <w:b w:val="0"/>
                <w:bCs w:val="0"/>
                <w:color w:val="auto"/>
                <w:sz w:val="21"/>
                <w:szCs w:val="21"/>
                <w:vertAlign w:val="subscript"/>
                <w:lang w:val="en-US" w:eastAsia="zh-CN"/>
              </w:rPr>
              <w:t>5</w:t>
            </w:r>
            <w:r>
              <w:rPr>
                <w:rFonts w:hint="default" w:ascii="Times New Roman" w:hAnsi="Times New Roman" w:eastAsia="宋体" w:cs="Times New Roman"/>
                <w:b w:val="0"/>
                <w:bCs w:val="0"/>
                <w:color w:val="auto"/>
                <w:sz w:val="21"/>
                <w:szCs w:val="21"/>
                <w:vertAlign w:val="baseline"/>
                <w:lang w:val="en-US" w:eastAsia="zh-CN"/>
              </w:rPr>
              <w:t>、氨氮、总磷、总氮、硝酸盐氮、溶解氧、挥发酚、石油类、阴离子表面活性剂、铜、锌、铁、锰、铅、镉、铬（六价）、砷、汞、硫化物、氯化物、氰化物等</w:t>
            </w:r>
          </w:p>
        </w:tc>
        <w:tc>
          <w:tcPr>
            <w:tcW w:w="1788" w:type="dxa"/>
            <w:tcBorders>
              <w:tl2br w:val="nil"/>
              <w:tr2bl w:val="nil"/>
            </w:tcBorders>
            <w:noWrap w:val="0"/>
            <w:vAlign w:val="center"/>
          </w:tcPr>
          <w:p w14:paraId="1B90949F">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循环水池出水口</w:t>
            </w:r>
          </w:p>
        </w:tc>
        <w:tc>
          <w:tcPr>
            <w:tcW w:w="1523" w:type="dxa"/>
            <w:tcBorders>
              <w:tl2br w:val="nil"/>
              <w:tr2bl w:val="nil"/>
            </w:tcBorders>
            <w:noWrap w:val="0"/>
            <w:vAlign w:val="center"/>
          </w:tcPr>
          <w:p w14:paraId="23404F5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cs="Times New Roman"/>
                <w:b w:val="0"/>
                <w:bCs w:val="0"/>
                <w:color w:val="auto"/>
                <w:sz w:val="21"/>
                <w:szCs w:val="21"/>
                <w:vertAlign w:val="baseline"/>
                <w:lang w:val="en-US" w:eastAsia="zh-CN"/>
              </w:rPr>
              <w:t>1</w:t>
            </w:r>
            <w:r>
              <w:rPr>
                <w:rFonts w:hint="default" w:ascii="Times New Roman" w:hAnsi="Times New Roman" w:eastAsia="宋体" w:cs="Times New Roman"/>
                <w:b w:val="0"/>
                <w:bCs w:val="0"/>
                <w:color w:val="auto"/>
                <w:sz w:val="21"/>
                <w:szCs w:val="21"/>
                <w:vertAlign w:val="baseline"/>
                <w:lang w:val="en-US" w:eastAsia="zh-CN"/>
              </w:rPr>
              <w:t>个点</w:t>
            </w:r>
          </w:p>
        </w:tc>
        <w:tc>
          <w:tcPr>
            <w:tcW w:w="1108" w:type="dxa"/>
            <w:tcBorders>
              <w:tl2br w:val="nil"/>
              <w:tr2bl w:val="nil"/>
            </w:tcBorders>
            <w:noWrap w:val="0"/>
            <w:vAlign w:val="center"/>
          </w:tcPr>
          <w:p w14:paraId="7B2E3888">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w:t>
            </w:r>
            <w:r>
              <w:rPr>
                <w:rFonts w:hint="eastAsia" w:ascii="Times New Roman" w:hAnsi="Times New Roman" w:eastAsia="宋体" w:cs="Times New Roman"/>
                <w:b w:val="0"/>
                <w:bCs w:val="0"/>
                <w:color w:val="auto"/>
                <w:sz w:val="21"/>
                <w:szCs w:val="21"/>
                <w:vertAlign w:val="baseline"/>
                <w:lang w:val="en-US" w:eastAsia="zh-CN"/>
              </w:rPr>
              <w:t>年</w:t>
            </w:r>
            <w:r>
              <w:rPr>
                <w:rFonts w:hint="default" w:ascii="Times New Roman" w:hAnsi="Times New Roman" w:eastAsia="宋体" w:cs="Times New Roman"/>
                <w:b w:val="0"/>
                <w:bCs w:val="0"/>
                <w:color w:val="auto"/>
                <w:sz w:val="21"/>
                <w:szCs w:val="21"/>
                <w:vertAlign w:val="baseline"/>
                <w:lang w:val="en-US" w:eastAsia="zh-CN"/>
              </w:rPr>
              <w:t>一次</w:t>
            </w:r>
          </w:p>
        </w:tc>
        <w:tc>
          <w:tcPr>
            <w:tcW w:w="1983" w:type="dxa"/>
            <w:tcBorders>
              <w:tl2br w:val="nil"/>
              <w:tr2bl w:val="nil"/>
            </w:tcBorders>
            <w:noWrap w:val="0"/>
            <w:vAlign w:val="center"/>
          </w:tcPr>
          <w:p w14:paraId="23A6B5FB">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《城市污水再生利用工业用水水质标准》（GB/T19923-2024）中的工艺与产品用水水质标准</w:t>
            </w:r>
          </w:p>
        </w:tc>
      </w:tr>
      <w:tr w14:paraId="3D39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1" w:type="dxa"/>
            <w:tcBorders>
              <w:tl2br w:val="nil"/>
              <w:tr2bl w:val="nil"/>
            </w:tcBorders>
            <w:noWrap w:val="0"/>
            <w:vAlign w:val="center"/>
          </w:tcPr>
          <w:p w14:paraId="6DC8AB67">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噪声</w:t>
            </w:r>
          </w:p>
        </w:tc>
        <w:tc>
          <w:tcPr>
            <w:tcW w:w="1155" w:type="dxa"/>
            <w:tcBorders>
              <w:tl2br w:val="nil"/>
              <w:tr2bl w:val="nil"/>
            </w:tcBorders>
            <w:noWrap w:val="0"/>
            <w:vAlign w:val="center"/>
          </w:tcPr>
          <w:p w14:paraId="73035725">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厂界噪声</w:t>
            </w:r>
          </w:p>
        </w:tc>
        <w:tc>
          <w:tcPr>
            <w:tcW w:w="1460" w:type="dxa"/>
            <w:tcBorders>
              <w:tl2br w:val="nil"/>
              <w:tr2bl w:val="nil"/>
            </w:tcBorders>
            <w:noWrap w:val="0"/>
            <w:vAlign w:val="center"/>
          </w:tcPr>
          <w:p w14:paraId="6F0ABEC3">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等效连续A声级</w:t>
            </w:r>
          </w:p>
        </w:tc>
        <w:tc>
          <w:tcPr>
            <w:tcW w:w="1788" w:type="dxa"/>
            <w:tcBorders>
              <w:tl2br w:val="nil"/>
              <w:tr2bl w:val="nil"/>
            </w:tcBorders>
            <w:noWrap w:val="0"/>
            <w:vAlign w:val="center"/>
          </w:tcPr>
          <w:p w14:paraId="36EC4AC0">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厂界四周</w:t>
            </w:r>
          </w:p>
        </w:tc>
        <w:tc>
          <w:tcPr>
            <w:tcW w:w="1523" w:type="dxa"/>
            <w:tcBorders>
              <w:tl2br w:val="nil"/>
              <w:tr2bl w:val="nil"/>
            </w:tcBorders>
            <w:noWrap w:val="0"/>
            <w:vAlign w:val="center"/>
          </w:tcPr>
          <w:p w14:paraId="1F049114">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4个点</w:t>
            </w:r>
          </w:p>
        </w:tc>
        <w:tc>
          <w:tcPr>
            <w:tcW w:w="1108" w:type="dxa"/>
            <w:tcBorders>
              <w:tl2br w:val="nil"/>
              <w:tr2bl w:val="nil"/>
            </w:tcBorders>
            <w:noWrap w:val="0"/>
            <w:vAlign w:val="center"/>
          </w:tcPr>
          <w:p w14:paraId="6030E82E">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每季一次</w:t>
            </w:r>
            <w:r>
              <w:rPr>
                <w:rFonts w:hint="eastAsia" w:ascii="Times New Roman" w:hAnsi="Times New Roman" w:eastAsia="宋体" w:cs="Times New Roman"/>
                <w:b w:val="0"/>
                <w:bCs w:val="0"/>
                <w:color w:val="auto"/>
                <w:sz w:val="21"/>
                <w:szCs w:val="21"/>
                <w:vertAlign w:val="baseline"/>
                <w:lang w:val="en-US" w:eastAsia="zh-CN"/>
              </w:rPr>
              <w:t>，昼、夜各一次</w:t>
            </w:r>
          </w:p>
        </w:tc>
        <w:tc>
          <w:tcPr>
            <w:tcW w:w="1983" w:type="dxa"/>
            <w:tcBorders>
              <w:tl2br w:val="nil"/>
              <w:tr2bl w:val="nil"/>
            </w:tcBorders>
            <w:noWrap w:val="0"/>
            <w:vAlign w:val="center"/>
          </w:tcPr>
          <w:p w14:paraId="4062A562">
            <w:pPr>
              <w:pStyle w:val="47"/>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《工业企业厂界环境噪声排放标准》（GB12348-2008）中</w:t>
            </w:r>
            <w:r>
              <w:rPr>
                <w:rFonts w:hint="eastAsia" w:cs="Times New Roman"/>
                <w:b w:val="0"/>
                <w:bCs w:val="0"/>
                <w:color w:val="auto"/>
                <w:sz w:val="21"/>
                <w:szCs w:val="21"/>
                <w:vertAlign w:val="baseline"/>
                <w:lang w:val="en-US" w:eastAsia="zh-CN"/>
              </w:rPr>
              <w:t>3</w:t>
            </w:r>
            <w:r>
              <w:rPr>
                <w:rFonts w:hint="default" w:ascii="Times New Roman" w:hAnsi="Times New Roman" w:eastAsia="宋体" w:cs="Times New Roman"/>
                <w:b w:val="0"/>
                <w:bCs w:val="0"/>
                <w:color w:val="auto"/>
                <w:sz w:val="21"/>
                <w:szCs w:val="21"/>
                <w:vertAlign w:val="baseline"/>
                <w:lang w:val="en-US" w:eastAsia="zh-CN"/>
              </w:rPr>
              <w:t>类标准</w:t>
            </w:r>
          </w:p>
        </w:tc>
      </w:tr>
    </w:tbl>
    <w:p w14:paraId="3F499C05">
      <w:pPr>
        <w:pStyle w:val="5"/>
        <w:bidi w:val="0"/>
        <w:rPr>
          <w:rFonts w:hint="default"/>
          <w:lang w:val="en-US" w:eastAsia="zh-CN"/>
        </w:rPr>
      </w:pPr>
      <w:r>
        <w:rPr>
          <w:rFonts w:hint="eastAsia"/>
          <w:lang w:val="en-US" w:eastAsia="zh-CN"/>
        </w:rPr>
        <w:t>10</w:t>
      </w:r>
      <w:r>
        <w:rPr>
          <w:rFonts w:hint="default"/>
          <w:lang w:val="zh-CN" w:eastAsia="zh-CN"/>
        </w:rPr>
        <w:t>.</w:t>
      </w:r>
      <w:r>
        <w:rPr>
          <w:rFonts w:hint="eastAsia"/>
          <w:lang w:val="en-US" w:eastAsia="zh-CN"/>
        </w:rPr>
        <w:t>2.2环境质量监测</w:t>
      </w:r>
    </w:p>
    <w:p w14:paraId="62BD7D56">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根据《环境影响评价技术导则 大气环境》（</w:t>
      </w:r>
      <w:r>
        <w:rPr>
          <w:rFonts w:hint="default" w:ascii="Times New Roman" w:hAnsi="Times New Roman" w:eastAsia="宋体" w:cs="Times New Roman"/>
          <w:color w:val="000000"/>
          <w:kern w:val="0"/>
          <w:sz w:val="24"/>
          <w:szCs w:val="24"/>
          <w:lang w:val="en-US" w:eastAsia="zh-CN" w:bidi="ar"/>
        </w:rPr>
        <w:t>HJ2.2-2018</w:t>
      </w:r>
      <w:r>
        <w:rPr>
          <w:rFonts w:hint="eastAsia" w:ascii="宋体" w:hAnsi="宋体" w:eastAsia="宋体" w:cs="宋体"/>
          <w:color w:val="000000"/>
          <w:kern w:val="0"/>
          <w:sz w:val="24"/>
          <w:szCs w:val="24"/>
          <w:lang w:val="en-US" w:eastAsia="zh-CN" w:bidi="ar"/>
        </w:rPr>
        <w:t>）、《环境影响评价技术导则 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）、《环境影响评价技术导则 土壤环境（试行）》（</w:t>
      </w:r>
      <w:r>
        <w:rPr>
          <w:rFonts w:hint="default" w:ascii="Times New Roman" w:hAnsi="Times New Roman" w:eastAsia="宋体" w:cs="Times New Roman"/>
          <w:color w:val="000000"/>
          <w:kern w:val="0"/>
          <w:sz w:val="24"/>
          <w:szCs w:val="24"/>
          <w:lang w:val="en-US" w:eastAsia="zh-CN" w:bidi="ar"/>
        </w:rPr>
        <w:t>HJ964-2018</w:t>
      </w:r>
      <w:r>
        <w:rPr>
          <w:rFonts w:hint="eastAsia" w:ascii="宋体" w:hAnsi="宋体" w:eastAsia="宋体" w:cs="宋体"/>
          <w:color w:val="000000"/>
          <w:kern w:val="0"/>
          <w:sz w:val="24"/>
          <w:szCs w:val="24"/>
          <w:lang w:val="en-US" w:eastAsia="zh-CN" w:bidi="ar"/>
        </w:rPr>
        <w:t>）等导则中相关要求，并结合本项目环境影响特征，确定本项目运营期环境质量监测计划如下。</w:t>
      </w:r>
    </w:p>
    <w:p w14:paraId="4ADEC441">
      <w:pPr>
        <w:pStyle w:val="50"/>
        <w:spacing w:line="360" w:lineRule="auto"/>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default" w:ascii="Times New Roman" w:hAnsi="Times New Roman" w:cs="Times New Roman"/>
          <w:b/>
          <w:bCs/>
          <w:color w:val="000000"/>
          <w:kern w:val="0"/>
          <w:sz w:val="24"/>
          <w:szCs w:val="24"/>
          <w:lang w:val="en-US" w:eastAsia="zh-CN" w:bidi="ar"/>
        </w:rPr>
        <w:t>10.2-2</w:t>
      </w:r>
      <w:r>
        <w:rPr>
          <w:rFonts w:hint="eastAsia" w:ascii="宋体" w:hAnsi="宋体" w:eastAsia="宋体" w:cs="宋体"/>
          <w:b/>
          <w:bCs/>
          <w:color w:val="000000"/>
          <w:kern w:val="0"/>
          <w:sz w:val="24"/>
          <w:szCs w:val="24"/>
          <w:lang w:val="en-US" w:eastAsia="zh-CN" w:bidi="ar"/>
        </w:rPr>
        <w:t xml:space="preserve"> 环境质量监测计划一览表</w:t>
      </w:r>
    </w:p>
    <w:tbl>
      <w:tblPr>
        <w:tblStyle w:val="7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77"/>
        <w:gridCol w:w="2371"/>
        <w:gridCol w:w="1552"/>
        <w:gridCol w:w="1184"/>
        <w:gridCol w:w="2350"/>
      </w:tblGrid>
      <w:tr w14:paraId="3AEDD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8" w:hRule="atLeast"/>
          <w:jc w:val="center"/>
        </w:trPr>
        <w:tc>
          <w:tcPr>
            <w:tcW w:w="631" w:type="pct"/>
            <w:shd w:val="clear" w:color="auto" w:fill="auto"/>
            <w:noWrap/>
            <w:vAlign w:val="center"/>
          </w:tcPr>
          <w:p w14:paraId="33F54588">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环境</w:t>
            </w:r>
            <w:r>
              <w:rPr>
                <w:rFonts w:hint="default" w:ascii="Times New Roman" w:hAnsi="Times New Roman" w:eastAsia="宋体" w:cs="Times New Roman"/>
                <w:color w:val="000000"/>
                <w:kern w:val="0"/>
                <w:sz w:val="21"/>
                <w:szCs w:val="21"/>
                <w:lang w:val="en-US" w:eastAsia="zh-CN" w:bidi="ar"/>
              </w:rPr>
              <w:br w:type="textWrapping"/>
            </w:r>
            <w:r>
              <w:rPr>
                <w:rFonts w:hint="default" w:ascii="Times New Roman" w:hAnsi="Times New Roman" w:eastAsia="宋体" w:cs="Times New Roman"/>
                <w:color w:val="000000"/>
                <w:kern w:val="0"/>
                <w:sz w:val="21"/>
                <w:szCs w:val="21"/>
                <w:lang w:val="en-US" w:eastAsia="zh-CN" w:bidi="ar"/>
              </w:rPr>
              <w:t>要素</w:t>
            </w:r>
          </w:p>
        </w:tc>
        <w:tc>
          <w:tcPr>
            <w:tcW w:w="1389" w:type="pct"/>
            <w:shd w:val="clear" w:color="auto" w:fill="auto"/>
            <w:noWrap/>
            <w:vAlign w:val="center"/>
          </w:tcPr>
          <w:p w14:paraId="3C0A1D06">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监测项目</w:t>
            </w:r>
          </w:p>
        </w:tc>
        <w:tc>
          <w:tcPr>
            <w:tcW w:w="909" w:type="pct"/>
            <w:shd w:val="clear" w:color="auto" w:fill="auto"/>
            <w:noWrap/>
            <w:vAlign w:val="center"/>
          </w:tcPr>
          <w:p w14:paraId="7E5335DA">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监测点位</w:t>
            </w:r>
          </w:p>
        </w:tc>
        <w:tc>
          <w:tcPr>
            <w:tcW w:w="693" w:type="pct"/>
            <w:shd w:val="clear" w:color="auto" w:fill="auto"/>
            <w:noWrap/>
            <w:vAlign w:val="center"/>
          </w:tcPr>
          <w:p w14:paraId="0C726786">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监测时间</w:t>
            </w:r>
            <w:r>
              <w:rPr>
                <w:rFonts w:hint="default" w:ascii="Times New Roman" w:hAnsi="Times New Roman" w:eastAsia="宋体" w:cs="Times New Roman"/>
                <w:color w:val="000000"/>
                <w:kern w:val="0"/>
                <w:sz w:val="21"/>
                <w:szCs w:val="21"/>
                <w:lang w:val="en-US" w:eastAsia="zh-CN" w:bidi="ar"/>
              </w:rPr>
              <w:br w:type="textWrapping"/>
            </w:r>
            <w:r>
              <w:rPr>
                <w:rFonts w:hint="default" w:ascii="Times New Roman" w:hAnsi="Times New Roman" w:eastAsia="宋体" w:cs="Times New Roman"/>
                <w:color w:val="000000"/>
                <w:kern w:val="0"/>
                <w:sz w:val="21"/>
                <w:szCs w:val="21"/>
                <w:lang w:val="en-US" w:eastAsia="zh-CN" w:bidi="ar"/>
              </w:rPr>
              <w:t>及频率</w:t>
            </w:r>
          </w:p>
        </w:tc>
        <w:tc>
          <w:tcPr>
            <w:tcW w:w="1376" w:type="pct"/>
            <w:shd w:val="clear" w:color="auto" w:fill="auto"/>
            <w:noWrap/>
            <w:vAlign w:val="center"/>
          </w:tcPr>
          <w:p w14:paraId="3C369AF9">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执行标准</w:t>
            </w:r>
          </w:p>
        </w:tc>
      </w:tr>
      <w:tr w14:paraId="4EC4F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08" w:hRule="atLeast"/>
          <w:jc w:val="center"/>
        </w:trPr>
        <w:tc>
          <w:tcPr>
            <w:tcW w:w="631" w:type="pct"/>
            <w:shd w:val="clear" w:color="auto" w:fill="auto"/>
            <w:noWrap/>
            <w:vAlign w:val="center"/>
          </w:tcPr>
          <w:p w14:paraId="7CE37434">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lang w:val="en-US"/>
              </w:rPr>
            </w:pPr>
            <w:r>
              <w:rPr>
                <w:rFonts w:hint="default" w:ascii="Times New Roman" w:hAnsi="Times New Roman" w:eastAsia="宋体" w:cs="Times New Roman"/>
                <w:color w:val="000000"/>
                <w:kern w:val="0"/>
                <w:sz w:val="21"/>
                <w:szCs w:val="21"/>
                <w:lang w:val="en-US" w:eastAsia="zh-CN" w:bidi="ar"/>
              </w:rPr>
              <w:t>地下水</w:t>
            </w:r>
            <w:r>
              <w:rPr>
                <w:rFonts w:hint="eastAsia" w:cs="Times New Roman"/>
                <w:color w:val="000000"/>
                <w:kern w:val="0"/>
                <w:sz w:val="21"/>
                <w:szCs w:val="21"/>
                <w:lang w:val="en-US" w:eastAsia="zh-CN" w:bidi="ar"/>
              </w:rPr>
              <w:t>环境</w:t>
            </w:r>
          </w:p>
        </w:tc>
        <w:tc>
          <w:tcPr>
            <w:tcW w:w="1389" w:type="pct"/>
            <w:shd w:val="clear" w:color="auto" w:fill="auto"/>
            <w:noWrap/>
            <w:vAlign w:val="center"/>
          </w:tcPr>
          <w:p w14:paraId="257D5A82">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pH、氨氮、硝酸盐、亚硝酸盐、挥发性酚类、氰化物、砷、汞、铬(六价)、</w:t>
            </w:r>
            <w:r>
              <w:rPr>
                <w:rFonts w:hint="default" w:ascii="Times New Roman" w:hAnsi="Times New Roman" w:eastAsia="宋体" w:cs="Times New Roman"/>
                <w:color w:val="000000"/>
                <w:kern w:val="0"/>
                <w:sz w:val="21"/>
                <w:szCs w:val="21"/>
                <w:lang w:val="en-US" w:eastAsia="zh-CN" w:bidi="ar"/>
              </w:rPr>
              <w:br w:type="textWrapping"/>
            </w:r>
            <w:r>
              <w:rPr>
                <w:rFonts w:hint="default" w:ascii="Times New Roman" w:hAnsi="Times New Roman" w:eastAsia="宋体" w:cs="Times New Roman"/>
                <w:color w:val="000000"/>
                <w:kern w:val="0"/>
                <w:sz w:val="21"/>
                <w:szCs w:val="21"/>
                <w:lang w:val="en-US" w:eastAsia="zh-CN" w:bidi="ar"/>
              </w:rPr>
              <w:t>总硬度、铅、氟化物、镉、铁、锰、溶解性总固体、高锰酸钾指数、硫酸</w:t>
            </w:r>
            <w:r>
              <w:rPr>
                <w:rFonts w:hint="default" w:ascii="Times New Roman" w:hAnsi="Times New Roman" w:eastAsia="宋体" w:cs="Times New Roman"/>
                <w:color w:val="000000"/>
                <w:kern w:val="0"/>
                <w:sz w:val="21"/>
                <w:szCs w:val="21"/>
                <w:lang w:val="en-US" w:eastAsia="zh-CN" w:bidi="ar"/>
              </w:rPr>
              <w:br w:type="textWrapping"/>
            </w:r>
            <w:r>
              <w:rPr>
                <w:rFonts w:hint="default" w:ascii="Times New Roman" w:hAnsi="Times New Roman" w:eastAsia="宋体" w:cs="Times New Roman"/>
                <w:color w:val="000000"/>
                <w:kern w:val="0"/>
                <w:sz w:val="21"/>
                <w:szCs w:val="21"/>
                <w:lang w:val="en-US" w:eastAsia="zh-CN" w:bidi="ar"/>
              </w:rPr>
              <w:t>盐、氯化物等</w:t>
            </w:r>
          </w:p>
        </w:tc>
        <w:tc>
          <w:tcPr>
            <w:tcW w:w="909" w:type="pct"/>
            <w:shd w:val="clear" w:color="auto" w:fill="auto"/>
            <w:noWrap/>
            <w:vAlign w:val="center"/>
          </w:tcPr>
          <w:p w14:paraId="01CA3A9D">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lang w:val="en-US"/>
              </w:rPr>
            </w:pPr>
            <w:r>
              <w:rPr>
                <w:rFonts w:hint="eastAsia" w:ascii="Times New Roman" w:hAnsi="Times New Roman" w:eastAsia="宋体" w:cs="Times New Roman"/>
                <w:color w:val="000000"/>
                <w:kern w:val="0"/>
                <w:sz w:val="21"/>
                <w:szCs w:val="21"/>
                <w:lang w:val="en-US" w:eastAsia="zh-CN" w:bidi="ar"/>
              </w:rPr>
              <w:t>厂址</w:t>
            </w:r>
            <w:r>
              <w:rPr>
                <w:rFonts w:hint="default" w:ascii="Times New Roman" w:hAnsi="Times New Roman" w:eastAsia="宋体" w:cs="Times New Roman"/>
                <w:color w:val="000000"/>
                <w:kern w:val="0"/>
                <w:sz w:val="21"/>
                <w:szCs w:val="21"/>
                <w:lang w:val="en-US" w:eastAsia="zh-CN" w:bidi="ar"/>
              </w:rPr>
              <w:t>下游</w:t>
            </w:r>
            <w:r>
              <w:rPr>
                <w:rFonts w:hint="eastAsia" w:cs="Times New Roman"/>
                <w:color w:val="000000"/>
                <w:kern w:val="0"/>
                <w:sz w:val="21"/>
                <w:szCs w:val="21"/>
                <w:lang w:val="en-US" w:eastAsia="zh-CN" w:bidi="ar"/>
              </w:rPr>
              <w:t>七家子</w:t>
            </w:r>
            <w:r>
              <w:rPr>
                <w:rFonts w:hint="eastAsia" w:ascii="Times New Roman" w:hAnsi="Times New Roman" w:eastAsia="宋体" w:cs="Times New Roman"/>
                <w:color w:val="000000"/>
                <w:kern w:val="0"/>
                <w:sz w:val="21"/>
                <w:szCs w:val="21"/>
                <w:lang w:val="en-US" w:eastAsia="zh-CN" w:bidi="ar"/>
              </w:rPr>
              <w:t>村</w:t>
            </w:r>
          </w:p>
        </w:tc>
        <w:tc>
          <w:tcPr>
            <w:tcW w:w="693" w:type="pct"/>
            <w:shd w:val="clear" w:color="auto" w:fill="auto"/>
            <w:noWrap/>
            <w:vAlign w:val="center"/>
          </w:tcPr>
          <w:p w14:paraId="6F341078">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每年1次</w:t>
            </w:r>
          </w:p>
        </w:tc>
        <w:tc>
          <w:tcPr>
            <w:tcW w:w="1376" w:type="pct"/>
            <w:shd w:val="clear" w:color="auto" w:fill="auto"/>
            <w:noWrap/>
            <w:vAlign w:val="center"/>
          </w:tcPr>
          <w:p w14:paraId="1B82DB8F">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《地下水环境质量标准》</w:t>
            </w:r>
            <w:r>
              <w:rPr>
                <w:rFonts w:hint="default" w:ascii="Times New Roman" w:hAnsi="Times New Roman" w:eastAsia="宋体" w:cs="Times New Roman"/>
                <w:color w:val="000000"/>
                <w:kern w:val="0"/>
                <w:sz w:val="21"/>
                <w:szCs w:val="21"/>
                <w:lang w:val="en-US" w:eastAsia="zh-CN" w:bidi="ar"/>
              </w:rPr>
              <w:br w:type="textWrapping"/>
            </w:r>
            <w:r>
              <w:rPr>
                <w:rFonts w:hint="default" w:ascii="Times New Roman" w:hAnsi="Times New Roman" w:eastAsia="宋体" w:cs="Times New Roman"/>
                <w:color w:val="000000"/>
                <w:kern w:val="0"/>
                <w:sz w:val="21"/>
                <w:szCs w:val="21"/>
                <w:lang w:val="en-US" w:eastAsia="zh-CN" w:bidi="ar"/>
              </w:rPr>
              <w:t>(GB/T14848-2017)</w:t>
            </w:r>
          </w:p>
        </w:tc>
      </w:tr>
      <w:tr w14:paraId="5A7F3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8" w:hRule="atLeast"/>
          <w:jc w:val="center"/>
        </w:trPr>
        <w:tc>
          <w:tcPr>
            <w:tcW w:w="631" w:type="pct"/>
            <w:shd w:val="clear" w:color="auto" w:fill="auto"/>
            <w:noWrap/>
            <w:vAlign w:val="center"/>
          </w:tcPr>
          <w:p w14:paraId="3C657B78">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土壤</w:t>
            </w:r>
            <w:r>
              <w:rPr>
                <w:rFonts w:hint="eastAsia" w:cs="Times New Roman"/>
                <w:color w:val="000000"/>
                <w:sz w:val="21"/>
                <w:szCs w:val="21"/>
                <w:lang w:val="en-US" w:eastAsia="zh-CN"/>
              </w:rPr>
              <w:t>环境</w:t>
            </w:r>
          </w:p>
        </w:tc>
        <w:tc>
          <w:tcPr>
            <w:tcW w:w="1389" w:type="pct"/>
            <w:shd w:val="clear" w:color="auto" w:fill="auto"/>
            <w:noWrap/>
            <w:vAlign w:val="center"/>
          </w:tcPr>
          <w:p w14:paraId="29BD184C">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镉、汞、砷、铅、铬、铜、镍、锌、石油烃</w:t>
            </w:r>
          </w:p>
        </w:tc>
        <w:tc>
          <w:tcPr>
            <w:tcW w:w="909" w:type="pct"/>
            <w:shd w:val="clear" w:color="auto" w:fill="auto"/>
            <w:noWrap/>
            <w:vAlign w:val="center"/>
          </w:tcPr>
          <w:p w14:paraId="10E2B7AD">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厂</w:t>
            </w:r>
            <w:r>
              <w:rPr>
                <w:rFonts w:hint="eastAsia" w:ascii="Times New Roman" w:hAnsi="Times New Roman" w:eastAsia="宋体" w:cs="Times New Roman"/>
                <w:color w:val="000000"/>
                <w:kern w:val="0"/>
                <w:sz w:val="21"/>
                <w:szCs w:val="21"/>
                <w:lang w:val="en-US" w:eastAsia="zh-CN" w:bidi="ar"/>
              </w:rPr>
              <w:t>址下游</w:t>
            </w:r>
            <w:r>
              <w:rPr>
                <w:rFonts w:hint="default" w:ascii="Times New Roman" w:hAnsi="Times New Roman" w:eastAsia="宋体" w:cs="Times New Roman"/>
                <w:color w:val="000000"/>
                <w:kern w:val="0"/>
                <w:sz w:val="21"/>
                <w:szCs w:val="21"/>
                <w:lang w:val="en-US" w:eastAsia="zh-CN" w:bidi="ar"/>
              </w:rPr>
              <w:t>附近</w:t>
            </w:r>
            <w:r>
              <w:rPr>
                <w:rFonts w:hint="eastAsia" w:cs="Times New Roman"/>
                <w:color w:val="000000"/>
                <w:kern w:val="0"/>
                <w:sz w:val="21"/>
                <w:szCs w:val="21"/>
                <w:lang w:val="en-US" w:eastAsia="zh-CN" w:bidi="ar"/>
              </w:rPr>
              <w:t>农用地</w:t>
            </w:r>
          </w:p>
        </w:tc>
        <w:tc>
          <w:tcPr>
            <w:tcW w:w="693" w:type="pct"/>
            <w:shd w:val="clear" w:color="auto" w:fill="auto"/>
            <w:noWrap/>
            <w:vAlign w:val="center"/>
          </w:tcPr>
          <w:p w14:paraId="497F9B7D">
            <w:pPr>
              <w:jc w:val="center"/>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每3年1次</w:t>
            </w:r>
          </w:p>
        </w:tc>
        <w:tc>
          <w:tcPr>
            <w:tcW w:w="1376" w:type="pct"/>
            <w:shd w:val="clear" w:color="auto" w:fill="auto"/>
            <w:noWrap/>
            <w:vAlign w:val="center"/>
          </w:tcPr>
          <w:p w14:paraId="25998577">
            <w:pPr>
              <w:keepNext w:val="0"/>
              <w:keepLines w:val="0"/>
              <w:widowControl/>
              <w:suppressLineNumbers w:val="0"/>
              <w:wordWrap/>
              <w:spacing w:line="240" w:lineRule="auto"/>
              <w:jc w:val="center"/>
              <w:textAlignment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《土壤环境质量农业地土壤污染风险管控标准(试行)》(GB15168-2018)</w:t>
            </w:r>
          </w:p>
        </w:tc>
      </w:tr>
    </w:tbl>
    <w:p w14:paraId="3A71DF9C">
      <w:pPr>
        <w:pStyle w:val="5"/>
        <w:bidi w:val="0"/>
        <w:rPr>
          <w:rFonts w:hint="eastAsia"/>
          <w:lang w:val="en-US" w:eastAsia="zh-CN"/>
        </w:rPr>
      </w:pPr>
      <w:r>
        <w:rPr>
          <w:rFonts w:hint="eastAsia"/>
          <w:lang w:val="en-US" w:eastAsia="zh-CN"/>
        </w:rPr>
        <w:t>10.2.3监测数据管理</w:t>
      </w:r>
    </w:p>
    <w:p w14:paraId="63BAF0FB">
      <w:pPr>
        <w:pStyle w:val="50"/>
        <w:spacing w:line="360" w:lineRule="auto"/>
        <w:ind w:firstLine="480" w:firstLineChars="200"/>
        <w:rPr>
          <w:rFonts w:hint="default"/>
          <w:sz w:val="24"/>
          <w:szCs w:val="24"/>
          <w:lang w:val="en-US" w:eastAsia="zh-CN"/>
        </w:rPr>
      </w:pPr>
      <w:r>
        <w:rPr>
          <w:rFonts w:hint="eastAsia"/>
          <w:sz w:val="24"/>
          <w:szCs w:val="24"/>
          <w:lang w:val="en-US" w:eastAsia="zh-CN"/>
        </w:rPr>
        <w:t>本项目</w:t>
      </w:r>
      <w:r>
        <w:rPr>
          <w:rFonts w:hint="default"/>
          <w:sz w:val="24"/>
          <w:szCs w:val="24"/>
          <w:lang w:val="en-US" w:eastAsia="zh-CN"/>
        </w:rPr>
        <w:t xml:space="preserve">在后续生成过程中按照有关法律和《环境监测管理办法》、《排污单位自行监测技术指南 总则》（HJ819-2017）做好监测质量保证与质量控制、记录和保存监测数据，并向当地环境保护行政主管部门和行业主管部门备案。 </w:t>
      </w:r>
    </w:p>
    <w:p w14:paraId="488CD9CD">
      <w:pPr>
        <w:pStyle w:val="50"/>
        <w:spacing w:line="360" w:lineRule="auto"/>
        <w:ind w:firstLine="480" w:firstLineChars="200"/>
        <w:rPr>
          <w:rFonts w:hint="default"/>
          <w:sz w:val="24"/>
          <w:szCs w:val="24"/>
          <w:lang w:val="en-US" w:eastAsia="zh-CN"/>
        </w:rPr>
      </w:pPr>
      <w:r>
        <w:rPr>
          <w:rFonts w:hint="default"/>
          <w:sz w:val="24"/>
          <w:szCs w:val="24"/>
          <w:lang w:val="en-US" w:eastAsia="zh-CN"/>
        </w:rPr>
        <w:t>对污染物排放状况及其对周边环境质量的影响开展自行监测，保存原始监测记录，定期公布监测结果。</w:t>
      </w:r>
    </w:p>
    <w:p w14:paraId="71991067">
      <w:pPr>
        <w:pStyle w:val="4"/>
        <w:bidi w:val="0"/>
        <w:rPr>
          <w:rFonts w:hint="default" w:ascii="Times New Roman" w:hAnsi="Times New Roman" w:cs="Times New Roman" w:eastAsiaTheme="minorEastAsia"/>
          <w:lang w:val="zh-CN" w:eastAsia="zh-CN"/>
        </w:rPr>
      </w:pPr>
      <w:bookmarkStart w:id="208" w:name="_Toc12855"/>
      <w:r>
        <w:rPr>
          <w:rFonts w:hint="default" w:ascii="Times New Roman" w:hAnsi="Times New Roman" w:cs="Times New Roman" w:eastAsiaTheme="minorEastAsia"/>
          <w:lang w:val="en-US" w:eastAsia="zh-CN"/>
        </w:rPr>
        <w:t>10</w:t>
      </w:r>
      <w:r>
        <w:rPr>
          <w:rFonts w:hint="default" w:ascii="Times New Roman" w:hAnsi="Times New Roman" w:cs="Times New Roman" w:eastAsiaTheme="minorEastAsia"/>
          <w:lang w:val="zh-CN" w:eastAsia="zh-CN"/>
        </w:rPr>
        <w:t>.3排污口规范化管理要求</w:t>
      </w:r>
      <w:bookmarkEnd w:id="208"/>
    </w:p>
    <w:p w14:paraId="6609B4EF">
      <w:pPr>
        <w:spacing w:line="360" w:lineRule="auto"/>
        <w:ind w:firstLine="480" w:firstLineChars="200"/>
        <w:rPr>
          <w:color w:val="auto"/>
          <w:sz w:val="24"/>
        </w:rPr>
      </w:pPr>
      <w:r>
        <w:rPr>
          <w:color w:val="auto"/>
          <w:sz w:val="24"/>
        </w:rPr>
        <w:t>根据《国家环境保护总局关于开展排放口规范化整治工作的通知》（环发〔1999〕24号），一切新建、扩建、改建和限期治理的排污单位必须在建设污染治理设施的同时建设规范化排放口，并作为落实环境保护“三同时”制度的必要组成部门和项目验收的内容之一。因此，本工程必须把排污口规范化工作全部纳入项目"三同时"进行实施，并列入项目环保验收内容。按照《环境保护图形标志</w:t>
      </w:r>
      <w:r>
        <w:rPr>
          <w:color w:val="auto"/>
          <w:sz w:val="24"/>
        </w:rPr>
        <w:sym w:font="Symbol" w:char="F0BE"/>
      </w:r>
      <w:r>
        <w:rPr>
          <w:color w:val="auto"/>
          <w:sz w:val="24"/>
        </w:rPr>
        <w:t>排放口（源）》(GB15562.1</w:t>
      </w:r>
      <w:r>
        <w:rPr>
          <w:color w:val="auto"/>
          <w:sz w:val="24"/>
        </w:rPr>
        <w:sym w:font="Symbol" w:char="F02D"/>
      </w:r>
      <w:r>
        <w:rPr>
          <w:color w:val="auto"/>
          <w:sz w:val="24"/>
        </w:rPr>
        <w:t>1995)中规定的图形，对厂内工程各气、声排污口（源）挂牌标识，做到各排污口（源）的环保标志明显，便于企业管理和公众监督。</w:t>
      </w:r>
    </w:p>
    <w:p w14:paraId="3B94949D">
      <w:pPr>
        <w:spacing w:line="360" w:lineRule="auto"/>
        <w:ind w:firstLine="480" w:firstLineChars="200"/>
        <w:rPr>
          <w:color w:val="auto"/>
          <w:sz w:val="24"/>
        </w:rPr>
      </w:pPr>
      <w:r>
        <w:rPr>
          <w:rFonts w:hint="eastAsia"/>
          <w:color w:val="auto"/>
          <w:sz w:val="24"/>
        </w:rPr>
        <w:t>（1）</w:t>
      </w:r>
      <w:r>
        <w:rPr>
          <w:color w:val="auto"/>
          <w:sz w:val="24"/>
        </w:rPr>
        <w:t>排污口规范化管理的基本原则</w:t>
      </w:r>
    </w:p>
    <w:p w14:paraId="212DCD7E">
      <w:pPr>
        <w:pStyle w:val="180"/>
        <w:spacing w:line="360" w:lineRule="auto"/>
        <w:ind w:firstLine="480"/>
        <w:rPr>
          <w:rFonts w:ascii="Times New Roman"/>
          <w:color w:val="auto"/>
          <w:kern w:val="24"/>
        </w:rPr>
      </w:pPr>
      <w:r>
        <w:rPr>
          <w:rFonts w:hint="eastAsia"/>
          <w:color w:val="auto"/>
        </w:rPr>
        <w:t>①</w:t>
      </w:r>
      <w:r>
        <w:rPr>
          <w:rFonts w:hint="eastAsia" w:ascii="Times New Roman"/>
          <w:color w:val="auto"/>
          <w:kern w:val="24"/>
        </w:rPr>
        <w:t>应</w:t>
      </w:r>
      <w:r>
        <w:rPr>
          <w:rFonts w:ascii="Times New Roman"/>
          <w:color w:val="auto"/>
          <w:kern w:val="24"/>
        </w:rPr>
        <w:t>按照</w:t>
      </w:r>
      <w:r>
        <w:rPr>
          <w:rFonts w:hint="eastAsia" w:ascii="Times New Roman"/>
          <w:color w:val="auto"/>
          <w:kern w:val="24"/>
        </w:rPr>
        <w:t>《排污许可管理办法（试行）》（环境保护部令 第48号）和</w:t>
      </w:r>
      <w:r>
        <w:rPr>
          <w:rFonts w:ascii="Times New Roman"/>
          <w:color w:val="auto"/>
          <w:kern w:val="24"/>
        </w:rPr>
        <w:t>国家环保总局《排污口规范化整治要求(试行)》的技术要求</w:t>
      </w:r>
      <w:r>
        <w:rPr>
          <w:rFonts w:hint="eastAsia" w:ascii="Times New Roman"/>
          <w:color w:val="auto"/>
          <w:kern w:val="24"/>
        </w:rPr>
        <w:t>，</w:t>
      </w:r>
      <w:r>
        <w:rPr>
          <w:rFonts w:ascii="Times New Roman"/>
          <w:color w:val="auto"/>
          <w:kern w:val="24"/>
        </w:rPr>
        <w:t>对破碎工序排气筒</w:t>
      </w:r>
      <w:r>
        <w:rPr>
          <w:rFonts w:hint="eastAsia" w:ascii="Times New Roman"/>
          <w:color w:val="auto"/>
          <w:kern w:val="24"/>
        </w:rPr>
        <w:t>规范化；</w:t>
      </w:r>
    </w:p>
    <w:p w14:paraId="1704238E">
      <w:pPr>
        <w:spacing w:line="360" w:lineRule="auto"/>
        <w:ind w:firstLine="480" w:firstLineChars="200"/>
        <w:rPr>
          <w:color w:val="auto"/>
          <w:sz w:val="24"/>
        </w:rPr>
      </w:pPr>
      <w:r>
        <w:rPr>
          <w:rFonts w:hint="eastAsia"/>
          <w:color w:val="auto"/>
          <w:sz w:val="24"/>
        </w:rPr>
        <w:t>②</w:t>
      </w:r>
      <w:r>
        <w:rPr>
          <w:color w:val="auto"/>
          <w:sz w:val="24"/>
        </w:rPr>
        <w:t>排污口应便于采样与计量监测，便于日常现场监督检查。</w:t>
      </w:r>
    </w:p>
    <w:p w14:paraId="6A80D98E">
      <w:pPr>
        <w:spacing w:line="360" w:lineRule="auto"/>
        <w:ind w:firstLine="480" w:firstLineChars="200"/>
        <w:rPr>
          <w:color w:val="auto"/>
          <w:sz w:val="24"/>
        </w:rPr>
      </w:pPr>
      <w:r>
        <w:rPr>
          <w:color w:val="auto"/>
          <w:sz w:val="24"/>
        </w:rPr>
        <w:t>（2）排污口的技术要求</w:t>
      </w:r>
    </w:p>
    <w:p w14:paraId="43F22257">
      <w:pPr>
        <w:spacing w:line="360" w:lineRule="auto"/>
        <w:ind w:firstLine="480" w:firstLineChars="200"/>
        <w:rPr>
          <w:color w:val="auto"/>
          <w:sz w:val="24"/>
        </w:rPr>
      </w:pPr>
      <w:r>
        <w:rPr>
          <w:rFonts w:hint="eastAsia"/>
          <w:color w:val="auto"/>
          <w:sz w:val="24"/>
        </w:rPr>
        <w:t>①本项目原料预处理场地破碎筛分</w:t>
      </w:r>
      <w:r>
        <w:rPr>
          <w:color w:val="auto"/>
          <w:sz w:val="24"/>
        </w:rPr>
        <w:t>排气筒的位置必须合理确定，按环监(1996)470号文件要求进行规范化管理；</w:t>
      </w:r>
    </w:p>
    <w:p w14:paraId="691E455D">
      <w:pPr>
        <w:pStyle w:val="180"/>
        <w:spacing w:line="360" w:lineRule="auto"/>
        <w:ind w:firstLine="480"/>
        <w:rPr>
          <w:rFonts w:ascii="Times New Roman"/>
          <w:color w:val="auto"/>
          <w:kern w:val="24"/>
        </w:rPr>
      </w:pPr>
      <w:r>
        <w:rPr>
          <w:rFonts w:hint="eastAsia"/>
          <w:color w:val="auto"/>
        </w:rPr>
        <w:t>②</w:t>
      </w:r>
      <w:r>
        <w:rPr>
          <w:color w:val="auto"/>
        </w:rPr>
        <w:t>排放的采样点设置应按《污染源监测技术规范》要求</w:t>
      </w:r>
      <w:r>
        <w:rPr>
          <w:rFonts w:hint="eastAsia" w:ascii="Times New Roman"/>
          <w:color w:val="auto"/>
          <w:kern w:val="24"/>
        </w:rPr>
        <w:t>，</w:t>
      </w:r>
      <w:r>
        <w:rPr>
          <w:rFonts w:ascii="Times New Roman"/>
          <w:color w:val="auto"/>
          <w:kern w:val="24"/>
        </w:rPr>
        <w:t>在排气筒处</w:t>
      </w:r>
      <w:r>
        <w:rPr>
          <w:rFonts w:hint="eastAsia" w:ascii="Times New Roman"/>
          <w:color w:val="auto"/>
          <w:kern w:val="24"/>
        </w:rPr>
        <w:t>规范化</w:t>
      </w:r>
      <w:r>
        <w:rPr>
          <w:rFonts w:ascii="Times New Roman"/>
          <w:color w:val="auto"/>
          <w:kern w:val="24"/>
        </w:rPr>
        <w:t>设置监测空、标志牌和采样平台</w:t>
      </w:r>
      <w:r>
        <w:rPr>
          <w:rFonts w:hint="eastAsia" w:ascii="Times New Roman"/>
          <w:color w:val="auto"/>
          <w:kern w:val="24"/>
        </w:rPr>
        <w:t>。</w:t>
      </w:r>
    </w:p>
    <w:p w14:paraId="2A16C239">
      <w:pPr>
        <w:spacing w:line="360" w:lineRule="auto"/>
        <w:ind w:firstLine="480" w:firstLineChars="200"/>
        <w:rPr>
          <w:color w:val="auto"/>
          <w:sz w:val="24"/>
        </w:rPr>
      </w:pPr>
      <w:r>
        <w:rPr>
          <w:color w:val="auto"/>
          <w:sz w:val="24"/>
        </w:rPr>
        <w:t>（3）排污口立标管理</w:t>
      </w:r>
    </w:p>
    <w:p w14:paraId="4F37C44C">
      <w:pPr>
        <w:spacing w:line="360" w:lineRule="auto"/>
        <w:ind w:firstLine="480" w:firstLineChars="200"/>
        <w:rPr>
          <w:color w:val="auto"/>
          <w:sz w:val="24"/>
        </w:rPr>
      </w:pPr>
      <w:r>
        <w:rPr>
          <w:rFonts w:hint="eastAsia"/>
          <w:color w:val="auto"/>
          <w:sz w:val="24"/>
        </w:rPr>
        <w:t>①本项目</w:t>
      </w:r>
      <w:r>
        <w:rPr>
          <w:color w:val="auto"/>
          <w:sz w:val="24"/>
        </w:rPr>
        <w:t>布袋除尘器</w:t>
      </w:r>
      <w:r>
        <w:rPr>
          <w:rFonts w:hint="eastAsia"/>
          <w:color w:val="auto"/>
          <w:kern w:val="24"/>
          <w:sz w:val="24"/>
        </w:rPr>
        <w:t>排气筒应按国家《环境保护图形标志》</w:t>
      </w:r>
      <w:r>
        <w:rPr>
          <w:color w:val="auto"/>
          <w:kern w:val="24"/>
          <w:sz w:val="24"/>
        </w:rPr>
        <w:t>(15562</w:t>
      </w:r>
      <w:r>
        <w:rPr>
          <w:rFonts w:hint="eastAsia"/>
          <w:color w:val="auto"/>
          <w:kern w:val="24"/>
          <w:sz w:val="24"/>
        </w:rPr>
        <w:t>.1-</w:t>
      </w:r>
      <w:r>
        <w:rPr>
          <w:color w:val="auto"/>
          <w:kern w:val="24"/>
          <w:sz w:val="24"/>
        </w:rPr>
        <w:t>1995)</w:t>
      </w:r>
      <w:r>
        <w:rPr>
          <w:rFonts w:hint="eastAsia"/>
          <w:color w:val="auto"/>
          <w:kern w:val="24"/>
          <w:sz w:val="24"/>
        </w:rPr>
        <w:t>与</w:t>
      </w:r>
      <w:r>
        <w:rPr>
          <w:color w:val="auto"/>
          <w:kern w:val="24"/>
          <w:sz w:val="24"/>
        </w:rPr>
        <w:t>GBl5562</w:t>
      </w:r>
      <w:r>
        <w:rPr>
          <w:rFonts w:hint="eastAsia"/>
          <w:color w:val="auto"/>
          <w:kern w:val="24"/>
          <w:sz w:val="24"/>
        </w:rPr>
        <w:t>.</w:t>
      </w:r>
      <w:r>
        <w:rPr>
          <w:color w:val="auto"/>
          <w:kern w:val="24"/>
          <w:sz w:val="24"/>
        </w:rPr>
        <w:t>2</w:t>
      </w:r>
      <w:r>
        <w:rPr>
          <w:rFonts w:hint="eastAsia"/>
          <w:color w:val="auto"/>
          <w:kern w:val="24"/>
          <w:sz w:val="24"/>
        </w:rPr>
        <w:t>-</w:t>
      </w:r>
      <w:r>
        <w:rPr>
          <w:color w:val="auto"/>
          <w:kern w:val="24"/>
          <w:sz w:val="24"/>
        </w:rPr>
        <w:t>1995</w:t>
      </w:r>
      <w:r>
        <w:rPr>
          <w:rFonts w:hint="eastAsia"/>
          <w:color w:val="auto"/>
          <w:kern w:val="24"/>
          <w:sz w:val="24"/>
        </w:rPr>
        <w:t>的规定，设置国家环保总局统一制作的环境保护图形标志牌，本项目</w:t>
      </w:r>
      <w:r>
        <w:rPr>
          <w:color w:val="auto"/>
          <w:sz w:val="24"/>
        </w:rPr>
        <w:t>废气排气筒附近醒目处均应树立一个环保图形标志牌。</w:t>
      </w:r>
    </w:p>
    <w:p w14:paraId="33941F18">
      <w:pPr>
        <w:pStyle w:val="180"/>
        <w:spacing w:line="360" w:lineRule="auto"/>
        <w:ind w:firstLine="480"/>
        <w:rPr>
          <w:rFonts w:ascii="Times New Roman"/>
          <w:color w:val="auto"/>
        </w:rPr>
      </w:pPr>
      <w:r>
        <w:rPr>
          <w:rFonts w:hint="eastAsia"/>
          <w:color w:val="auto"/>
        </w:rPr>
        <w:t>②</w:t>
      </w:r>
      <w:r>
        <w:rPr>
          <w:rFonts w:hint="eastAsia" w:ascii="Times New Roman"/>
          <w:color w:val="auto"/>
          <w:kern w:val="24"/>
        </w:rPr>
        <w:t>污染物排放口的环保图形标志牌应设置在靠近采样点的醒目处，本项目标志牌设置高度为破碎筛分</w:t>
      </w:r>
      <w:r>
        <w:rPr>
          <w:rFonts w:ascii="Times New Roman"/>
          <w:color w:val="auto"/>
          <w:kern w:val="24"/>
        </w:rPr>
        <w:t>排气筒</w:t>
      </w:r>
      <w:r>
        <w:rPr>
          <w:rFonts w:hint="eastAsia" w:ascii="Times New Roman"/>
          <w:color w:val="auto"/>
          <w:kern w:val="24"/>
        </w:rPr>
        <w:t>上缘距地面</w:t>
      </w:r>
      <w:r>
        <w:rPr>
          <w:rFonts w:ascii="Times New Roman"/>
          <w:color w:val="auto"/>
          <w:kern w:val="24"/>
        </w:rPr>
        <w:t>2m</w:t>
      </w:r>
      <w:r>
        <w:rPr>
          <w:rFonts w:hint="eastAsia" w:ascii="Times New Roman"/>
          <w:color w:val="auto"/>
          <w:kern w:val="24"/>
        </w:rPr>
        <w:t>处。且</w:t>
      </w:r>
      <w:r>
        <w:rPr>
          <w:rFonts w:ascii="Times New Roman"/>
          <w:color w:val="auto"/>
          <w:kern w:val="24"/>
        </w:rPr>
        <w:t>应</w:t>
      </w:r>
      <w:r>
        <w:rPr>
          <w:rFonts w:hint="eastAsia" w:ascii="Times New Roman"/>
          <w:color w:val="auto"/>
          <w:kern w:val="24"/>
        </w:rPr>
        <w:t>定期（一年</w:t>
      </w:r>
      <w:r>
        <w:rPr>
          <w:rFonts w:ascii="Times New Roman"/>
          <w:color w:val="auto"/>
          <w:kern w:val="24"/>
        </w:rPr>
        <w:t>两次</w:t>
      </w:r>
      <w:r>
        <w:rPr>
          <w:rFonts w:hint="eastAsia" w:ascii="Times New Roman"/>
          <w:color w:val="auto"/>
          <w:kern w:val="24"/>
        </w:rPr>
        <w:t>）</w:t>
      </w:r>
      <w:r>
        <w:rPr>
          <w:rFonts w:ascii="Times New Roman"/>
          <w:color w:val="auto"/>
          <w:kern w:val="24"/>
        </w:rPr>
        <w:t>检查</w:t>
      </w:r>
      <w:r>
        <w:rPr>
          <w:rFonts w:hint="eastAsia" w:ascii="Times New Roman"/>
          <w:color w:val="auto"/>
          <w:kern w:val="24"/>
        </w:rPr>
        <w:t>标志牌</w:t>
      </w:r>
      <w:r>
        <w:rPr>
          <w:rFonts w:ascii="Times New Roman"/>
          <w:color w:val="auto"/>
          <w:kern w:val="24"/>
        </w:rPr>
        <w:t>是否保持</w:t>
      </w:r>
      <w:r>
        <w:rPr>
          <w:rFonts w:ascii="Times New Roman"/>
          <w:color w:val="auto"/>
        </w:rPr>
        <w:t>清晰、完整，当发现有损坏或颜色有变化，应及时修复或更换。</w:t>
      </w:r>
    </w:p>
    <w:p w14:paraId="5B0F8DD7">
      <w:pPr>
        <w:spacing w:line="360" w:lineRule="auto"/>
        <w:ind w:firstLine="480" w:firstLineChars="200"/>
        <w:rPr>
          <w:color w:val="auto"/>
          <w:sz w:val="24"/>
        </w:rPr>
      </w:pPr>
      <w:r>
        <w:rPr>
          <w:color w:val="auto"/>
          <w:sz w:val="24"/>
        </w:rPr>
        <w:t>（4）排污口建档管理</w:t>
      </w:r>
    </w:p>
    <w:p w14:paraId="686F9CE2">
      <w:pPr>
        <w:spacing w:line="360" w:lineRule="auto"/>
        <w:ind w:firstLine="480" w:firstLineChars="200"/>
        <w:rPr>
          <w:color w:val="auto"/>
          <w:sz w:val="24"/>
        </w:rPr>
      </w:pPr>
      <w:r>
        <w:rPr>
          <w:rFonts w:hint="eastAsia"/>
          <w:color w:val="auto"/>
          <w:sz w:val="24"/>
        </w:rPr>
        <w:t>①</w:t>
      </w:r>
      <w:r>
        <w:rPr>
          <w:color w:val="auto"/>
          <w:sz w:val="24"/>
        </w:rPr>
        <w:t>要求使用国家环保局统一印刷的《中华人民共和国规范化排污口标志登记证》，并按要求填写有关内容；</w:t>
      </w:r>
    </w:p>
    <w:p w14:paraId="38B7E81D">
      <w:pPr>
        <w:spacing w:line="360" w:lineRule="auto"/>
        <w:ind w:firstLine="480" w:firstLineChars="200"/>
        <w:rPr>
          <w:color w:val="auto"/>
          <w:sz w:val="24"/>
        </w:rPr>
      </w:pPr>
      <w:r>
        <w:rPr>
          <w:rFonts w:hint="eastAsia"/>
          <w:color w:val="auto"/>
          <w:sz w:val="24"/>
        </w:rPr>
        <w:t>②</w:t>
      </w:r>
      <w:r>
        <w:rPr>
          <w:color w:val="auto"/>
          <w:sz w:val="24"/>
        </w:rPr>
        <w:t>根据排污口管理档案内容要求，项目建成后，应将主要污染物种类、数量、浓度、排放去向、达标情况及设施运行情况纪录于档案。</w:t>
      </w:r>
    </w:p>
    <w:p w14:paraId="1EB4F438">
      <w:pPr>
        <w:spacing w:line="360" w:lineRule="auto"/>
        <w:jc w:val="center"/>
        <w:rPr>
          <w:rFonts w:hint="eastAsia"/>
          <w:b/>
          <w:bCs/>
          <w:color w:val="auto"/>
          <w:sz w:val="24"/>
          <w:lang w:val="en-US" w:eastAsia="zh-CN"/>
        </w:rPr>
      </w:pPr>
    </w:p>
    <w:p w14:paraId="3F03A48E">
      <w:pPr>
        <w:spacing w:line="360" w:lineRule="auto"/>
        <w:jc w:val="center"/>
        <w:rPr>
          <w:rFonts w:hint="eastAsia"/>
          <w:b/>
          <w:bCs/>
          <w:color w:val="auto"/>
          <w:sz w:val="24"/>
          <w:lang w:val="en-US" w:eastAsia="zh-CN"/>
        </w:rPr>
      </w:pPr>
    </w:p>
    <w:p w14:paraId="07EEFF04">
      <w:pPr>
        <w:spacing w:line="360" w:lineRule="auto"/>
        <w:jc w:val="center"/>
        <w:rPr>
          <w:rFonts w:hint="eastAsia"/>
          <w:b/>
          <w:bCs/>
          <w:color w:val="auto"/>
          <w:sz w:val="24"/>
          <w:lang w:val="en-US" w:eastAsia="zh-CN"/>
        </w:rPr>
      </w:pPr>
    </w:p>
    <w:p w14:paraId="2DF5A4E0">
      <w:pPr>
        <w:spacing w:line="360" w:lineRule="auto"/>
        <w:jc w:val="center"/>
        <w:rPr>
          <w:rFonts w:hint="eastAsia"/>
          <w:b/>
          <w:bCs/>
          <w:color w:val="auto"/>
          <w:sz w:val="24"/>
          <w:lang w:val="en-US" w:eastAsia="zh-CN"/>
        </w:rPr>
      </w:pPr>
    </w:p>
    <w:p w14:paraId="6F16C2E4">
      <w:pPr>
        <w:spacing w:line="360" w:lineRule="auto"/>
        <w:jc w:val="center"/>
        <w:rPr>
          <w:rFonts w:hint="eastAsia"/>
          <w:b/>
          <w:bCs/>
          <w:color w:val="auto"/>
          <w:sz w:val="24"/>
          <w:lang w:val="en-US" w:eastAsia="zh-CN"/>
        </w:rPr>
      </w:pPr>
    </w:p>
    <w:p w14:paraId="3CBA3D25">
      <w:pPr>
        <w:spacing w:line="360" w:lineRule="auto"/>
        <w:jc w:val="center"/>
        <w:rPr>
          <w:rFonts w:hint="eastAsia"/>
          <w:b/>
          <w:bCs/>
          <w:color w:val="auto"/>
          <w:sz w:val="24"/>
          <w:lang w:val="en-US" w:eastAsia="zh-CN"/>
        </w:rPr>
      </w:pPr>
    </w:p>
    <w:p w14:paraId="160F7652">
      <w:pPr>
        <w:spacing w:line="360" w:lineRule="auto"/>
        <w:jc w:val="center"/>
        <w:rPr>
          <w:rFonts w:hint="eastAsia"/>
          <w:b/>
          <w:bCs/>
          <w:color w:val="auto"/>
          <w:sz w:val="24"/>
          <w:lang w:val="en-US" w:eastAsia="zh-CN"/>
        </w:rPr>
      </w:pPr>
    </w:p>
    <w:p w14:paraId="4DAE1CAD">
      <w:pPr>
        <w:spacing w:line="360" w:lineRule="auto"/>
        <w:jc w:val="center"/>
        <w:rPr>
          <w:rFonts w:hint="eastAsia"/>
          <w:b/>
          <w:bCs/>
          <w:color w:val="auto"/>
          <w:sz w:val="24"/>
          <w:lang w:val="en-US" w:eastAsia="zh-CN"/>
        </w:rPr>
      </w:pPr>
      <w:r>
        <w:rPr>
          <w:rFonts w:hint="eastAsia"/>
          <w:b/>
          <w:bCs/>
          <w:color w:val="auto"/>
          <w:sz w:val="24"/>
          <w:lang w:val="en-US" w:eastAsia="zh-CN"/>
        </w:rPr>
        <w:t>表10.3-1 各类环境保护图形标识汇总一览表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56080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14:paraId="17C71681">
            <w:pPr>
              <w:pStyle w:val="50"/>
              <w:rPr>
                <w:rFonts w:hint="default"/>
                <w:vertAlign w:val="baseline"/>
                <w:lang w:val="en-US" w:eastAsia="zh-CN"/>
              </w:rPr>
            </w:pPr>
            <w:r>
              <w:drawing>
                <wp:inline distT="0" distB="0" distL="114300" distR="114300">
                  <wp:extent cx="5391785" cy="2413000"/>
                  <wp:effectExtent l="0" t="0" r="18415" b="6350"/>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54"/>
                          <a:stretch>
                            <a:fillRect/>
                          </a:stretch>
                        </pic:blipFill>
                        <pic:spPr>
                          <a:xfrm>
                            <a:off x="0" y="0"/>
                            <a:ext cx="5391785" cy="2413000"/>
                          </a:xfrm>
                          <a:prstGeom prst="rect">
                            <a:avLst/>
                          </a:prstGeom>
                          <a:noFill/>
                          <a:ln>
                            <a:noFill/>
                          </a:ln>
                        </pic:spPr>
                      </pic:pic>
                    </a:graphicData>
                  </a:graphic>
                </wp:inline>
              </w:drawing>
            </w:r>
          </w:p>
        </w:tc>
      </w:tr>
    </w:tbl>
    <w:p w14:paraId="4E93F670">
      <w:pPr>
        <w:pStyle w:val="50"/>
        <w:rPr>
          <w:rFonts w:hint="default"/>
          <w:lang w:val="en-US" w:eastAsia="zh-CN"/>
        </w:rPr>
      </w:pPr>
    </w:p>
    <w:p w14:paraId="31D6F425">
      <w:pPr>
        <w:pStyle w:val="4"/>
        <w:bidi w:val="0"/>
        <w:rPr>
          <w:rFonts w:hint="default" w:ascii="Times New Roman" w:hAnsi="Times New Roman" w:cs="Times New Roman" w:eastAsiaTheme="minorEastAsia"/>
          <w:lang w:val="en-US" w:eastAsia="zh-CN"/>
        </w:rPr>
      </w:pPr>
      <w:bookmarkStart w:id="209" w:name="_Toc9047"/>
      <w:r>
        <w:rPr>
          <w:rFonts w:hint="default" w:ascii="Times New Roman" w:hAnsi="Times New Roman" w:cs="Times New Roman" w:eastAsiaTheme="minorEastAsia"/>
          <w:lang w:val="en-US" w:eastAsia="zh-CN"/>
        </w:rPr>
        <w:t>10.4总量控制</w:t>
      </w:r>
      <w:bookmarkEnd w:id="209"/>
    </w:p>
    <w:p w14:paraId="4BA3087C">
      <w:pPr>
        <w:spacing w:line="360" w:lineRule="auto"/>
        <w:ind w:firstLine="480" w:firstLineChars="200"/>
        <w:jc w:val="left"/>
        <w:rPr>
          <w:rFonts w:hint="eastAsia"/>
          <w:color w:val="auto"/>
          <w:sz w:val="24"/>
        </w:rPr>
      </w:pPr>
      <w:r>
        <w:rPr>
          <w:rFonts w:hint="eastAsia" w:ascii="宋体" w:hAnsi="宋体" w:cs="宋体"/>
          <w:color w:val="auto"/>
          <w:sz w:val="24"/>
          <w:szCs w:val="24"/>
          <w:highlight w:val="none"/>
          <w:lang w:val="en-US" w:eastAsia="zh-CN"/>
        </w:rPr>
        <w:t>根</w:t>
      </w:r>
      <w:r>
        <w:rPr>
          <w:rFonts w:ascii="宋体" w:hAnsi="宋体" w:cs="宋体"/>
          <w:color w:val="auto"/>
          <w:sz w:val="24"/>
          <w:szCs w:val="24"/>
          <w:highlight w:val="none"/>
        </w:rPr>
        <w:t>据国</w:t>
      </w:r>
      <w:r>
        <w:rPr>
          <w:rFonts w:hint="eastAsia"/>
          <w:color w:val="auto"/>
          <w:sz w:val="24"/>
          <w:szCs w:val="24"/>
          <w:highlight w:val="none"/>
        </w:rPr>
        <w:t>家环境保护部关于印发《建设项目主要污染物排放总量指标审核及管理暂行办法》的通知（环发[2014]197号）、辽宁省环保厅关于《贯彻执行环保部建设项目主要污染物排</w:t>
      </w:r>
      <w:r>
        <w:rPr>
          <w:rFonts w:hint="default" w:ascii="Times New Roman" w:hAnsi="Times New Roman" w:cs="Times New Roman"/>
          <w:color w:val="auto"/>
          <w:sz w:val="24"/>
          <w:szCs w:val="24"/>
          <w:highlight w:val="none"/>
        </w:rPr>
        <w:t>放总量指标审核及管理暂行办法》的通知（辽环发[2015]17号）规定及《辽宁省生态环境厅关于进一步加强建设项目主要污染物排放总量指标审核和管理的通知》（辽环综函[2020]380号，辽宁省生态环境厅2020年6月23日发布执行）文件要求，污染物总量控制因子为：化学需氧量、氨氮、氮氧化物、VOCs。</w:t>
      </w:r>
    </w:p>
    <w:p w14:paraId="09FE628B">
      <w:pPr>
        <w:spacing w:line="360" w:lineRule="auto"/>
        <w:ind w:firstLine="480" w:firstLineChars="200"/>
        <w:jc w:val="left"/>
        <w:rPr>
          <w:rFonts w:hint="eastAsia"/>
          <w:color w:val="auto"/>
          <w:sz w:val="24"/>
        </w:rPr>
      </w:pPr>
      <w:r>
        <w:rPr>
          <w:rFonts w:hint="eastAsia"/>
          <w:color w:val="auto"/>
          <w:sz w:val="24"/>
          <w:lang w:val="en-US" w:eastAsia="zh-CN"/>
        </w:rPr>
        <w:t>本项目不建设锅炉，冬季供暖采用电取暖，生产过程产生的废气污染物为颗粒物，无NO</w:t>
      </w:r>
      <w:r>
        <w:rPr>
          <w:rFonts w:hint="eastAsia"/>
          <w:color w:val="auto"/>
          <w:sz w:val="24"/>
          <w:vertAlign w:val="subscript"/>
          <w:lang w:val="en-US" w:eastAsia="zh-CN"/>
        </w:rPr>
        <w:t>X</w:t>
      </w:r>
      <w:r>
        <w:rPr>
          <w:rFonts w:hint="eastAsia"/>
          <w:color w:val="auto"/>
          <w:sz w:val="24"/>
          <w:lang w:val="en-US" w:eastAsia="zh-CN"/>
        </w:rPr>
        <w:t>及VOCs产生。生产废水全部回用，生活污水排入防渗旱厕后定期清掏，废水均不外排，故本项目不涉及总量控制指标。</w:t>
      </w:r>
    </w:p>
    <w:p w14:paraId="448490AB">
      <w:pPr>
        <w:pStyle w:val="4"/>
        <w:bidi w:val="0"/>
        <w:rPr>
          <w:rFonts w:hint="default" w:ascii="Times New Roman" w:hAnsi="Times New Roman" w:cs="Times New Roman" w:eastAsiaTheme="minorEastAsia"/>
          <w:lang w:val="en-US" w:eastAsia="zh-CN"/>
        </w:rPr>
      </w:pPr>
      <w:bookmarkStart w:id="210" w:name="_Toc30382"/>
      <w:r>
        <w:rPr>
          <w:rFonts w:hint="default" w:ascii="Times New Roman" w:hAnsi="Times New Roman" w:cs="Times New Roman" w:eastAsiaTheme="minorEastAsia"/>
          <w:lang w:val="en-US" w:eastAsia="zh-CN"/>
        </w:rPr>
        <w:t>10.5“三同时”竣工环境保护验收</w:t>
      </w:r>
      <w:bookmarkEnd w:id="210"/>
    </w:p>
    <w:p w14:paraId="2C7F0482">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项目必须严格执行</w:t>
      </w:r>
      <w:r>
        <w:rPr>
          <w:rFonts w:hint="eastAsia" w:cs="Times New Roman"/>
          <w:color w:val="auto"/>
          <w:sz w:val="24"/>
          <w:lang w:val="en-US" w:eastAsia="zh-CN"/>
        </w:rPr>
        <w:t>“三同时”</w:t>
      </w:r>
      <w:r>
        <w:rPr>
          <w:rFonts w:hint="eastAsia" w:ascii="Times New Roman" w:hAnsi="Times New Roman" w:eastAsia="宋体" w:cs="Times New Roman"/>
          <w:color w:val="auto"/>
          <w:sz w:val="24"/>
          <w:lang w:val="en-US" w:eastAsia="zh-CN"/>
        </w:rPr>
        <w:t>制度，本次评价提出的各项污染防治措施、生态保护及恢复措施必须与主体工程同时设计、同时施工、同时投入使用，具体如下。</w:t>
      </w:r>
    </w:p>
    <w:p w14:paraId="4E24CA75">
      <w:pPr>
        <w:spacing w:line="360" w:lineRule="auto"/>
        <w:jc w:val="center"/>
        <w:rPr>
          <w:rFonts w:hint="eastAsia" w:ascii="Times New Roman" w:hAnsi="Times New Roman" w:eastAsia="宋体" w:cs="Times New Roman"/>
          <w:b/>
          <w:color w:val="auto"/>
          <w:kern w:val="2"/>
          <w:sz w:val="24"/>
          <w:szCs w:val="24"/>
          <w:highlight w:val="none"/>
          <w:lang w:val="en-US" w:eastAsia="zh-CN" w:bidi="ar-SA"/>
        </w:rPr>
      </w:pPr>
    </w:p>
    <w:p w14:paraId="0217AF3F">
      <w:pPr>
        <w:spacing w:line="360" w:lineRule="auto"/>
        <w:jc w:val="center"/>
        <w:rPr>
          <w:rFonts w:hint="eastAsia" w:ascii="Times New Roman" w:hAnsi="Times New Roman" w:eastAsia="宋体" w:cs="Times New Roman"/>
          <w:b/>
          <w:color w:val="auto"/>
          <w:kern w:val="2"/>
          <w:sz w:val="24"/>
          <w:szCs w:val="24"/>
          <w:highlight w:val="none"/>
          <w:lang w:val="en-US" w:eastAsia="zh-CN" w:bidi="ar-SA"/>
        </w:rPr>
      </w:pPr>
      <w:r>
        <w:rPr>
          <w:rFonts w:hint="eastAsia" w:ascii="Times New Roman" w:hAnsi="Times New Roman" w:eastAsia="宋体" w:cs="Times New Roman"/>
          <w:b/>
          <w:color w:val="auto"/>
          <w:kern w:val="2"/>
          <w:sz w:val="24"/>
          <w:szCs w:val="24"/>
          <w:highlight w:val="none"/>
          <w:lang w:val="en-US" w:eastAsia="zh-CN" w:bidi="ar-SA"/>
        </w:rPr>
        <w:t>表</w:t>
      </w:r>
      <w:r>
        <w:rPr>
          <w:rFonts w:hint="eastAsia" w:cs="Times New Roman"/>
          <w:b/>
          <w:color w:val="auto"/>
          <w:kern w:val="2"/>
          <w:sz w:val="24"/>
          <w:szCs w:val="24"/>
          <w:highlight w:val="none"/>
          <w:lang w:val="en-US" w:eastAsia="zh-CN" w:bidi="ar-SA"/>
        </w:rPr>
        <w:t>10</w:t>
      </w:r>
      <w:r>
        <w:rPr>
          <w:rFonts w:hint="eastAsia" w:ascii="Times New Roman" w:hAnsi="Times New Roman" w:eastAsia="宋体" w:cs="Times New Roman"/>
          <w:b/>
          <w:color w:val="auto"/>
          <w:kern w:val="2"/>
          <w:sz w:val="24"/>
          <w:szCs w:val="24"/>
          <w:highlight w:val="none"/>
          <w:lang w:val="en-US" w:eastAsia="zh-CN" w:bidi="ar-SA"/>
        </w:rPr>
        <w:t>.</w:t>
      </w:r>
      <w:r>
        <w:rPr>
          <w:rFonts w:hint="eastAsia" w:cs="Times New Roman"/>
          <w:b/>
          <w:color w:val="auto"/>
          <w:kern w:val="2"/>
          <w:sz w:val="24"/>
          <w:szCs w:val="24"/>
          <w:highlight w:val="none"/>
          <w:lang w:val="en-US" w:eastAsia="zh-CN" w:bidi="ar-SA"/>
        </w:rPr>
        <w:t>5</w:t>
      </w:r>
      <w:r>
        <w:rPr>
          <w:rFonts w:hint="eastAsia" w:ascii="Times New Roman" w:hAnsi="Times New Roman" w:eastAsia="宋体" w:cs="Times New Roman"/>
          <w:b/>
          <w:color w:val="auto"/>
          <w:kern w:val="2"/>
          <w:sz w:val="24"/>
          <w:szCs w:val="24"/>
          <w:highlight w:val="none"/>
          <w:lang w:val="en-US" w:eastAsia="zh-CN" w:bidi="ar-SA"/>
        </w:rPr>
        <w:t xml:space="preserve">-1    </w:t>
      </w:r>
      <w:r>
        <w:rPr>
          <w:rFonts w:hint="eastAsia" w:cs="Times New Roman"/>
          <w:b/>
          <w:color w:val="auto"/>
          <w:kern w:val="2"/>
          <w:sz w:val="24"/>
          <w:szCs w:val="24"/>
          <w:highlight w:val="none"/>
          <w:lang w:val="en-US" w:eastAsia="zh-CN" w:bidi="ar-SA"/>
        </w:rPr>
        <w:t>“三同时”</w:t>
      </w:r>
      <w:r>
        <w:rPr>
          <w:rFonts w:hint="eastAsia" w:ascii="Times New Roman" w:hAnsi="Times New Roman" w:eastAsia="宋体" w:cs="Times New Roman"/>
          <w:b/>
          <w:color w:val="auto"/>
          <w:kern w:val="2"/>
          <w:sz w:val="24"/>
          <w:szCs w:val="24"/>
          <w:highlight w:val="none"/>
          <w:lang w:val="en-US" w:eastAsia="zh-CN" w:bidi="ar-SA"/>
        </w:rPr>
        <w:t>验收一览表</w:t>
      </w:r>
    </w:p>
    <w:tbl>
      <w:tblPr>
        <w:tblStyle w:val="1496"/>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1598"/>
        <w:gridCol w:w="3321"/>
        <w:gridCol w:w="2075"/>
        <w:gridCol w:w="968"/>
      </w:tblGrid>
      <w:tr w14:paraId="653E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4EF250A1">
            <w:pPr>
              <w:pStyle w:val="148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序号</w:t>
            </w:r>
          </w:p>
        </w:tc>
        <w:tc>
          <w:tcPr>
            <w:tcW w:w="1598" w:type="dxa"/>
            <w:tcBorders>
              <w:tl2br w:val="nil"/>
              <w:tr2bl w:val="nil"/>
            </w:tcBorders>
            <w:vAlign w:val="center"/>
          </w:tcPr>
          <w:p w14:paraId="3D58DFC5">
            <w:pPr>
              <w:pStyle w:val="148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环保项目</w:t>
            </w:r>
          </w:p>
        </w:tc>
        <w:tc>
          <w:tcPr>
            <w:tcW w:w="3321" w:type="dxa"/>
            <w:tcBorders>
              <w:tl2br w:val="nil"/>
              <w:tr2bl w:val="nil"/>
            </w:tcBorders>
            <w:vAlign w:val="center"/>
          </w:tcPr>
          <w:p w14:paraId="0A64EB45">
            <w:pPr>
              <w:pStyle w:val="148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工程内容及技术要求</w:t>
            </w:r>
          </w:p>
        </w:tc>
        <w:tc>
          <w:tcPr>
            <w:tcW w:w="2075" w:type="dxa"/>
            <w:tcBorders>
              <w:tl2br w:val="nil"/>
              <w:tr2bl w:val="nil"/>
            </w:tcBorders>
            <w:vAlign w:val="center"/>
          </w:tcPr>
          <w:p w14:paraId="344AE1ED">
            <w:pPr>
              <w:pStyle w:val="148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验收要求</w:t>
            </w:r>
          </w:p>
        </w:tc>
        <w:tc>
          <w:tcPr>
            <w:tcW w:w="968" w:type="dxa"/>
            <w:tcBorders>
              <w:tl2br w:val="nil"/>
              <w:tr2bl w:val="nil"/>
            </w:tcBorders>
            <w:vAlign w:val="center"/>
          </w:tcPr>
          <w:p w14:paraId="0536EB35">
            <w:pPr>
              <w:pStyle w:val="148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备注</w:t>
            </w:r>
          </w:p>
        </w:tc>
      </w:tr>
      <w:tr w14:paraId="7A111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1AEF440B">
            <w:pPr>
              <w:pStyle w:val="1489"/>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一</w:t>
            </w:r>
          </w:p>
        </w:tc>
        <w:tc>
          <w:tcPr>
            <w:tcW w:w="7962" w:type="dxa"/>
            <w:gridSpan w:val="4"/>
            <w:tcBorders>
              <w:tl2br w:val="nil"/>
              <w:tr2bl w:val="nil"/>
            </w:tcBorders>
            <w:vAlign w:val="center"/>
          </w:tcPr>
          <w:p w14:paraId="2DAACB48">
            <w:pPr>
              <w:pStyle w:val="1489"/>
              <w:rPr>
                <w:rFonts w:hint="eastAsia" w:eastAsia="宋体" w:cs="Times New Roman"/>
                <w:b/>
                <w:bCs w:val="0"/>
                <w:color w:val="auto"/>
                <w:sz w:val="21"/>
                <w:szCs w:val="21"/>
                <w:lang w:eastAsia="zh-CN"/>
              </w:rPr>
            </w:pPr>
            <w:r>
              <w:rPr>
                <w:rFonts w:hint="eastAsia" w:eastAsia="宋体" w:cs="Times New Roman"/>
                <w:b/>
                <w:bCs w:val="0"/>
                <w:color w:val="auto"/>
                <w:sz w:val="21"/>
                <w:szCs w:val="21"/>
                <w:lang w:eastAsia="zh-CN"/>
              </w:rPr>
              <w:t>废水处理</w:t>
            </w:r>
          </w:p>
        </w:tc>
      </w:tr>
      <w:tr w14:paraId="0839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77B9E6C6">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1598" w:type="dxa"/>
            <w:tcBorders>
              <w:tl2br w:val="nil"/>
              <w:tr2bl w:val="nil"/>
            </w:tcBorders>
            <w:vAlign w:val="center"/>
          </w:tcPr>
          <w:p w14:paraId="472C78CE">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生活污水处理设施</w:t>
            </w:r>
          </w:p>
        </w:tc>
        <w:tc>
          <w:tcPr>
            <w:tcW w:w="3321" w:type="dxa"/>
            <w:tcBorders>
              <w:tl2br w:val="nil"/>
              <w:tr2bl w:val="nil"/>
            </w:tcBorders>
            <w:vAlign w:val="center"/>
          </w:tcPr>
          <w:p w14:paraId="68800E02">
            <w:pPr>
              <w:pStyle w:val="1489"/>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依托现有</w:t>
            </w:r>
            <w:r>
              <w:rPr>
                <w:rFonts w:hint="default" w:ascii="Times New Roman" w:hAnsi="Times New Roman" w:eastAsia="宋体" w:cs="Times New Roman"/>
                <w:b w:val="0"/>
                <w:bCs/>
                <w:color w:val="auto"/>
                <w:sz w:val="21"/>
                <w:szCs w:val="21"/>
              </w:rPr>
              <w:t>防渗旱厕</w:t>
            </w:r>
            <w:r>
              <w:rPr>
                <w:rFonts w:hint="eastAsia" w:eastAsia="宋体" w:cs="Times New Roman"/>
                <w:b w:val="0"/>
                <w:bCs/>
                <w:color w:val="auto"/>
                <w:sz w:val="21"/>
                <w:szCs w:val="21"/>
                <w:lang w:eastAsia="zh-CN"/>
              </w:rPr>
              <w:t>，</w:t>
            </w:r>
            <w:r>
              <w:rPr>
                <w:rFonts w:hint="default" w:ascii="Times New Roman" w:hAnsi="Times New Roman" w:eastAsia="宋体" w:cs="Times New Roman"/>
                <w:b w:val="0"/>
                <w:bCs/>
                <w:color w:val="auto"/>
                <w:sz w:val="21"/>
                <w:szCs w:val="21"/>
              </w:rPr>
              <w:t>1座</w:t>
            </w:r>
          </w:p>
        </w:tc>
        <w:tc>
          <w:tcPr>
            <w:tcW w:w="2075" w:type="dxa"/>
            <w:tcBorders>
              <w:tl2br w:val="nil"/>
              <w:tr2bl w:val="nil"/>
            </w:tcBorders>
            <w:vAlign w:val="center"/>
          </w:tcPr>
          <w:p w14:paraId="6E4E230B">
            <w:pPr>
              <w:pStyle w:val="1489"/>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生活污水不外排</w:t>
            </w:r>
          </w:p>
        </w:tc>
        <w:tc>
          <w:tcPr>
            <w:tcW w:w="968" w:type="dxa"/>
            <w:vMerge w:val="restart"/>
            <w:tcBorders>
              <w:tl2br w:val="nil"/>
              <w:tr2bl w:val="nil"/>
            </w:tcBorders>
            <w:vAlign w:val="center"/>
          </w:tcPr>
          <w:p w14:paraId="63EE4731">
            <w:pPr>
              <w:pStyle w:val="1489"/>
              <w:rPr>
                <w:rFonts w:hint="eastAsia" w:ascii="Times New Roman" w:hAnsi="Times New Roman" w:eastAsia="宋体" w:cs="Times New Roman"/>
                <w:b w:val="0"/>
                <w:bCs/>
                <w:color w:val="auto"/>
                <w:sz w:val="21"/>
                <w:szCs w:val="21"/>
                <w:lang w:eastAsia="zh-CN"/>
              </w:rPr>
            </w:pPr>
            <w:r>
              <w:rPr>
                <w:rFonts w:hint="eastAsia" w:eastAsia="宋体" w:cs="Times New Roman"/>
                <w:b w:val="0"/>
                <w:bCs/>
                <w:color w:val="auto"/>
                <w:sz w:val="21"/>
                <w:szCs w:val="21"/>
                <w:lang w:eastAsia="zh-CN"/>
              </w:rPr>
              <w:t>与主体工程“同时设计、同时施工、同时投产使用”</w:t>
            </w:r>
          </w:p>
        </w:tc>
      </w:tr>
      <w:tr w14:paraId="0F0A5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38E79B2B">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1598" w:type="dxa"/>
            <w:tcBorders>
              <w:tl2br w:val="nil"/>
              <w:tr2bl w:val="nil"/>
            </w:tcBorders>
            <w:vAlign w:val="center"/>
          </w:tcPr>
          <w:p w14:paraId="6031085B">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循环水池</w:t>
            </w:r>
          </w:p>
        </w:tc>
        <w:tc>
          <w:tcPr>
            <w:tcW w:w="3321" w:type="dxa"/>
            <w:tcBorders>
              <w:tl2br w:val="nil"/>
              <w:tr2bl w:val="nil"/>
            </w:tcBorders>
            <w:vAlign w:val="center"/>
          </w:tcPr>
          <w:p w14:paraId="666A4752">
            <w:pPr>
              <w:pStyle w:val="1489"/>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依托现有循环水池</w:t>
            </w:r>
            <w:r>
              <w:rPr>
                <w:rFonts w:hint="eastAsia" w:eastAsia="宋体" w:cs="Times New Roman"/>
                <w:b w:val="0"/>
                <w:bCs/>
                <w:color w:val="auto"/>
                <w:sz w:val="21"/>
                <w:szCs w:val="21"/>
                <w:lang w:eastAsia="zh-CN"/>
              </w:rPr>
              <w:t>，</w:t>
            </w:r>
            <w:r>
              <w:rPr>
                <w:rFonts w:hint="eastAsia" w:eastAsia="宋体" w:cs="Times New Roman"/>
                <w:b w:val="0"/>
                <w:bCs/>
                <w:color w:val="auto"/>
                <w:sz w:val="21"/>
                <w:szCs w:val="21"/>
                <w:lang w:val="en-US" w:eastAsia="zh-CN"/>
              </w:rPr>
              <w:t>2座，单池</w:t>
            </w:r>
            <w:r>
              <w:rPr>
                <w:rFonts w:hint="eastAsia" w:eastAsia="宋体" w:cs="Times New Roman"/>
                <w:b w:val="0"/>
                <w:bCs/>
                <w:color w:val="auto"/>
                <w:sz w:val="21"/>
                <w:szCs w:val="21"/>
                <w:lang w:eastAsia="zh-CN"/>
              </w:rPr>
              <w:t>容积</w:t>
            </w:r>
            <w:r>
              <w:rPr>
                <w:rFonts w:hint="eastAsia" w:eastAsia="宋体" w:cs="Times New Roman"/>
                <w:b w:val="0"/>
                <w:bCs/>
                <w:color w:val="auto"/>
                <w:sz w:val="21"/>
                <w:szCs w:val="21"/>
                <w:lang w:val="en-US" w:eastAsia="zh-CN"/>
              </w:rPr>
              <w:t>1000m</w:t>
            </w:r>
            <w:r>
              <w:rPr>
                <w:rFonts w:hint="eastAsia" w:eastAsia="宋体" w:cs="Times New Roman"/>
                <w:b w:val="0"/>
                <w:bCs/>
                <w:color w:val="auto"/>
                <w:sz w:val="21"/>
                <w:szCs w:val="21"/>
                <w:vertAlign w:val="superscript"/>
                <w:lang w:val="en-US" w:eastAsia="zh-CN"/>
              </w:rPr>
              <w:t>3</w:t>
            </w:r>
          </w:p>
        </w:tc>
        <w:tc>
          <w:tcPr>
            <w:tcW w:w="2075" w:type="dxa"/>
            <w:tcBorders>
              <w:tl2br w:val="nil"/>
              <w:tr2bl w:val="nil"/>
            </w:tcBorders>
            <w:vAlign w:val="center"/>
          </w:tcPr>
          <w:p w14:paraId="7443D50E">
            <w:pPr>
              <w:pStyle w:val="1489"/>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生产废水全部回用，</w:t>
            </w:r>
            <w:r>
              <w:rPr>
                <w:rFonts w:hint="eastAsia" w:eastAsia="宋体" w:cs="Times New Roman"/>
                <w:b w:val="0"/>
                <w:bCs/>
                <w:color w:val="auto"/>
                <w:sz w:val="21"/>
                <w:szCs w:val="21"/>
                <w:lang w:val="en-US" w:eastAsia="zh-CN"/>
              </w:rPr>
              <w:t>不外排</w:t>
            </w:r>
          </w:p>
        </w:tc>
        <w:tc>
          <w:tcPr>
            <w:tcW w:w="968" w:type="dxa"/>
            <w:vMerge w:val="continue"/>
            <w:tcBorders>
              <w:tl2br w:val="nil"/>
              <w:tr2bl w:val="nil"/>
            </w:tcBorders>
            <w:vAlign w:val="center"/>
          </w:tcPr>
          <w:p w14:paraId="6169F237">
            <w:pPr>
              <w:pStyle w:val="1489"/>
              <w:rPr>
                <w:rFonts w:hint="default" w:ascii="Times New Roman" w:hAnsi="Times New Roman" w:eastAsia="宋体" w:cs="Times New Roman"/>
                <w:b w:val="0"/>
                <w:bCs/>
                <w:color w:val="auto"/>
                <w:sz w:val="21"/>
                <w:szCs w:val="21"/>
              </w:rPr>
            </w:pPr>
          </w:p>
        </w:tc>
      </w:tr>
      <w:tr w14:paraId="15FBF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1D9F29CA">
            <w:pPr>
              <w:pStyle w:val="1489"/>
              <w:rPr>
                <w:rFonts w:hint="eastAsia" w:ascii="Times New Roman" w:hAnsi="Times New Roman" w:eastAsia="宋体" w:cs="Times New Roman"/>
                <w:b w:val="0"/>
                <w:bCs/>
                <w:color w:val="auto"/>
                <w:sz w:val="21"/>
                <w:szCs w:val="21"/>
                <w:lang w:eastAsia="zh-CN"/>
              </w:rPr>
            </w:pPr>
            <w:r>
              <w:rPr>
                <w:rFonts w:hint="eastAsia" w:eastAsia="宋体" w:cs="Times New Roman"/>
                <w:b w:val="0"/>
                <w:bCs/>
                <w:color w:val="auto"/>
                <w:sz w:val="21"/>
                <w:szCs w:val="21"/>
                <w:lang w:val="en-US" w:eastAsia="zh-CN"/>
              </w:rPr>
              <w:t>3</w:t>
            </w:r>
          </w:p>
        </w:tc>
        <w:tc>
          <w:tcPr>
            <w:tcW w:w="1598" w:type="dxa"/>
            <w:tcBorders>
              <w:tl2br w:val="nil"/>
              <w:tr2bl w:val="nil"/>
            </w:tcBorders>
            <w:vAlign w:val="center"/>
          </w:tcPr>
          <w:p w14:paraId="2C659866">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事故池</w:t>
            </w:r>
          </w:p>
        </w:tc>
        <w:tc>
          <w:tcPr>
            <w:tcW w:w="3321" w:type="dxa"/>
            <w:tcBorders>
              <w:tl2br w:val="nil"/>
              <w:tr2bl w:val="nil"/>
            </w:tcBorders>
            <w:vAlign w:val="center"/>
          </w:tcPr>
          <w:p w14:paraId="3A41FA51">
            <w:pPr>
              <w:pStyle w:val="1489"/>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依托现有</w:t>
            </w:r>
            <w:r>
              <w:rPr>
                <w:rFonts w:hint="default" w:ascii="Times New Roman" w:hAnsi="Times New Roman" w:eastAsia="宋体" w:cs="Times New Roman"/>
                <w:b w:val="0"/>
                <w:bCs/>
                <w:color w:val="auto"/>
                <w:sz w:val="21"/>
                <w:szCs w:val="21"/>
              </w:rPr>
              <w:t>事故池1</w:t>
            </w:r>
            <w:r>
              <w:rPr>
                <w:rFonts w:hint="eastAsia" w:eastAsia="宋体" w:cs="Times New Roman"/>
                <w:b w:val="0"/>
                <w:bCs/>
                <w:color w:val="auto"/>
                <w:sz w:val="21"/>
                <w:szCs w:val="21"/>
                <w:lang w:val="en-US" w:eastAsia="zh-CN"/>
              </w:rPr>
              <w:t>座</w:t>
            </w:r>
            <w:r>
              <w:rPr>
                <w:rFonts w:hint="default" w:ascii="Times New Roman" w:hAnsi="Times New Roman" w:eastAsia="宋体" w:cs="Times New Roman"/>
                <w:b w:val="0"/>
                <w:bCs/>
                <w:color w:val="auto"/>
                <w:sz w:val="21"/>
                <w:szCs w:val="21"/>
              </w:rPr>
              <w:t>，位于厂</w:t>
            </w:r>
            <w:r>
              <w:rPr>
                <w:rFonts w:hint="default" w:ascii="Times New Roman" w:hAnsi="Times New Roman" w:eastAsia="宋体" w:cs="Times New Roman"/>
                <w:b w:val="0"/>
                <w:bCs/>
                <w:color w:val="auto"/>
                <w:sz w:val="21"/>
                <w:szCs w:val="21"/>
                <w:highlight w:val="none"/>
                <w:shd w:val="clear"/>
              </w:rPr>
              <w:t>区</w:t>
            </w:r>
            <w:r>
              <w:rPr>
                <w:rFonts w:hint="eastAsia" w:eastAsia="宋体" w:cs="Times New Roman"/>
                <w:b w:val="0"/>
                <w:bCs/>
                <w:color w:val="auto"/>
                <w:sz w:val="21"/>
                <w:szCs w:val="21"/>
                <w:highlight w:val="none"/>
                <w:shd w:val="clear"/>
                <w:lang w:eastAsia="zh-CN"/>
              </w:rPr>
              <w:t>地势最低处</w:t>
            </w:r>
            <w:r>
              <w:rPr>
                <w:rFonts w:hint="default" w:ascii="Times New Roman" w:hAnsi="Times New Roman" w:eastAsia="宋体" w:cs="Times New Roman"/>
                <w:b w:val="0"/>
                <w:bCs/>
                <w:color w:val="auto"/>
                <w:sz w:val="21"/>
                <w:szCs w:val="21"/>
                <w:highlight w:val="none"/>
                <w:shd w:val="clear"/>
              </w:rPr>
              <w:t>，有效容积</w:t>
            </w:r>
            <w:r>
              <w:rPr>
                <w:rFonts w:hint="eastAsia" w:eastAsia="宋体" w:cs="Times New Roman"/>
                <w:b w:val="0"/>
                <w:bCs/>
                <w:color w:val="auto"/>
                <w:sz w:val="21"/>
                <w:szCs w:val="21"/>
                <w:highlight w:val="none"/>
                <w:shd w:val="clear"/>
                <w:lang w:val="en-US" w:eastAsia="zh-CN"/>
              </w:rPr>
              <w:t>1000</w:t>
            </w:r>
            <w:r>
              <w:rPr>
                <w:rFonts w:hint="default" w:ascii="Times New Roman" w:hAnsi="Times New Roman" w:eastAsia="宋体" w:cs="Times New Roman"/>
                <w:b w:val="0"/>
                <w:bCs/>
                <w:color w:val="auto"/>
                <w:sz w:val="21"/>
                <w:szCs w:val="21"/>
                <w:highlight w:val="none"/>
                <w:shd w:val="clear"/>
              </w:rPr>
              <w:t>m</w:t>
            </w:r>
            <w:r>
              <w:rPr>
                <w:rFonts w:hint="default" w:ascii="Times New Roman" w:hAnsi="Times New Roman" w:eastAsia="宋体" w:cs="Times New Roman"/>
                <w:b w:val="0"/>
                <w:bCs/>
                <w:color w:val="auto"/>
                <w:sz w:val="21"/>
                <w:szCs w:val="21"/>
                <w:highlight w:val="none"/>
                <w:shd w:val="clear"/>
                <w:vertAlign w:val="superscript"/>
              </w:rPr>
              <w:t>3</w:t>
            </w:r>
            <w:r>
              <w:rPr>
                <w:rFonts w:hint="default" w:ascii="Times New Roman" w:hAnsi="Times New Roman" w:eastAsia="宋体" w:cs="Times New Roman"/>
                <w:b w:val="0"/>
                <w:bCs/>
                <w:color w:val="auto"/>
                <w:sz w:val="21"/>
                <w:szCs w:val="21"/>
                <w:highlight w:val="none"/>
                <w:shd w:val="clear"/>
              </w:rPr>
              <w:t>。</w:t>
            </w:r>
          </w:p>
        </w:tc>
        <w:tc>
          <w:tcPr>
            <w:tcW w:w="2075" w:type="dxa"/>
            <w:tcBorders>
              <w:tl2br w:val="nil"/>
              <w:tr2bl w:val="nil"/>
            </w:tcBorders>
            <w:vAlign w:val="center"/>
          </w:tcPr>
          <w:p w14:paraId="70DD1984">
            <w:pPr>
              <w:pStyle w:val="1489"/>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有效容积可容纳事故发生时排水量，且池底</w:t>
            </w:r>
            <w:r>
              <w:rPr>
                <w:rFonts w:hint="default" w:ascii="Times New Roman" w:hAnsi="Times New Roman" w:eastAsia="宋体" w:cs="Times New Roman"/>
                <w:b w:val="0"/>
                <w:bCs/>
                <w:color w:val="auto"/>
                <w:sz w:val="21"/>
                <w:szCs w:val="21"/>
              </w:rPr>
              <w:t>满足防渗要求</w:t>
            </w:r>
          </w:p>
        </w:tc>
        <w:tc>
          <w:tcPr>
            <w:tcW w:w="968" w:type="dxa"/>
            <w:vMerge w:val="continue"/>
            <w:tcBorders>
              <w:tl2br w:val="nil"/>
              <w:tr2bl w:val="nil"/>
            </w:tcBorders>
            <w:vAlign w:val="center"/>
          </w:tcPr>
          <w:p w14:paraId="658058E7">
            <w:pPr>
              <w:pStyle w:val="1489"/>
              <w:rPr>
                <w:rFonts w:hint="default" w:ascii="Times New Roman" w:hAnsi="Times New Roman" w:eastAsia="宋体" w:cs="Times New Roman"/>
                <w:b w:val="0"/>
                <w:bCs/>
                <w:color w:val="auto"/>
                <w:sz w:val="21"/>
                <w:szCs w:val="21"/>
              </w:rPr>
            </w:pPr>
          </w:p>
        </w:tc>
      </w:tr>
      <w:tr w14:paraId="6DEDE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63FF5066">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二</w:t>
            </w:r>
          </w:p>
        </w:tc>
        <w:tc>
          <w:tcPr>
            <w:tcW w:w="6994" w:type="dxa"/>
            <w:gridSpan w:val="3"/>
            <w:tcBorders>
              <w:tl2br w:val="nil"/>
              <w:tr2bl w:val="nil"/>
            </w:tcBorders>
            <w:vAlign w:val="center"/>
          </w:tcPr>
          <w:p w14:paraId="1DF170FF">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bCs w:val="0"/>
                <w:color w:val="auto"/>
                <w:sz w:val="21"/>
                <w:szCs w:val="21"/>
              </w:rPr>
              <w:t>大气污染防治</w:t>
            </w:r>
          </w:p>
        </w:tc>
        <w:tc>
          <w:tcPr>
            <w:tcW w:w="968" w:type="dxa"/>
            <w:vMerge w:val="continue"/>
            <w:tcBorders>
              <w:tl2br w:val="nil"/>
              <w:tr2bl w:val="nil"/>
            </w:tcBorders>
            <w:vAlign w:val="center"/>
          </w:tcPr>
          <w:p w14:paraId="27E28C2E">
            <w:pPr>
              <w:pStyle w:val="1489"/>
              <w:rPr>
                <w:rFonts w:hint="default" w:ascii="Times New Roman" w:hAnsi="Times New Roman" w:eastAsia="宋体" w:cs="Times New Roman"/>
                <w:b w:val="0"/>
                <w:bCs/>
                <w:color w:val="auto"/>
                <w:sz w:val="21"/>
                <w:szCs w:val="21"/>
              </w:rPr>
            </w:pPr>
          </w:p>
        </w:tc>
      </w:tr>
      <w:tr w14:paraId="69E5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6" w:type="dxa"/>
            <w:tcBorders>
              <w:tl2br w:val="nil"/>
              <w:tr2bl w:val="nil"/>
            </w:tcBorders>
            <w:vAlign w:val="center"/>
          </w:tcPr>
          <w:p w14:paraId="68860054">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w:t>
            </w:r>
          </w:p>
        </w:tc>
        <w:tc>
          <w:tcPr>
            <w:tcW w:w="1598" w:type="dxa"/>
            <w:tcBorders>
              <w:tl2br w:val="nil"/>
              <w:tr2bl w:val="nil"/>
            </w:tcBorders>
            <w:vAlign w:val="center"/>
          </w:tcPr>
          <w:p w14:paraId="534DFA54">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破碎</w:t>
            </w:r>
            <w:r>
              <w:rPr>
                <w:rFonts w:hint="eastAsia" w:eastAsia="宋体" w:cs="Times New Roman"/>
                <w:b w:val="0"/>
                <w:bCs/>
                <w:color w:val="auto"/>
                <w:sz w:val="21"/>
                <w:szCs w:val="21"/>
                <w:lang w:val="en-US" w:eastAsia="zh-CN"/>
              </w:rPr>
              <w:t>区</w:t>
            </w:r>
            <w:r>
              <w:rPr>
                <w:rFonts w:hint="default" w:ascii="Times New Roman" w:hAnsi="Times New Roman" w:eastAsia="宋体" w:cs="Times New Roman"/>
                <w:b w:val="0"/>
                <w:bCs/>
                <w:color w:val="auto"/>
                <w:sz w:val="21"/>
                <w:szCs w:val="21"/>
              </w:rPr>
              <w:t>粉尘</w:t>
            </w:r>
          </w:p>
        </w:tc>
        <w:tc>
          <w:tcPr>
            <w:tcW w:w="3321" w:type="dxa"/>
            <w:vMerge w:val="restart"/>
            <w:tcBorders>
              <w:tl2br w:val="nil"/>
              <w:tr2bl w:val="nil"/>
            </w:tcBorders>
            <w:vAlign w:val="center"/>
          </w:tcPr>
          <w:p w14:paraId="7E57FECD">
            <w:pPr>
              <w:pStyle w:val="1489"/>
              <w:rPr>
                <w:rFonts w:hint="eastAsia" w:ascii="Times New Roman" w:hAnsi="Times New Roman" w:eastAsia="宋体" w:cs="Times New Roman"/>
                <w:b w:val="0"/>
                <w:bCs/>
                <w:color w:val="auto"/>
                <w:sz w:val="21"/>
                <w:szCs w:val="21"/>
                <w:lang w:eastAsia="zh-CN"/>
              </w:rPr>
            </w:pPr>
            <w:r>
              <w:rPr>
                <w:rFonts w:hint="default" w:ascii="Times New Roman" w:hAnsi="Times New Roman" w:eastAsia="宋体" w:cs="Times New Roman"/>
                <w:b w:val="0"/>
                <w:bCs/>
                <w:color w:val="auto"/>
                <w:sz w:val="21"/>
                <w:szCs w:val="21"/>
              </w:rPr>
              <w:t>设备封闭、各产尘点上方安装集气罩，共</w:t>
            </w:r>
            <w:r>
              <w:rPr>
                <w:rFonts w:hint="eastAsia" w:eastAsia="宋体" w:cs="Times New Roman"/>
                <w:b w:val="0"/>
                <w:bCs/>
                <w:color w:val="auto"/>
                <w:sz w:val="21"/>
                <w:szCs w:val="21"/>
                <w:lang w:val="en-US" w:eastAsia="zh-CN"/>
              </w:rPr>
              <w:t>设1</w:t>
            </w:r>
            <w:r>
              <w:rPr>
                <w:rFonts w:hint="default" w:ascii="Times New Roman" w:hAnsi="Times New Roman" w:eastAsia="宋体" w:cs="Times New Roman"/>
                <w:b w:val="0"/>
                <w:bCs/>
                <w:color w:val="auto"/>
                <w:sz w:val="21"/>
                <w:szCs w:val="21"/>
              </w:rPr>
              <w:t>套布袋除尘器</w:t>
            </w:r>
            <w:r>
              <w:rPr>
                <w:rFonts w:hint="eastAsia" w:eastAsia="宋体" w:cs="Times New Roman"/>
                <w:b w:val="0"/>
                <w:bCs/>
                <w:color w:val="auto"/>
                <w:sz w:val="21"/>
                <w:szCs w:val="21"/>
                <w:lang w:eastAsia="zh-CN"/>
              </w:rPr>
              <w:t>（</w:t>
            </w:r>
            <w:r>
              <w:rPr>
                <w:rFonts w:hint="eastAsia" w:eastAsia="宋体" w:cs="Times New Roman"/>
                <w:b w:val="0"/>
                <w:bCs/>
                <w:color w:val="auto"/>
                <w:sz w:val="21"/>
                <w:szCs w:val="21"/>
                <w:lang w:val="en-US" w:eastAsia="zh-CN"/>
              </w:rPr>
              <w:t>TA001）</w:t>
            </w:r>
            <w:r>
              <w:rPr>
                <w:rFonts w:hint="default" w:ascii="Times New Roman" w:hAnsi="Times New Roman" w:eastAsia="宋体" w:cs="Times New Roman"/>
                <w:b w:val="0"/>
                <w:bCs/>
                <w:color w:val="auto"/>
                <w:sz w:val="21"/>
                <w:szCs w:val="21"/>
              </w:rPr>
              <w:t>，1根15m高排气筒</w:t>
            </w:r>
            <w:r>
              <w:rPr>
                <w:rFonts w:hint="eastAsia" w:eastAsia="宋体" w:cs="Times New Roman"/>
                <w:b w:val="0"/>
                <w:bCs/>
                <w:color w:val="auto"/>
                <w:sz w:val="21"/>
                <w:szCs w:val="21"/>
                <w:lang w:eastAsia="zh-CN"/>
              </w:rPr>
              <w:t>（</w:t>
            </w:r>
            <w:r>
              <w:rPr>
                <w:rFonts w:hint="eastAsia" w:eastAsia="宋体" w:cs="Times New Roman"/>
                <w:b w:val="0"/>
                <w:bCs/>
                <w:color w:val="auto"/>
                <w:sz w:val="21"/>
                <w:szCs w:val="21"/>
                <w:lang w:val="en-US" w:eastAsia="zh-CN"/>
              </w:rPr>
              <w:t>DA001）</w:t>
            </w:r>
            <w:r>
              <w:rPr>
                <w:rFonts w:hint="eastAsia" w:eastAsia="宋体" w:cs="Times New Roman"/>
                <w:b w:val="0"/>
                <w:bCs/>
                <w:color w:val="auto"/>
                <w:sz w:val="21"/>
                <w:szCs w:val="21"/>
                <w:lang w:eastAsia="zh-CN"/>
              </w:rPr>
              <w:t>。</w:t>
            </w:r>
          </w:p>
        </w:tc>
        <w:tc>
          <w:tcPr>
            <w:tcW w:w="2075" w:type="dxa"/>
            <w:vMerge w:val="restart"/>
            <w:tcBorders>
              <w:tl2br w:val="nil"/>
              <w:tr2bl w:val="nil"/>
            </w:tcBorders>
            <w:vAlign w:val="center"/>
          </w:tcPr>
          <w:p w14:paraId="7D7593DF">
            <w:pPr>
              <w:pStyle w:val="1489"/>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粉尘排放需满足</w:t>
            </w:r>
            <w:r>
              <w:rPr>
                <w:rFonts w:hint="default" w:ascii="Times New Roman" w:hAnsi="Times New Roman" w:eastAsia="宋体" w:cs="Times New Roman"/>
                <w:b w:val="0"/>
                <w:bCs/>
                <w:color w:val="auto"/>
                <w:sz w:val="21"/>
                <w:szCs w:val="21"/>
                <w:lang w:val="en-US" w:eastAsia="zh-CN"/>
              </w:rPr>
              <w:t>《大气污染物综合排放标准》(GB16297-1996)表2标准要求</w:t>
            </w:r>
          </w:p>
        </w:tc>
        <w:tc>
          <w:tcPr>
            <w:tcW w:w="968" w:type="dxa"/>
            <w:vMerge w:val="continue"/>
            <w:tcBorders>
              <w:tl2br w:val="nil"/>
              <w:tr2bl w:val="nil"/>
            </w:tcBorders>
            <w:vAlign w:val="center"/>
          </w:tcPr>
          <w:p w14:paraId="0D7553A6">
            <w:pPr>
              <w:pStyle w:val="1489"/>
              <w:rPr>
                <w:rFonts w:hint="default" w:ascii="Times New Roman" w:hAnsi="Times New Roman" w:eastAsia="宋体" w:cs="Times New Roman"/>
                <w:b w:val="0"/>
                <w:bCs/>
                <w:color w:val="auto"/>
                <w:sz w:val="21"/>
                <w:szCs w:val="21"/>
              </w:rPr>
            </w:pPr>
          </w:p>
        </w:tc>
      </w:tr>
      <w:tr w14:paraId="23795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6" w:type="dxa"/>
            <w:tcBorders>
              <w:tl2br w:val="nil"/>
              <w:tr2bl w:val="nil"/>
            </w:tcBorders>
            <w:vAlign w:val="center"/>
          </w:tcPr>
          <w:p w14:paraId="6AD197AD">
            <w:pPr>
              <w:pStyle w:val="1489"/>
              <w:rPr>
                <w:rFonts w:hint="default"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2</w:t>
            </w:r>
          </w:p>
        </w:tc>
        <w:tc>
          <w:tcPr>
            <w:tcW w:w="1598" w:type="dxa"/>
            <w:tcBorders>
              <w:tl2br w:val="nil"/>
              <w:tr2bl w:val="nil"/>
            </w:tcBorders>
            <w:vAlign w:val="center"/>
          </w:tcPr>
          <w:p w14:paraId="16D3B5D3">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球磨粉尘</w:t>
            </w:r>
          </w:p>
        </w:tc>
        <w:tc>
          <w:tcPr>
            <w:tcW w:w="3321" w:type="dxa"/>
            <w:vMerge w:val="continue"/>
            <w:tcBorders>
              <w:tl2br w:val="nil"/>
              <w:tr2bl w:val="nil"/>
            </w:tcBorders>
            <w:vAlign w:val="center"/>
          </w:tcPr>
          <w:p w14:paraId="5FE446CC">
            <w:pPr>
              <w:pStyle w:val="1489"/>
              <w:rPr>
                <w:rFonts w:hint="default" w:ascii="Times New Roman" w:hAnsi="Times New Roman" w:eastAsia="宋体" w:cs="Times New Roman"/>
                <w:b w:val="0"/>
                <w:bCs/>
                <w:color w:val="auto"/>
                <w:sz w:val="21"/>
                <w:szCs w:val="21"/>
              </w:rPr>
            </w:pPr>
          </w:p>
        </w:tc>
        <w:tc>
          <w:tcPr>
            <w:tcW w:w="2075" w:type="dxa"/>
            <w:vMerge w:val="continue"/>
            <w:tcBorders>
              <w:tl2br w:val="nil"/>
              <w:tr2bl w:val="nil"/>
            </w:tcBorders>
            <w:vAlign w:val="center"/>
          </w:tcPr>
          <w:p w14:paraId="5ACC7A09">
            <w:pPr>
              <w:pStyle w:val="1489"/>
              <w:rPr>
                <w:rFonts w:hint="eastAsia" w:eastAsia="宋体" w:cs="Times New Roman"/>
                <w:b w:val="0"/>
                <w:bCs/>
                <w:color w:val="auto"/>
                <w:sz w:val="21"/>
                <w:szCs w:val="21"/>
                <w:lang w:eastAsia="zh-CN"/>
              </w:rPr>
            </w:pPr>
          </w:p>
        </w:tc>
        <w:tc>
          <w:tcPr>
            <w:tcW w:w="968" w:type="dxa"/>
            <w:vMerge w:val="continue"/>
            <w:tcBorders>
              <w:tl2br w:val="nil"/>
              <w:tr2bl w:val="nil"/>
            </w:tcBorders>
            <w:vAlign w:val="center"/>
          </w:tcPr>
          <w:p w14:paraId="3E3627E8">
            <w:pPr>
              <w:pStyle w:val="1489"/>
              <w:rPr>
                <w:rFonts w:hint="default" w:ascii="Times New Roman" w:hAnsi="Times New Roman" w:eastAsia="宋体" w:cs="Times New Roman"/>
                <w:b w:val="0"/>
                <w:bCs/>
                <w:color w:val="auto"/>
                <w:sz w:val="21"/>
                <w:szCs w:val="21"/>
              </w:rPr>
            </w:pPr>
          </w:p>
        </w:tc>
      </w:tr>
      <w:tr w14:paraId="7574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6" w:type="dxa"/>
            <w:tcBorders>
              <w:tl2br w:val="nil"/>
              <w:tr2bl w:val="nil"/>
            </w:tcBorders>
            <w:vAlign w:val="center"/>
          </w:tcPr>
          <w:p w14:paraId="72A2641D">
            <w:pPr>
              <w:pStyle w:val="1489"/>
              <w:ind w:firstLine="0" w:firstLineChars="0"/>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3</w:t>
            </w:r>
          </w:p>
        </w:tc>
        <w:tc>
          <w:tcPr>
            <w:tcW w:w="1598" w:type="dxa"/>
            <w:tcBorders>
              <w:tl2br w:val="nil"/>
              <w:tr2bl w:val="nil"/>
            </w:tcBorders>
            <w:vAlign w:val="center"/>
          </w:tcPr>
          <w:p w14:paraId="2DEA6391">
            <w:pPr>
              <w:widowControl w:val="0"/>
              <w:spacing w:line="240" w:lineRule="auto"/>
              <w:ind w:firstLine="0" w:firstLineChars="0"/>
              <w:jc w:val="center"/>
              <w:rPr>
                <w:rFonts w:hint="eastAsia" w:eastAsia="宋体" w:cs="Times New Roman"/>
                <w:b w:val="0"/>
                <w:bCs/>
                <w:color w:val="auto"/>
                <w:sz w:val="21"/>
                <w:szCs w:val="21"/>
                <w:lang w:val="en-US" w:eastAsia="zh-CN"/>
              </w:rPr>
            </w:pPr>
            <w:r>
              <w:rPr>
                <w:rFonts w:hint="eastAsia" w:cs="Times New Roman"/>
                <w:b w:val="0"/>
                <w:color w:val="auto"/>
                <w:kern w:val="2"/>
                <w:sz w:val="21"/>
                <w:szCs w:val="20"/>
                <w:lang w:val="en-US" w:eastAsia="zh-CN" w:bidi="ar-SA"/>
              </w:rPr>
              <w:t>皮带输送粉尘</w:t>
            </w:r>
          </w:p>
        </w:tc>
        <w:tc>
          <w:tcPr>
            <w:tcW w:w="3321" w:type="dxa"/>
            <w:tcBorders>
              <w:tl2br w:val="nil"/>
              <w:tr2bl w:val="nil"/>
            </w:tcBorders>
            <w:vAlign w:val="center"/>
          </w:tcPr>
          <w:p w14:paraId="22D231AB">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输送过程全密闭。</w:t>
            </w:r>
          </w:p>
        </w:tc>
        <w:tc>
          <w:tcPr>
            <w:tcW w:w="2075" w:type="dxa"/>
            <w:vMerge w:val="continue"/>
            <w:tcBorders>
              <w:tl2br w:val="nil"/>
              <w:tr2bl w:val="nil"/>
            </w:tcBorders>
            <w:vAlign w:val="center"/>
          </w:tcPr>
          <w:p w14:paraId="21C0DCA7">
            <w:pPr>
              <w:pStyle w:val="1489"/>
              <w:rPr>
                <w:rFonts w:hint="eastAsia" w:eastAsia="宋体" w:cs="Times New Roman"/>
                <w:b w:val="0"/>
                <w:bCs/>
                <w:color w:val="auto"/>
                <w:sz w:val="21"/>
                <w:szCs w:val="21"/>
                <w:lang w:eastAsia="zh-CN"/>
              </w:rPr>
            </w:pPr>
          </w:p>
        </w:tc>
        <w:tc>
          <w:tcPr>
            <w:tcW w:w="968" w:type="dxa"/>
            <w:vMerge w:val="continue"/>
            <w:tcBorders>
              <w:tl2br w:val="nil"/>
              <w:tr2bl w:val="nil"/>
            </w:tcBorders>
            <w:vAlign w:val="center"/>
          </w:tcPr>
          <w:p w14:paraId="0F36A3D4">
            <w:pPr>
              <w:pStyle w:val="1489"/>
              <w:rPr>
                <w:rFonts w:hint="default" w:ascii="Times New Roman" w:hAnsi="Times New Roman" w:eastAsia="宋体" w:cs="Times New Roman"/>
                <w:b w:val="0"/>
                <w:bCs/>
                <w:color w:val="auto"/>
                <w:sz w:val="21"/>
                <w:szCs w:val="21"/>
              </w:rPr>
            </w:pPr>
          </w:p>
        </w:tc>
      </w:tr>
      <w:tr w14:paraId="37FD3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656" w:type="dxa"/>
            <w:tcBorders>
              <w:tl2br w:val="nil"/>
              <w:tr2bl w:val="nil"/>
            </w:tcBorders>
            <w:vAlign w:val="center"/>
          </w:tcPr>
          <w:p w14:paraId="00623ED5">
            <w:pPr>
              <w:pStyle w:val="1489"/>
              <w:ind w:firstLine="0" w:firstLineChars="0"/>
              <w:rPr>
                <w:rFonts w:hint="eastAsia"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4</w:t>
            </w:r>
          </w:p>
        </w:tc>
        <w:tc>
          <w:tcPr>
            <w:tcW w:w="1598" w:type="dxa"/>
            <w:tcBorders>
              <w:tl2br w:val="nil"/>
              <w:tr2bl w:val="nil"/>
            </w:tcBorders>
            <w:vAlign w:val="center"/>
          </w:tcPr>
          <w:p w14:paraId="48B15A48">
            <w:pPr>
              <w:widowControl w:val="0"/>
              <w:spacing w:line="240" w:lineRule="auto"/>
              <w:ind w:firstLine="0" w:firstLineChars="0"/>
              <w:jc w:val="center"/>
              <w:rPr>
                <w:rFonts w:hint="eastAsia" w:eastAsia="宋体" w:cs="Times New Roman"/>
                <w:b w:val="0"/>
                <w:bCs/>
                <w:color w:val="auto"/>
                <w:sz w:val="21"/>
                <w:szCs w:val="21"/>
                <w:lang w:val="en-US" w:eastAsia="zh-CN"/>
              </w:rPr>
            </w:pPr>
            <w:r>
              <w:rPr>
                <w:rFonts w:hint="eastAsia" w:cs="Times New Roman"/>
                <w:b w:val="0"/>
                <w:color w:val="auto"/>
                <w:kern w:val="2"/>
                <w:sz w:val="21"/>
                <w:szCs w:val="20"/>
                <w:lang w:val="en-US" w:eastAsia="zh-CN" w:bidi="ar-SA"/>
              </w:rPr>
              <w:t>道路</w:t>
            </w:r>
            <w:r>
              <w:rPr>
                <w:rFonts w:hint="eastAsia" w:ascii="Times New Roman" w:hAnsi="Times New Roman" w:eastAsia="宋体" w:cs="Times New Roman"/>
                <w:b w:val="0"/>
                <w:color w:val="auto"/>
                <w:kern w:val="2"/>
                <w:sz w:val="21"/>
                <w:szCs w:val="20"/>
                <w:lang w:val="en-US" w:eastAsia="zh-CN" w:bidi="ar-SA"/>
              </w:rPr>
              <w:t>运输</w:t>
            </w:r>
            <w:r>
              <w:rPr>
                <w:rFonts w:hint="eastAsia" w:cs="Times New Roman"/>
                <w:b w:val="0"/>
                <w:color w:val="auto"/>
                <w:kern w:val="2"/>
                <w:sz w:val="21"/>
                <w:szCs w:val="20"/>
                <w:lang w:val="en-US" w:eastAsia="zh-CN" w:bidi="ar-SA"/>
              </w:rPr>
              <w:t>粉尘</w:t>
            </w:r>
          </w:p>
        </w:tc>
        <w:tc>
          <w:tcPr>
            <w:tcW w:w="3321" w:type="dxa"/>
            <w:tcBorders>
              <w:tl2br w:val="nil"/>
              <w:tr2bl w:val="nil"/>
            </w:tcBorders>
            <w:vAlign w:val="center"/>
          </w:tcPr>
          <w:p w14:paraId="18A5FF21">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车辆采用苫布遮盖、道路洒水降尘。</w:t>
            </w:r>
          </w:p>
        </w:tc>
        <w:tc>
          <w:tcPr>
            <w:tcW w:w="2075" w:type="dxa"/>
            <w:vMerge w:val="continue"/>
            <w:tcBorders>
              <w:tl2br w:val="nil"/>
              <w:tr2bl w:val="nil"/>
            </w:tcBorders>
            <w:vAlign w:val="center"/>
          </w:tcPr>
          <w:p w14:paraId="2897A832">
            <w:pPr>
              <w:pStyle w:val="1489"/>
              <w:rPr>
                <w:rFonts w:hint="eastAsia" w:eastAsia="宋体" w:cs="Times New Roman"/>
                <w:b w:val="0"/>
                <w:bCs/>
                <w:color w:val="auto"/>
                <w:sz w:val="21"/>
                <w:szCs w:val="21"/>
                <w:lang w:eastAsia="zh-CN"/>
              </w:rPr>
            </w:pPr>
          </w:p>
        </w:tc>
        <w:tc>
          <w:tcPr>
            <w:tcW w:w="968" w:type="dxa"/>
            <w:vMerge w:val="continue"/>
            <w:tcBorders>
              <w:tl2br w:val="nil"/>
              <w:tr2bl w:val="nil"/>
            </w:tcBorders>
            <w:vAlign w:val="center"/>
          </w:tcPr>
          <w:p w14:paraId="32E7F934">
            <w:pPr>
              <w:pStyle w:val="1489"/>
              <w:rPr>
                <w:rFonts w:hint="default" w:ascii="Times New Roman" w:hAnsi="Times New Roman" w:eastAsia="宋体" w:cs="Times New Roman"/>
                <w:b w:val="0"/>
                <w:bCs/>
                <w:color w:val="auto"/>
                <w:sz w:val="21"/>
                <w:szCs w:val="21"/>
              </w:rPr>
            </w:pPr>
          </w:p>
        </w:tc>
      </w:tr>
      <w:tr w14:paraId="6267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71D8874B">
            <w:pPr>
              <w:pStyle w:val="1489"/>
              <w:ind w:firstLine="0" w:firstLineChars="0"/>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5</w:t>
            </w:r>
          </w:p>
        </w:tc>
        <w:tc>
          <w:tcPr>
            <w:tcW w:w="1598" w:type="dxa"/>
            <w:tcBorders>
              <w:tl2br w:val="nil"/>
              <w:tr2bl w:val="nil"/>
            </w:tcBorders>
            <w:vAlign w:val="center"/>
          </w:tcPr>
          <w:p w14:paraId="379D34DB">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color w:val="000000"/>
                <w:kern w:val="0"/>
                <w:sz w:val="21"/>
                <w:szCs w:val="21"/>
                <w:lang w:val="en-US" w:eastAsia="zh-CN" w:bidi="ar"/>
              </w:rPr>
              <w:t>原料</w:t>
            </w:r>
            <w:r>
              <w:rPr>
                <w:rFonts w:hint="eastAsia" w:cs="Times New Roman"/>
                <w:color w:val="000000"/>
                <w:kern w:val="0"/>
                <w:sz w:val="21"/>
                <w:szCs w:val="21"/>
                <w:lang w:val="en-US" w:eastAsia="zh-CN" w:bidi="ar"/>
              </w:rPr>
              <w:t>、中间料堆场装卸扬尘</w:t>
            </w:r>
          </w:p>
        </w:tc>
        <w:tc>
          <w:tcPr>
            <w:tcW w:w="3321" w:type="dxa"/>
            <w:tcBorders>
              <w:tl2br w:val="nil"/>
              <w:tr2bl w:val="nil"/>
            </w:tcBorders>
            <w:vAlign w:val="center"/>
          </w:tcPr>
          <w:p w14:paraId="229046DA">
            <w:pPr>
              <w:widowControl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olor w:val="000000" w:themeColor="text1"/>
                <w:szCs w:val="20"/>
                <w:lang w:val="en-US" w:eastAsia="zh-CN"/>
                <w14:textFill>
                  <w14:solidFill>
                    <w14:schemeClr w14:val="tx1"/>
                  </w14:solidFill>
                </w14:textFill>
              </w:rPr>
              <w:t>采取</w:t>
            </w:r>
            <w:r>
              <w:rPr>
                <w:rFonts w:hint="eastAsia"/>
                <w:color w:val="000000" w:themeColor="text1"/>
                <w:szCs w:val="20"/>
                <w14:textFill>
                  <w14:solidFill>
                    <w14:schemeClr w14:val="tx1"/>
                  </w14:solidFill>
                </w14:textFill>
              </w:rPr>
              <w:t>洒水抑尘</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降低装卸高度、苫布苫盖等措施。</w:t>
            </w:r>
          </w:p>
        </w:tc>
        <w:tc>
          <w:tcPr>
            <w:tcW w:w="2075" w:type="dxa"/>
            <w:vMerge w:val="continue"/>
            <w:tcBorders>
              <w:tl2br w:val="nil"/>
              <w:tr2bl w:val="nil"/>
            </w:tcBorders>
            <w:vAlign w:val="center"/>
          </w:tcPr>
          <w:p w14:paraId="0EECA0A8">
            <w:pPr>
              <w:pStyle w:val="1489"/>
              <w:rPr>
                <w:rFonts w:hint="default" w:ascii="Times New Roman" w:hAnsi="Times New Roman" w:eastAsia="宋体" w:cs="Times New Roman"/>
                <w:b w:val="0"/>
                <w:bCs/>
                <w:color w:val="auto"/>
                <w:sz w:val="21"/>
                <w:szCs w:val="21"/>
              </w:rPr>
            </w:pPr>
          </w:p>
        </w:tc>
        <w:tc>
          <w:tcPr>
            <w:tcW w:w="968" w:type="dxa"/>
            <w:vMerge w:val="continue"/>
            <w:tcBorders>
              <w:tl2br w:val="nil"/>
              <w:tr2bl w:val="nil"/>
            </w:tcBorders>
            <w:vAlign w:val="center"/>
          </w:tcPr>
          <w:p w14:paraId="689D99BB">
            <w:pPr>
              <w:pStyle w:val="1489"/>
              <w:rPr>
                <w:rFonts w:hint="default" w:ascii="Times New Roman" w:hAnsi="Times New Roman" w:eastAsia="宋体" w:cs="Times New Roman"/>
                <w:b w:val="0"/>
                <w:bCs/>
                <w:color w:val="auto"/>
                <w:sz w:val="21"/>
                <w:szCs w:val="21"/>
              </w:rPr>
            </w:pPr>
          </w:p>
        </w:tc>
      </w:tr>
      <w:tr w14:paraId="3FD8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708CCC82">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6</w:t>
            </w:r>
          </w:p>
        </w:tc>
        <w:tc>
          <w:tcPr>
            <w:tcW w:w="1598" w:type="dxa"/>
            <w:tcBorders>
              <w:tl2br w:val="nil"/>
              <w:tr2bl w:val="nil"/>
            </w:tcBorders>
            <w:vAlign w:val="center"/>
          </w:tcPr>
          <w:p w14:paraId="32F7B10D">
            <w:pPr>
              <w:widowControl w:val="0"/>
              <w:spacing w:line="240" w:lineRule="auto"/>
              <w:ind w:firstLine="0" w:firstLineChars="0"/>
              <w:jc w:val="center"/>
              <w:rPr>
                <w:rFonts w:hint="default" w:ascii="Times New Roman" w:hAnsi="Times New Roman" w:eastAsia="宋体" w:cs="Times New Roman"/>
                <w:b w:val="0"/>
                <w:bCs/>
                <w:color w:val="auto"/>
                <w:spacing w:val="6"/>
                <w:sz w:val="21"/>
                <w:szCs w:val="21"/>
              </w:rPr>
            </w:pPr>
            <w:r>
              <w:rPr>
                <w:rFonts w:hint="eastAsia" w:cs="Times New Roman"/>
                <w:b w:val="0"/>
                <w:color w:val="auto"/>
                <w:kern w:val="2"/>
                <w:sz w:val="21"/>
                <w:szCs w:val="20"/>
                <w:lang w:val="en-US" w:eastAsia="zh-CN" w:bidi="ar-SA"/>
              </w:rPr>
              <w:t>成品</w:t>
            </w:r>
            <w:r>
              <w:rPr>
                <w:rFonts w:hint="eastAsia" w:eastAsia="宋体" w:cs="Times New Roman"/>
                <w:b w:val="0"/>
                <w:color w:val="auto"/>
                <w:kern w:val="2"/>
                <w:sz w:val="21"/>
                <w:szCs w:val="20"/>
                <w:lang w:val="en-US" w:eastAsia="zh-CN" w:bidi="ar-SA"/>
              </w:rPr>
              <w:t>库房</w:t>
            </w:r>
            <w:r>
              <w:rPr>
                <w:rFonts w:hint="eastAsia" w:cs="Times New Roman"/>
                <w:b w:val="0"/>
                <w:color w:val="auto"/>
                <w:kern w:val="2"/>
                <w:sz w:val="21"/>
                <w:szCs w:val="20"/>
                <w:lang w:val="en-US" w:eastAsia="zh-CN" w:bidi="ar-SA"/>
              </w:rPr>
              <w:t>装卸扬尘</w:t>
            </w:r>
          </w:p>
        </w:tc>
        <w:tc>
          <w:tcPr>
            <w:tcW w:w="3321" w:type="dxa"/>
            <w:tcBorders>
              <w:tl2br w:val="nil"/>
              <w:tr2bl w:val="nil"/>
            </w:tcBorders>
            <w:vAlign w:val="center"/>
          </w:tcPr>
          <w:p w14:paraId="399ED4BD">
            <w:pPr>
              <w:widowControl w:val="0"/>
              <w:spacing w:line="240" w:lineRule="auto"/>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s="Times New Roman"/>
                <w:b w:val="0"/>
                <w:color w:val="auto"/>
                <w:kern w:val="2"/>
                <w:sz w:val="21"/>
                <w:szCs w:val="20"/>
                <w:lang w:val="en-US" w:eastAsia="zh-CN" w:bidi="ar-SA"/>
              </w:rPr>
              <w:t>库房全封闭。</w:t>
            </w:r>
          </w:p>
        </w:tc>
        <w:tc>
          <w:tcPr>
            <w:tcW w:w="2075" w:type="dxa"/>
            <w:vMerge w:val="continue"/>
            <w:tcBorders>
              <w:tl2br w:val="nil"/>
              <w:tr2bl w:val="nil"/>
            </w:tcBorders>
            <w:vAlign w:val="center"/>
          </w:tcPr>
          <w:p w14:paraId="36851A0D">
            <w:pPr>
              <w:pStyle w:val="1489"/>
              <w:rPr>
                <w:rFonts w:hint="default" w:ascii="Times New Roman" w:hAnsi="Times New Roman" w:eastAsia="宋体" w:cs="Times New Roman"/>
                <w:b w:val="0"/>
                <w:bCs/>
                <w:color w:val="auto"/>
                <w:sz w:val="21"/>
                <w:szCs w:val="21"/>
              </w:rPr>
            </w:pPr>
          </w:p>
        </w:tc>
        <w:tc>
          <w:tcPr>
            <w:tcW w:w="968" w:type="dxa"/>
            <w:vMerge w:val="continue"/>
            <w:tcBorders>
              <w:tl2br w:val="nil"/>
              <w:tr2bl w:val="nil"/>
            </w:tcBorders>
            <w:vAlign w:val="center"/>
          </w:tcPr>
          <w:p w14:paraId="048995DD">
            <w:pPr>
              <w:pStyle w:val="1489"/>
              <w:rPr>
                <w:rFonts w:hint="default" w:ascii="Times New Roman" w:hAnsi="Times New Roman" w:eastAsia="宋体" w:cs="Times New Roman"/>
                <w:b w:val="0"/>
                <w:bCs/>
                <w:color w:val="auto"/>
                <w:sz w:val="21"/>
                <w:szCs w:val="21"/>
              </w:rPr>
            </w:pPr>
          </w:p>
        </w:tc>
      </w:tr>
      <w:tr w14:paraId="6CEE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48B2AD88">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7</w:t>
            </w:r>
          </w:p>
        </w:tc>
        <w:tc>
          <w:tcPr>
            <w:tcW w:w="1598" w:type="dxa"/>
            <w:tcBorders>
              <w:tl2br w:val="nil"/>
              <w:tr2bl w:val="nil"/>
            </w:tcBorders>
            <w:vAlign w:val="center"/>
          </w:tcPr>
          <w:p w14:paraId="51A28C06">
            <w:pPr>
              <w:widowControl w:val="0"/>
              <w:spacing w:line="240" w:lineRule="auto"/>
              <w:ind w:firstLine="0" w:firstLineChars="0"/>
              <w:jc w:val="center"/>
              <w:rPr>
                <w:rFonts w:hint="default" w:ascii="Times New Roman" w:hAnsi="Times New Roman" w:eastAsia="宋体" w:cs="Times New Roman"/>
                <w:b w:val="0"/>
                <w:bCs/>
                <w:color w:val="auto"/>
                <w:spacing w:val="6"/>
                <w:sz w:val="21"/>
                <w:szCs w:val="21"/>
              </w:rPr>
            </w:pPr>
            <w:r>
              <w:rPr>
                <w:rFonts w:hint="eastAsia" w:cs="Times New Roman"/>
                <w:b w:val="0"/>
                <w:color w:val="auto"/>
                <w:kern w:val="2"/>
                <w:sz w:val="21"/>
                <w:szCs w:val="20"/>
                <w:lang w:val="en-US" w:eastAsia="zh-CN" w:bidi="ar-SA"/>
              </w:rPr>
              <w:t>尾矿暂存扬尘</w:t>
            </w:r>
          </w:p>
        </w:tc>
        <w:tc>
          <w:tcPr>
            <w:tcW w:w="3321" w:type="dxa"/>
            <w:tcBorders>
              <w:tl2br w:val="nil"/>
              <w:tr2bl w:val="nil"/>
            </w:tcBorders>
            <w:vAlign w:val="center"/>
          </w:tcPr>
          <w:p w14:paraId="3ABB8BD5">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干排尾矿暂存于干排车间内，干排车间为全封闭结构，并</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、降低装卸高度等。</w:t>
            </w:r>
          </w:p>
        </w:tc>
        <w:tc>
          <w:tcPr>
            <w:tcW w:w="2075" w:type="dxa"/>
            <w:vMerge w:val="continue"/>
            <w:tcBorders>
              <w:tl2br w:val="nil"/>
              <w:tr2bl w:val="nil"/>
            </w:tcBorders>
            <w:vAlign w:val="center"/>
          </w:tcPr>
          <w:p w14:paraId="5EFF08DB">
            <w:pPr>
              <w:pStyle w:val="1489"/>
              <w:rPr>
                <w:rFonts w:hint="default" w:ascii="Times New Roman" w:hAnsi="Times New Roman" w:eastAsia="宋体" w:cs="Times New Roman"/>
                <w:b w:val="0"/>
                <w:bCs/>
                <w:color w:val="auto"/>
                <w:sz w:val="21"/>
                <w:szCs w:val="21"/>
              </w:rPr>
            </w:pPr>
          </w:p>
        </w:tc>
        <w:tc>
          <w:tcPr>
            <w:tcW w:w="968" w:type="dxa"/>
            <w:vMerge w:val="continue"/>
            <w:tcBorders>
              <w:tl2br w:val="nil"/>
              <w:tr2bl w:val="nil"/>
            </w:tcBorders>
            <w:vAlign w:val="center"/>
          </w:tcPr>
          <w:p w14:paraId="5C5A8AD3">
            <w:pPr>
              <w:pStyle w:val="1489"/>
              <w:rPr>
                <w:rFonts w:hint="default" w:ascii="Times New Roman" w:hAnsi="Times New Roman" w:eastAsia="宋体" w:cs="Times New Roman"/>
                <w:b w:val="0"/>
                <w:bCs/>
                <w:color w:val="auto"/>
                <w:sz w:val="21"/>
                <w:szCs w:val="21"/>
              </w:rPr>
            </w:pPr>
          </w:p>
        </w:tc>
      </w:tr>
      <w:tr w14:paraId="171E2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56" w:type="dxa"/>
            <w:tcBorders>
              <w:tl2br w:val="nil"/>
              <w:tr2bl w:val="nil"/>
            </w:tcBorders>
            <w:vAlign w:val="center"/>
          </w:tcPr>
          <w:p w14:paraId="669C7CA8">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bCs w:val="0"/>
                <w:color w:val="auto"/>
                <w:sz w:val="21"/>
                <w:szCs w:val="21"/>
              </w:rPr>
              <w:t>三</w:t>
            </w:r>
          </w:p>
        </w:tc>
        <w:tc>
          <w:tcPr>
            <w:tcW w:w="6994" w:type="dxa"/>
            <w:gridSpan w:val="3"/>
            <w:tcBorders>
              <w:tl2br w:val="nil"/>
              <w:tr2bl w:val="nil"/>
            </w:tcBorders>
            <w:vAlign w:val="center"/>
          </w:tcPr>
          <w:p w14:paraId="09C8B536">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bCs w:val="0"/>
                <w:color w:val="auto"/>
                <w:sz w:val="21"/>
                <w:szCs w:val="21"/>
              </w:rPr>
              <w:t>固体废弃物处置</w:t>
            </w:r>
          </w:p>
        </w:tc>
        <w:tc>
          <w:tcPr>
            <w:tcW w:w="968" w:type="dxa"/>
            <w:vMerge w:val="continue"/>
            <w:tcBorders>
              <w:tl2br w:val="nil"/>
              <w:tr2bl w:val="nil"/>
            </w:tcBorders>
            <w:vAlign w:val="center"/>
          </w:tcPr>
          <w:p w14:paraId="0EB64EE2">
            <w:pPr>
              <w:pStyle w:val="1489"/>
              <w:rPr>
                <w:rFonts w:hint="default" w:ascii="Times New Roman" w:hAnsi="Times New Roman" w:eastAsia="宋体" w:cs="Times New Roman"/>
                <w:b w:val="0"/>
                <w:bCs/>
                <w:color w:val="auto"/>
                <w:sz w:val="21"/>
                <w:szCs w:val="21"/>
              </w:rPr>
            </w:pPr>
          </w:p>
        </w:tc>
      </w:tr>
      <w:tr w14:paraId="2C00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21B5A9C2">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1</w:t>
            </w:r>
          </w:p>
        </w:tc>
        <w:tc>
          <w:tcPr>
            <w:tcW w:w="1598" w:type="dxa"/>
            <w:tcBorders>
              <w:tl2br w:val="nil"/>
              <w:tr2bl w:val="nil"/>
            </w:tcBorders>
            <w:vAlign w:val="center"/>
          </w:tcPr>
          <w:p w14:paraId="2681BBC3">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color w:val="auto"/>
                <w:kern w:val="2"/>
                <w:sz w:val="21"/>
                <w:szCs w:val="20"/>
                <w:lang w:val="en-US" w:eastAsia="zh-CN" w:bidi="ar-SA"/>
              </w:rPr>
              <w:t>干排</w:t>
            </w:r>
            <w:r>
              <w:rPr>
                <w:rFonts w:hint="default" w:ascii="Times New Roman" w:hAnsi="Times New Roman" w:eastAsia="宋体" w:cs="Times New Roman"/>
                <w:b w:val="0"/>
                <w:color w:val="auto"/>
                <w:kern w:val="2"/>
                <w:sz w:val="21"/>
                <w:szCs w:val="20"/>
                <w:lang w:val="en-US" w:eastAsia="zh-CN" w:bidi="ar-SA"/>
              </w:rPr>
              <w:t>尾</w:t>
            </w:r>
            <w:r>
              <w:rPr>
                <w:rFonts w:hint="eastAsia" w:cs="Times New Roman"/>
                <w:b w:val="0"/>
                <w:color w:val="auto"/>
                <w:kern w:val="2"/>
                <w:sz w:val="21"/>
                <w:szCs w:val="20"/>
                <w:lang w:val="en-US" w:eastAsia="zh-CN" w:bidi="ar-SA"/>
              </w:rPr>
              <w:t>矿</w:t>
            </w:r>
          </w:p>
        </w:tc>
        <w:tc>
          <w:tcPr>
            <w:tcW w:w="3321" w:type="dxa"/>
            <w:tcBorders>
              <w:tl2br w:val="nil"/>
              <w:tr2bl w:val="nil"/>
            </w:tcBorders>
            <w:vAlign w:val="center"/>
          </w:tcPr>
          <w:p w14:paraId="32E57D74">
            <w:pPr>
              <w:widowControl w:val="0"/>
              <w:spacing w:line="240" w:lineRule="auto"/>
              <w:jc w:val="center"/>
              <w:rPr>
                <w:rFonts w:hint="default" w:ascii="Times New Roman" w:hAnsi="Times New Roman" w:eastAsia="宋体" w:cs="Times New Roman"/>
                <w:b w:val="0"/>
                <w:bCs/>
                <w:color w:val="auto"/>
                <w:sz w:val="21"/>
                <w:szCs w:val="21"/>
              </w:rPr>
            </w:pPr>
            <w:r>
              <w:rPr>
                <w:rFonts w:hint="eastAsia" w:ascii="Times New Roman" w:hAnsi="Times New Roman" w:eastAsia="宋体" w:cs="Times New Roman"/>
                <w:b w:val="0"/>
                <w:color w:val="auto"/>
                <w:kern w:val="2"/>
                <w:sz w:val="21"/>
                <w:szCs w:val="20"/>
                <w:lang w:val="en-US" w:eastAsia="zh-CN" w:bidi="ar-SA"/>
              </w:rPr>
              <w:t>干排尾矿</w:t>
            </w:r>
            <w:r>
              <w:rPr>
                <w:rFonts w:hint="eastAsia" w:cs="Times New Roman"/>
                <w:b w:val="0"/>
                <w:color w:val="auto"/>
                <w:kern w:val="2"/>
                <w:sz w:val="21"/>
                <w:szCs w:val="20"/>
                <w:lang w:val="en-US" w:eastAsia="zh-CN" w:bidi="ar-SA"/>
              </w:rPr>
              <w:t>暂存于干排车间内</w:t>
            </w:r>
            <w:r>
              <w:rPr>
                <w:rFonts w:hint="default" w:ascii="Times New Roman" w:hAnsi="Times New Roman" w:eastAsia="宋体" w:cs="Times New Roman"/>
                <w:b w:val="0"/>
                <w:color w:val="auto"/>
                <w:kern w:val="2"/>
                <w:sz w:val="21"/>
                <w:szCs w:val="20"/>
                <w:lang w:val="en-US" w:eastAsia="zh-CN" w:bidi="ar-SA"/>
              </w:rPr>
              <w:t>，</w:t>
            </w:r>
            <w:r>
              <w:rPr>
                <w:rFonts w:hint="eastAsia" w:ascii="Times New Roman" w:hAnsi="Times New Roman" w:eastAsia="宋体" w:cs="Times New Roman"/>
                <w:b w:val="0"/>
                <w:color w:val="auto"/>
                <w:kern w:val="2"/>
                <w:sz w:val="21"/>
                <w:szCs w:val="20"/>
                <w:lang w:val="en-US" w:eastAsia="zh-CN" w:bidi="ar-SA"/>
              </w:rPr>
              <w:t>即产即清，</w:t>
            </w:r>
            <w:r>
              <w:rPr>
                <w:rFonts w:hint="eastAsia" w:cs="Times New Roman"/>
                <w:b w:val="0"/>
                <w:color w:val="auto"/>
                <w:kern w:val="2"/>
                <w:sz w:val="21"/>
                <w:szCs w:val="20"/>
                <w:lang w:val="en-US" w:eastAsia="zh-CN" w:bidi="ar-SA"/>
              </w:rPr>
              <w:t>外运</w:t>
            </w:r>
            <w:r>
              <w:rPr>
                <w:rFonts w:hint="eastAsia" w:eastAsia="宋体" w:cs="Times New Roman"/>
                <w:b w:val="0"/>
                <w:color w:val="auto"/>
                <w:kern w:val="2"/>
                <w:sz w:val="21"/>
                <w:szCs w:val="20"/>
                <w:lang w:val="en-US" w:eastAsia="zh-CN" w:bidi="ar-SA"/>
              </w:rPr>
              <w:t>综合利用。</w:t>
            </w:r>
          </w:p>
        </w:tc>
        <w:tc>
          <w:tcPr>
            <w:tcW w:w="2075" w:type="dxa"/>
            <w:tcBorders>
              <w:tl2br w:val="nil"/>
              <w:tr2bl w:val="nil"/>
            </w:tcBorders>
            <w:vAlign w:val="center"/>
          </w:tcPr>
          <w:p w14:paraId="6AF37099">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外运综合利用</w:t>
            </w:r>
          </w:p>
        </w:tc>
        <w:tc>
          <w:tcPr>
            <w:tcW w:w="968" w:type="dxa"/>
            <w:vMerge w:val="continue"/>
            <w:tcBorders>
              <w:tl2br w:val="nil"/>
              <w:tr2bl w:val="nil"/>
            </w:tcBorders>
            <w:vAlign w:val="center"/>
          </w:tcPr>
          <w:p w14:paraId="1B52DC2E">
            <w:pPr>
              <w:pStyle w:val="1489"/>
              <w:rPr>
                <w:rFonts w:hint="default" w:ascii="Times New Roman" w:hAnsi="Times New Roman" w:eastAsia="宋体" w:cs="Times New Roman"/>
                <w:b w:val="0"/>
                <w:bCs/>
                <w:color w:val="auto"/>
                <w:sz w:val="21"/>
                <w:szCs w:val="21"/>
              </w:rPr>
            </w:pPr>
          </w:p>
        </w:tc>
      </w:tr>
      <w:tr w14:paraId="18B75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6025A04F">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2</w:t>
            </w:r>
          </w:p>
        </w:tc>
        <w:tc>
          <w:tcPr>
            <w:tcW w:w="1598" w:type="dxa"/>
            <w:tcBorders>
              <w:tl2br w:val="nil"/>
              <w:tr2bl w:val="nil"/>
            </w:tcBorders>
            <w:vAlign w:val="center"/>
          </w:tcPr>
          <w:p w14:paraId="0EBACC1A">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除尘灰</w:t>
            </w:r>
          </w:p>
        </w:tc>
        <w:tc>
          <w:tcPr>
            <w:tcW w:w="3321" w:type="dxa"/>
            <w:tcBorders>
              <w:tl2br w:val="nil"/>
              <w:tr2bl w:val="nil"/>
            </w:tcBorders>
            <w:vAlign w:val="center"/>
          </w:tcPr>
          <w:p w14:paraId="27C4E0C1">
            <w:pPr>
              <w:widowControl w:val="0"/>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b w:val="0"/>
                <w:color w:val="auto"/>
                <w:kern w:val="2"/>
                <w:sz w:val="21"/>
                <w:szCs w:val="20"/>
                <w:lang w:val="en-US" w:eastAsia="zh-CN" w:bidi="ar-SA"/>
              </w:rPr>
              <w:t>除尘灰收集后返回工艺，不外排。</w:t>
            </w:r>
          </w:p>
        </w:tc>
        <w:tc>
          <w:tcPr>
            <w:tcW w:w="2075" w:type="dxa"/>
            <w:tcBorders>
              <w:tl2br w:val="nil"/>
              <w:tr2bl w:val="nil"/>
            </w:tcBorders>
            <w:vAlign w:val="center"/>
          </w:tcPr>
          <w:p w14:paraId="3D99CFD7">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回用</w:t>
            </w:r>
          </w:p>
        </w:tc>
        <w:tc>
          <w:tcPr>
            <w:tcW w:w="968" w:type="dxa"/>
            <w:vMerge w:val="continue"/>
            <w:tcBorders>
              <w:tl2br w:val="nil"/>
              <w:tr2bl w:val="nil"/>
            </w:tcBorders>
            <w:vAlign w:val="center"/>
          </w:tcPr>
          <w:p w14:paraId="6E01511B">
            <w:pPr>
              <w:pStyle w:val="1489"/>
              <w:rPr>
                <w:rFonts w:hint="default" w:ascii="Times New Roman" w:hAnsi="Times New Roman" w:eastAsia="宋体" w:cs="Times New Roman"/>
                <w:b w:val="0"/>
                <w:bCs/>
                <w:color w:val="auto"/>
                <w:sz w:val="21"/>
                <w:szCs w:val="21"/>
              </w:rPr>
            </w:pPr>
          </w:p>
        </w:tc>
      </w:tr>
      <w:tr w14:paraId="4A0A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31977FD3">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3</w:t>
            </w:r>
          </w:p>
        </w:tc>
        <w:tc>
          <w:tcPr>
            <w:tcW w:w="1598" w:type="dxa"/>
            <w:tcBorders>
              <w:tl2br w:val="nil"/>
              <w:tr2bl w:val="nil"/>
            </w:tcBorders>
            <w:vAlign w:val="center"/>
          </w:tcPr>
          <w:p w14:paraId="3F660AB3">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color w:val="auto"/>
                <w:kern w:val="2"/>
                <w:sz w:val="21"/>
                <w:szCs w:val="20"/>
                <w:lang w:val="en-US" w:eastAsia="zh-CN" w:bidi="ar-SA"/>
              </w:rPr>
              <w:t>废机油</w:t>
            </w:r>
          </w:p>
        </w:tc>
        <w:tc>
          <w:tcPr>
            <w:tcW w:w="3321" w:type="dxa"/>
            <w:tcBorders>
              <w:tl2br w:val="nil"/>
              <w:tr2bl w:val="nil"/>
            </w:tcBorders>
            <w:vAlign w:val="center"/>
          </w:tcPr>
          <w:p w14:paraId="431CBFCE">
            <w:pPr>
              <w:widowControl w:val="0"/>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b w:val="0"/>
                <w:color w:val="auto"/>
                <w:kern w:val="2"/>
                <w:sz w:val="21"/>
                <w:szCs w:val="20"/>
                <w:lang w:val="en-US" w:eastAsia="zh-CN" w:bidi="ar-SA"/>
              </w:rPr>
              <w:t>暂存于危废贮存点，委托有资质的单位处理。</w:t>
            </w:r>
          </w:p>
        </w:tc>
        <w:tc>
          <w:tcPr>
            <w:tcW w:w="2075" w:type="dxa"/>
            <w:tcBorders>
              <w:tl2br w:val="nil"/>
              <w:tr2bl w:val="nil"/>
            </w:tcBorders>
            <w:vAlign w:val="center"/>
          </w:tcPr>
          <w:p w14:paraId="5C41A9C5">
            <w:pPr>
              <w:pStyle w:val="1489"/>
              <w:rPr>
                <w:rFonts w:hint="default"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合理处置</w:t>
            </w:r>
          </w:p>
        </w:tc>
        <w:tc>
          <w:tcPr>
            <w:tcW w:w="968" w:type="dxa"/>
            <w:vMerge w:val="continue"/>
            <w:tcBorders>
              <w:tl2br w:val="nil"/>
              <w:tr2bl w:val="nil"/>
            </w:tcBorders>
            <w:vAlign w:val="center"/>
          </w:tcPr>
          <w:p w14:paraId="1E98D7CD">
            <w:pPr>
              <w:pStyle w:val="1489"/>
              <w:rPr>
                <w:rFonts w:hint="default" w:ascii="Times New Roman" w:hAnsi="Times New Roman" w:eastAsia="宋体" w:cs="Times New Roman"/>
                <w:b w:val="0"/>
                <w:bCs/>
                <w:color w:val="auto"/>
                <w:sz w:val="21"/>
                <w:szCs w:val="21"/>
              </w:rPr>
            </w:pPr>
          </w:p>
        </w:tc>
      </w:tr>
      <w:tr w14:paraId="3BBE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505A5E53">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4</w:t>
            </w:r>
          </w:p>
        </w:tc>
        <w:tc>
          <w:tcPr>
            <w:tcW w:w="1598" w:type="dxa"/>
            <w:tcBorders>
              <w:tl2br w:val="nil"/>
              <w:tr2bl w:val="nil"/>
            </w:tcBorders>
            <w:vAlign w:val="center"/>
          </w:tcPr>
          <w:p w14:paraId="38FCC725">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废机油桶</w:t>
            </w:r>
          </w:p>
        </w:tc>
        <w:tc>
          <w:tcPr>
            <w:tcW w:w="3321" w:type="dxa"/>
            <w:tcBorders>
              <w:tl2br w:val="nil"/>
              <w:tr2bl w:val="nil"/>
            </w:tcBorders>
            <w:vAlign w:val="center"/>
          </w:tcPr>
          <w:p w14:paraId="3AD6C2E5">
            <w:pPr>
              <w:widowControl w:val="0"/>
              <w:spacing w:line="240" w:lineRule="auto"/>
              <w:jc w:val="center"/>
              <w:rPr>
                <w:rFonts w:hint="eastAsia" w:ascii="Times New Roman" w:hAnsi="Times New Roman" w:eastAsia="宋体" w:cs="Times New Roman"/>
                <w:b w:val="0"/>
                <w:bCs/>
                <w:color w:val="auto"/>
                <w:sz w:val="21"/>
                <w:szCs w:val="21"/>
                <w:lang w:eastAsia="zh-CN"/>
              </w:rPr>
            </w:pPr>
            <w:r>
              <w:rPr>
                <w:rFonts w:hint="eastAsia" w:cs="Times New Roman"/>
                <w:b w:val="0"/>
                <w:color w:val="auto"/>
                <w:kern w:val="2"/>
                <w:sz w:val="21"/>
                <w:szCs w:val="20"/>
                <w:lang w:val="en-US" w:eastAsia="zh-CN" w:bidi="ar-SA"/>
              </w:rPr>
              <w:t>暂存于危废贮存点，委托有资质的单位处理。</w:t>
            </w:r>
          </w:p>
        </w:tc>
        <w:tc>
          <w:tcPr>
            <w:tcW w:w="2075" w:type="dxa"/>
            <w:tcBorders>
              <w:tl2br w:val="nil"/>
              <w:tr2bl w:val="nil"/>
            </w:tcBorders>
            <w:vAlign w:val="center"/>
          </w:tcPr>
          <w:p w14:paraId="04F78AC2">
            <w:pPr>
              <w:jc w:val="center"/>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合理处置</w:t>
            </w:r>
          </w:p>
        </w:tc>
        <w:tc>
          <w:tcPr>
            <w:tcW w:w="968" w:type="dxa"/>
            <w:vMerge w:val="continue"/>
            <w:tcBorders>
              <w:tl2br w:val="nil"/>
              <w:tr2bl w:val="nil"/>
            </w:tcBorders>
            <w:vAlign w:val="center"/>
          </w:tcPr>
          <w:p w14:paraId="0706AB9E">
            <w:pPr>
              <w:pStyle w:val="1489"/>
              <w:rPr>
                <w:rFonts w:hint="default" w:ascii="Times New Roman" w:hAnsi="Times New Roman" w:eastAsia="宋体" w:cs="Times New Roman"/>
                <w:b w:val="0"/>
                <w:bCs/>
                <w:color w:val="auto"/>
                <w:sz w:val="21"/>
                <w:szCs w:val="21"/>
              </w:rPr>
            </w:pPr>
          </w:p>
        </w:tc>
      </w:tr>
      <w:tr w14:paraId="77F3A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23672AEF">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5</w:t>
            </w:r>
          </w:p>
        </w:tc>
        <w:tc>
          <w:tcPr>
            <w:tcW w:w="1598" w:type="dxa"/>
            <w:tcBorders>
              <w:tl2br w:val="nil"/>
              <w:tr2bl w:val="nil"/>
            </w:tcBorders>
            <w:vAlign w:val="center"/>
          </w:tcPr>
          <w:p w14:paraId="28E0B8BC">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浮选药剂废包装</w:t>
            </w:r>
          </w:p>
        </w:tc>
        <w:tc>
          <w:tcPr>
            <w:tcW w:w="3321" w:type="dxa"/>
            <w:tcBorders>
              <w:tl2br w:val="nil"/>
              <w:tr2bl w:val="nil"/>
            </w:tcBorders>
            <w:vAlign w:val="center"/>
          </w:tcPr>
          <w:p w14:paraId="4406E823">
            <w:pPr>
              <w:widowControl w:val="0"/>
              <w:spacing w:line="240" w:lineRule="auto"/>
              <w:jc w:val="center"/>
              <w:rPr>
                <w:rFonts w:hint="default" w:ascii="Times New Roman" w:hAnsi="Times New Roman" w:eastAsia="宋体" w:cs="Times New Roman"/>
                <w:b w:val="0"/>
                <w:bCs/>
                <w:color w:val="auto"/>
                <w:sz w:val="21"/>
                <w:szCs w:val="21"/>
              </w:rPr>
            </w:pPr>
            <w:r>
              <w:rPr>
                <w:rFonts w:hint="eastAsia" w:cs="Times New Roman"/>
                <w:b w:val="0"/>
                <w:color w:val="auto"/>
                <w:kern w:val="2"/>
                <w:sz w:val="21"/>
                <w:szCs w:val="20"/>
                <w:lang w:val="en-US" w:eastAsia="zh-CN" w:bidi="ar-SA"/>
              </w:rPr>
              <w:t>暂存于危废贮存点，委托有资质的单位处理。</w:t>
            </w:r>
          </w:p>
        </w:tc>
        <w:tc>
          <w:tcPr>
            <w:tcW w:w="2075" w:type="dxa"/>
            <w:tcBorders>
              <w:tl2br w:val="nil"/>
              <w:tr2bl w:val="nil"/>
            </w:tcBorders>
            <w:vAlign w:val="center"/>
          </w:tcPr>
          <w:p w14:paraId="7CBCAA07">
            <w:pPr>
              <w:jc w:val="center"/>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合理处置</w:t>
            </w:r>
          </w:p>
        </w:tc>
        <w:tc>
          <w:tcPr>
            <w:tcW w:w="968" w:type="dxa"/>
            <w:vMerge w:val="continue"/>
            <w:tcBorders>
              <w:tl2br w:val="nil"/>
              <w:tr2bl w:val="nil"/>
            </w:tcBorders>
            <w:vAlign w:val="center"/>
          </w:tcPr>
          <w:p w14:paraId="732365F6">
            <w:pPr>
              <w:pStyle w:val="1489"/>
              <w:rPr>
                <w:rFonts w:hint="default" w:ascii="Times New Roman" w:hAnsi="Times New Roman" w:eastAsia="宋体" w:cs="Times New Roman"/>
                <w:b w:val="0"/>
                <w:bCs/>
                <w:color w:val="auto"/>
                <w:sz w:val="21"/>
                <w:szCs w:val="21"/>
              </w:rPr>
            </w:pPr>
          </w:p>
        </w:tc>
      </w:tr>
      <w:tr w14:paraId="6BA0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7E266CD8">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6</w:t>
            </w:r>
          </w:p>
        </w:tc>
        <w:tc>
          <w:tcPr>
            <w:tcW w:w="1598" w:type="dxa"/>
            <w:tcBorders>
              <w:tl2br w:val="nil"/>
              <w:tr2bl w:val="nil"/>
            </w:tcBorders>
            <w:vAlign w:val="center"/>
          </w:tcPr>
          <w:p w14:paraId="2118549D">
            <w:pPr>
              <w:widowControl w:val="0"/>
              <w:spacing w:line="240" w:lineRule="auto"/>
              <w:ind w:firstLine="0" w:firstLineChars="0"/>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color w:val="auto"/>
                <w:kern w:val="2"/>
                <w:sz w:val="21"/>
                <w:szCs w:val="20"/>
                <w:lang w:val="en-US" w:eastAsia="zh-CN" w:bidi="ar-SA"/>
              </w:rPr>
              <w:t>生活垃圾</w:t>
            </w:r>
          </w:p>
        </w:tc>
        <w:tc>
          <w:tcPr>
            <w:tcW w:w="3321" w:type="dxa"/>
            <w:tcBorders>
              <w:tl2br w:val="nil"/>
              <w:tr2bl w:val="nil"/>
            </w:tcBorders>
            <w:vAlign w:val="center"/>
          </w:tcPr>
          <w:p w14:paraId="04A8B2AF">
            <w:pPr>
              <w:widowControl w:val="0"/>
              <w:spacing w:line="240" w:lineRule="auto"/>
              <w:jc w:val="center"/>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color w:val="auto"/>
                <w:kern w:val="2"/>
                <w:sz w:val="21"/>
                <w:szCs w:val="20"/>
                <w:lang w:val="en-US" w:eastAsia="zh-CN" w:bidi="ar-SA"/>
              </w:rPr>
              <w:t>设置</w:t>
            </w:r>
            <w:r>
              <w:rPr>
                <w:rFonts w:hint="eastAsia" w:cs="Times New Roman"/>
                <w:b w:val="0"/>
                <w:color w:val="auto"/>
                <w:kern w:val="2"/>
                <w:sz w:val="21"/>
                <w:szCs w:val="20"/>
                <w:lang w:val="en-US" w:eastAsia="zh-CN" w:bidi="ar-SA"/>
              </w:rPr>
              <w:t>生活</w:t>
            </w:r>
            <w:r>
              <w:rPr>
                <w:rFonts w:hint="default" w:ascii="Times New Roman" w:hAnsi="Times New Roman" w:eastAsia="宋体" w:cs="Times New Roman"/>
                <w:b w:val="0"/>
                <w:color w:val="auto"/>
                <w:kern w:val="2"/>
                <w:sz w:val="21"/>
                <w:szCs w:val="20"/>
                <w:lang w:val="en-US" w:eastAsia="zh-CN" w:bidi="ar-SA"/>
              </w:rPr>
              <w:t>垃圾桶，定期由环卫部门处理。</w:t>
            </w:r>
          </w:p>
        </w:tc>
        <w:tc>
          <w:tcPr>
            <w:tcW w:w="2075" w:type="dxa"/>
            <w:tcBorders>
              <w:tl2br w:val="nil"/>
              <w:tr2bl w:val="nil"/>
            </w:tcBorders>
            <w:vAlign w:val="center"/>
          </w:tcPr>
          <w:p w14:paraId="70E9D9E5">
            <w:pPr>
              <w:pStyle w:val="1489"/>
              <w:rPr>
                <w:rFonts w:hint="default" w:ascii="Times New Roman" w:hAnsi="Times New Roman" w:eastAsia="宋体" w:cs="Times New Roman"/>
                <w:b w:val="0"/>
                <w:bCs/>
                <w:color w:val="auto"/>
                <w:sz w:val="21"/>
                <w:szCs w:val="21"/>
              </w:rPr>
            </w:pPr>
            <w:r>
              <w:rPr>
                <w:rFonts w:hint="eastAsia" w:eastAsia="宋体" w:cs="Times New Roman"/>
                <w:b w:val="0"/>
                <w:bCs/>
                <w:color w:val="auto"/>
                <w:sz w:val="21"/>
                <w:szCs w:val="21"/>
                <w:lang w:val="en-US" w:eastAsia="zh-CN"/>
              </w:rPr>
              <w:t>合理处置</w:t>
            </w:r>
          </w:p>
        </w:tc>
        <w:tc>
          <w:tcPr>
            <w:tcW w:w="968" w:type="dxa"/>
            <w:vMerge w:val="continue"/>
            <w:tcBorders>
              <w:tl2br w:val="nil"/>
              <w:tr2bl w:val="nil"/>
            </w:tcBorders>
            <w:vAlign w:val="center"/>
          </w:tcPr>
          <w:p w14:paraId="3A7B5BDB">
            <w:pPr>
              <w:pStyle w:val="1489"/>
              <w:rPr>
                <w:rFonts w:hint="default" w:ascii="Times New Roman" w:hAnsi="Times New Roman" w:eastAsia="宋体" w:cs="Times New Roman"/>
                <w:b w:val="0"/>
                <w:bCs/>
                <w:color w:val="auto"/>
                <w:sz w:val="21"/>
                <w:szCs w:val="21"/>
              </w:rPr>
            </w:pPr>
          </w:p>
        </w:tc>
      </w:tr>
      <w:tr w14:paraId="13DFF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0CB43E96">
            <w:pPr>
              <w:pStyle w:val="1489"/>
              <w:rPr>
                <w:rFonts w:hint="eastAsia"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rPr>
              <w:t>四</w:t>
            </w:r>
          </w:p>
        </w:tc>
        <w:tc>
          <w:tcPr>
            <w:tcW w:w="6994" w:type="dxa"/>
            <w:gridSpan w:val="3"/>
            <w:tcBorders>
              <w:tl2br w:val="nil"/>
              <w:tr2bl w:val="nil"/>
            </w:tcBorders>
            <w:vAlign w:val="center"/>
          </w:tcPr>
          <w:p w14:paraId="25F93DFC">
            <w:pPr>
              <w:pStyle w:val="1489"/>
              <w:rPr>
                <w:rFonts w:hint="default" w:eastAsia="宋体" w:cs="Times New Roman"/>
                <w:b w:val="0"/>
                <w:bCs/>
                <w:color w:val="auto"/>
                <w:sz w:val="21"/>
                <w:szCs w:val="21"/>
                <w:lang w:val="en-US" w:eastAsia="zh-CN"/>
              </w:rPr>
            </w:pPr>
            <w:r>
              <w:rPr>
                <w:rFonts w:hint="default" w:ascii="Times New Roman" w:hAnsi="Times New Roman" w:eastAsia="宋体" w:cs="Times New Roman"/>
                <w:b/>
                <w:bCs w:val="0"/>
                <w:color w:val="auto"/>
                <w:sz w:val="21"/>
                <w:szCs w:val="21"/>
              </w:rPr>
              <w:t>噪声防治措施</w:t>
            </w:r>
          </w:p>
        </w:tc>
        <w:tc>
          <w:tcPr>
            <w:tcW w:w="968" w:type="dxa"/>
            <w:vMerge w:val="continue"/>
            <w:tcBorders>
              <w:tl2br w:val="nil"/>
              <w:tr2bl w:val="nil"/>
            </w:tcBorders>
            <w:vAlign w:val="center"/>
          </w:tcPr>
          <w:p w14:paraId="40AB91BE">
            <w:pPr>
              <w:pStyle w:val="1489"/>
              <w:rPr>
                <w:rFonts w:hint="default" w:ascii="Times New Roman" w:hAnsi="Times New Roman" w:eastAsia="宋体" w:cs="Times New Roman"/>
                <w:b w:val="0"/>
                <w:bCs/>
                <w:color w:val="auto"/>
                <w:sz w:val="21"/>
                <w:szCs w:val="21"/>
              </w:rPr>
            </w:pPr>
          </w:p>
        </w:tc>
      </w:tr>
      <w:tr w14:paraId="5A13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56" w:type="dxa"/>
            <w:tcBorders>
              <w:tl2br w:val="nil"/>
              <w:tr2bl w:val="nil"/>
            </w:tcBorders>
            <w:vAlign w:val="center"/>
          </w:tcPr>
          <w:p w14:paraId="0DD35BB9">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1</w:t>
            </w:r>
          </w:p>
        </w:tc>
        <w:tc>
          <w:tcPr>
            <w:tcW w:w="1598" w:type="dxa"/>
            <w:tcBorders>
              <w:tl2br w:val="nil"/>
              <w:tr2bl w:val="nil"/>
            </w:tcBorders>
            <w:vAlign w:val="center"/>
          </w:tcPr>
          <w:p w14:paraId="45D26450">
            <w:pPr>
              <w:pStyle w:val="1489"/>
              <w:rPr>
                <w:rFonts w:hint="eastAsia" w:ascii="Times New Roman" w:hAnsi="Times New Roman" w:eastAsia="宋体" w:cs="Times New Roman"/>
                <w:b w:val="0"/>
                <w:bCs/>
                <w:color w:val="auto"/>
                <w:sz w:val="21"/>
                <w:szCs w:val="21"/>
                <w:lang w:val="en-US" w:eastAsia="zh-CN"/>
              </w:rPr>
            </w:pPr>
            <w:r>
              <w:rPr>
                <w:rFonts w:hint="eastAsia" w:eastAsia="宋体" w:cs="Times New Roman"/>
                <w:b w:val="0"/>
                <w:bCs/>
                <w:color w:val="auto"/>
                <w:sz w:val="21"/>
                <w:szCs w:val="21"/>
                <w:lang w:val="en-US" w:eastAsia="zh-CN"/>
              </w:rPr>
              <w:t>产噪设备</w:t>
            </w:r>
          </w:p>
        </w:tc>
        <w:tc>
          <w:tcPr>
            <w:tcW w:w="3321" w:type="dxa"/>
            <w:tcBorders>
              <w:tl2br w:val="nil"/>
              <w:tr2bl w:val="nil"/>
            </w:tcBorders>
            <w:vAlign w:val="center"/>
          </w:tcPr>
          <w:p w14:paraId="2466FC18">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吸声、减振、消声等措施</w:t>
            </w:r>
          </w:p>
        </w:tc>
        <w:tc>
          <w:tcPr>
            <w:tcW w:w="2075" w:type="dxa"/>
            <w:tcBorders>
              <w:tl2br w:val="nil"/>
              <w:tr2bl w:val="nil"/>
            </w:tcBorders>
            <w:vAlign w:val="center"/>
          </w:tcPr>
          <w:p w14:paraId="6809CB07">
            <w:pPr>
              <w:pStyle w:val="148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厂界噪声满足《工业企业厂界环境噪声排放标准》</w:t>
            </w:r>
            <w:r>
              <w:rPr>
                <w:rFonts w:hint="eastAsia" w:eastAsia="宋体" w:cs="Times New Roman"/>
                <w:b w:val="0"/>
                <w:bCs/>
                <w:color w:val="auto"/>
                <w:sz w:val="21"/>
                <w:szCs w:val="21"/>
                <w:lang w:val="en-US" w:eastAsia="zh-CN"/>
              </w:rPr>
              <w:t>3</w:t>
            </w:r>
            <w:r>
              <w:rPr>
                <w:rFonts w:hint="default" w:ascii="Times New Roman" w:hAnsi="Times New Roman" w:eastAsia="宋体" w:cs="Times New Roman"/>
                <w:b w:val="0"/>
                <w:bCs/>
                <w:color w:val="auto"/>
                <w:sz w:val="21"/>
                <w:szCs w:val="21"/>
              </w:rPr>
              <w:t>类标准要求</w:t>
            </w:r>
          </w:p>
        </w:tc>
        <w:tc>
          <w:tcPr>
            <w:tcW w:w="968" w:type="dxa"/>
            <w:vMerge w:val="continue"/>
            <w:tcBorders>
              <w:tl2br w:val="nil"/>
              <w:tr2bl w:val="nil"/>
            </w:tcBorders>
            <w:vAlign w:val="center"/>
          </w:tcPr>
          <w:p w14:paraId="2944A65D">
            <w:pPr>
              <w:pStyle w:val="1489"/>
              <w:rPr>
                <w:rFonts w:hint="default" w:ascii="Times New Roman" w:hAnsi="Times New Roman" w:eastAsia="宋体" w:cs="Times New Roman"/>
                <w:b w:val="0"/>
                <w:bCs/>
                <w:color w:val="auto"/>
                <w:sz w:val="21"/>
                <w:szCs w:val="21"/>
              </w:rPr>
            </w:pPr>
          </w:p>
        </w:tc>
      </w:tr>
    </w:tbl>
    <w:p w14:paraId="554DF830">
      <w:pPr>
        <w:spacing w:line="360" w:lineRule="auto"/>
        <w:ind w:firstLine="480" w:firstLineChars="200"/>
        <w:rPr>
          <w:color w:val="auto"/>
          <w:sz w:val="24"/>
        </w:rPr>
      </w:pPr>
    </w:p>
    <w:p w14:paraId="518791A4">
      <w:pPr>
        <w:tabs>
          <w:tab w:val="left" w:pos="360"/>
        </w:tabs>
        <w:adjustRightInd w:val="0"/>
        <w:snapToGrid w:val="0"/>
        <w:spacing w:line="360" w:lineRule="auto"/>
        <w:rPr>
          <w:color w:val="auto"/>
          <w:sz w:val="24"/>
        </w:rPr>
      </w:pPr>
    </w:p>
    <w:p w14:paraId="629F6082">
      <w:pPr>
        <w:pStyle w:val="95"/>
        <w:rPr>
          <w:color w:val="auto"/>
        </w:rPr>
      </w:pPr>
      <w:bookmarkStart w:id="211" w:name="_Toc436571684"/>
    </w:p>
    <w:p w14:paraId="789ABC77">
      <w:pPr>
        <w:rPr>
          <w:b/>
          <w:color w:val="auto"/>
          <w:sz w:val="32"/>
          <w:szCs w:val="28"/>
        </w:rPr>
      </w:pPr>
    </w:p>
    <w:bookmarkEnd w:id="211"/>
    <w:p w14:paraId="696DF2E6">
      <w:pPr>
        <w:spacing w:line="360" w:lineRule="auto"/>
        <w:rPr>
          <w:bCs/>
          <w:color w:val="auto"/>
          <w:sz w:val="24"/>
        </w:rPr>
        <w:sectPr>
          <w:footerReference r:id="rId22" w:type="default"/>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317823EE">
      <w:pPr>
        <w:pStyle w:val="3"/>
        <w:bidi w:val="0"/>
        <w:rPr>
          <w:rFonts w:hint="default"/>
          <w:lang w:val="en-US" w:eastAsia="zh-CN"/>
        </w:rPr>
      </w:pPr>
      <w:bookmarkStart w:id="212" w:name="_Toc436571696"/>
      <w:bookmarkEnd w:id="212"/>
      <w:bookmarkStart w:id="213" w:name="_Toc339122048"/>
      <w:bookmarkEnd w:id="213"/>
      <w:bookmarkStart w:id="214" w:name="_Toc13363"/>
      <w:r>
        <w:rPr>
          <w:rFonts w:hint="eastAsia"/>
          <w:lang w:val="en-US" w:eastAsia="zh-CN"/>
        </w:rPr>
        <w:t>11相关政策、规划及选址可行性分析</w:t>
      </w:r>
      <w:bookmarkEnd w:id="214"/>
    </w:p>
    <w:p w14:paraId="0E9FD86C">
      <w:pPr>
        <w:pStyle w:val="4"/>
        <w:bidi w:val="0"/>
        <w:rPr>
          <w:rFonts w:hint="default" w:ascii="Times New Roman" w:hAnsi="Times New Roman" w:cs="Times New Roman" w:eastAsiaTheme="minorEastAsia"/>
          <w:lang w:val="en-US" w:eastAsia="zh-CN"/>
        </w:rPr>
      </w:pPr>
      <w:bookmarkStart w:id="215" w:name="_Toc4596"/>
      <w:r>
        <w:rPr>
          <w:rFonts w:hint="default" w:ascii="Times New Roman" w:hAnsi="Times New Roman" w:cs="Times New Roman" w:eastAsiaTheme="minorEastAsia"/>
          <w:lang w:val="en-US" w:eastAsia="zh-CN"/>
        </w:rPr>
        <w:t>11.1产业政策</w:t>
      </w:r>
      <w:r>
        <w:rPr>
          <w:rFonts w:hint="eastAsia" w:ascii="Times New Roman" w:hAnsi="Times New Roman" w:cs="Times New Roman" w:eastAsiaTheme="minorEastAsia"/>
          <w:lang w:val="en-US" w:eastAsia="zh-CN"/>
        </w:rPr>
        <w:t>相符性</w:t>
      </w:r>
      <w:r>
        <w:rPr>
          <w:rFonts w:hint="default" w:ascii="Times New Roman" w:hAnsi="Times New Roman" w:cs="Times New Roman" w:eastAsiaTheme="minorEastAsia"/>
          <w:lang w:val="en-US" w:eastAsia="zh-CN"/>
        </w:rPr>
        <w:t>判定</w:t>
      </w:r>
      <w:bookmarkEnd w:id="215"/>
    </w:p>
    <w:p w14:paraId="6ABE2E13">
      <w:pPr>
        <w:keepNext w:val="0"/>
        <w:keepLines w:val="0"/>
        <w:pageBreakBefore w:val="0"/>
        <w:widowControl w:val="0"/>
        <w:kinsoku/>
        <w:wordWrap/>
        <w:overflowPunct/>
        <w:topLinePunct w:val="0"/>
        <w:autoSpaceDE/>
        <w:autoSpaceDN/>
        <w:bidi w:val="0"/>
        <w:adjustRightInd/>
        <w:snapToGrid/>
        <w:spacing w:line="360" w:lineRule="auto"/>
        <w:rPr>
          <w:rFonts w:hint="eastAsia"/>
          <w:b/>
          <w:bCs/>
          <w:color w:val="auto"/>
          <w:sz w:val="24"/>
          <w:lang w:val="en-US" w:eastAsia="zh-CN"/>
        </w:rPr>
      </w:pPr>
      <w:r>
        <w:rPr>
          <w:rFonts w:hint="eastAsia"/>
          <w:b/>
          <w:bCs/>
          <w:color w:val="auto"/>
          <w:sz w:val="24"/>
          <w:lang w:val="en-US" w:eastAsia="zh-CN"/>
        </w:rPr>
        <w:t>表11.1-1  项目与</w:t>
      </w:r>
      <w:r>
        <w:rPr>
          <w:rFonts w:hint="eastAsia"/>
          <w:b/>
          <w:bCs/>
          <w:color w:val="auto"/>
          <w:sz w:val="24"/>
        </w:rPr>
        <w:t>《产业结构调整指导</w:t>
      </w:r>
      <w:r>
        <w:rPr>
          <w:b/>
          <w:bCs/>
          <w:color w:val="auto"/>
          <w:sz w:val="24"/>
        </w:rPr>
        <w:t>目录</w:t>
      </w:r>
      <w:r>
        <w:rPr>
          <w:rFonts w:hint="eastAsia"/>
          <w:b/>
          <w:bCs/>
          <w:color w:val="auto"/>
          <w:sz w:val="24"/>
        </w:rPr>
        <w:t>（</w:t>
      </w:r>
      <w:r>
        <w:rPr>
          <w:b/>
          <w:bCs/>
          <w:color w:val="auto"/>
          <w:sz w:val="24"/>
        </w:rPr>
        <w:t>20</w:t>
      </w:r>
      <w:r>
        <w:rPr>
          <w:rFonts w:hint="eastAsia"/>
          <w:b/>
          <w:bCs/>
          <w:color w:val="auto"/>
          <w:sz w:val="24"/>
          <w:lang w:val="en-US" w:eastAsia="zh-CN"/>
        </w:rPr>
        <w:t>24</w:t>
      </w:r>
      <w:r>
        <w:rPr>
          <w:b/>
          <w:bCs/>
          <w:color w:val="auto"/>
          <w:sz w:val="24"/>
        </w:rPr>
        <w:t>年本</w:t>
      </w:r>
      <w:r>
        <w:rPr>
          <w:rFonts w:hint="eastAsia"/>
          <w:b/>
          <w:bCs/>
          <w:color w:val="auto"/>
          <w:sz w:val="24"/>
        </w:rPr>
        <w:t>）</w:t>
      </w:r>
      <w:r>
        <w:rPr>
          <w:b/>
          <w:bCs/>
          <w:color w:val="auto"/>
          <w:sz w:val="24"/>
        </w:rPr>
        <w:t>》</w:t>
      </w:r>
      <w:r>
        <w:rPr>
          <w:rFonts w:hint="eastAsia"/>
          <w:b/>
          <w:bCs/>
          <w:color w:val="auto"/>
          <w:sz w:val="24"/>
          <w:lang w:val="en-US" w:eastAsia="zh-CN"/>
        </w:rPr>
        <w:t>相符性分析一览表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5"/>
        <w:gridCol w:w="2250"/>
        <w:gridCol w:w="1365"/>
      </w:tblGrid>
      <w:tr w14:paraId="7A1E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7A07574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目录要求</w:t>
            </w:r>
          </w:p>
        </w:tc>
        <w:tc>
          <w:tcPr>
            <w:tcW w:w="2250" w:type="dxa"/>
          </w:tcPr>
          <w:p w14:paraId="10A21E6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本项目情况</w:t>
            </w:r>
          </w:p>
        </w:tc>
        <w:tc>
          <w:tcPr>
            <w:tcW w:w="1365" w:type="dxa"/>
          </w:tcPr>
          <w:p w14:paraId="6A7D0EA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相符性</w:t>
            </w:r>
          </w:p>
        </w:tc>
      </w:tr>
      <w:tr w14:paraId="33DC3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6FBB261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鼓励类</w:t>
            </w:r>
          </w:p>
        </w:tc>
      </w:tr>
      <w:tr w14:paraId="660D1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49DBBBE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十、黄金 </w:t>
            </w:r>
          </w:p>
          <w:p w14:paraId="7DF7824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黄金尾矿（渣）及废石综合利用（回收有价元素、用于回填、制酸、建材等）</w:t>
            </w:r>
          </w:p>
        </w:tc>
        <w:tc>
          <w:tcPr>
            <w:tcW w:w="2250" w:type="dxa"/>
          </w:tcPr>
          <w:p w14:paraId="0F1CB5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本项目产生的尾矿全部干排，回收利用</w:t>
            </w:r>
          </w:p>
        </w:tc>
        <w:tc>
          <w:tcPr>
            <w:tcW w:w="1365" w:type="dxa"/>
          </w:tcPr>
          <w:p w14:paraId="641C380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13501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37A6794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sz w:val="21"/>
                <w:szCs w:val="21"/>
              </w:rPr>
            </w:pPr>
            <w:r>
              <w:rPr>
                <w:rFonts w:hint="default" w:ascii="Times New Roman" w:hAnsi="Times New Roman" w:cs="Times New Roman" w:eastAsiaTheme="minorEastAsia"/>
                <w:b w:val="0"/>
                <w:bCs w:val="0"/>
                <w:color w:val="000000"/>
                <w:kern w:val="0"/>
                <w:sz w:val="21"/>
                <w:szCs w:val="21"/>
                <w:lang w:val="en-US" w:eastAsia="zh-CN" w:bidi="ar"/>
              </w:rPr>
              <w:t xml:space="preserve">十二、建材 </w:t>
            </w:r>
          </w:p>
          <w:p w14:paraId="3EC1CA9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利用矿山尾矿、建筑废弃物、工业废弃物、城市污泥、江河湖（渠）海淤泥等大宗废弃物无害化生产制备砂石骨料、结构混凝土用高强陶粒、功能陶粒、墙体材料等建材及其工艺技术装备开发</w:t>
            </w:r>
          </w:p>
        </w:tc>
        <w:tc>
          <w:tcPr>
            <w:tcW w:w="2250" w:type="dxa"/>
          </w:tcPr>
          <w:p w14:paraId="5B7C5F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本项目产生的尾矿全部干排，回收利用</w:t>
            </w:r>
          </w:p>
        </w:tc>
        <w:tc>
          <w:tcPr>
            <w:tcW w:w="1365" w:type="dxa"/>
          </w:tcPr>
          <w:p w14:paraId="7FE0BA1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3B2D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518E68A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限制类</w:t>
            </w:r>
          </w:p>
        </w:tc>
      </w:tr>
      <w:tr w14:paraId="3847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2ED05AB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1、日处理金精矿200吨（不含）以下的原料自供能力不足50%（不含）的独立氰化项目（生物氰化提金工艺除外）</w:t>
            </w:r>
          </w:p>
        </w:tc>
        <w:tc>
          <w:tcPr>
            <w:tcW w:w="2250" w:type="dxa"/>
          </w:tcPr>
          <w:p w14:paraId="2B4E380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w:t>
            </w:r>
            <w:r>
              <w:rPr>
                <w:rFonts w:hint="eastAsia" w:cs="Times New Roman" w:eastAsiaTheme="minorEastAsia"/>
                <w:b w:val="0"/>
                <w:bCs w:val="0"/>
                <w:color w:val="auto"/>
                <w:sz w:val="21"/>
                <w:szCs w:val="21"/>
                <w:vertAlign w:val="baseline"/>
                <w:lang w:val="en-US" w:eastAsia="zh-CN"/>
              </w:rPr>
              <w:t>年处理矿石量为20万t/a，</w:t>
            </w:r>
            <w:r>
              <w:rPr>
                <w:rFonts w:hint="default" w:ascii="Times New Roman" w:hAnsi="Times New Roman" w:cs="Times New Roman" w:eastAsiaTheme="minorEastAsia"/>
                <w:b w:val="0"/>
                <w:bCs w:val="0"/>
                <w:color w:val="auto"/>
                <w:sz w:val="21"/>
                <w:szCs w:val="21"/>
                <w:vertAlign w:val="baseline"/>
                <w:lang w:val="en-US" w:eastAsia="zh-CN"/>
              </w:rPr>
              <w:t>选矿采用浮选</w:t>
            </w:r>
            <w:r>
              <w:rPr>
                <w:rFonts w:hint="eastAsia" w:cs="Times New Roman" w:eastAsiaTheme="minorEastAsia"/>
                <w:b w:val="0"/>
                <w:bCs w:val="0"/>
                <w:color w:val="auto"/>
                <w:sz w:val="21"/>
                <w:szCs w:val="21"/>
                <w:vertAlign w:val="baseline"/>
                <w:lang w:val="en-US" w:eastAsia="zh-CN"/>
              </w:rPr>
              <w:t>工艺</w:t>
            </w:r>
            <w:r>
              <w:rPr>
                <w:rFonts w:hint="default" w:ascii="Times New Roman" w:hAnsi="Times New Roman" w:cs="Times New Roman" w:eastAsiaTheme="minorEastAsia"/>
                <w:b w:val="0"/>
                <w:bCs w:val="0"/>
                <w:color w:val="auto"/>
                <w:sz w:val="21"/>
                <w:szCs w:val="21"/>
                <w:vertAlign w:val="baseline"/>
                <w:lang w:val="en-US" w:eastAsia="zh-CN"/>
              </w:rPr>
              <w:t>，不涉及</w:t>
            </w:r>
            <w:r>
              <w:rPr>
                <w:rFonts w:hint="default" w:ascii="Times New Roman" w:hAnsi="Times New Roman" w:cs="Times New Roman" w:eastAsiaTheme="minorEastAsia"/>
                <w:b w:val="0"/>
                <w:bCs w:val="0"/>
                <w:color w:val="000000"/>
                <w:kern w:val="0"/>
                <w:sz w:val="21"/>
                <w:szCs w:val="21"/>
                <w:lang w:val="en-US" w:eastAsia="zh-CN" w:bidi="ar"/>
              </w:rPr>
              <w:t>独立氰化项目</w:t>
            </w:r>
          </w:p>
        </w:tc>
        <w:tc>
          <w:tcPr>
            <w:tcW w:w="1365" w:type="dxa"/>
          </w:tcPr>
          <w:p w14:paraId="05122F8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5E8D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05CF200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2、日处理矿石300吨（不含）以下的无配套采矿系统的独立黄金选矿厂项目</w:t>
            </w:r>
          </w:p>
        </w:tc>
        <w:tc>
          <w:tcPr>
            <w:tcW w:w="2250" w:type="dxa"/>
          </w:tcPr>
          <w:p w14:paraId="623504D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w:t>
            </w:r>
            <w:r>
              <w:rPr>
                <w:rFonts w:hint="eastAsia" w:cs="Times New Roman" w:eastAsiaTheme="minorEastAsia"/>
                <w:b w:val="0"/>
                <w:bCs w:val="0"/>
                <w:color w:val="auto"/>
                <w:sz w:val="21"/>
                <w:szCs w:val="21"/>
                <w:vertAlign w:val="baseline"/>
                <w:lang w:val="en-US" w:eastAsia="zh-CN"/>
              </w:rPr>
              <w:t>年处理矿石量为20万t/a</w:t>
            </w:r>
            <w:r>
              <w:rPr>
                <w:rFonts w:hint="default" w:ascii="Times New Roman" w:hAnsi="Times New Roman" w:cs="Times New Roman" w:eastAsiaTheme="minorEastAsia"/>
                <w:b w:val="0"/>
                <w:bCs w:val="0"/>
                <w:color w:val="auto"/>
                <w:sz w:val="21"/>
                <w:szCs w:val="21"/>
                <w:vertAlign w:val="baseline"/>
                <w:lang w:val="en-US" w:eastAsia="zh-CN"/>
              </w:rPr>
              <w:t>，有配套的采矿系统</w:t>
            </w:r>
          </w:p>
        </w:tc>
        <w:tc>
          <w:tcPr>
            <w:tcW w:w="1365" w:type="dxa"/>
          </w:tcPr>
          <w:p w14:paraId="27780795">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0D97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3DB2652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3、日处理金精矿200吨(不含)以下的无配套采矿系统的独立黄金冶炼厂火法冶炼项目</w:t>
            </w:r>
          </w:p>
        </w:tc>
        <w:tc>
          <w:tcPr>
            <w:tcW w:w="2250" w:type="dxa"/>
          </w:tcPr>
          <w:p w14:paraId="3769ED9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不涉及</w:t>
            </w:r>
          </w:p>
        </w:tc>
        <w:tc>
          <w:tcPr>
            <w:tcW w:w="1365" w:type="dxa"/>
          </w:tcPr>
          <w:p w14:paraId="071062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79D59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58A4B971">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4、1500吨/日(不含)以下的无配套采矿系统的独立堆浸场项目</w:t>
            </w:r>
          </w:p>
        </w:tc>
        <w:tc>
          <w:tcPr>
            <w:tcW w:w="2250" w:type="dxa"/>
          </w:tcPr>
          <w:p w14:paraId="693A287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不涉及</w:t>
            </w:r>
          </w:p>
        </w:tc>
        <w:tc>
          <w:tcPr>
            <w:tcW w:w="1365" w:type="dxa"/>
          </w:tcPr>
          <w:p w14:paraId="4BA79C3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730E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55CE668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5、日处理岩金矿石300吨(不含)以下的露天采选项目、100吨(不含)以下的地下采选项目</w:t>
            </w:r>
          </w:p>
        </w:tc>
        <w:tc>
          <w:tcPr>
            <w:tcW w:w="2250" w:type="dxa"/>
          </w:tcPr>
          <w:p w14:paraId="5C3F7EE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不涉及</w:t>
            </w:r>
          </w:p>
        </w:tc>
        <w:tc>
          <w:tcPr>
            <w:tcW w:w="1365" w:type="dxa"/>
          </w:tcPr>
          <w:p w14:paraId="28580E2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5DA7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6CB2D0D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6、年处理砂金矿砂30万(不含)立方米以下的砂金开采项目</w:t>
            </w:r>
          </w:p>
        </w:tc>
        <w:tc>
          <w:tcPr>
            <w:tcW w:w="2250" w:type="dxa"/>
          </w:tcPr>
          <w:p w14:paraId="6BC0293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不涉及</w:t>
            </w:r>
          </w:p>
        </w:tc>
        <w:tc>
          <w:tcPr>
            <w:tcW w:w="1365" w:type="dxa"/>
          </w:tcPr>
          <w:p w14:paraId="1F5FC2F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22E26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40A696B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7、在林区、基本农田、河道中开采砂金项目</w:t>
            </w:r>
          </w:p>
        </w:tc>
        <w:tc>
          <w:tcPr>
            <w:tcW w:w="2250" w:type="dxa"/>
          </w:tcPr>
          <w:p w14:paraId="061B122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不涉及</w:t>
            </w:r>
          </w:p>
        </w:tc>
        <w:tc>
          <w:tcPr>
            <w:tcW w:w="1365" w:type="dxa"/>
          </w:tcPr>
          <w:p w14:paraId="364CAED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2307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79AC72F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淘汰类</w:t>
            </w:r>
          </w:p>
        </w:tc>
      </w:tr>
      <w:tr w14:paraId="4857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33A6716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1、混汞提金工艺</w:t>
            </w:r>
          </w:p>
        </w:tc>
        <w:tc>
          <w:tcPr>
            <w:tcW w:w="2250" w:type="dxa"/>
          </w:tcPr>
          <w:p w14:paraId="47382B8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w:t>
            </w:r>
            <w:r>
              <w:rPr>
                <w:rFonts w:hint="eastAsia" w:cs="Times New Roman" w:eastAsiaTheme="minorEastAsia"/>
                <w:b w:val="0"/>
                <w:bCs w:val="0"/>
                <w:color w:val="auto"/>
                <w:sz w:val="21"/>
                <w:szCs w:val="21"/>
                <w:vertAlign w:val="baseline"/>
                <w:lang w:val="en-US" w:eastAsia="zh-CN"/>
              </w:rPr>
              <w:t>采用</w:t>
            </w:r>
            <w:r>
              <w:rPr>
                <w:rFonts w:hint="default" w:ascii="Times New Roman" w:hAnsi="Times New Roman" w:cs="Times New Roman" w:eastAsiaTheme="minorEastAsia"/>
                <w:b w:val="0"/>
                <w:bCs w:val="0"/>
                <w:color w:val="auto"/>
                <w:sz w:val="21"/>
                <w:szCs w:val="21"/>
                <w:vertAlign w:val="baseline"/>
                <w:lang w:val="en-US" w:eastAsia="zh-CN"/>
              </w:rPr>
              <w:t>浮选</w:t>
            </w:r>
            <w:r>
              <w:rPr>
                <w:rFonts w:hint="eastAsia" w:cs="Times New Roman" w:eastAsiaTheme="minorEastAsia"/>
                <w:b w:val="0"/>
                <w:bCs w:val="0"/>
                <w:color w:val="auto"/>
                <w:sz w:val="21"/>
                <w:szCs w:val="21"/>
                <w:vertAlign w:val="baseline"/>
                <w:lang w:val="en-US" w:eastAsia="zh-CN"/>
              </w:rPr>
              <w:t>工艺</w:t>
            </w:r>
            <w:r>
              <w:rPr>
                <w:rFonts w:hint="default" w:ascii="Times New Roman" w:hAnsi="Times New Roman" w:cs="Times New Roman" w:eastAsiaTheme="minorEastAsia"/>
                <w:b w:val="0"/>
                <w:bCs w:val="0"/>
                <w:color w:val="auto"/>
                <w:sz w:val="21"/>
                <w:szCs w:val="21"/>
                <w:vertAlign w:val="baseline"/>
                <w:lang w:val="en-US" w:eastAsia="zh-CN"/>
              </w:rPr>
              <w:t>，不涉及</w:t>
            </w:r>
            <w:r>
              <w:rPr>
                <w:rFonts w:hint="default" w:ascii="Times New Roman" w:hAnsi="Times New Roman" w:cs="Times New Roman" w:eastAsiaTheme="minorEastAsia"/>
                <w:b w:val="0"/>
                <w:bCs w:val="0"/>
                <w:color w:val="000000"/>
                <w:kern w:val="0"/>
                <w:sz w:val="21"/>
                <w:szCs w:val="21"/>
                <w:lang w:val="en-US" w:eastAsia="zh-CN" w:bidi="ar"/>
              </w:rPr>
              <w:t>混汞提金工艺</w:t>
            </w:r>
          </w:p>
        </w:tc>
        <w:tc>
          <w:tcPr>
            <w:tcW w:w="1365" w:type="dxa"/>
          </w:tcPr>
          <w:p w14:paraId="742E884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7D9FE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2DD144B8">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2、小氰化池浸工艺、土法冶炼工艺</w:t>
            </w:r>
          </w:p>
        </w:tc>
        <w:tc>
          <w:tcPr>
            <w:tcW w:w="2250" w:type="dxa"/>
          </w:tcPr>
          <w:p w14:paraId="3C9BB3B2">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本项目为浮选，不涉及</w:t>
            </w:r>
            <w:r>
              <w:rPr>
                <w:rFonts w:hint="default" w:ascii="Times New Roman" w:hAnsi="Times New Roman" w:cs="Times New Roman" w:eastAsiaTheme="minorEastAsia"/>
                <w:b w:val="0"/>
                <w:bCs w:val="0"/>
                <w:color w:val="000000"/>
                <w:kern w:val="0"/>
                <w:sz w:val="21"/>
                <w:szCs w:val="21"/>
                <w:lang w:val="en-US" w:eastAsia="zh-CN" w:bidi="ar"/>
              </w:rPr>
              <w:t>小氰化池浸工艺、土法冶炼工艺</w:t>
            </w:r>
          </w:p>
        </w:tc>
        <w:tc>
          <w:tcPr>
            <w:tcW w:w="1365" w:type="dxa"/>
          </w:tcPr>
          <w:p w14:paraId="47D177B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r w14:paraId="0C125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5" w:type="dxa"/>
          </w:tcPr>
          <w:p w14:paraId="5DCF80D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eastAsiaTheme="minorEastAsia"/>
                <w:b w:val="0"/>
                <w:bCs w:val="0"/>
                <w:color w:val="000000"/>
                <w:kern w:val="0"/>
                <w:sz w:val="21"/>
                <w:szCs w:val="21"/>
                <w:lang w:val="en-US" w:eastAsia="zh-CN" w:bidi="ar"/>
              </w:rPr>
            </w:pPr>
            <w:r>
              <w:rPr>
                <w:rFonts w:hint="default" w:ascii="Times New Roman" w:hAnsi="Times New Roman" w:cs="Times New Roman" w:eastAsiaTheme="minorEastAsia"/>
                <w:b w:val="0"/>
                <w:bCs w:val="0"/>
                <w:color w:val="000000"/>
                <w:kern w:val="0"/>
                <w:sz w:val="21"/>
                <w:szCs w:val="21"/>
                <w:lang w:val="en-US" w:eastAsia="zh-CN" w:bidi="ar"/>
              </w:rPr>
              <w:t>3、日处理能力50吨(不含)以下采选项目</w:t>
            </w:r>
          </w:p>
        </w:tc>
        <w:tc>
          <w:tcPr>
            <w:tcW w:w="2250" w:type="dxa"/>
          </w:tcPr>
          <w:p w14:paraId="298A459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本项目日处理</w:t>
            </w:r>
            <w:r>
              <w:rPr>
                <w:rFonts w:hint="default" w:ascii="Times New Roman" w:hAnsi="Times New Roman" w:cs="Times New Roman" w:eastAsiaTheme="minorEastAsia"/>
                <w:b w:val="0"/>
                <w:bCs w:val="0"/>
                <w:color w:val="auto"/>
                <w:sz w:val="21"/>
                <w:szCs w:val="21"/>
                <w:highlight w:val="none"/>
                <w:vertAlign w:val="baseline"/>
                <w:lang w:val="en-US" w:eastAsia="zh-CN"/>
              </w:rPr>
              <w:t>能力</w:t>
            </w:r>
            <w:r>
              <w:rPr>
                <w:rFonts w:hint="eastAsia" w:cs="Times New Roman" w:eastAsiaTheme="minorEastAsia"/>
                <w:b w:val="0"/>
                <w:bCs w:val="0"/>
                <w:color w:val="auto"/>
                <w:sz w:val="21"/>
                <w:szCs w:val="21"/>
                <w:highlight w:val="none"/>
                <w:vertAlign w:val="baseline"/>
                <w:lang w:val="en-US" w:eastAsia="zh-CN"/>
              </w:rPr>
              <w:t>约为666.67t/a</w:t>
            </w:r>
            <w:r>
              <w:rPr>
                <w:rFonts w:hint="default" w:ascii="Times New Roman" w:hAnsi="Times New Roman" w:cs="Times New Roman" w:eastAsiaTheme="minorEastAsia"/>
                <w:b w:val="0"/>
                <w:bCs w:val="0"/>
                <w:color w:val="auto"/>
                <w:sz w:val="21"/>
                <w:szCs w:val="21"/>
                <w:highlight w:val="none"/>
                <w:vertAlign w:val="baseline"/>
                <w:lang w:val="en-US" w:eastAsia="zh-CN"/>
              </w:rPr>
              <w:t>。</w:t>
            </w:r>
          </w:p>
        </w:tc>
        <w:tc>
          <w:tcPr>
            <w:tcW w:w="1365" w:type="dxa"/>
          </w:tcPr>
          <w:p w14:paraId="5D24043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符合</w:t>
            </w:r>
          </w:p>
        </w:tc>
      </w:tr>
    </w:tbl>
    <w:p w14:paraId="1FE4AAB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175"/>
        <w:rPr>
          <w:rFonts w:hint="eastAsia" w:eastAsia="宋体"/>
          <w:color w:val="auto"/>
          <w:sz w:val="24"/>
          <w:lang w:val="en-US" w:eastAsia="zh-CN"/>
        </w:rPr>
      </w:pPr>
      <w:r>
        <w:rPr>
          <w:rFonts w:hint="eastAsia"/>
          <w:color w:val="auto"/>
          <w:sz w:val="24"/>
          <w:lang w:val="en-US" w:eastAsia="zh-CN"/>
        </w:rPr>
        <w:t>由上表分析知，</w:t>
      </w:r>
      <w:r>
        <w:rPr>
          <w:rFonts w:hint="eastAsia"/>
          <w:color w:val="auto"/>
          <w:sz w:val="24"/>
        </w:rPr>
        <w:t>本项目属于《产业结构调整指导目录（20</w:t>
      </w:r>
      <w:r>
        <w:rPr>
          <w:rFonts w:hint="eastAsia"/>
          <w:color w:val="auto"/>
          <w:sz w:val="24"/>
          <w:lang w:val="en-US" w:eastAsia="zh-CN"/>
        </w:rPr>
        <w:t>24</w:t>
      </w:r>
      <w:r>
        <w:rPr>
          <w:rFonts w:hint="eastAsia"/>
          <w:color w:val="auto"/>
          <w:sz w:val="24"/>
        </w:rPr>
        <w:t>年本）》中</w:t>
      </w:r>
      <w:r>
        <w:rPr>
          <w:rFonts w:hint="eastAsia"/>
          <w:color w:val="auto"/>
          <w:sz w:val="24"/>
          <w:lang w:val="en-US" w:eastAsia="zh-CN"/>
        </w:rPr>
        <w:t>鼓励类</w:t>
      </w:r>
      <w:r>
        <w:rPr>
          <w:rFonts w:hint="eastAsia"/>
          <w:color w:val="auto"/>
          <w:sz w:val="24"/>
        </w:rPr>
        <w:t>，采用的生产艺、设备和生产的产品不在该目录中所列的落后工艺、装备和产品</w:t>
      </w:r>
      <w:r>
        <w:rPr>
          <w:rFonts w:hint="eastAsia"/>
          <w:color w:val="auto"/>
          <w:sz w:val="24"/>
          <w:lang w:val="en-US" w:eastAsia="zh-CN"/>
        </w:rPr>
        <w:t>中</w:t>
      </w:r>
      <w:r>
        <w:rPr>
          <w:rFonts w:hint="eastAsia"/>
          <w:color w:val="auto"/>
          <w:sz w:val="24"/>
        </w:rPr>
        <w:t>，符合国家相关法律、法规</w:t>
      </w:r>
      <w:r>
        <w:rPr>
          <w:rFonts w:hint="eastAsia"/>
          <w:color w:val="auto"/>
          <w:sz w:val="24"/>
          <w:lang w:val="en-US" w:eastAsia="zh-CN"/>
        </w:rPr>
        <w:t>要求</w:t>
      </w:r>
      <w:r>
        <w:rPr>
          <w:rFonts w:hint="eastAsia"/>
          <w:color w:val="auto"/>
          <w:sz w:val="24"/>
        </w:rPr>
        <w:t>。</w:t>
      </w:r>
    </w:p>
    <w:p w14:paraId="5B3E3D7B">
      <w:pPr>
        <w:pStyle w:val="4"/>
        <w:bidi w:val="0"/>
        <w:rPr>
          <w:rFonts w:hint="default" w:ascii="Times New Roman" w:hAnsi="Times New Roman" w:cs="Times New Roman" w:eastAsiaTheme="minorEastAsia"/>
          <w:lang w:val="en-US" w:eastAsia="zh-CN"/>
        </w:rPr>
      </w:pPr>
      <w:bookmarkStart w:id="216" w:name="_Toc16113"/>
      <w:r>
        <w:rPr>
          <w:rFonts w:hint="default" w:ascii="Times New Roman" w:hAnsi="Times New Roman" w:cs="Times New Roman" w:eastAsiaTheme="minorEastAsia"/>
          <w:lang w:val="en-US" w:eastAsia="zh-CN"/>
        </w:rPr>
        <w:t>11.2选址</w:t>
      </w:r>
      <w:r>
        <w:rPr>
          <w:rFonts w:hint="eastAsia" w:ascii="Times New Roman" w:hAnsi="Times New Roman" w:cs="Times New Roman" w:eastAsiaTheme="minorEastAsia"/>
          <w:lang w:val="en-US" w:eastAsia="zh-CN"/>
        </w:rPr>
        <w:t>可行</w:t>
      </w:r>
      <w:r>
        <w:rPr>
          <w:rFonts w:hint="default" w:ascii="Times New Roman" w:hAnsi="Times New Roman" w:cs="Times New Roman" w:eastAsiaTheme="minorEastAsia"/>
          <w:lang w:val="en-US" w:eastAsia="zh-CN"/>
        </w:rPr>
        <w:t>性分析</w:t>
      </w:r>
      <w:bookmarkEnd w:id="216"/>
    </w:p>
    <w:p w14:paraId="638CCA36">
      <w:pPr>
        <w:pStyle w:val="47"/>
        <w:spacing w:after="0" w:line="360" w:lineRule="auto"/>
        <w:ind w:left="0" w:leftChars="0" w:firstLine="480" w:firstLineChars="200"/>
        <w:rPr>
          <w:rFonts w:hint="eastAsia" w:eastAsia="宋体"/>
          <w:color w:val="auto"/>
          <w:sz w:val="24"/>
          <w:lang w:val="en-US" w:eastAsia="zh-CN"/>
        </w:rPr>
      </w:pPr>
      <w:r>
        <w:rPr>
          <w:rFonts w:hint="eastAsia"/>
          <w:color w:val="auto"/>
          <w:sz w:val="24"/>
          <w:lang w:val="en-US" w:eastAsia="zh-CN"/>
        </w:rPr>
        <w:t>本项目</w:t>
      </w:r>
      <w:r>
        <w:rPr>
          <w:rFonts w:hint="eastAsia" w:eastAsia="宋体"/>
          <w:color w:val="auto"/>
          <w:sz w:val="24"/>
          <w:lang w:val="en-US" w:eastAsia="zh-CN"/>
        </w:rPr>
        <w:t>位于</w:t>
      </w:r>
      <w:r>
        <w:rPr>
          <w:rFonts w:hint="eastAsia"/>
          <w:color w:val="auto"/>
          <w:sz w:val="24"/>
          <w:lang w:eastAsia="zh-CN"/>
        </w:rPr>
        <w:t>辽宁省朝阳市北票市娄家店乡冯家营村</w:t>
      </w:r>
      <w:r>
        <w:rPr>
          <w:rFonts w:hint="eastAsia" w:eastAsia="宋体"/>
          <w:color w:val="auto"/>
          <w:sz w:val="24"/>
          <w:lang w:val="en-US" w:eastAsia="zh-CN"/>
        </w:rPr>
        <w:t>，</w:t>
      </w:r>
      <w:r>
        <w:rPr>
          <w:rFonts w:hint="eastAsia"/>
          <w:color w:val="auto"/>
          <w:sz w:val="24"/>
          <w:lang w:val="en-US" w:eastAsia="zh-CN"/>
        </w:rPr>
        <w:t>本项目在现有厂区内现有工程基础上进行改扩建，不新增占地面积，现有厂区选址可行性已在原环评分析过，并取得环评批复，已说明选址可行。</w:t>
      </w:r>
      <w:r>
        <w:rPr>
          <w:rFonts w:hint="eastAsia" w:eastAsia="宋体"/>
          <w:color w:val="auto"/>
          <w:sz w:val="24"/>
          <w:lang w:val="en-US" w:eastAsia="zh-CN"/>
        </w:rPr>
        <w:t>项目评价范围内无自然保护区、水源保护地、风景名胜区及重要自然和文化遗产保护地等特殊敏感</w:t>
      </w:r>
      <w:r>
        <w:rPr>
          <w:rFonts w:hint="eastAsia" w:eastAsia="宋体"/>
          <w:color w:val="auto"/>
          <w:sz w:val="24"/>
          <w:highlight w:val="none"/>
          <w:lang w:val="en-US" w:eastAsia="zh-CN"/>
        </w:rPr>
        <w:t>目标，项目占地范围内不涉及基本农田、未占用生态保护红线，</w:t>
      </w:r>
      <w:r>
        <w:rPr>
          <w:rFonts w:hint="eastAsia"/>
          <w:color w:val="auto"/>
          <w:sz w:val="24"/>
          <w:highlight w:val="none"/>
          <w:lang w:val="en-US" w:eastAsia="zh-CN"/>
        </w:rPr>
        <w:t>本次改扩建</w:t>
      </w:r>
      <w:r>
        <w:rPr>
          <w:rFonts w:hint="eastAsia" w:eastAsia="宋体"/>
          <w:color w:val="auto"/>
          <w:sz w:val="24"/>
          <w:highlight w:val="none"/>
          <w:lang w:val="en-US" w:eastAsia="zh-CN"/>
        </w:rPr>
        <w:t>项目无明</w:t>
      </w:r>
      <w:r>
        <w:rPr>
          <w:rFonts w:hint="eastAsia" w:eastAsia="宋体"/>
          <w:color w:val="auto"/>
          <w:sz w:val="24"/>
          <w:lang w:val="en-US" w:eastAsia="zh-CN"/>
        </w:rPr>
        <w:t>显的环境制约因素。因此，项目选址合理。</w:t>
      </w:r>
    </w:p>
    <w:p w14:paraId="63672B1E">
      <w:pPr>
        <w:pStyle w:val="4"/>
        <w:bidi w:val="0"/>
        <w:rPr>
          <w:rFonts w:hint="default" w:ascii="Times New Roman" w:hAnsi="Times New Roman" w:cs="Times New Roman" w:eastAsiaTheme="minorEastAsia"/>
          <w:lang w:val="en-US" w:eastAsia="zh-CN"/>
        </w:rPr>
      </w:pPr>
      <w:bookmarkStart w:id="217" w:name="_Toc2478"/>
      <w:r>
        <w:rPr>
          <w:rFonts w:hint="default" w:ascii="Times New Roman" w:hAnsi="Times New Roman" w:cs="Times New Roman" w:eastAsiaTheme="minorEastAsia"/>
          <w:lang w:val="en-US" w:eastAsia="zh-CN"/>
        </w:rPr>
        <w:t>11.</w:t>
      </w:r>
      <w:r>
        <w:rPr>
          <w:rFonts w:hint="eastAsia" w:ascii="Times New Roman" w:hAnsi="Times New Roman" w:cs="Times New Roman" w:eastAsiaTheme="minorEastAsia"/>
          <w:lang w:val="en-US" w:eastAsia="zh-CN"/>
        </w:rPr>
        <w:t>3相关规划相符性</w:t>
      </w:r>
      <w:r>
        <w:rPr>
          <w:rFonts w:hint="default" w:ascii="Times New Roman" w:hAnsi="Times New Roman" w:cs="Times New Roman" w:eastAsiaTheme="minorEastAsia"/>
          <w:lang w:val="en-US" w:eastAsia="zh-CN"/>
        </w:rPr>
        <w:t>分析</w:t>
      </w:r>
      <w:bookmarkEnd w:id="217"/>
    </w:p>
    <w:p w14:paraId="5BAB2A2E">
      <w:pPr>
        <w:rPr>
          <w:rFonts w:hint="eastAsia"/>
          <w:lang w:val="en-US" w:eastAsia="zh-CN"/>
        </w:rPr>
      </w:pPr>
    </w:p>
    <w:p w14:paraId="1D8F2D3F">
      <w:pPr>
        <w:pStyle w:val="5"/>
        <w:bidi w:val="0"/>
        <w:rPr>
          <w:rFonts w:hint="eastAsia"/>
          <w:lang w:val="en-US" w:eastAsia="zh-CN"/>
        </w:rPr>
      </w:pPr>
      <w:r>
        <w:rPr>
          <w:rFonts w:hint="eastAsia"/>
          <w:lang w:val="en-US" w:eastAsia="zh-CN"/>
        </w:rPr>
        <w:t>11.3.1与《辽宁省主体功能区规划》符合性分析</w:t>
      </w:r>
    </w:p>
    <w:p w14:paraId="6AE7CF3F">
      <w:pPr>
        <w:pStyle w:val="47"/>
        <w:spacing w:after="0" w:line="360" w:lineRule="auto"/>
        <w:ind w:left="0" w:leftChars="0" w:firstLine="480" w:firstLineChars="200"/>
        <w:rPr>
          <w:rFonts w:hint="eastAsia" w:eastAsia="宋体"/>
          <w:color w:val="auto"/>
          <w:sz w:val="24"/>
          <w:highlight w:val="none"/>
          <w:lang w:val="en-US" w:eastAsia="zh-CN"/>
        </w:rPr>
      </w:pPr>
      <w:r>
        <w:rPr>
          <w:rFonts w:hint="eastAsia" w:eastAsia="宋体"/>
          <w:color w:val="auto"/>
          <w:sz w:val="24"/>
          <w:lang w:val="en-US" w:eastAsia="zh-CN"/>
        </w:rPr>
        <w:t>《辽宁省主体功能区划》将全省国土空间划分为以下主体功能区：按开发方式，分为优化开发区域、重点开发区域、限制开发区域和禁止开发区域；按开发内容，分为城市化地区、农产品主产区和重点生态功能区；按层级，分为国家级和省级两</w:t>
      </w:r>
      <w:r>
        <w:rPr>
          <w:rFonts w:hint="eastAsia" w:eastAsia="宋体"/>
          <w:color w:val="auto"/>
          <w:sz w:val="24"/>
          <w:highlight w:val="none"/>
          <w:lang w:val="en-US" w:eastAsia="zh-CN"/>
        </w:rPr>
        <w:t>个层面。</w:t>
      </w:r>
    </w:p>
    <w:p w14:paraId="4C7501AC">
      <w:pPr>
        <w:pStyle w:val="47"/>
        <w:spacing w:after="0" w:line="360" w:lineRule="auto"/>
        <w:ind w:left="0" w:leftChars="0"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本项目位于辽宁省朝阳市北票市娄家店乡冯家营村，不属于《辽宁省主体功能区划》中的禁止开发区，</w:t>
      </w:r>
      <w:r>
        <w:rPr>
          <w:rFonts w:hint="eastAsia" w:eastAsia="宋体"/>
          <w:b/>
          <w:bCs/>
          <w:color w:val="auto"/>
          <w:sz w:val="24"/>
          <w:highlight w:val="none"/>
          <w:lang w:val="en-US" w:eastAsia="zh-CN"/>
        </w:rPr>
        <w:t>属于限制开发区域的国家级农产品主产区。</w:t>
      </w:r>
    </w:p>
    <w:p w14:paraId="2DDEC24F">
      <w:pPr>
        <w:pStyle w:val="47"/>
        <w:spacing w:after="0" w:line="360" w:lineRule="auto"/>
        <w:ind w:left="0" w:leftChars="0"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农产品主产区为耕地较多、农业发展条件较好，尽管也适宜工业化城镇化开发，但从保障农产品安全的需要出发，必须把增强农业综合生产能力作为发展的首要任务，应该限制进行大规模高强度工业化城镇化开发的地区。</w:t>
      </w:r>
    </w:p>
    <w:p w14:paraId="4FE58809">
      <w:pPr>
        <w:pStyle w:val="47"/>
        <w:spacing w:after="0" w:line="360" w:lineRule="auto"/>
        <w:ind w:left="0" w:leftChars="0"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农产品主产区区域功能定位：保障粮食等农产品供给的重要区域，重要的农产品深加工区，全省重要的现代农业和新农村建设示范区。</w:t>
      </w:r>
    </w:p>
    <w:p w14:paraId="752B93E8">
      <w:pPr>
        <w:pStyle w:val="47"/>
        <w:spacing w:after="0" w:line="360" w:lineRule="auto"/>
        <w:ind w:left="0" w:leftChars="0"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农产品主产区区域发展方向和开发原则：着力保护耕地，尤其是基本农田，稳定粮食生产，发展现代农业，增强农业综合生产能力，增加农民收入，加强农村面源污染防治，加快社会主义新农村建设，保障农产品供给。</w:t>
      </w:r>
    </w:p>
    <w:p w14:paraId="7AFF924B">
      <w:pPr>
        <w:pStyle w:val="47"/>
        <w:spacing w:after="0" w:line="360" w:lineRule="auto"/>
        <w:ind w:left="0" w:leftChars="0"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本项目为选矿厂项目，不属于大规模高强度工业化城镇化开发；</w:t>
      </w:r>
      <w:r>
        <w:rPr>
          <w:rFonts w:hint="eastAsia"/>
          <w:color w:val="auto"/>
          <w:sz w:val="24"/>
          <w:highlight w:val="none"/>
          <w:lang w:val="en-US" w:eastAsia="zh-CN"/>
        </w:rPr>
        <w:t>本次改扩建</w:t>
      </w:r>
      <w:r>
        <w:rPr>
          <w:rFonts w:hint="eastAsia" w:eastAsia="宋体"/>
          <w:color w:val="auto"/>
          <w:sz w:val="24"/>
          <w:highlight w:val="none"/>
          <w:lang w:val="en-US" w:eastAsia="zh-CN"/>
        </w:rPr>
        <w:t>在现有厂区内进行，不新增占地面积，在生产过程中不会影响附近的农业生产，与农产品主产区的功能定位不冲突，符合《辽宁省主体功能区划》的要求。</w:t>
      </w:r>
    </w:p>
    <w:p w14:paraId="0A9799E3">
      <w:pPr>
        <w:pStyle w:val="47"/>
        <w:spacing w:after="0" w:line="360" w:lineRule="auto"/>
        <w:ind w:left="0" w:leftChars="0" w:firstLine="480" w:firstLineChars="200"/>
        <w:rPr>
          <w:rFonts w:hint="eastAsia" w:eastAsia="宋体"/>
          <w:color w:val="auto"/>
          <w:sz w:val="24"/>
          <w:highlight w:val="none"/>
          <w:lang w:eastAsia="zh-CN"/>
        </w:rPr>
      </w:pPr>
      <w:r>
        <w:rPr>
          <w:rFonts w:hint="eastAsia" w:eastAsia="宋体"/>
          <w:color w:val="auto"/>
          <w:sz w:val="24"/>
          <w:highlight w:val="none"/>
          <w:lang w:val="en-US" w:eastAsia="zh-CN"/>
        </w:rPr>
        <w:t>本项目为主体功能区划为“农产品主产区”，项目区范围无耕地，不属于重点生态功能区、禁止开发区范围之列，见</w:t>
      </w:r>
      <w:r>
        <w:rPr>
          <w:rFonts w:hint="eastAsia"/>
          <w:color w:val="auto"/>
          <w:sz w:val="24"/>
          <w:highlight w:val="none"/>
          <w:lang w:val="en-US" w:eastAsia="zh-CN"/>
        </w:rPr>
        <w:t>下图</w:t>
      </w:r>
      <w:r>
        <w:rPr>
          <w:rFonts w:hint="eastAsia" w:eastAsia="宋体"/>
          <w:color w:val="auto"/>
          <w:sz w:val="24"/>
          <w:highlight w:val="none"/>
          <w:lang w:val="en-US" w:eastAsia="zh-CN"/>
        </w:rPr>
        <w:t>。</w:t>
      </w:r>
    </w:p>
    <w:p w14:paraId="4557946F">
      <w:pPr>
        <w:pStyle w:val="5"/>
        <w:bidi w:val="0"/>
        <w:rPr>
          <w:rFonts w:hint="default"/>
          <w:b/>
          <w:bCs/>
          <w:sz w:val="32"/>
          <w:szCs w:val="32"/>
          <w:lang w:val="en-US" w:eastAsia="zh-CN"/>
        </w:rPr>
        <w:sectPr>
          <w:headerReference r:id="rId24" w:type="first"/>
          <w:footerReference r:id="rId26" w:type="first"/>
          <w:headerReference r:id="rId23" w:type="default"/>
          <w:footerReference r:id="rId25" w:type="default"/>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titlePg/>
          <w:docGrid w:type="lines" w:linePitch="312" w:charSpace="0"/>
        </w:sectPr>
      </w:pPr>
    </w:p>
    <w:p w14:paraId="5D6DC8D4">
      <w:pPr>
        <w:widowControl/>
        <w:jc w:val="center"/>
        <w:rPr>
          <w:b/>
          <w:bCs/>
          <w:color w:val="auto"/>
          <w:sz w:val="24"/>
        </w:rPr>
      </w:pPr>
      <w:r>
        <w:rPr>
          <w:color w:val="auto"/>
        </w:rPr>
        <mc:AlternateContent>
          <mc:Choice Requires="wps">
            <w:drawing>
              <wp:anchor distT="0" distB="0" distL="0" distR="0" simplePos="0" relativeHeight="251827200" behindDoc="0" locked="0" layoutInCell="1" allowOverlap="1">
                <wp:simplePos x="0" y="0"/>
                <wp:positionH relativeFrom="column">
                  <wp:posOffset>2987040</wp:posOffset>
                </wp:positionH>
                <wp:positionV relativeFrom="paragraph">
                  <wp:posOffset>1637665</wp:posOffset>
                </wp:positionV>
                <wp:extent cx="75565" cy="75565"/>
                <wp:effectExtent l="7620" t="7620" r="12065" b="12065"/>
                <wp:wrapNone/>
                <wp:docPr id="459" name="_x0000_s2205"/>
                <wp:cNvGraphicFramePr/>
                <a:graphic xmlns:a="http://schemas.openxmlformats.org/drawingml/2006/main">
                  <a:graphicData uri="http://schemas.microsoft.com/office/word/2010/wordprocessingShape">
                    <wps:wsp>
                      <wps:cNvSpPr/>
                      <wps:spPr>
                        <a:xfrm>
                          <a:off x="0" y="0"/>
                          <a:ext cx="75565" cy="75565"/>
                        </a:xfrm>
                        <a:prstGeom prst="flowChartConnector">
                          <a:avLst/>
                        </a:prstGeom>
                        <a:solidFill>
                          <a:srgbClr val="FF0000"/>
                        </a:solidFill>
                        <a:ln w="15875">
                          <a:solidFill>
                            <a:srgbClr val="008000"/>
                          </a:solidFill>
                        </a:ln>
                      </wps:spPr>
                      <wps:bodyPr rot="0" vert="horz" wrap="square" lIns="91440" tIns="45720" rIns="91440" bIns="45720" anchor="t" anchorCtr="0"/>
                    </wps:wsp>
                  </a:graphicData>
                </a:graphic>
              </wp:anchor>
            </w:drawing>
          </mc:Choice>
          <mc:Fallback>
            <w:pict>
              <v:shape id="_x0000_s2205" o:spid="_x0000_s1026" o:spt="120" type="#_x0000_t120" style="position:absolute;left:0pt;margin-left:235.2pt;margin-top:128.95pt;height:5.95pt;width:5.95pt;z-index:251827200;mso-width-relative:page;mso-height-relative:page;" fillcolor="#FF0000" filled="t" stroked="t" coordsize="21600,21600" o:gfxdata="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TiVrdkAAAALAQAADwAAAAAAAAABACAAAAAiAAAAZHJzL2Rvd25yZXYueG1sUEsBAhQA&#10;FAAAAAgAh07iQB2ZDwfxAQAABgQAAA4AAAAAAAAAAQAgAAAAKAEAAGRycy9lMm9Eb2MueG1sUEsF&#10;BgAAAAAGAAYAWQEAAIsFAAAAAA==&#10;">
                <v:fill on="t" focussize="0,0"/>
                <v:stroke weight="1.25pt" color="#008000" joinstyle="round"/>
                <v:imagedata o:title=""/>
                <o:lock v:ext="edit" aspectratio="f"/>
              </v:shape>
            </w:pict>
          </mc:Fallback>
        </mc:AlternateContent>
      </w:r>
      <w:r>
        <w:rPr>
          <w:color w:val="auto"/>
        </w:rPr>
        <mc:AlternateContent>
          <mc:Choice Requires="wps">
            <w:drawing>
              <wp:anchor distT="0" distB="0" distL="0" distR="0" simplePos="0" relativeHeight="251826176" behindDoc="0" locked="0" layoutInCell="1" allowOverlap="1">
                <wp:simplePos x="0" y="0"/>
                <wp:positionH relativeFrom="column">
                  <wp:posOffset>3028950</wp:posOffset>
                </wp:positionH>
                <wp:positionV relativeFrom="paragraph">
                  <wp:posOffset>780415</wp:posOffset>
                </wp:positionV>
                <wp:extent cx="1023620" cy="296545"/>
                <wp:effectExtent l="20955" t="7620" r="22225" b="610235"/>
                <wp:wrapNone/>
                <wp:docPr id="460" name="_x0000_s2206"/>
                <wp:cNvGraphicFramePr/>
                <a:graphic xmlns:a="http://schemas.openxmlformats.org/drawingml/2006/main">
                  <a:graphicData uri="http://schemas.microsoft.com/office/word/2010/wordprocessingShape">
                    <wps:wsp>
                      <wps:cNvSpPr/>
                      <wps:spPr>
                        <a:xfrm>
                          <a:off x="0" y="0"/>
                          <a:ext cx="1023620" cy="296545"/>
                        </a:xfrm>
                        <a:prstGeom prst="wedgeRectCallout">
                          <a:avLst>
                            <a:gd name="adj1" fmla="val -51302"/>
                            <a:gd name="adj2" fmla="val 252141"/>
                          </a:avLst>
                        </a:prstGeom>
                        <a:solidFill>
                          <a:srgbClr val="FFFF00"/>
                        </a:solidFill>
                        <a:ln w="15875">
                          <a:solidFill>
                            <a:srgbClr val="008000"/>
                          </a:solidFill>
                        </a:ln>
                      </wps:spPr>
                      <wps:txbx>
                        <w:txbxContent>
                          <w:p w14:paraId="4D68570C">
                            <w:r>
                              <w:rPr>
                                <w:rFonts w:hint="eastAsia"/>
                              </w:rPr>
                              <w:t>本项目所在地</w:t>
                            </w:r>
                          </w:p>
                        </w:txbxContent>
                      </wps:txbx>
                      <wps:bodyPr rot="0" vert="horz" wrap="square" lIns="91440" tIns="45720" rIns="91440" bIns="45720" anchor="t" anchorCtr="0"/>
                    </wps:wsp>
                  </a:graphicData>
                </a:graphic>
              </wp:anchor>
            </w:drawing>
          </mc:Choice>
          <mc:Fallback>
            <w:pict>
              <v:shape id="_x0000_s2206" o:spid="_x0000_s1026" o:spt="61" type="#_x0000_t61" style="position:absolute;left:0pt;margin-left:238.5pt;margin-top:61.45pt;height:23.35pt;width:80.6pt;z-index:251826176;mso-width-relative:page;mso-height-relative:page;" fillcolor="#FFFF00" filled="t" stroked="t" coordsize="21600,21600" o:gfxdata="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AZRZx2wAAAAsBAAAPAAAAAAAAAAEAIAAAACIAAABkcnMvZG93bnJldi54bWxQSwECFAAUAAAA&#10;CACHTuJACMGY3iQCAABlBAAADgAAAAAAAAABACAAAAAqAQAAZHJzL2Uyb0RvYy54bWxQSwUGAAAA&#10;AAYABgBZAQAAwAUAAAAA&#10;" adj="-281,65262">
                <v:fill on="t" focussize="0,0"/>
                <v:stroke weight="1.25pt" color="#008000" joinstyle="round"/>
                <v:imagedata o:title=""/>
                <o:lock v:ext="edit" aspectratio="f"/>
                <v:textbox>
                  <w:txbxContent>
                    <w:p w14:paraId="4D68570C">
                      <w:r>
                        <w:rPr>
                          <w:rFonts w:hint="eastAsia"/>
                        </w:rPr>
                        <w:t>本项目所在地</w:t>
                      </w:r>
                    </w:p>
                  </w:txbxContent>
                </v:textbox>
              </v:shape>
            </w:pict>
          </mc:Fallback>
        </mc:AlternateContent>
      </w:r>
      <w:r>
        <w:rPr>
          <w:color w:val="auto"/>
        </w:rPr>
        <w:drawing>
          <wp:inline distT="0" distB="0" distL="114300" distR="114300">
            <wp:extent cx="6484620" cy="5104765"/>
            <wp:effectExtent l="9525" t="9525" r="20955" b="10160"/>
            <wp:docPr id="46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34"/>
                    <pic:cNvPicPr>
                      <a:picLocks noChangeAspect="1"/>
                    </pic:cNvPicPr>
                  </pic:nvPicPr>
                  <pic:blipFill>
                    <a:blip r:embed="rId55" cstate="print"/>
                    <a:stretch>
                      <a:fillRect/>
                    </a:stretch>
                  </pic:blipFill>
                  <pic:spPr>
                    <a:xfrm>
                      <a:off x="0" y="0"/>
                      <a:ext cx="6485254" cy="5104765"/>
                    </a:xfrm>
                    <a:prstGeom prst="rect">
                      <a:avLst/>
                    </a:prstGeom>
                    <a:ln w="9525" cap="flat" cmpd="sng">
                      <a:solidFill>
                        <a:srgbClr val="000000"/>
                      </a:solidFill>
                      <a:prstDash val="solid"/>
                    </a:ln>
                  </pic:spPr>
                </pic:pic>
              </a:graphicData>
            </a:graphic>
          </wp:inline>
        </w:drawing>
      </w:r>
    </w:p>
    <w:p w14:paraId="3121D544">
      <w:pPr>
        <w:widowControl/>
        <w:jc w:val="center"/>
        <w:rPr>
          <w:b/>
          <w:bCs/>
          <w:color w:val="auto"/>
          <w:sz w:val="24"/>
        </w:rPr>
      </w:pPr>
      <w:r>
        <w:rPr>
          <w:b/>
          <w:bCs/>
          <w:color w:val="auto"/>
          <w:sz w:val="24"/>
        </w:rPr>
        <w:t>图</w:t>
      </w:r>
      <w:r>
        <w:rPr>
          <w:rFonts w:hint="eastAsia"/>
          <w:b/>
          <w:bCs/>
          <w:color w:val="auto"/>
          <w:sz w:val="24"/>
          <w:lang w:val="en-US" w:eastAsia="zh-CN"/>
        </w:rPr>
        <w:t>1</w:t>
      </w:r>
      <w:r>
        <w:rPr>
          <w:b/>
          <w:bCs/>
          <w:color w:val="auto"/>
          <w:sz w:val="24"/>
        </w:rPr>
        <w:t>1</w:t>
      </w:r>
      <w:r>
        <w:rPr>
          <w:rFonts w:hint="eastAsia"/>
          <w:b/>
          <w:bCs/>
          <w:color w:val="auto"/>
          <w:sz w:val="24"/>
          <w:lang w:val="en-US" w:eastAsia="zh-CN"/>
        </w:rPr>
        <w:t>.3</w:t>
      </w:r>
      <w:r>
        <w:rPr>
          <w:b/>
          <w:bCs/>
          <w:color w:val="auto"/>
          <w:sz w:val="24"/>
        </w:rPr>
        <w:t>-1     项目与辽宁省主体功能区划位置关系图</w:t>
      </w:r>
    </w:p>
    <w:p w14:paraId="3D526D61">
      <w:pPr>
        <w:widowControl/>
        <w:jc w:val="center"/>
        <w:rPr>
          <w:b/>
          <w:bCs/>
          <w:color w:val="auto"/>
          <w:sz w:val="24"/>
        </w:rPr>
        <w:sectPr>
          <w:footerReference r:id="rId27" w:type="default"/>
          <w:pgSz w:w="16838" w:h="11906" w:orient="landscape"/>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p>
    <w:p w14:paraId="4E2D0B36">
      <w:pPr>
        <w:pStyle w:val="5"/>
        <w:bidi w:val="0"/>
        <w:rPr>
          <w:rFonts w:hint="eastAsia" w:eastAsiaTheme="minorEastAsia"/>
          <w:bCs/>
          <w:color w:val="auto"/>
          <w:sz w:val="24"/>
        </w:rPr>
      </w:pPr>
      <w:r>
        <w:rPr>
          <w:rFonts w:hint="eastAsia"/>
          <w:b/>
          <w:bCs/>
          <w:sz w:val="32"/>
          <w:szCs w:val="32"/>
          <w:lang w:val="en-US" w:eastAsia="zh-CN"/>
        </w:rPr>
        <w:t>11.3.2与《朝阳市生态环境保护</w:t>
      </w:r>
      <w:r>
        <w:rPr>
          <w:rFonts w:hint="default"/>
          <w:b/>
          <w:bCs/>
          <w:sz w:val="32"/>
          <w:szCs w:val="32"/>
          <w:lang w:val="en-US" w:eastAsia="zh-CN"/>
        </w:rPr>
        <w:t>“</w:t>
      </w:r>
      <w:r>
        <w:rPr>
          <w:rFonts w:hint="eastAsia"/>
          <w:b/>
          <w:bCs/>
          <w:sz w:val="32"/>
          <w:szCs w:val="32"/>
          <w:lang w:val="en-US" w:eastAsia="zh-CN"/>
        </w:rPr>
        <w:t>十四五</w:t>
      </w:r>
      <w:r>
        <w:rPr>
          <w:rFonts w:hint="default"/>
          <w:b/>
          <w:bCs/>
          <w:sz w:val="32"/>
          <w:szCs w:val="32"/>
          <w:lang w:val="en-US" w:eastAsia="zh-CN"/>
        </w:rPr>
        <w:t>”</w:t>
      </w:r>
      <w:r>
        <w:rPr>
          <w:rFonts w:hint="eastAsia"/>
          <w:b/>
          <w:bCs/>
          <w:sz w:val="32"/>
          <w:szCs w:val="32"/>
          <w:lang w:val="en-US" w:eastAsia="zh-CN"/>
        </w:rPr>
        <w:t>规划》相符性分析</w:t>
      </w:r>
    </w:p>
    <w:p w14:paraId="024A9EC5">
      <w:pPr>
        <w:spacing w:line="360" w:lineRule="auto"/>
        <w:ind w:firstLine="482" w:firstLineChars="200"/>
        <w:rPr>
          <w:rFonts w:hint="eastAsia" w:eastAsiaTheme="minorEastAsia"/>
          <w:bCs/>
          <w:color w:val="auto"/>
          <w:sz w:val="24"/>
        </w:rPr>
      </w:pPr>
      <w:r>
        <w:rPr>
          <w:rFonts w:hint="eastAsia" w:eastAsiaTheme="minorEastAsia"/>
          <w:b/>
          <w:bCs w:val="0"/>
          <w:color w:val="auto"/>
          <w:sz w:val="24"/>
          <w:lang w:val="en-US" w:eastAsia="zh-CN"/>
        </w:rPr>
        <w:t>规划重点任务：</w:t>
      </w:r>
      <w:r>
        <w:rPr>
          <w:rFonts w:hint="eastAsia" w:eastAsiaTheme="minorEastAsia"/>
          <w:bCs/>
          <w:color w:val="auto"/>
          <w:sz w:val="24"/>
          <w:lang w:val="en-US" w:eastAsia="zh-CN"/>
        </w:rPr>
        <w:t xml:space="preserve"> </w:t>
      </w:r>
    </w:p>
    <w:p w14:paraId="781F55AF">
      <w:pPr>
        <w:spacing w:line="360" w:lineRule="auto"/>
        <w:ind w:firstLine="480" w:firstLineChars="200"/>
        <w:rPr>
          <w:rFonts w:hint="eastAsia" w:eastAsiaTheme="minorEastAsia"/>
          <w:bCs/>
          <w:color w:val="auto"/>
          <w:sz w:val="24"/>
        </w:rPr>
      </w:pPr>
      <w:r>
        <w:rPr>
          <w:rFonts w:hint="eastAsia" w:eastAsiaTheme="minorEastAsia"/>
          <w:bCs/>
          <w:color w:val="auto"/>
          <w:sz w:val="24"/>
          <w:lang w:val="en-US" w:eastAsia="zh-CN"/>
        </w:rPr>
        <w:t xml:space="preserve">加快低效和落后产能、过剩产能淘汰。强化产业准入政策，提高传统制造业准入要求，严格按照国家产业导向目录，全面收紧高耗能高排放等不符合生态环保发展方向的产业环保政策，逐步淘汰污染重、能耗高、效益差的落后生产工艺，引导实现资源的集约利用。严控新上“两高”行业项目，钢铁、水泥、平板玻璃等产能过剩行业严禁新增产能，并严格执行产能置换。 </w:t>
      </w:r>
    </w:p>
    <w:p w14:paraId="45327858">
      <w:pPr>
        <w:spacing w:line="360" w:lineRule="auto"/>
        <w:ind w:firstLine="480" w:firstLineChars="200"/>
        <w:rPr>
          <w:rFonts w:hint="eastAsia" w:eastAsiaTheme="minorEastAsia"/>
          <w:bCs/>
          <w:color w:val="auto"/>
          <w:sz w:val="24"/>
          <w:lang w:val="en-US" w:eastAsia="zh-CN"/>
        </w:rPr>
      </w:pPr>
      <w:r>
        <w:rPr>
          <w:rFonts w:hint="eastAsia" w:eastAsiaTheme="minorEastAsia"/>
          <w:bCs/>
          <w:color w:val="auto"/>
          <w:sz w:val="24"/>
          <w:lang w:val="en-US" w:eastAsia="zh-CN"/>
        </w:rPr>
        <w:t>本项目不涉及落后生产工艺、过剩产能。本项目为选矿项目，不属于两高项目。</w:t>
      </w:r>
    </w:p>
    <w:p w14:paraId="31193653">
      <w:pPr>
        <w:spacing w:line="360" w:lineRule="auto"/>
        <w:ind w:firstLine="482" w:firstLineChars="200"/>
        <w:rPr>
          <w:rFonts w:hint="eastAsia" w:eastAsiaTheme="minorEastAsia"/>
          <w:bCs/>
          <w:color w:val="auto"/>
          <w:sz w:val="24"/>
        </w:rPr>
      </w:pPr>
      <w:r>
        <w:rPr>
          <w:rFonts w:hint="eastAsia" w:eastAsiaTheme="minorEastAsia"/>
          <w:b/>
          <w:bCs w:val="0"/>
          <w:color w:val="auto"/>
          <w:sz w:val="24"/>
          <w:lang w:val="en-US" w:eastAsia="zh-CN"/>
        </w:rPr>
        <w:t>实施扬尘精细化管理：</w:t>
      </w:r>
      <w:r>
        <w:rPr>
          <w:rFonts w:hint="eastAsia" w:eastAsiaTheme="minorEastAsia"/>
          <w:bCs/>
          <w:color w:val="auto"/>
          <w:sz w:val="24"/>
          <w:lang w:val="en-US" w:eastAsia="zh-CN"/>
        </w:rPr>
        <w:t xml:space="preserve"> </w:t>
      </w:r>
    </w:p>
    <w:p w14:paraId="6264EFD5">
      <w:pPr>
        <w:spacing w:line="360" w:lineRule="auto"/>
        <w:ind w:firstLine="480" w:firstLineChars="200"/>
        <w:rPr>
          <w:rFonts w:hint="eastAsia" w:eastAsiaTheme="minorEastAsia"/>
          <w:bCs/>
          <w:color w:val="auto"/>
          <w:sz w:val="24"/>
        </w:rPr>
      </w:pPr>
      <w:r>
        <w:rPr>
          <w:rFonts w:hint="eastAsia" w:eastAsiaTheme="minorEastAsia"/>
          <w:bCs/>
          <w:color w:val="auto"/>
          <w:sz w:val="24"/>
          <w:lang w:val="en-US" w:eastAsia="zh-CN"/>
        </w:rPr>
        <w:t>开展施工扬尘和施工场地物料运输道路扬尘联合整治，发展绿色施工，建立扬尘控制责任制度，实施施工场地封闭管理，严格落实施工现场围挡、工地砂土覆盖等“六个百分百”要求，推进装配式建筑等建筑方式；加强施工场地原材料、土方等物料运输以及建筑垃圾、渣土运输车辆的运输</w:t>
      </w:r>
      <w:r>
        <w:rPr>
          <w:rFonts w:hint="default" w:eastAsiaTheme="minorEastAsia"/>
          <w:bCs/>
          <w:color w:val="auto"/>
          <w:sz w:val="24"/>
          <w:lang w:val="en-US" w:eastAsia="zh-CN"/>
        </w:rPr>
        <w:t>-</w:t>
      </w:r>
      <w:r>
        <w:rPr>
          <w:rFonts w:hint="eastAsia" w:eastAsiaTheme="minorEastAsia"/>
          <w:bCs/>
          <w:color w:val="auto"/>
          <w:sz w:val="24"/>
          <w:lang w:val="en-US" w:eastAsia="zh-CN"/>
        </w:rPr>
        <w:t>堆卸等环节全流程规范化管理，减轻道路扬尘。推进道路清扫保洁机械化作业，提高道路机械化清扫率，</w:t>
      </w:r>
      <w:r>
        <w:rPr>
          <w:rFonts w:hint="default" w:eastAsiaTheme="minorEastAsia"/>
          <w:bCs/>
          <w:color w:val="auto"/>
          <w:sz w:val="24"/>
          <w:lang w:val="en-US" w:eastAsia="zh-CN"/>
        </w:rPr>
        <w:t xml:space="preserve">2025 </w:t>
      </w:r>
      <w:r>
        <w:rPr>
          <w:rFonts w:hint="eastAsia" w:eastAsiaTheme="minorEastAsia"/>
          <w:bCs/>
          <w:color w:val="auto"/>
          <w:sz w:val="24"/>
          <w:lang w:val="en-US" w:eastAsia="zh-CN"/>
        </w:rPr>
        <w:t>年，力争主城区城市道路低尘机械化清扫率达到</w:t>
      </w:r>
      <w:r>
        <w:rPr>
          <w:rFonts w:hint="default" w:eastAsiaTheme="minorEastAsia"/>
          <w:bCs/>
          <w:color w:val="auto"/>
          <w:sz w:val="24"/>
          <w:lang w:val="en-US" w:eastAsia="zh-CN"/>
        </w:rPr>
        <w:t>100%</w:t>
      </w:r>
      <w:r>
        <w:rPr>
          <w:rFonts w:hint="eastAsia" w:eastAsiaTheme="minorEastAsia"/>
          <w:bCs/>
          <w:color w:val="auto"/>
          <w:sz w:val="24"/>
          <w:lang w:val="en-US" w:eastAsia="zh-CN"/>
        </w:rPr>
        <w:t xml:space="preserve">。 </w:t>
      </w:r>
    </w:p>
    <w:p w14:paraId="4524815D">
      <w:pPr>
        <w:spacing w:line="360" w:lineRule="auto"/>
        <w:ind w:firstLine="480" w:firstLineChars="200"/>
        <w:rPr>
          <w:rFonts w:hint="eastAsia" w:eastAsiaTheme="minorEastAsia"/>
          <w:bCs/>
          <w:color w:val="auto"/>
          <w:sz w:val="24"/>
        </w:rPr>
      </w:pPr>
      <w:r>
        <w:rPr>
          <w:rFonts w:hint="eastAsia" w:eastAsiaTheme="minorEastAsia"/>
          <w:bCs/>
          <w:color w:val="auto"/>
          <w:sz w:val="24"/>
          <w:lang w:val="en-US" w:eastAsia="zh-CN"/>
        </w:rPr>
        <w:t xml:space="preserve">企业施工场地主要在厂区范围内，本项目施工期已过，企业采取了洒水抑尘措施，施工场地进行现场围挡，物料等运输利用汽车运输，采取苫盖等措施。大幅度减少了运输和施工过程扬尘的产生。 </w:t>
      </w:r>
    </w:p>
    <w:p w14:paraId="04CD9E4E">
      <w:pPr>
        <w:spacing w:line="360" w:lineRule="auto"/>
        <w:ind w:firstLine="480" w:firstLineChars="200"/>
        <w:rPr>
          <w:rFonts w:hint="eastAsia" w:eastAsiaTheme="minorEastAsia"/>
          <w:bCs/>
          <w:color w:val="auto"/>
          <w:sz w:val="24"/>
          <w:lang w:val="en-US" w:eastAsia="zh-CN"/>
        </w:rPr>
      </w:pPr>
      <w:r>
        <w:rPr>
          <w:rFonts w:hint="eastAsia" w:eastAsiaTheme="minorEastAsia"/>
          <w:bCs/>
          <w:color w:val="auto"/>
          <w:sz w:val="24"/>
          <w:lang w:val="en-US" w:eastAsia="zh-CN"/>
        </w:rPr>
        <w:t>综上所述，本项目与《朝阳市生态环境保护</w:t>
      </w:r>
      <w:r>
        <w:rPr>
          <w:rFonts w:hint="default" w:eastAsiaTheme="minorEastAsia"/>
          <w:bCs/>
          <w:color w:val="auto"/>
          <w:sz w:val="24"/>
          <w:lang w:val="en-US" w:eastAsia="zh-CN"/>
        </w:rPr>
        <w:t>“</w:t>
      </w:r>
      <w:r>
        <w:rPr>
          <w:rFonts w:hint="eastAsia" w:eastAsiaTheme="minorEastAsia"/>
          <w:bCs/>
          <w:color w:val="auto"/>
          <w:sz w:val="24"/>
          <w:lang w:val="en-US" w:eastAsia="zh-CN"/>
        </w:rPr>
        <w:t>十四五</w:t>
      </w:r>
      <w:r>
        <w:rPr>
          <w:rFonts w:hint="default" w:eastAsiaTheme="minorEastAsia"/>
          <w:bCs/>
          <w:color w:val="auto"/>
          <w:sz w:val="24"/>
          <w:lang w:val="en-US" w:eastAsia="zh-CN"/>
        </w:rPr>
        <w:t>”</w:t>
      </w:r>
      <w:r>
        <w:rPr>
          <w:rFonts w:hint="eastAsia" w:eastAsiaTheme="minorEastAsia"/>
          <w:bCs/>
          <w:color w:val="auto"/>
          <w:sz w:val="24"/>
          <w:lang w:val="en-US" w:eastAsia="zh-CN"/>
        </w:rPr>
        <w:t>规划》中相关要求相符。</w:t>
      </w:r>
    </w:p>
    <w:p w14:paraId="00F42FB9">
      <w:pPr>
        <w:pStyle w:val="5"/>
        <w:bidi w:val="0"/>
        <w:rPr>
          <w:rFonts w:hint="eastAsia"/>
          <w:lang w:val="en-US" w:eastAsia="zh-CN"/>
        </w:rPr>
      </w:pPr>
      <w:r>
        <w:rPr>
          <w:rFonts w:hint="eastAsia"/>
          <w:lang w:val="en-US" w:eastAsia="zh-CN"/>
        </w:rPr>
        <w:t>11.3.3与《</w:t>
      </w:r>
      <w:r>
        <w:rPr>
          <w:rFonts w:hint="default"/>
          <w:lang w:val="en-US" w:eastAsia="zh-CN"/>
        </w:rPr>
        <w:t>“</w:t>
      </w:r>
      <w:r>
        <w:rPr>
          <w:rFonts w:hint="eastAsia"/>
          <w:lang w:val="en-US" w:eastAsia="zh-CN"/>
        </w:rPr>
        <w:t>十四五</w:t>
      </w:r>
      <w:r>
        <w:rPr>
          <w:rFonts w:hint="default"/>
          <w:lang w:val="en-US" w:eastAsia="zh-CN"/>
        </w:rPr>
        <w:t>”</w:t>
      </w:r>
      <w:r>
        <w:rPr>
          <w:rFonts w:hint="eastAsia"/>
          <w:lang w:val="en-US" w:eastAsia="zh-CN"/>
        </w:rPr>
        <w:t>噪声污染防治行动计划》（环大气</w:t>
      </w:r>
      <w:r>
        <w:rPr>
          <w:rFonts w:hint="default"/>
          <w:lang w:val="en-US" w:eastAsia="zh-CN"/>
        </w:rPr>
        <w:t xml:space="preserve">[2023]1 </w:t>
      </w:r>
      <w:r>
        <w:rPr>
          <w:rFonts w:hint="eastAsia"/>
          <w:lang w:val="en-US" w:eastAsia="zh-CN"/>
        </w:rPr>
        <w:t>号）的相符性分析</w:t>
      </w:r>
    </w:p>
    <w:p w14:paraId="2760D7CC">
      <w:pPr>
        <w:keepNext w:val="0"/>
        <w:keepLines w:val="0"/>
        <w:widowControl/>
        <w:suppressLineNumbers w:val="0"/>
        <w:spacing w:line="360" w:lineRule="auto"/>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生态环境部办公厅</w:t>
      </w:r>
      <w:r>
        <w:rPr>
          <w:rFonts w:hint="default" w:ascii="Times New Roman" w:hAnsi="Times New Roman" w:eastAsia="宋体" w:cs="Times New Roman"/>
          <w:color w:val="000000"/>
          <w:kern w:val="0"/>
          <w:sz w:val="24"/>
          <w:szCs w:val="24"/>
          <w:lang w:val="en-US" w:eastAsia="zh-CN" w:bidi="ar"/>
        </w:rPr>
        <w:t>2023</w:t>
      </w:r>
      <w:r>
        <w:rPr>
          <w:rFonts w:hint="eastAsia" w:ascii="宋体" w:hAnsi="宋体" w:eastAsia="宋体" w:cs="宋体"/>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月</w:t>
      </w:r>
      <w:r>
        <w:rPr>
          <w:rFonts w:hint="default" w:ascii="Times New Roman" w:hAnsi="Times New Roman" w:eastAsia="宋体" w:cs="Times New Roman"/>
          <w:color w:val="000000"/>
          <w:kern w:val="0"/>
          <w:sz w:val="24"/>
          <w:szCs w:val="24"/>
          <w:lang w:val="en-US" w:eastAsia="zh-CN" w:bidi="ar"/>
        </w:rPr>
        <w:t>5</w:t>
      </w:r>
      <w:r>
        <w:rPr>
          <w:rFonts w:hint="eastAsia" w:ascii="宋体" w:hAnsi="宋体" w:eastAsia="宋体" w:cs="宋体"/>
          <w:color w:val="000000"/>
          <w:kern w:val="0"/>
          <w:sz w:val="24"/>
          <w:szCs w:val="24"/>
          <w:lang w:val="en-US" w:eastAsia="zh-CN" w:bidi="ar"/>
        </w:rPr>
        <w:t>日发布了</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关于印发《</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噪声污染防治行动计划》的通知</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（环大气</w:t>
      </w:r>
      <w:r>
        <w:rPr>
          <w:rFonts w:hint="default" w:ascii="Times New Roman" w:hAnsi="Times New Roman" w:eastAsia="宋体" w:cs="Times New Roman"/>
          <w:color w:val="000000"/>
          <w:kern w:val="0"/>
          <w:sz w:val="24"/>
          <w:szCs w:val="24"/>
          <w:lang w:val="en-US" w:eastAsia="zh-CN" w:bidi="ar"/>
        </w:rPr>
        <w:t>[2023]1</w:t>
      </w:r>
      <w:r>
        <w:rPr>
          <w:rFonts w:hint="eastAsia" w:ascii="宋体" w:hAnsi="宋体" w:eastAsia="宋体" w:cs="宋体"/>
          <w:color w:val="000000"/>
          <w:kern w:val="0"/>
          <w:sz w:val="24"/>
          <w:szCs w:val="24"/>
          <w:lang w:val="en-US" w:eastAsia="zh-CN" w:bidi="ar"/>
        </w:rPr>
        <w:t>号），本项目与计划中有关内容的符合性分析见下表。</w:t>
      </w:r>
    </w:p>
    <w:p w14:paraId="1F63B119">
      <w:pPr>
        <w:pStyle w:val="50"/>
        <w:spacing w:line="360" w:lineRule="auto"/>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表</w:t>
      </w:r>
      <w:r>
        <w:rPr>
          <w:rFonts w:hint="eastAsia" w:ascii="宋体" w:hAnsi="宋体" w:cs="宋体"/>
          <w:b/>
          <w:bCs/>
          <w:color w:val="000000"/>
          <w:kern w:val="0"/>
          <w:sz w:val="24"/>
          <w:szCs w:val="24"/>
          <w:lang w:val="en-US" w:eastAsia="zh-CN" w:bidi="ar"/>
        </w:rPr>
        <w:t>13.3-1</w:t>
      </w:r>
      <w:r>
        <w:rPr>
          <w:rFonts w:hint="eastAsia" w:ascii="宋体" w:hAnsi="宋体" w:eastAsia="宋体" w:cs="宋体"/>
          <w:b/>
          <w:bCs/>
          <w:color w:val="000000"/>
          <w:kern w:val="0"/>
          <w:sz w:val="24"/>
          <w:szCs w:val="24"/>
          <w:lang w:val="en-US" w:eastAsia="zh-CN" w:bidi="ar"/>
        </w:rPr>
        <w:t xml:space="preserve">   与《“十四五”噪声污染防治行动计划》（环大气[2023]1 号）的相符性分析一览表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8"/>
        <w:gridCol w:w="2493"/>
        <w:gridCol w:w="1919"/>
      </w:tblGrid>
      <w:tr w14:paraId="2CE63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14:paraId="1AEC9D50">
            <w:pPr>
              <w:spacing w:line="360" w:lineRule="auto"/>
              <w:rPr>
                <w:rFonts w:hint="default" w:eastAsia="宋体"/>
                <w:sz w:val="21"/>
                <w:szCs w:val="21"/>
                <w:vertAlign w:val="baseline"/>
                <w:lang w:val="en-US" w:eastAsia="zh-CN"/>
              </w:rPr>
            </w:pPr>
            <w:r>
              <w:rPr>
                <w:rFonts w:hint="eastAsia"/>
                <w:sz w:val="21"/>
                <w:szCs w:val="21"/>
                <w:vertAlign w:val="baseline"/>
                <w:lang w:val="en-US" w:eastAsia="zh-CN"/>
              </w:rPr>
              <w:t>文件要求</w:t>
            </w:r>
          </w:p>
        </w:tc>
        <w:tc>
          <w:tcPr>
            <w:tcW w:w="2493" w:type="dxa"/>
          </w:tcPr>
          <w:p w14:paraId="09EAA8F7">
            <w:pPr>
              <w:spacing w:line="360" w:lineRule="auto"/>
              <w:rPr>
                <w:rFonts w:hint="default" w:eastAsia="宋体"/>
                <w:sz w:val="21"/>
                <w:szCs w:val="21"/>
                <w:vertAlign w:val="baseline"/>
                <w:lang w:val="en-US" w:eastAsia="zh-CN"/>
              </w:rPr>
            </w:pPr>
            <w:r>
              <w:rPr>
                <w:rFonts w:hint="eastAsia"/>
                <w:sz w:val="21"/>
                <w:szCs w:val="21"/>
                <w:vertAlign w:val="baseline"/>
                <w:lang w:val="en-US" w:eastAsia="zh-CN"/>
              </w:rPr>
              <w:t>本项目情况</w:t>
            </w:r>
          </w:p>
        </w:tc>
        <w:tc>
          <w:tcPr>
            <w:tcW w:w="1919" w:type="dxa"/>
          </w:tcPr>
          <w:p w14:paraId="4DF98B10">
            <w:pPr>
              <w:spacing w:line="360" w:lineRule="auto"/>
              <w:rPr>
                <w:rFonts w:hint="eastAsia" w:eastAsia="宋体"/>
                <w:sz w:val="21"/>
                <w:szCs w:val="21"/>
                <w:vertAlign w:val="baseline"/>
                <w:lang w:val="en-US" w:eastAsia="zh-CN"/>
              </w:rPr>
            </w:pPr>
            <w:r>
              <w:rPr>
                <w:rFonts w:hint="eastAsia"/>
                <w:sz w:val="21"/>
                <w:szCs w:val="21"/>
                <w:vertAlign w:val="baseline"/>
                <w:lang w:val="en-US" w:eastAsia="zh-CN"/>
              </w:rPr>
              <w:t>相符性</w:t>
            </w:r>
          </w:p>
        </w:tc>
      </w:tr>
      <w:tr w14:paraId="61D1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14:paraId="46629FD5">
            <w:pPr>
              <w:spacing w:line="360" w:lineRule="auto"/>
              <w:rPr>
                <w:rFonts w:hint="eastAsia"/>
                <w:sz w:val="21"/>
                <w:szCs w:val="21"/>
                <w:vertAlign w:val="baseline"/>
                <w:lang w:val="en-US" w:eastAsia="zh-CN"/>
              </w:rPr>
            </w:pPr>
            <w:r>
              <w:rPr>
                <w:rFonts w:hint="eastAsia"/>
                <w:sz w:val="21"/>
                <w:szCs w:val="21"/>
                <w:vertAlign w:val="baseline"/>
                <w:lang w:val="en-US" w:eastAsia="zh-CN"/>
              </w:rPr>
              <w:t xml:space="preserve">（八）严格工业噪声管理 </w:t>
            </w:r>
          </w:p>
          <w:p w14:paraId="6B684C5A">
            <w:pPr>
              <w:spacing w:line="360" w:lineRule="auto"/>
              <w:rPr>
                <w:rFonts w:hint="eastAsia"/>
                <w:sz w:val="21"/>
                <w:szCs w:val="21"/>
                <w:vertAlign w:val="baseline"/>
                <w:lang w:val="en-US" w:eastAsia="zh-CN"/>
              </w:rPr>
            </w:pPr>
            <w:r>
              <w:rPr>
                <w:rFonts w:hint="eastAsia"/>
                <w:sz w:val="21"/>
                <w:szCs w:val="21"/>
                <w:vertAlign w:val="baseline"/>
                <w:lang w:val="en-US" w:eastAsia="zh-CN"/>
              </w:rPr>
              <w:t>11．树立工业噪声污染治理标杆。排放噪声的工业企业应切实采取减振降噪措施，加强厂区内固定设备、运输工具、货物装卸等噪声源管理，同时避免突发噪声扰民。鼓励企业采用先进治理技术，打造行业噪声污染治理示范典型。中央企业要主动承担社会责任，切实发挥模范带头和引领示范作用，创建一批行业标杆。</w:t>
            </w:r>
          </w:p>
        </w:tc>
        <w:tc>
          <w:tcPr>
            <w:tcW w:w="2493" w:type="dxa"/>
          </w:tcPr>
          <w:p w14:paraId="1DBC6CD6">
            <w:pPr>
              <w:spacing w:line="360" w:lineRule="auto"/>
              <w:rPr>
                <w:rFonts w:hint="eastAsia"/>
                <w:sz w:val="21"/>
                <w:szCs w:val="21"/>
                <w:vertAlign w:val="baseline"/>
                <w:lang w:val="en-US" w:eastAsia="zh-CN"/>
              </w:rPr>
            </w:pPr>
            <w:r>
              <w:rPr>
                <w:rFonts w:hint="eastAsia"/>
                <w:sz w:val="21"/>
                <w:szCs w:val="21"/>
                <w:vertAlign w:val="baseline"/>
                <w:lang w:val="en-US" w:eastAsia="zh-CN"/>
              </w:rPr>
              <w:t>项目采用低噪音的设备，地面设备采取建筑隔声降噪等措施，治理噪声。</w:t>
            </w:r>
          </w:p>
        </w:tc>
        <w:tc>
          <w:tcPr>
            <w:tcW w:w="1919" w:type="dxa"/>
          </w:tcPr>
          <w:p w14:paraId="56E4552C">
            <w:pPr>
              <w:spacing w:line="360" w:lineRule="auto"/>
              <w:rPr>
                <w:rFonts w:hint="default"/>
                <w:sz w:val="21"/>
                <w:szCs w:val="21"/>
                <w:vertAlign w:val="baseline"/>
                <w:lang w:val="en-US" w:eastAsia="zh-CN"/>
              </w:rPr>
            </w:pPr>
            <w:r>
              <w:rPr>
                <w:rFonts w:hint="eastAsia"/>
                <w:sz w:val="21"/>
                <w:szCs w:val="21"/>
                <w:vertAlign w:val="baseline"/>
                <w:lang w:val="en-US" w:eastAsia="zh-CN"/>
              </w:rPr>
              <w:t>相符</w:t>
            </w:r>
          </w:p>
        </w:tc>
      </w:tr>
      <w:tr w14:paraId="425D0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8" w:type="dxa"/>
          </w:tcPr>
          <w:p w14:paraId="2121FF37">
            <w:pPr>
              <w:spacing w:line="360" w:lineRule="auto"/>
              <w:rPr>
                <w:rFonts w:hint="eastAsia"/>
                <w:sz w:val="21"/>
                <w:szCs w:val="21"/>
                <w:vertAlign w:val="baseline"/>
                <w:lang w:val="en-US" w:eastAsia="zh-CN"/>
              </w:rPr>
            </w:pPr>
            <w:r>
              <w:rPr>
                <w:rFonts w:hint="eastAsia"/>
                <w:sz w:val="21"/>
                <w:szCs w:val="21"/>
                <w:vertAlign w:val="baseline"/>
                <w:lang w:val="en-US" w:eastAsia="zh-CN"/>
              </w:rPr>
              <w:t xml:space="preserve">（九）实施重点企业监管 </w:t>
            </w:r>
          </w:p>
          <w:p w14:paraId="04F07302">
            <w:pPr>
              <w:spacing w:line="360" w:lineRule="auto"/>
              <w:rPr>
                <w:rFonts w:hint="eastAsia"/>
                <w:sz w:val="21"/>
                <w:szCs w:val="21"/>
                <w:vertAlign w:val="baseline"/>
                <w:lang w:val="en-US" w:eastAsia="zh-CN"/>
              </w:rPr>
            </w:pPr>
            <w:r>
              <w:rPr>
                <w:rFonts w:hint="eastAsia"/>
                <w:sz w:val="21"/>
                <w:szCs w:val="21"/>
                <w:vertAlign w:val="baseline"/>
                <w:lang w:val="en-US" w:eastAsia="zh-CN"/>
              </w:rPr>
              <w:t>13．推进工业噪声实施排污许可和重点排污单位管理。发布工业噪声排污许可证申请与核发技术规范，依法核发排污许可证或进行排污登记，并加强监管；实行排污许可管理的单位依证排污，按照规定开展自行监测并向社会公开。依据《环境监管重点单位名录管理办法》，推进设区的市级以上生态环境主管部门编制本行政区域噪声重点排污单 位名录，并按要求发布和更新；噪声重点排污单位应依法开展噪声自动监测，并及时与生态环境主管部门的监控设备联网。</w:t>
            </w:r>
          </w:p>
        </w:tc>
        <w:tc>
          <w:tcPr>
            <w:tcW w:w="2493" w:type="dxa"/>
          </w:tcPr>
          <w:p w14:paraId="6DBA72B2">
            <w:pPr>
              <w:spacing w:line="360" w:lineRule="auto"/>
              <w:rPr>
                <w:rFonts w:hint="eastAsia"/>
                <w:sz w:val="21"/>
                <w:szCs w:val="21"/>
                <w:vertAlign w:val="baseline"/>
                <w:lang w:val="en-US" w:eastAsia="zh-CN"/>
              </w:rPr>
            </w:pPr>
            <w:r>
              <w:rPr>
                <w:rFonts w:hint="eastAsia"/>
                <w:sz w:val="21"/>
                <w:szCs w:val="21"/>
                <w:vertAlign w:val="baseline"/>
                <w:lang w:val="en-US" w:eastAsia="zh-CN"/>
              </w:rPr>
              <w:t>企业严格按照《排污单位自行监测技术指南 总则》（HJ819-2017）制定噪声监测计划。</w:t>
            </w:r>
          </w:p>
          <w:p w14:paraId="15EA043C">
            <w:pPr>
              <w:spacing w:line="360" w:lineRule="auto"/>
              <w:rPr>
                <w:rFonts w:hint="eastAsia"/>
                <w:sz w:val="21"/>
                <w:szCs w:val="21"/>
                <w:vertAlign w:val="baseline"/>
                <w:lang w:val="en-US" w:eastAsia="zh-CN"/>
              </w:rPr>
            </w:pPr>
          </w:p>
        </w:tc>
        <w:tc>
          <w:tcPr>
            <w:tcW w:w="1919" w:type="dxa"/>
          </w:tcPr>
          <w:p w14:paraId="7CFBF9DF">
            <w:pPr>
              <w:spacing w:line="360" w:lineRule="auto"/>
              <w:rPr>
                <w:rFonts w:hint="default"/>
                <w:sz w:val="21"/>
                <w:szCs w:val="21"/>
                <w:vertAlign w:val="baseline"/>
                <w:lang w:val="en-US" w:eastAsia="zh-CN"/>
              </w:rPr>
            </w:pPr>
            <w:r>
              <w:rPr>
                <w:rFonts w:hint="eastAsia"/>
                <w:sz w:val="21"/>
                <w:szCs w:val="21"/>
                <w:vertAlign w:val="baseline"/>
                <w:lang w:val="en-US" w:eastAsia="zh-CN"/>
              </w:rPr>
              <w:t>相符</w:t>
            </w:r>
          </w:p>
        </w:tc>
      </w:tr>
    </w:tbl>
    <w:p w14:paraId="1559ECCA">
      <w:pPr>
        <w:keepNext w:val="0"/>
        <w:keepLines w:val="0"/>
        <w:widowControl/>
        <w:suppressLineNumbers w:val="0"/>
        <w:spacing w:line="360" w:lineRule="auto"/>
        <w:ind w:firstLine="480" w:firstLineChars="200"/>
        <w:jc w:val="left"/>
      </w:pPr>
      <w:r>
        <w:rPr>
          <w:rFonts w:hint="eastAsia" w:ascii="宋体" w:hAnsi="宋体" w:eastAsia="宋体" w:cs="宋体"/>
          <w:color w:val="000000"/>
          <w:kern w:val="0"/>
          <w:sz w:val="24"/>
          <w:szCs w:val="24"/>
          <w:lang w:val="en-US" w:eastAsia="zh-CN" w:bidi="ar"/>
        </w:rPr>
        <w:t>根据上表可知，本项目与《</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十四五</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噪声污染防治行动计划》中相关要求相符。</w:t>
      </w:r>
    </w:p>
    <w:p w14:paraId="1AF86E87">
      <w:pPr>
        <w:rPr>
          <w:rFonts w:hint="default"/>
          <w:lang w:val="en-US" w:eastAsia="zh-CN"/>
        </w:rPr>
      </w:pPr>
    </w:p>
    <w:p w14:paraId="2D66ABD5">
      <w:pPr>
        <w:pStyle w:val="4"/>
        <w:bidi w:val="0"/>
        <w:rPr>
          <w:rFonts w:hint="default" w:ascii="Times New Roman" w:hAnsi="Times New Roman" w:cs="Times New Roman" w:eastAsiaTheme="minorEastAsia"/>
          <w:lang w:val="en-US" w:eastAsia="zh-CN"/>
        </w:rPr>
      </w:pPr>
      <w:bookmarkStart w:id="218" w:name="_Toc1800"/>
      <w:r>
        <w:rPr>
          <w:rFonts w:hint="default" w:ascii="Times New Roman" w:hAnsi="Times New Roman" w:cs="Times New Roman" w:eastAsiaTheme="minorEastAsia"/>
          <w:lang w:val="en-US" w:eastAsia="zh-CN"/>
        </w:rPr>
        <w:t>11.4与“三线一单”符合性分析</w:t>
      </w:r>
      <w:bookmarkEnd w:id="218"/>
    </w:p>
    <w:p w14:paraId="727AE220">
      <w:pPr>
        <w:spacing w:line="360" w:lineRule="auto"/>
        <w:ind w:firstLine="480" w:firstLineChars="200"/>
        <w:rPr>
          <w:rFonts w:eastAsiaTheme="minorEastAsia"/>
          <w:bCs/>
          <w:color w:val="auto"/>
          <w:sz w:val="24"/>
        </w:rPr>
      </w:pPr>
      <w:r>
        <w:rPr>
          <w:rFonts w:hint="eastAsia" w:eastAsiaTheme="minorEastAsia"/>
          <w:bCs/>
          <w:color w:val="auto"/>
          <w:sz w:val="24"/>
        </w:rPr>
        <w:t>为贯彻落实《中共中央国务院关于全面加强生态环境保护坚决打好污染防治攻坚战的意见》（中发[2018]17号）和《辽宁省人民政府关于实施“三线一单”生态环境分区管控的意见》（辽政发[2021]6号）文件精神，推动全市经济社会高质量发展和生态环境高水平保护，朝阳市人民政府就实施生态保护红线、环境质量底线、资源利用上线和生态环境准入清单生态环境分区管控，提出了《朝阳市人民政府关于实施“三线一单”生态环境分区管控的意见》（朝政发[2021]13号）。</w:t>
      </w:r>
    </w:p>
    <w:p w14:paraId="73729FF8">
      <w:pPr>
        <w:spacing w:line="360" w:lineRule="auto"/>
        <w:ind w:firstLine="480" w:firstLineChars="200"/>
        <w:rPr>
          <w:rFonts w:eastAsiaTheme="minorEastAsia"/>
          <w:bCs/>
          <w:color w:val="auto"/>
          <w:sz w:val="24"/>
          <w:highlight w:val="none"/>
        </w:rPr>
      </w:pPr>
      <w:r>
        <w:rPr>
          <w:rFonts w:hint="eastAsia" w:eastAsiaTheme="minorEastAsia"/>
          <w:bCs/>
          <w:color w:val="auto"/>
          <w:sz w:val="24"/>
        </w:rPr>
        <w:t>根据“朝</w:t>
      </w:r>
      <w:r>
        <w:rPr>
          <w:rFonts w:hint="eastAsia" w:eastAsiaTheme="minorEastAsia"/>
          <w:bCs/>
          <w:color w:val="auto"/>
          <w:sz w:val="24"/>
          <w:highlight w:val="none"/>
        </w:rPr>
        <w:t>政发[2021]13号”文，朝阳市将环境管控单元划分为优先保护单元、重点管控单元和一般管控单元三类。</w:t>
      </w:r>
    </w:p>
    <w:p w14:paraId="42886AFA">
      <w:pPr>
        <w:spacing w:line="360" w:lineRule="auto"/>
        <w:ind w:firstLine="480" w:firstLineChars="200"/>
        <w:rPr>
          <w:rFonts w:eastAsiaTheme="minorEastAsia"/>
          <w:bCs/>
          <w:color w:val="auto"/>
          <w:sz w:val="24"/>
          <w:highlight w:val="none"/>
        </w:rPr>
      </w:pPr>
      <w:r>
        <w:rPr>
          <w:rFonts w:hint="eastAsia" w:eastAsiaTheme="minorEastAsia"/>
          <w:bCs/>
          <w:color w:val="auto"/>
          <w:sz w:val="24"/>
          <w:highlight w:val="none"/>
        </w:rPr>
        <w:t>本项目与朝阳市环境管控单元的位置关系见</w:t>
      </w:r>
      <w:r>
        <w:rPr>
          <w:rFonts w:hint="eastAsia" w:eastAsiaTheme="minorEastAsia"/>
          <w:bCs/>
          <w:color w:val="auto"/>
          <w:sz w:val="24"/>
          <w:highlight w:val="none"/>
          <w:lang w:val="en-US" w:eastAsia="zh-CN"/>
        </w:rPr>
        <w:t>下图</w:t>
      </w:r>
      <w:r>
        <w:rPr>
          <w:rFonts w:hint="eastAsia" w:eastAsiaTheme="minorEastAsia"/>
          <w:bCs/>
          <w:color w:val="auto"/>
          <w:sz w:val="24"/>
          <w:highlight w:val="none"/>
        </w:rPr>
        <w:t>，根据朝阳市环境管控单元分布</w:t>
      </w:r>
      <w:r>
        <w:rPr>
          <w:rFonts w:eastAsiaTheme="minorEastAsia"/>
          <w:bCs/>
          <w:color w:val="auto"/>
          <w:sz w:val="24"/>
          <w:highlight w:val="none"/>
        </w:rPr>
        <w:t>图</w:t>
      </w:r>
      <w:r>
        <w:rPr>
          <w:rFonts w:hint="eastAsia" w:eastAsiaTheme="minorEastAsia"/>
          <w:bCs/>
          <w:color w:val="auto"/>
          <w:sz w:val="24"/>
          <w:highlight w:val="none"/>
        </w:rPr>
        <w:t>及管控单元生态环境准入清单，</w:t>
      </w:r>
      <w:r>
        <w:rPr>
          <w:rFonts w:eastAsiaTheme="minorEastAsia"/>
          <w:bCs/>
          <w:color w:val="auto"/>
          <w:sz w:val="24"/>
          <w:highlight w:val="none"/>
        </w:rPr>
        <w:t>本项目位于朝阳市北票市一般管控区3</w:t>
      </w:r>
      <w:r>
        <w:rPr>
          <w:rFonts w:hint="eastAsia" w:eastAsiaTheme="minorEastAsia"/>
          <w:bCs/>
          <w:color w:val="auto"/>
          <w:sz w:val="24"/>
          <w:highlight w:val="none"/>
          <w:lang w:val="en-US" w:eastAsia="zh-CN"/>
        </w:rPr>
        <w:t>-</w:t>
      </w:r>
      <w:r>
        <w:rPr>
          <w:rFonts w:eastAsiaTheme="minorEastAsia"/>
          <w:bCs/>
          <w:color w:val="auto"/>
          <w:sz w:val="24"/>
          <w:highlight w:val="none"/>
        </w:rPr>
        <w:t>ZH21138130003</w:t>
      </w:r>
      <w:r>
        <w:rPr>
          <w:rFonts w:hint="eastAsia" w:eastAsiaTheme="minorEastAsia"/>
          <w:bCs/>
          <w:color w:val="auto"/>
          <w:sz w:val="24"/>
          <w:highlight w:val="none"/>
        </w:rPr>
        <w:t>。</w:t>
      </w:r>
    </w:p>
    <w:p w14:paraId="6FF85498">
      <w:pPr>
        <w:spacing w:line="360" w:lineRule="auto"/>
        <w:ind w:firstLine="480" w:firstLineChars="200"/>
        <w:rPr>
          <w:rFonts w:eastAsiaTheme="minorEastAsia"/>
          <w:bCs/>
          <w:color w:val="auto"/>
          <w:sz w:val="24"/>
          <w:highlight w:val="none"/>
        </w:rPr>
      </w:pPr>
      <w:r>
        <w:rPr>
          <w:rFonts w:hint="eastAsia" w:eastAsiaTheme="minorEastAsia"/>
          <w:bCs/>
          <w:color w:val="auto"/>
          <w:sz w:val="24"/>
          <w:highlight w:val="none"/>
        </w:rPr>
        <w:t>本项目对照朝阳市生态环境准入管控要求，对照情况如下表：</w:t>
      </w:r>
    </w:p>
    <w:p w14:paraId="74D65897">
      <w:pPr>
        <w:pStyle w:val="59"/>
        <w:tabs>
          <w:tab w:val="left" w:pos="720"/>
        </w:tabs>
        <w:spacing w:after="0" w:line="360" w:lineRule="auto"/>
        <w:ind w:left="0" w:leftChars="0"/>
        <w:jc w:val="center"/>
        <w:rPr>
          <w:rFonts w:hint="default"/>
          <w:b/>
          <w:color w:val="auto"/>
          <w:sz w:val="21"/>
          <w:szCs w:val="21"/>
          <w:highlight w:val="none"/>
          <w:lang w:val="en-US" w:eastAsia="zh-CN"/>
        </w:rPr>
      </w:pPr>
      <w:r>
        <w:rPr>
          <w:rFonts w:hint="eastAsia"/>
          <w:b/>
          <w:color w:val="auto"/>
          <w:sz w:val="24"/>
          <w:szCs w:val="24"/>
          <w:highlight w:val="none"/>
          <w:lang w:val="en-US" w:eastAsia="zh-CN"/>
        </w:rPr>
        <w:t>表</w:t>
      </w:r>
      <w:r>
        <w:rPr>
          <w:rFonts w:hint="default"/>
          <w:b/>
          <w:color w:val="auto"/>
          <w:sz w:val="24"/>
          <w:szCs w:val="24"/>
          <w:highlight w:val="none"/>
          <w:lang w:val="en-US" w:eastAsia="zh-CN"/>
        </w:rPr>
        <w:t>13</w:t>
      </w:r>
      <w:r>
        <w:rPr>
          <w:rFonts w:hint="eastAsia"/>
          <w:b/>
          <w:color w:val="auto"/>
          <w:sz w:val="24"/>
          <w:szCs w:val="24"/>
          <w:highlight w:val="none"/>
          <w:lang w:val="en-US" w:eastAsia="zh-CN"/>
        </w:rPr>
        <w:t xml:space="preserve">.4-1 </w:t>
      </w:r>
      <w:r>
        <w:rPr>
          <w:rFonts w:hint="default"/>
          <w:b/>
          <w:color w:val="auto"/>
          <w:sz w:val="24"/>
          <w:szCs w:val="24"/>
          <w:highlight w:val="none"/>
          <w:lang w:val="en-US" w:eastAsia="zh-CN"/>
        </w:rPr>
        <w:t xml:space="preserve">     </w:t>
      </w:r>
      <w:r>
        <w:rPr>
          <w:rFonts w:hint="eastAsia"/>
          <w:b/>
          <w:color w:val="auto"/>
          <w:sz w:val="24"/>
          <w:szCs w:val="24"/>
          <w:highlight w:val="none"/>
          <w:lang w:val="en-US" w:eastAsia="zh-CN"/>
        </w:rPr>
        <w:t>朝阳市管控单元生态环境准入清单</w:t>
      </w:r>
    </w:p>
    <w:tbl>
      <w:tblPr>
        <w:tblStyle w:val="75"/>
        <w:tblW w:w="481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5"/>
        <w:gridCol w:w="3850"/>
        <w:gridCol w:w="3007"/>
        <w:gridCol w:w="761"/>
      </w:tblGrid>
      <w:tr w14:paraId="17AA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tcBorders>
              <w:tl2br w:val="nil"/>
              <w:tr2bl w:val="nil"/>
            </w:tcBorders>
            <w:vAlign w:val="center"/>
          </w:tcPr>
          <w:p w14:paraId="05FB9CC5">
            <w:pPr>
              <w:adjustRightInd w:val="0"/>
              <w:snapToGrid w:val="0"/>
              <w:spacing w:line="360" w:lineRule="auto"/>
              <w:jc w:val="center"/>
              <w:rPr>
                <w:rFonts w:eastAsiaTheme="minorEastAsia"/>
                <w:color w:val="auto"/>
                <w:sz w:val="21"/>
                <w:szCs w:val="21"/>
              </w:rPr>
            </w:pPr>
            <w:r>
              <w:rPr>
                <w:rFonts w:eastAsiaTheme="minorEastAsia"/>
                <w:color w:val="auto"/>
                <w:sz w:val="21"/>
                <w:szCs w:val="21"/>
              </w:rPr>
              <w:t>管控类别</w:t>
            </w:r>
          </w:p>
        </w:tc>
        <w:tc>
          <w:tcPr>
            <w:tcW w:w="2291" w:type="pct"/>
            <w:tcBorders>
              <w:tl2br w:val="nil"/>
              <w:tr2bl w:val="nil"/>
            </w:tcBorders>
            <w:vAlign w:val="center"/>
          </w:tcPr>
          <w:p w14:paraId="15FEC2E1">
            <w:pPr>
              <w:adjustRightInd w:val="0"/>
              <w:snapToGrid w:val="0"/>
              <w:spacing w:line="360" w:lineRule="auto"/>
              <w:jc w:val="center"/>
              <w:rPr>
                <w:rFonts w:eastAsiaTheme="minorEastAsia"/>
                <w:color w:val="auto"/>
                <w:sz w:val="21"/>
                <w:szCs w:val="21"/>
              </w:rPr>
            </w:pPr>
            <w:r>
              <w:rPr>
                <w:rFonts w:eastAsiaTheme="minorEastAsia"/>
                <w:color w:val="auto"/>
                <w:sz w:val="21"/>
                <w:szCs w:val="21"/>
              </w:rPr>
              <w:t>管控要求</w:t>
            </w:r>
          </w:p>
        </w:tc>
        <w:tc>
          <w:tcPr>
            <w:tcW w:w="1789" w:type="pct"/>
            <w:tcBorders>
              <w:tl2br w:val="nil"/>
              <w:tr2bl w:val="nil"/>
            </w:tcBorders>
            <w:vAlign w:val="center"/>
          </w:tcPr>
          <w:p w14:paraId="0948C8B3">
            <w:pPr>
              <w:adjustRightInd w:val="0"/>
              <w:snapToGrid w:val="0"/>
              <w:spacing w:line="360" w:lineRule="auto"/>
              <w:jc w:val="center"/>
              <w:rPr>
                <w:rFonts w:eastAsiaTheme="minorEastAsia"/>
                <w:color w:val="auto"/>
                <w:sz w:val="21"/>
                <w:szCs w:val="21"/>
              </w:rPr>
            </w:pPr>
            <w:r>
              <w:rPr>
                <w:rFonts w:eastAsiaTheme="minorEastAsia"/>
                <w:color w:val="auto"/>
                <w:sz w:val="21"/>
                <w:szCs w:val="21"/>
              </w:rPr>
              <w:t>本项目实施情况</w:t>
            </w:r>
          </w:p>
        </w:tc>
        <w:tc>
          <w:tcPr>
            <w:tcW w:w="451" w:type="pct"/>
            <w:tcBorders>
              <w:tl2br w:val="nil"/>
              <w:tr2bl w:val="nil"/>
            </w:tcBorders>
            <w:vAlign w:val="center"/>
          </w:tcPr>
          <w:p w14:paraId="5B461D96">
            <w:pPr>
              <w:adjustRightInd w:val="0"/>
              <w:snapToGrid w:val="0"/>
              <w:spacing w:line="360" w:lineRule="auto"/>
              <w:jc w:val="center"/>
              <w:rPr>
                <w:rFonts w:eastAsiaTheme="minorEastAsia"/>
                <w:color w:val="auto"/>
                <w:sz w:val="21"/>
                <w:szCs w:val="21"/>
              </w:rPr>
            </w:pPr>
            <w:r>
              <w:rPr>
                <w:rFonts w:eastAsiaTheme="minorEastAsia"/>
                <w:color w:val="auto"/>
                <w:sz w:val="21"/>
                <w:szCs w:val="21"/>
              </w:rPr>
              <w:t>符合性</w:t>
            </w:r>
          </w:p>
        </w:tc>
      </w:tr>
      <w:tr w14:paraId="1E0B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tl2br w:val="nil"/>
              <w:tr2bl w:val="nil"/>
            </w:tcBorders>
            <w:vAlign w:val="center"/>
          </w:tcPr>
          <w:p w14:paraId="6F05F51F">
            <w:pPr>
              <w:adjustRightInd w:val="0"/>
              <w:snapToGrid w:val="0"/>
              <w:spacing w:line="360" w:lineRule="auto"/>
              <w:jc w:val="left"/>
              <w:rPr>
                <w:rFonts w:eastAsiaTheme="minorEastAsia"/>
                <w:color w:val="auto"/>
                <w:sz w:val="21"/>
                <w:szCs w:val="21"/>
              </w:rPr>
            </w:pPr>
            <w:r>
              <w:rPr>
                <w:rFonts w:eastAsiaTheme="minorEastAsia"/>
                <w:color w:val="auto"/>
                <w:sz w:val="21"/>
                <w:szCs w:val="21"/>
              </w:rPr>
              <w:t>朝阳市北票市一般管控区3</w:t>
            </w:r>
            <w:r>
              <w:rPr>
                <w:rFonts w:hint="eastAsia" w:eastAsiaTheme="minorEastAsia"/>
                <w:color w:val="auto"/>
                <w:sz w:val="21"/>
                <w:szCs w:val="21"/>
                <w:lang w:val="en-US" w:eastAsia="zh-CN"/>
              </w:rPr>
              <w:t>-</w:t>
            </w:r>
            <w:r>
              <w:rPr>
                <w:rFonts w:eastAsiaTheme="minorEastAsia"/>
                <w:color w:val="auto"/>
                <w:sz w:val="21"/>
                <w:szCs w:val="21"/>
              </w:rPr>
              <w:t>ZH21138130003</w:t>
            </w:r>
          </w:p>
        </w:tc>
      </w:tr>
      <w:tr w14:paraId="1C57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trPr>
        <w:tc>
          <w:tcPr>
            <w:tcW w:w="467" w:type="pct"/>
            <w:tcBorders>
              <w:tl2br w:val="nil"/>
              <w:tr2bl w:val="nil"/>
            </w:tcBorders>
            <w:vAlign w:val="center"/>
          </w:tcPr>
          <w:p w14:paraId="42245B62">
            <w:pPr>
              <w:spacing w:line="360" w:lineRule="auto"/>
              <w:rPr>
                <w:color w:val="auto"/>
                <w:sz w:val="21"/>
                <w:szCs w:val="21"/>
              </w:rPr>
            </w:pPr>
            <w:r>
              <w:rPr>
                <w:color w:val="auto"/>
                <w:sz w:val="21"/>
                <w:szCs w:val="21"/>
              </w:rPr>
              <w:t>空间布局约束</w:t>
            </w:r>
          </w:p>
        </w:tc>
        <w:tc>
          <w:tcPr>
            <w:tcW w:w="2291" w:type="pct"/>
            <w:tcBorders>
              <w:tl2br w:val="nil"/>
              <w:tr2bl w:val="nil"/>
            </w:tcBorders>
            <w:vAlign w:val="center"/>
          </w:tcPr>
          <w:p w14:paraId="1ED38CB1">
            <w:pPr>
              <w:spacing w:line="360" w:lineRule="auto"/>
              <w:rPr>
                <w:color w:val="auto"/>
                <w:sz w:val="21"/>
                <w:szCs w:val="21"/>
              </w:rPr>
            </w:pPr>
            <w:r>
              <w:rPr>
                <w:color w:val="auto"/>
                <w:sz w:val="21"/>
                <w:szCs w:val="21"/>
              </w:rPr>
              <w:t>1.调整和优化产业结构，严格按照区域水环境承载能力，合理规划居住区和产业功能区；禁止非法占用水域；不得影响河道自然形态和河湖水生态功能；加快环保基础设施建设。 2.基本农田，实行严格保护，确保其面积不减少、土壤环境质量不下降，除法律规定的重点建设项目选址确实无法避让外，其他任何建设不得占用。</w:t>
            </w:r>
          </w:p>
        </w:tc>
        <w:tc>
          <w:tcPr>
            <w:tcW w:w="1789" w:type="pct"/>
            <w:tcBorders>
              <w:tl2br w:val="nil"/>
              <w:tr2bl w:val="nil"/>
            </w:tcBorders>
            <w:vAlign w:val="center"/>
          </w:tcPr>
          <w:p w14:paraId="7C7364EF">
            <w:pPr>
              <w:adjustRightInd w:val="0"/>
              <w:snapToGrid w:val="0"/>
              <w:spacing w:line="360" w:lineRule="auto"/>
              <w:rPr>
                <w:rFonts w:hint="eastAsia" w:eastAsia="宋体"/>
                <w:color w:val="auto"/>
                <w:sz w:val="21"/>
                <w:szCs w:val="21"/>
                <w:lang w:eastAsia="zh-CN"/>
              </w:rPr>
            </w:pPr>
            <w:r>
              <w:rPr>
                <w:color w:val="auto"/>
                <w:sz w:val="21"/>
                <w:szCs w:val="21"/>
                <w:highlight w:val="none"/>
                <w:shd w:val="clear" w:color="auto" w:fill="FFFFFF"/>
              </w:rPr>
              <w:t>本项目</w:t>
            </w:r>
            <w:r>
              <w:rPr>
                <w:rFonts w:hint="eastAsia"/>
                <w:color w:val="auto"/>
                <w:sz w:val="21"/>
                <w:szCs w:val="21"/>
                <w:highlight w:val="none"/>
                <w:shd w:val="clear" w:color="auto" w:fill="FFFFFF"/>
              </w:rPr>
              <w:t>厂区</w:t>
            </w:r>
            <w:r>
              <w:rPr>
                <w:color w:val="auto"/>
                <w:sz w:val="21"/>
                <w:szCs w:val="21"/>
                <w:highlight w:val="none"/>
                <w:shd w:val="clear" w:color="auto" w:fill="FFFFFF"/>
              </w:rPr>
              <w:t>范围不涉及</w:t>
            </w:r>
            <w:r>
              <w:rPr>
                <w:rFonts w:hint="eastAsia"/>
                <w:color w:val="auto"/>
                <w:sz w:val="21"/>
                <w:szCs w:val="21"/>
                <w:highlight w:val="none"/>
                <w:shd w:val="clear" w:color="auto" w:fill="FFFFFF"/>
                <w:lang w:val="en-US" w:eastAsia="zh-CN"/>
              </w:rPr>
              <w:t>水域、基本农田等</w:t>
            </w:r>
            <w:r>
              <w:rPr>
                <w:rFonts w:hint="eastAsia"/>
                <w:color w:val="auto"/>
                <w:sz w:val="21"/>
                <w:szCs w:val="21"/>
                <w:highlight w:val="none"/>
                <w:shd w:val="clear" w:color="auto" w:fill="FFFFFF"/>
              </w:rPr>
              <w:t>；项目</w:t>
            </w:r>
            <w:r>
              <w:rPr>
                <w:rFonts w:hint="eastAsia"/>
                <w:color w:val="auto"/>
                <w:sz w:val="21"/>
                <w:szCs w:val="21"/>
                <w:highlight w:val="none"/>
                <w:shd w:val="clear" w:color="auto" w:fill="FFFFFF"/>
                <w:lang w:val="en-US" w:eastAsia="zh-CN"/>
              </w:rPr>
              <w:t>产生的</w:t>
            </w:r>
            <w:r>
              <w:rPr>
                <w:rFonts w:hint="eastAsia"/>
                <w:color w:val="auto"/>
                <w:sz w:val="21"/>
                <w:szCs w:val="21"/>
                <w:highlight w:val="none"/>
                <w:shd w:val="clear" w:color="auto" w:fill="FFFFFF"/>
              </w:rPr>
              <w:t>粉尘、噪声均</w:t>
            </w:r>
            <w:r>
              <w:rPr>
                <w:rFonts w:hint="eastAsia"/>
                <w:color w:val="auto"/>
                <w:sz w:val="21"/>
                <w:szCs w:val="21"/>
                <w:highlight w:val="none"/>
                <w:shd w:val="clear" w:color="auto" w:fill="FFFFFF"/>
                <w:lang w:val="en-US" w:eastAsia="zh-CN"/>
              </w:rPr>
              <w:t>采取了相应措施后</w:t>
            </w:r>
            <w:r>
              <w:rPr>
                <w:rFonts w:hint="eastAsia"/>
                <w:color w:val="auto"/>
                <w:sz w:val="21"/>
                <w:szCs w:val="21"/>
                <w:highlight w:val="none"/>
                <w:shd w:val="clear" w:color="auto" w:fill="FFFFFF"/>
              </w:rPr>
              <w:t>达排放标准要求，</w:t>
            </w:r>
            <w:r>
              <w:rPr>
                <w:rFonts w:hint="eastAsia"/>
                <w:color w:val="auto"/>
                <w:sz w:val="21"/>
                <w:szCs w:val="21"/>
                <w:highlight w:val="none"/>
                <w:shd w:val="clear" w:color="auto" w:fill="FFFFFF"/>
                <w:lang w:val="en-US" w:eastAsia="zh-CN"/>
              </w:rPr>
              <w:t>生产</w:t>
            </w:r>
            <w:r>
              <w:rPr>
                <w:rFonts w:hint="eastAsia"/>
                <w:color w:val="auto"/>
                <w:sz w:val="21"/>
                <w:szCs w:val="21"/>
                <w:highlight w:val="none"/>
                <w:shd w:val="clear" w:color="auto" w:fill="FFFFFF"/>
              </w:rPr>
              <w:t>废水处理后全部回用不外排，固体废物全部综合利用。</w:t>
            </w:r>
          </w:p>
        </w:tc>
        <w:tc>
          <w:tcPr>
            <w:tcW w:w="451" w:type="pct"/>
            <w:tcBorders>
              <w:tl2br w:val="nil"/>
              <w:tr2bl w:val="nil"/>
            </w:tcBorders>
            <w:vAlign w:val="center"/>
          </w:tcPr>
          <w:p w14:paraId="006BE53F">
            <w:pPr>
              <w:spacing w:line="360" w:lineRule="auto"/>
              <w:jc w:val="center"/>
              <w:rPr>
                <w:color w:val="auto"/>
                <w:sz w:val="21"/>
                <w:szCs w:val="21"/>
              </w:rPr>
            </w:pPr>
            <w:r>
              <w:rPr>
                <w:rFonts w:hint="eastAsia"/>
                <w:color w:val="auto"/>
                <w:sz w:val="21"/>
                <w:szCs w:val="21"/>
              </w:rPr>
              <w:t>符合</w:t>
            </w:r>
          </w:p>
        </w:tc>
      </w:tr>
      <w:tr w14:paraId="0A002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restart"/>
            <w:tcBorders>
              <w:tl2br w:val="nil"/>
              <w:tr2bl w:val="nil"/>
            </w:tcBorders>
            <w:vAlign w:val="center"/>
          </w:tcPr>
          <w:p w14:paraId="7E402C05">
            <w:pPr>
              <w:spacing w:line="360" w:lineRule="auto"/>
              <w:rPr>
                <w:color w:val="auto"/>
                <w:sz w:val="21"/>
                <w:szCs w:val="21"/>
              </w:rPr>
            </w:pPr>
            <w:r>
              <w:rPr>
                <w:color w:val="auto"/>
                <w:sz w:val="21"/>
                <w:szCs w:val="21"/>
              </w:rPr>
              <w:t>污染物排放管控</w:t>
            </w:r>
          </w:p>
        </w:tc>
        <w:tc>
          <w:tcPr>
            <w:tcW w:w="2291" w:type="pct"/>
            <w:tcBorders>
              <w:tl2br w:val="nil"/>
              <w:tr2bl w:val="nil"/>
            </w:tcBorders>
            <w:vAlign w:val="center"/>
          </w:tcPr>
          <w:p w14:paraId="6563F253">
            <w:pPr>
              <w:spacing w:line="360" w:lineRule="auto"/>
              <w:rPr>
                <w:color w:val="auto"/>
                <w:sz w:val="21"/>
                <w:szCs w:val="21"/>
              </w:rPr>
            </w:pPr>
            <w:r>
              <w:rPr>
                <w:color w:val="auto"/>
                <w:sz w:val="21"/>
                <w:szCs w:val="21"/>
              </w:rPr>
              <w:t xml:space="preserve">1.推进城乡生活污水治理，保障污水达标排放；深入推进农业面源污染治理，重视城镇面源污染防治。 </w:t>
            </w:r>
          </w:p>
        </w:tc>
        <w:tc>
          <w:tcPr>
            <w:tcW w:w="1789" w:type="pct"/>
            <w:tcBorders>
              <w:tl2br w:val="nil"/>
              <w:tr2bl w:val="nil"/>
            </w:tcBorders>
            <w:vAlign w:val="center"/>
          </w:tcPr>
          <w:p w14:paraId="6C7E0736">
            <w:pPr>
              <w:spacing w:line="360" w:lineRule="auto"/>
              <w:rPr>
                <w:rFonts w:hint="eastAsia" w:eastAsia="宋体"/>
                <w:color w:val="auto"/>
                <w:sz w:val="21"/>
                <w:szCs w:val="21"/>
                <w:lang w:eastAsia="zh-CN"/>
              </w:rPr>
            </w:pPr>
            <w:r>
              <w:rPr>
                <w:rFonts w:hint="eastAsia"/>
                <w:color w:val="auto"/>
                <w:sz w:val="21"/>
                <w:szCs w:val="21"/>
                <w:shd w:val="clear" w:color="auto" w:fill="FFFFFF"/>
                <w:lang w:val="en-US" w:eastAsia="zh-CN"/>
              </w:rPr>
              <w:t>本项目产生的生活污水排入现有旱厕后定期清掏，不外排。</w:t>
            </w:r>
          </w:p>
        </w:tc>
        <w:tc>
          <w:tcPr>
            <w:tcW w:w="451" w:type="pct"/>
            <w:tcBorders>
              <w:tl2br w:val="nil"/>
              <w:tr2bl w:val="nil"/>
            </w:tcBorders>
            <w:vAlign w:val="center"/>
          </w:tcPr>
          <w:p w14:paraId="139CEF15">
            <w:pPr>
              <w:adjustRightInd w:val="0"/>
              <w:snapToGrid w:val="0"/>
              <w:spacing w:line="360" w:lineRule="auto"/>
              <w:jc w:val="center"/>
              <w:rPr>
                <w:color w:val="auto"/>
                <w:sz w:val="21"/>
                <w:szCs w:val="21"/>
              </w:rPr>
            </w:pPr>
            <w:r>
              <w:rPr>
                <w:color w:val="auto"/>
                <w:sz w:val="21"/>
                <w:szCs w:val="21"/>
              </w:rPr>
              <w:t>符合</w:t>
            </w:r>
          </w:p>
        </w:tc>
      </w:tr>
      <w:tr w14:paraId="608C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Borders>
              <w:tl2br w:val="nil"/>
              <w:tr2bl w:val="nil"/>
            </w:tcBorders>
            <w:vAlign w:val="center"/>
          </w:tcPr>
          <w:p w14:paraId="49631AE8">
            <w:pPr>
              <w:spacing w:line="360" w:lineRule="auto"/>
              <w:rPr>
                <w:color w:val="auto"/>
                <w:sz w:val="21"/>
                <w:szCs w:val="21"/>
              </w:rPr>
            </w:pPr>
          </w:p>
        </w:tc>
        <w:tc>
          <w:tcPr>
            <w:tcW w:w="2291" w:type="pct"/>
            <w:tcBorders>
              <w:tl2br w:val="nil"/>
              <w:tr2bl w:val="nil"/>
            </w:tcBorders>
            <w:vAlign w:val="center"/>
          </w:tcPr>
          <w:p w14:paraId="62A89080">
            <w:pPr>
              <w:spacing w:line="360" w:lineRule="auto"/>
              <w:rPr>
                <w:rFonts w:eastAsia="宋体"/>
                <w:color w:val="auto"/>
                <w:sz w:val="21"/>
                <w:szCs w:val="21"/>
              </w:rPr>
            </w:pPr>
            <w:r>
              <w:rPr>
                <w:color w:val="auto"/>
                <w:sz w:val="21"/>
                <w:szCs w:val="21"/>
              </w:rPr>
              <w:t xml:space="preserve">2.从2021年1月1日起，全面执行国家排放标准大气污染物特别排放限值；推进清洁取暖改造，推广使用天然气、液化石油气、太阳能、电能等清洁能源；推进柴油货车等高排放车辆深度治理；综合整治扬尘污染。 </w:t>
            </w:r>
          </w:p>
        </w:tc>
        <w:tc>
          <w:tcPr>
            <w:tcW w:w="1789" w:type="pct"/>
            <w:tcBorders>
              <w:tl2br w:val="nil"/>
              <w:tr2bl w:val="nil"/>
            </w:tcBorders>
            <w:vAlign w:val="center"/>
          </w:tcPr>
          <w:p w14:paraId="2D613E76">
            <w:pPr>
              <w:spacing w:line="360" w:lineRule="auto"/>
              <w:rPr>
                <w:color w:val="auto"/>
                <w:sz w:val="21"/>
                <w:szCs w:val="21"/>
              </w:rPr>
            </w:pPr>
            <w:r>
              <w:rPr>
                <w:rFonts w:hint="eastAsia"/>
                <w:color w:val="auto"/>
                <w:sz w:val="21"/>
                <w:szCs w:val="21"/>
                <w:shd w:val="clear" w:color="auto" w:fill="FFFFFF"/>
                <w:lang w:val="en-US" w:eastAsia="zh-CN"/>
              </w:rPr>
              <w:t>冬季办公室</w:t>
            </w:r>
            <w:r>
              <w:rPr>
                <w:color w:val="auto"/>
                <w:sz w:val="21"/>
                <w:szCs w:val="21"/>
                <w:shd w:val="clear" w:color="auto" w:fill="FFFFFF"/>
              </w:rPr>
              <w:t>采暖使用电取暖</w:t>
            </w:r>
            <w:r>
              <w:rPr>
                <w:rFonts w:hint="eastAsia"/>
                <w:color w:val="auto"/>
                <w:sz w:val="21"/>
                <w:szCs w:val="21"/>
                <w:shd w:val="clear" w:color="auto" w:fill="FFFFFF"/>
                <w:lang w:eastAsia="zh-CN"/>
              </w:rPr>
              <w:t>，</w:t>
            </w:r>
            <w:r>
              <w:rPr>
                <w:rFonts w:hint="eastAsia"/>
                <w:color w:val="auto"/>
                <w:sz w:val="21"/>
                <w:szCs w:val="21"/>
                <w:shd w:val="clear" w:color="auto" w:fill="FFFFFF"/>
                <w:lang w:val="en-US" w:eastAsia="zh-CN"/>
              </w:rPr>
              <w:t>车间不供暖。</w:t>
            </w:r>
          </w:p>
        </w:tc>
        <w:tc>
          <w:tcPr>
            <w:tcW w:w="451" w:type="pct"/>
            <w:tcBorders>
              <w:tl2br w:val="nil"/>
              <w:tr2bl w:val="nil"/>
            </w:tcBorders>
            <w:vAlign w:val="center"/>
          </w:tcPr>
          <w:p w14:paraId="29912960">
            <w:pPr>
              <w:adjustRightInd w:val="0"/>
              <w:snapToGrid w:val="0"/>
              <w:spacing w:line="360" w:lineRule="auto"/>
              <w:jc w:val="center"/>
              <w:rPr>
                <w:color w:val="auto"/>
                <w:sz w:val="21"/>
                <w:szCs w:val="21"/>
              </w:rPr>
            </w:pPr>
          </w:p>
        </w:tc>
      </w:tr>
      <w:tr w14:paraId="538A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Borders>
              <w:tl2br w:val="nil"/>
              <w:tr2bl w:val="nil"/>
            </w:tcBorders>
            <w:vAlign w:val="center"/>
          </w:tcPr>
          <w:p w14:paraId="0A4D8CA7">
            <w:pPr>
              <w:spacing w:line="360" w:lineRule="auto"/>
              <w:rPr>
                <w:color w:val="auto"/>
                <w:sz w:val="21"/>
                <w:szCs w:val="21"/>
              </w:rPr>
            </w:pPr>
          </w:p>
        </w:tc>
        <w:tc>
          <w:tcPr>
            <w:tcW w:w="2291" w:type="pct"/>
            <w:tcBorders>
              <w:tl2br w:val="nil"/>
              <w:tr2bl w:val="nil"/>
            </w:tcBorders>
            <w:vAlign w:val="center"/>
          </w:tcPr>
          <w:p w14:paraId="6591336A">
            <w:pPr>
              <w:spacing w:line="360" w:lineRule="auto"/>
              <w:rPr>
                <w:rFonts w:eastAsia="宋体"/>
                <w:color w:val="auto"/>
                <w:sz w:val="21"/>
                <w:szCs w:val="21"/>
              </w:rPr>
            </w:pPr>
            <w:r>
              <w:rPr>
                <w:color w:val="auto"/>
                <w:sz w:val="21"/>
                <w:szCs w:val="21"/>
              </w:rPr>
              <w:t>3.加强农业面源污染防治，加大种养业特别是规模化畜禽养殖污染防治力度，引导农民使用生物农药或高效、低毒、低残留农药，对农药包装进行无害化处理；推进畜禽粪污资源化利用。</w:t>
            </w:r>
          </w:p>
        </w:tc>
        <w:tc>
          <w:tcPr>
            <w:tcW w:w="1789" w:type="pct"/>
            <w:tcBorders>
              <w:tl2br w:val="nil"/>
              <w:tr2bl w:val="nil"/>
            </w:tcBorders>
            <w:vAlign w:val="center"/>
          </w:tcPr>
          <w:p w14:paraId="0D6E2FC2">
            <w:pPr>
              <w:spacing w:line="360" w:lineRule="auto"/>
              <w:rPr>
                <w:rFonts w:hint="eastAsia" w:eastAsia="宋体"/>
                <w:color w:val="auto"/>
                <w:sz w:val="21"/>
                <w:szCs w:val="21"/>
                <w:lang w:eastAsia="zh-CN"/>
              </w:rPr>
            </w:pPr>
            <w:r>
              <w:rPr>
                <w:rFonts w:hint="eastAsia"/>
                <w:color w:val="auto"/>
                <w:sz w:val="21"/>
                <w:szCs w:val="21"/>
                <w:lang w:val="en-US" w:eastAsia="zh-CN"/>
              </w:rPr>
              <w:t>不涉及。</w:t>
            </w:r>
          </w:p>
        </w:tc>
        <w:tc>
          <w:tcPr>
            <w:tcW w:w="451" w:type="pct"/>
            <w:tcBorders>
              <w:tl2br w:val="nil"/>
              <w:tr2bl w:val="nil"/>
            </w:tcBorders>
            <w:vAlign w:val="center"/>
          </w:tcPr>
          <w:p w14:paraId="57AF1D09">
            <w:pPr>
              <w:adjustRightInd w:val="0"/>
              <w:snapToGrid w:val="0"/>
              <w:spacing w:line="360" w:lineRule="auto"/>
              <w:jc w:val="center"/>
              <w:rPr>
                <w:rFonts w:eastAsiaTheme="minorEastAsia"/>
                <w:color w:val="auto"/>
                <w:sz w:val="21"/>
                <w:szCs w:val="21"/>
              </w:rPr>
            </w:pPr>
            <w:r>
              <w:rPr>
                <w:color w:val="auto"/>
                <w:sz w:val="21"/>
                <w:szCs w:val="21"/>
              </w:rPr>
              <w:t>符合</w:t>
            </w:r>
          </w:p>
        </w:tc>
      </w:tr>
      <w:tr w14:paraId="644D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 w:type="pct"/>
            <w:vMerge w:val="restart"/>
            <w:tcBorders>
              <w:tl2br w:val="nil"/>
              <w:tr2bl w:val="nil"/>
            </w:tcBorders>
            <w:vAlign w:val="center"/>
          </w:tcPr>
          <w:p w14:paraId="2BD8B70D">
            <w:pPr>
              <w:spacing w:line="360" w:lineRule="auto"/>
              <w:rPr>
                <w:color w:val="auto"/>
                <w:sz w:val="21"/>
                <w:szCs w:val="21"/>
              </w:rPr>
            </w:pPr>
            <w:r>
              <w:rPr>
                <w:color w:val="auto"/>
                <w:sz w:val="21"/>
                <w:szCs w:val="21"/>
              </w:rPr>
              <w:t>环境风险防控</w:t>
            </w:r>
          </w:p>
        </w:tc>
        <w:tc>
          <w:tcPr>
            <w:tcW w:w="2291" w:type="pct"/>
            <w:tcBorders>
              <w:tl2br w:val="nil"/>
              <w:tr2bl w:val="nil"/>
            </w:tcBorders>
            <w:vAlign w:val="center"/>
          </w:tcPr>
          <w:p w14:paraId="25B26B0B">
            <w:pPr>
              <w:spacing w:line="360" w:lineRule="auto"/>
              <w:rPr>
                <w:rFonts w:eastAsia="宋体"/>
                <w:color w:val="auto"/>
                <w:sz w:val="21"/>
                <w:szCs w:val="21"/>
              </w:rPr>
            </w:pPr>
            <w:r>
              <w:rPr>
                <w:rFonts w:eastAsia="宋体"/>
                <w:color w:val="auto"/>
                <w:sz w:val="21"/>
                <w:szCs w:val="21"/>
              </w:rPr>
              <w:t>1.加大执法检查力度，推动辖区内化工企业落实安全生产和环境保护主体责任，提升突发环境事件风险防控能力。</w:t>
            </w:r>
          </w:p>
        </w:tc>
        <w:tc>
          <w:tcPr>
            <w:tcW w:w="1789" w:type="pct"/>
            <w:tcBorders>
              <w:tl2br w:val="nil"/>
              <w:tr2bl w:val="nil"/>
            </w:tcBorders>
            <w:vAlign w:val="center"/>
          </w:tcPr>
          <w:p w14:paraId="5524C894">
            <w:pPr>
              <w:spacing w:line="360" w:lineRule="auto"/>
              <w:rPr>
                <w:rFonts w:hint="eastAsia" w:eastAsia="宋体"/>
                <w:color w:val="auto"/>
                <w:sz w:val="21"/>
                <w:szCs w:val="21"/>
                <w:highlight w:val="none"/>
                <w:lang w:eastAsia="zh-CN"/>
              </w:rPr>
            </w:pPr>
            <w:r>
              <w:rPr>
                <w:rFonts w:hint="eastAsia"/>
                <w:color w:val="auto"/>
                <w:sz w:val="21"/>
                <w:szCs w:val="21"/>
                <w:highlight w:val="none"/>
                <w:shd w:val="clear" w:color="auto" w:fill="FFFFFF"/>
                <w:lang w:val="en-US" w:eastAsia="zh-CN"/>
              </w:rPr>
              <w:t>经查《国民经济行业分类》（GB/T 4754—2017），本项目属于B0921金矿采选行业，非化工企业，不涉及该条款要求内容</w:t>
            </w:r>
            <w:r>
              <w:rPr>
                <w:rFonts w:hint="eastAsia"/>
                <w:color w:val="auto"/>
                <w:sz w:val="21"/>
                <w:szCs w:val="21"/>
                <w:highlight w:val="none"/>
                <w:shd w:val="clear" w:color="auto" w:fill="FFFFFF"/>
                <w:lang w:eastAsia="zh-CN"/>
              </w:rPr>
              <w:t>。</w:t>
            </w:r>
          </w:p>
        </w:tc>
        <w:tc>
          <w:tcPr>
            <w:tcW w:w="451" w:type="pct"/>
            <w:tcBorders>
              <w:tl2br w:val="nil"/>
              <w:tr2bl w:val="nil"/>
            </w:tcBorders>
            <w:vAlign w:val="center"/>
          </w:tcPr>
          <w:p w14:paraId="43C6DD90">
            <w:pPr>
              <w:adjustRightInd w:val="0"/>
              <w:snapToGrid w:val="0"/>
              <w:spacing w:line="360" w:lineRule="auto"/>
              <w:jc w:val="center"/>
              <w:rPr>
                <w:rFonts w:eastAsiaTheme="minorEastAsia"/>
                <w:color w:val="auto"/>
                <w:sz w:val="21"/>
                <w:szCs w:val="21"/>
              </w:rPr>
            </w:pPr>
            <w:r>
              <w:rPr>
                <w:color w:val="auto"/>
                <w:sz w:val="21"/>
                <w:szCs w:val="21"/>
              </w:rPr>
              <w:t>符合</w:t>
            </w:r>
          </w:p>
        </w:tc>
      </w:tr>
      <w:tr w14:paraId="2B458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Borders>
              <w:tl2br w:val="nil"/>
              <w:tr2bl w:val="nil"/>
            </w:tcBorders>
            <w:vAlign w:val="center"/>
          </w:tcPr>
          <w:p w14:paraId="1A51F69A">
            <w:pPr>
              <w:spacing w:line="360" w:lineRule="auto"/>
              <w:rPr>
                <w:color w:val="auto"/>
                <w:sz w:val="21"/>
                <w:szCs w:val="21"/>
              </w:rPr>
            </w:pPr>
          </w:p>
        </w:tc>
        <w:tc>
          <w:tcPr>
            <w:tcW w:w="2291" w:type="pct"/>
            <w:tcBorders>
              <w:tl2br w:val="nil"/>
              <w:tr2bl w:val="nil"/>
            </w:tcBorders>
            <w:vAlign w:val="center"/>
          </w:tcPr>
          <w:p w14:paraId="2F8213C9">
            <w:pPr>
              <w:spacing w:line="360" w:lineRule="auto"/>
              <w:rPr>
                <w:rFonts w:hint="eastAsia" w:eastAsia="宋体"/>
                <w:color w:val="auto"/>
                <w:sz w:val="21"/>
                <w:szCs w:val="21"/>
                <w:lang w:eastAsia="zh-CN"/>
              </w:rPr>
            </w:pPr>
            <w:r>
              <w:rPr>
                <w:rFonts w:eastAsia="宋体"/>
                <w:color w:val="auto"/>
                <w:sz w:val="21"/>
                <w:szCs w:val="21"/>
              </w:rPr>
              <w:t xml:space="preserve"> 2.对现有涉废气排放工业、企业加强监督管理和执法检查。 </w:t>
            </w:r>
          </w:p>
        </w:tc>
        <w:tc>
          <w:tcPr>
            <w:tcW w:w="1789" w:type="pct"/>
            <w:tcBorders>
              <w:tl2br w:val="nil"/>
              <w:tr2bl w:val="nil"/>
            </w:tcBorders>
            <w:vAlign w:val="center"/>
          </w:tcPr>
          <w:p w14:paraId="00421A89">
            <w:pPr>
              <w:spacing w:line="360" w:lineRule="auto"/>
              <w:rPr>
                <w:rFonts w:hint="default"/>
                <w:sz w:val="21"/>
                <w:szCs w:val="21"/>
                <w:lang w:val="en-US" w:eastAsia="zh-CN"/>
              </w:rPr>
            </w:pPr>
            <w:r>
              <w:rPr>
                <w:rFonts w:hint="eastAsia"/>
                <w:color w:val="auto"/>
                <w:sz w:val="21"/>
                <w:szCs w:val="21"/>
                <w:lang w:val="en-US" w:eastAsia="zh-CN"/>
              </w:rPr>
              <w:t>本项目为改扩建项目，现有项目产生的废气采取了布袋除尘、洒水降尘等治理措施，可有效降低废气排放量，本次新增的项目环评要求设置布袋除尘、堆场采取洒水降尘等治理措施，确保粉尘达标排放。</w:t>
            </w:r>
          </w:p>
        </w:tc>
        <w:tc>
          <w:tcPr>
            <w:tcW w:w="451" w:type="pct"/>
            <w:tcBorders>
              <w:tl2br w:val="nil"/>
              <w:tr2bl w:val="nil"/>
            </w:tcBorders>
            <w:vAlign w:val="center"/>
          </w:tcPr>
          <w:p w14:paraId="19FD0897">
            <w:pPr>
              <w:adjustRightInd w:val="0"/>
              <w:snapToGrid w:val="0"/>
              <w:spacing w:line="360" w:lineRule="auto"/>
              <w:jc w:val="center"/>
              <w:rPr>
                <w:color w:val="auto"/>
                <w:sz w:val="21"/>
                <w:szCs w:val="21"/>
              </w:rPr>
            </w:pPr>
            <w:r>
              <w:rPr>
                <w:rFonts w:hint="eastAsia"/>
                <w:color w:val="auto"/>
                <w:sz w:val="21"/>
                <w:szCs w:val="21"/>
              </w:rPr>
              <w:t>符合</w:t>
            </w:r>
          </w:p>
        </w:tc>
      </w:tr>
      <w:tr w14:paraId="51AD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Borders>
              <w:tl2br w:val="nil"/>
              <w:tr2bl w:val="nil"/>
            </w:tcBorders>
            <w:vAlign w:val="center"/>
          </w:tcPr>
          <w:p w14:paraId="1E1B5B4F">
            <w:pPr>
              <w:spacing w:line="360" w:lineRule="auto"/>
              <w:rPr>
                <w:color w:val="auto"/>
                <w:sz w:val="21"/>
                <w:szCs w:val="21"/>
              </w:rPr>
            </w:pPr>
          </w:p>
        </w:tc>
        <w:tc>
          <w:tcPr>
            <w:tcW w:w="2291" w:type="pct"/>
            <w:tcBorders>
              <w:tl2br w:val="nil"/>
              <w:tr2bl w:val="nil"/>
            </w:tcBorders>
            <w:vAlign w:val="center"/>
          </w:tcPr>
          <w:p w14:paraId="0DF78BE7">
            <w:pPr>
              <w:spacing w:line="360" w:lineRule="auto"/>
              <w:rPr>
                <w:color w:val="auto"/>
                <w:sz w:val="21"/>
                <w:szCs w:val="21"/>
              </w:rPr>
            </w:pPr>
            <w:r>
              <w:rPr>
                <w:rFonts w:eastAsia="宋体"/>
                <w:color w:val="auto"/>
                <w:sz w:val="21"/>
                <w:szCs w:val="21"/>
              </w:rPr>
              <w:t>3.优先保护耕地土壤环境，强化乡镇工业污染场地治理，开展土壤污染治理与修复试点工作。</w:t>
            </w:r>
          </w:p>
        </w:tc>
        <w:tc>
          <w:tcPr>
            <w:tcW w:w="1789" w:type="pct"/>
            <w:tcBorders>
              <w:tl2br w:val="nil"/>
              <w:tr2bl w:val="nil"/>
            </w:tcBorders>
            <w:vAlign w:val="center"/>
          </w:tcPr>
          <w:p w14:paraId="4C77662D">
            <w:pPr>
              <w:spacing w:line="360" w:lineRule="auto"/>
              <w:rPr>
                <w:rFonts w:hint="default" w:eastAsia="宋体"/>
                <w:color w:val="auto"/>
                <w:sz w:val="21"/>
                <w:szCs w:val="21"/>
                <w:lang w:val="en-US" w:eastAsia="zh-CN"/>
              </w:rPr>
            </w:pPr>
            <w:r>
              <w:rPr>
                <w:rFonts w:hint="eastAsia"/>
                <w:color w:val="auto"/>
                <w:sz w:val="21"/>
                <w:szCs w:val="21"/>
                <w:lang w:val="en-US" w:eastAsia="zh-CN"/>
              </w:rPr>
              <w:t>本项目占地范围内无耕地。</w:t>
            </w:r>
          </w:p>
        </w:tc>
        <w:tc>
          <w:tcPr>
            <w:tcW w:w="451" w:type="pct"/>
            <w:tcBorders>
              <w:tl2br w:val="nil"/>
              <w:tr2bl w:val="nil"/>
            </w:tcBorders>
            <w:vAlign w:val="center"/>
          </w:tcPr>
          <w:p w14:paraId="01088633">
            <w:pPr>
              <w:spacing w:line="360" w:lineRule="auto"/>
              <w:rPr>
                <w:color w:val="auto"/>
                <w:sz w:val="21"/>
                <w:szCs w:val="21"/>
              </w:rPr>
            </w:pPr>
            <w:r>
              <w:rPr>
                <w:rFonts w:hint="eastAsia"/>
                <w:color w:val="auto"/>
                <w:sz w:val="21"/>
                <w:szCs w:val="21"/>
              </w:rPr>
              <w:t>符合</w:t>
            </w:r>
          </w:p>
        </w:tc>
      </w:tr>
      <w:tr w14:paraId="502C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tcBorders>
              <w:tl2br w:val="nil"/>
              <w:tr2bl w:val="nil"/>
            </w:tcBorders>
            <w:vAlign w:val="center"/>
          </w:tcPr>
          <w:p w14:paraId="2632C025">
            <w:pPr>
              <w:spacing w:line="360" w:lineRule="auto"/>
              <w:rPr>
                <w:color w:val="auto"/>
                <w:sz w:val="21"/>
                <w:szCs w:val="21"/>
              </w:rPr>
            </w:pPr>
            <w:r>
              <w:rPr>
                <w:color w:val="auto"/>
                <w:sz w:val="21"/>
                <w:szCs w:val="21"/>
              </w:rPr>
              <w:t>资源开发效率要求</w:t>
            </w:r>
          </w:p>
        </w:tc>
        <w:tc>
          <w:tcPr>
            <w:tcW w:w="2291" w:type="pct"/>
            <w:tcBorders>
              <w:tl2br w:val="nil"/>
              <w:tr2bl w:val="nil"/>
            </w:tcBorders>
            <w:vAlign w:val="center"/>
          </w:tcPr>
          <w:p w14:paraId="03215EA0">
            <w:pPr>
              <w:spacing w:line="360" w:lineRule="auto"/>
              <w:rPr>
                <w:color w:val="auto"/>
                <w:sz w:val="21"/>
                <w:szCs w:val="21"/>
              </w:rPr>
            </w:pPr>
            <w:r>
              <w:rPr>
                <w:color w:val="auto"/>
                <w:sz w:val="21"/>
                <w:szCs w:val="21"/>
              </w:rPr>
              <w:t>1.推动能源结构优化，加快发展清洁能源、可再生能源。 2.加快供水管网改造，降低人均生活用水量；加强农业节水，提高农业灌溉用水效率。 3.推进畜禽粪污、餐厨废弃物等垃圾集中处理和资源化利用。</w:t>
            </w:r>
          </w:p>
        </w:tc>
        <w:tc>
          <w:tcPr>
            <w:tcW w:w="1789" w:type="pct"/>
            <w:tcBorders>
              <w:tl2br w:val="nil"/>
              <w:tr2bl w:val="nil"/>
            </w:tcBorders>
            <w:vAlign w:val="center"/>
          </w:tcPr>
          <w:p w14:paraId="752ED94C">
            <w:pPr>
              <w:spacing w:line="360" w:lineRule="auto"/>
              <w:rPr>
                <w:rFonts w:hint="default" w:eastAsia="宋体"/>
                <w:color w:val="auto"/>
                <w:sz w:val="21"/>
                <w:szCs w:val="21"/>
                <w:lang w:val="en-US" w:eastAsia="zh-CN"/>
              </w:rPr>
            </w:pPr>
            <w:r>
              <w:rPr>
                <w:rFonts w:hint="eastAsia"/>
                <w:color w:val="auto"/>
                <w:sz w:val="21"/>
                <w:szCs w:val="21"/>
                <w:lang w:val="en-US" w:eastAsia="zh-CN"/>
              </w:rPr>
              <w:t>本项目不设置食堂，不涉及</w:t>
            </w:r>
            <w:r>
              <w:rPr>
                <w:color w:val="auto"/>
                <w:sz w:val="21"/>
                <w:szCs w:val="21"/>
              </w:rPr>
              <w:t>餐厨废弃物</w:t>
            </w:r>
            <w:r>
              <w:rPr>
                <w:rFonts w:hint="eastAsia"/>
                <w:color w:val="auto"/>
                <w:sz w:val="21"/>
                <w:szCs w:val="21"/>
                <w:lang w:eastAsia="zh-CN"/>
              </w:rPr>
              <w:t>；</w:t>
            </w:r>
            <w:r>
              <w:rPr>
                <w:rFonts w:hint="eastAsia"/>
                <w:color w:val="auto"/>
                <w:sz w:val="21"/>
                <w:szCs w:val="21"/>
                <w:lang w:val="en-US" w:eastAsia="zh-CN"/>
              </w:rPr>
              <w:t>生活用水仅为员工饮用水，人均用水量较小。</w:t>
            </w:r>
          </w:p>
        </w:tc>
        <w:tc>
          <w:tcPr>
            <w:tcW w:w="451" w:type="pct"/>
            <w:tcBorders>
              <w:tl2br w:val="nil"/>
              <w:tr2bl w:val="nil"/>
            </w:tcBorders>
            <w:vAlign w:val="center"/>
          </w:tcPr>
          <w:p w14:paraId="25F0056B">
            <w:pPr>
              <w:spacing w:line="360" w:lineRule="auto"/>
              <w:jc w:val="center"/>
              <w:rPr>
                <w:color w:val="auto"/>
                <w:sz w:val="21"/>
                <w:szCs w:val="21"/>
              </w:rPr>
            </w:pPr>
            <w:r>
              <w:rPr>
                <w:color w:val="auto"/>
                <w:sz w:val="21"/>
                <w:szCs w:val="21"/>
              </w:rPr>
              <w:t>符合</w:t>
            </w:r>
          </w:p>
        </w:tc>
      </w:tr>
    </w:tbl>
    <w:p w14:paraId="46C56F36">
      <w:pPr>
        <w:pStyle w:val="177"/>
        <w:ind w:left="0" w:leftChars="0" w:firstLine="0" w:firstLineChars="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drawing>
          <wp:inline distT="0" distB="0" distL="114300" distR="114300">
            <wp:extent cx="5367020" cy="3797300"/>
            <wp:effectExtent l="0" t="0" r="5080" b="12700"/>
            <wp:docPr id="251" name="图片 251" descr="项目相对于三线一单的位置关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项目相对于三线一单的位置关系图"/>
                    <pic:cNvPicPr>
                      <a:picLocks noChangeAspect="1"/>
                    </pic:cNvPicPr>
                  </pic:nvPicPr>
                  <pic:blipFill>
                    <a:blip r:embed="rId56"/>
                    <a:stretch>
                      <a:fillRect/>
                    </a:stretch>
                  </pic:blipFill>
                  <pic:spPr>
                    <a:xfrm>
                      <a:off x="0" y="0"/>
                      <a:ext cx="5367020" cy="3797300"/>
                    </a:xfrm>
                    <a:prstGeom prst="rect">
                      <a:avLst/>
                    </a:prstGeom>
                  </pic:spPr>
                </pic:pic>
              </a:graphicData>
            </a:graphic>
          </wp:inline>
        </w:drawing>
      </w:r>
    </w:p>
    <w:p w14:paraId="1775E518">
      <w:pPr>
        <w:pStyle w:val="177"/>
        <w:ind w:left="0" w:leftChars="0" w:firstLine="0" w:firstLineChars="0"/>
        <w:jc w:val="center"/>
        <w:rPr>
          <w:rFonts w:hint="eastAsia" w:ascii="Times New Roman" w:cs="Times New Roman"/>
          <w:b/>
          <w:bCs/>
          <w:color w:val="auto"/>
          <w:lang w:val="en-US" w:eastAsia="zh-CN"/>
        </w:rPr>
      </w:pPr>
      <w:r>
        <w:rPr>
          <w:rFonts w:hint="eastAsia" w:ascii="Times New Roman" w:cs="Times New Roman"/>
          <w:b/>
          <w:bCs/>
          <w:color w:val="auto"/>
          <w:lang w:val="en-US" w:eastAsia="zh-CN"/>
        </w:rPr>
        <w:t>图11.4-1  项目在朝阳市“三线一单”环境管控单元图中的位置示意图</w:t>
      </w:r>
    </w:p>
    <w:p w14:paraId="3FA3AFDB">
      <w:pPr>
        <w:pStyle w:val="4"/>
        <w:bidi w:val="0"/>
        <w:rPr>
          <w:rFonts w:hint="default" w:ascii="Times New Roman" w:hAnsi="Times New Roman" w:cs="Times New Roman" w:eastAsiaTheme="minorEastAsia"/>
          <w:lang w:val="en-US" w:eastAsia="zh-CN"/>
        </w:rPr>
      </w:pPr>
      <w:bookmarkStart w:id="219" w:name="_Toc15928"/>
      <w:r>
        <w:rPr>
          <w:rFonts w:hint="default" w:ascii="Times New Roman" w:hAnsi="Times New Roman" w:cs="Times New Roman" w:eastAsiaTheme="minorEastAsia"/>
          <w:lang w:val="en-US" w:eastAsia="zh-CN"/>
        </w:rPr>
        <w:t>11.5与</w:t>
      </w:r>
      <w:r>
        <w:rPr>
          <w:rFonts w:hint="default" w:ascii="Times New Roman" w:hAnsi="Times New Roman" w:cs="Times New Roman" w:eastAsiaTheme="minorEastAsia"/>
          <w:lang w:val="zh-CN" w:eastAsia="zh-CN"/>
        </w:rPr>
        <w:t>环境管理政策相符性分析</w:t>
      </w:r>
      <w:bookmarkEnd w:id="219"/>
    </w:p>
    <w:p w14:paraId="17AF02FF">
      <w:pPr>
        <w:spacing w:line="360" w:lineRule="auto"/>
        <w:ind w:firstLine="480" w:firstLineChars="200"/>
        <w:jc w:val="left"/>
        <w:rPr>
          <w:color w:val="auto"/>
          <w:sz w:val="24"/>
        </w:rPr>
      </w:pPr>
      <w:r>
        <w:rPr>
          <w:color w:val="auto"/>
          <w:sz w:val="24"/>
        </w:rPr>
        <w:t>根据《辽宁省大气污染防治行动计划实施方案》（辽宁省人民政府，辽政发[2014]8号，2014年3月13日）</w:t>
      </w:r>
      <w:r>
        <w:rPr>
          <w:rFonts w:hint="eastAsia"/>
          <w:color w:val="auto"/>
          <w:sz w:val="24"/>
        </w:rPr>
        <w:t>、</w:t>
      </w:r>
      <w:r>
        <w:rPr>
          <w:color w:val="auto"/>
          <w:sz w:val="24"/>
        </w:rPr>
        <w:t>《辽宁省水污染防治工作方案》（辽宁省人民政府，辽政发[2015]79号</w:t>
      </w:r>
      <w:r>
        <w:rPr>
          <w:rFonts w:hint="eastAsia"/>
          <w:color w:val="auto"/>
          <w:sz w:val="24"/>
        </w:rPr>
        <w:t>及</w:t>
      </w:r>
      <w:r>
        <w:rPr>
          <w:color w:val="auto"/>
          <w:sz w:val="24"/>
        </w:rPr>
        <w:t>《土壤污染防治行动计划》简称《土十条》，（国发[2016]31号）2015年12月31日）</w:t>
      </w:r>
      <w:r>
        <w:rPr>
          <w:rFonts w:hint="eastAsia"/>
          <w:color w:val="auto"/>
          <w:sz w:val="24"/>
        </w:rPr>
        <w:t>、</w:t>
      </w:r>
      <w:r>
        <w:rPr>
          <w:color w:val="auto"/>
          <w:sz w:val="24"/>
        </w:rPr>
        <w:t>《</w:t>
      </w:r>
      <w:r>
        <w:rPr>
          <w:rFonts w:hint="eastAsia"/>
          <w:color w:val="auto"/>
          <w:sz w:val="24"/>
        </w:rPr>
        <w:t>地下水管理条例</w:t>
      </w:r>
      <w:r>
        <w:rPr>
          <w:color w:val="auto"/>
          <w:sz w:val="24"/>
        </w:rPr>
        <w:t>》中相关要求相符性分析见表</w:t>
      </w:r>
      <w:r>
        <w:rPr>
          <w:rFonts w:hint="eastAsia"/>
          <w:color w:val="auto"/>
          <w:sz w:val="24"/>
          <w:lang w:val="en-US" w:eastAsia="zh-CN"/>
        </w:rPr>
        <w:t>11.5-1</w:t>
      </w:r>
      <w:r>
        <w:rPr>
          <w:color w:val="auto"/>
          <w:sz w:val="24"/>
        </w:rPr>
        <w:t>。</w:t>
      </w:r>
    </w:p>
    <w:p w14:paraId="46FFCD2D">
      <w:pPr>
        <w:pStyle w:val="59"/>
        <w:tabs>
          <w:tab w:val="left" w:pos="720"/>
        </w:tabs>
        <w:spacing w:after="0" w:line="360" w:lineRule="auto"/>
        <w:ind w:left="0" w:leftChars="0"/>
        <w:jc w:val="center"/>
        <w:rPr>
          <w:rFonts w:hint="default"/>
          <w:b/>
          <w:color w:val="auto"/>
          <w:sz w:val="24"/>
          <w:szCs w:val="24"/>
          <w:lang w:val="en-US" w:eastAsia="zh-CN"/>
        </w:rPr>
      </w:pPr>
      <w:r>
        <w:rPr>
          <w:rFonts w:hint="default"/>
          <w:b/>
          <w:color w:val="auto"/>
          <w:sz w:val="24"/>
          <w:szCs w:val="24"/>
          <w:lang w:val="en-US" w:eastAsia="zh-CN"/>
        </w:rPr>
        <w:t>表</w:t>
      </w:r>
      <w:r>
        <w:rPr>
          <w:rFonts w:hint="eastAsia"/>
          <w:b/>
          <w:color w:val="auto"/>
          <w:sz w:val="24"/>
          <w:szCs w:val="24"/>
          <w:lang w:val="en-US" w:eastAsia="zh-CN"/>
        </w:rPr>
        <w:t>11.5-1</w:t>
      </w:r>
      <w:r>
        <w:rPr>
          <w:rFonts w:hint="default"/>
          <w:b/>
          <w:color w:val="auto"/>
          <w:sz w:val="24"/>
          <w:szCs w:val="24"/>
          <w:lang w:val="en-US" w:eastAsia="zh-CN"/>
        </w:rPr>
        <w:t xml:space="preserve">     辽宁省地方污染防治方案相符性分析</w:t>
      </w:r>
    </w:p>
    <w:tbl>
      <w:tblPr>
        <w:tblStyle w:val="75"/>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3556"/>
        <w:gridCol w:w="3067"/>
        <w:gridCol w:w="873"/>
      </w:tblGrid>
      <w:tr w14:paraId="324C0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24" w:type="dxa"/>
            <w:tcBorders>
              <w:tl2br w:val="nil"/>
              <w:tr2bl w:val="nil"/>
            </w:tcBorders>
            <w:vAlign w:val="center"/>
          </w:tcPr>
          <w:p w14:paraId="1E8FB19F">
            <w:pPr>
              <w:spacing w:line="360" w:lineRule="auto"/>
              <w:jc w:val="center"/>
              <w:rPr>
                <w:color w:val="auto"/>
                <w:sz w:val="21"/>
                <w:szCs w:val="21"/>
              </w:rPr>
            </w:pPr>
            <w:r>
              <w:rPr>
                <w:color w:val="auto"/>
                <w:sz w:val="21"/>
                <w:szCs w:val="21"/>
              </w:rPr>
              <w:t>相关规划</w:t>
            </w:r>
          </w:p>
        </w:tc>
        <w:tc>
          <w:tcPr>
            <w:tcW w:w="3556" w:type="dxa"/>
            <w:tcBorders>
              <w:tl2br w:val="nil"/>
              <w:tr2bl w:val="nil"/>
            </w:tcBorders>
            <w:vAlign w:val="center"/>
          </w:tcPr>
          <w:p w14:paraId="407CBB36">
            <w:pPr>
              <w:spacing w:line="360" w:lineRule="auto"/>
              <w:jc w:val="center"/>
              <w:rPr>
                <w:color w:val="auto"/>
                <w:sz w:val="21"/>
                <w:szCs w:val="21"/>
              </w:rPr>
            </w:pPr>
            <w:r>
              <w:rPr>
                <w:color w:val="auto"/>
                <w:sz w:val="21"/>
                <w:szCs w:val="21"/>
              </w:rPr>
              <w:t>规划内容</w:t>
            </w:r>
          </w:p>
        </w:tc>
        <w:tc>
          <w:tcPr>
            <w:tcW w:w="3067" w:type="dxa"/>
            <w:tcBorders>
              <w:tl2br w:val="nil"/>
              <w:tr2bl w:val="nil"/>
            </w:tcBorders>
            <w:vAlign w:val="center"/>
          </w:tcPr>
          <w:p w14:paraId="6752B599">
            <w:pPr>
              <w:spacing w:line="360" w:lineRule="auto"/>
              <w:jc w:val="center"/>
              <w:rPr>
                <w:color w:val="auto"/>
                <w:sz w:val="21"/>
                <w:szCs w:val="21"/>
              </w:rPr>
            </w:pPr>
            <w:r>
              <w:rPr>
                <w:color w:val="auto"/>
                <w:sz w:val="21"/>
                <w:szCs w:val="21"/>
              </w:rPr>
              <w:t>本项目</w:t>
            </w:r>
          </w:p>
        </w:tc>
        <w:tc>
          <w:tcPr>
            <w:tcW w:w="873" w:type="dxa"/>
            <w:tcBorders>
              <w:tl2br w:val="nil"/>
              <w:tr2bl w:val="nil"/>
            </w:tcBorders>
            <w:vAlign w:val="center"/>
          </w:tcPr>
          <w:p w14:paraId="1642F768">
            <w:pPr>
              <w:spacing w:line="360" w:lineRule="auto"/>
              <w:jc w:val="center"/>
              <w:rPr>
                <w:color w:val="auto"/>
                <w:sz w:val="21"/>
                <w:szCs w:val="21"/>
              </w:rPr>
            </w:pPr>
            <w:r>
              <w:rPr>
                <w:color w:val="auto"/>
                <w:sz w:val="21"/>
                <w:szCs w:val="21"/>
              </w:rPr>
              <w:t>符合性</w:t>
            </w:r>
          </w:p>
        </w:tc>
      </w:tr>
      <w:tr w14:paraId="656E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224" w:type="dxa"/>
            <w:vMerge w:val="restart"/>
            <w:tcBorders>
              <w:tl2br w:val="nil"/>
              <w:tr2bl w:val="nil"/>
            </w:tcBorders>
            <w:vAlign w:val="center"/>
          </w:tcPr>
          <w:p w14:paraId="33806FA1">
            <w:pPr>
              <w:spacing w:line="360" w:lineRule="auto"/>
              <w:jc w:val="center"/>
              <w:rPr>
                <w:color w:val="auto"/>
                <w:sz w:val="21"/>
                <w:szCs w:val="21"/>
              </w:rPr>
            </w:pPr>
            <w:r>
              <w:rPr>
                <w:color w:val="auto"/>
                <w:sz w:val="21"/>
                <w:szCs w:val="21"/>
              </w:rPr>
              <w:t>辽宁省大气污染防治行动计划实施方案</w:t>
            </w:r>
          </w:p>
        </w:tc>
        <w:tc>
          <w:tcPr>
            <w:tcW w:w="3556" w:type="dxa"/>
            <w:tcBorders>
              <w:tl2br w:val="nil"/>
              <w:tr2bl w:val="nil"/>
            </w:tcBorders>
            <w:vAlign w:val="center"/>
          </w:tcPr>
          <w:p w14:paraId="213483BC">
            <w:pPr>
              <w:spacing w:line="360" w:lineRule="auto"/>
              <w:jc w:val="center"/>
              <w:rPr>
                <w:color w:val="auto"/>
                <w:sz w:val="21"/>
                <w:szCs w:val="21"/>
              </w:rPr>
            </w:pPr>
            <w:r>
              <w:rPr>
                <w:color w:val="auto"/>
                <w:sz w:val="21"/>
                <w:szCs w:val="21"/>
              </w:rPr>
              <w:t>提高能源使用效率。严控“两高行业”新增产能。加快淘汰落后产能。</w:t>
            </w:r>
          </w:p>
        </w:tc>
        <w:tc>
          <w:tcPr>
            <w:tcW w:w="3067" w:type="dxa"/>
            <w:tcBorders>
              <w:tl2br w:val="nil"/>
              <w:tr2bl w:val="nil"/>
            </w:tcBorders>
            <w:vAlign w:val="center"/>
          </w:tcPr>
          <w:p w14:paraId="616DF664">
            <w:pPr>
              <w:spacing w:line="360" w:lineRule="auto"/>
              <w:jc w:val="center"/>
              <w:rPr>
                <w:color w:val="auto"/>
                <w:sz w:val="21"/>
                <w:szCs w:val="21"/>
              </w:rPr>
            </w:pPr>
            <w:r>
              <w:rPr>
                <w:color w:val="auto"/>
                <w:sz w:val="21"/>
                <w:szCs w:val="21"/>
              </w:rPr>
              <w:t>项目不属于高耗能、高污染行业，不属于淘汰落后产能，项目能耗可达到国内先进水平。</w:t>
            </w:r>
          </w:p>
        </w:tc>
        <w:tc>
          <w:tcPr>
            <w:tcW w:w="873" w:type="dxa"/>
            <w:tcBorders>
              <w:tl2br w:val="nil"/>
              <w:tr2bl w:val="nil"/>
            </w:tcBorders>
            <w:vAlign w:val="center"/>
          </w:tcPr>
          <w:p w14:paraId="13058EA8">
            <w:pPr>
              <w:spacing w:line="360" w:lineRule="auto"/>
              <w:jc w:val="center"/>
              <w:rPr>
                <w:color w:val="auto"/>
                <w:sz w:val="21"/>
                <w:szCs w:val="21"/>
              </w:rPr>
            </w:pPr>
            <w:r>
              <w:rPr>
                <w:color w:val="auto"/>
                <w:sz w:val="21"/>
                <w:szCs w:val="21"/>
              </w:rPr>
              <w:t>符合</w:t>
            </w:r>
          </w:p>
        </w:tc>
      </w:tr>
      <w:tr w14:paraId="6EF4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224" w:type="dxa"/>
            <w:vMerge w:val="continue"/>
            <w:tcBorders>
              <w:tl2br w:val="nil"/>
              <w:tr2bl w:val="nil"/>
            </w:tcBorders>
            <w:vAlign w:val="center"/>
          </w:tcPr>
          <w:p w14:paraId="7539973B">
            <w:pPr>
              <w:spacing w:line="360" w:lineRule="auto"/>
              <w:rPr>
                <w:color w:val="auto"/>
                <w:sz w:val="21"/>
                <w:szCs w:val="21"/>
              </w:rPr>
            </w:pPr>
          </w:p>
        </w:tc>
        <w:tc>
          <w:tcPr>
            <w:tcW w:w="3556" w:type="dxa"/>
            <w:tcBorders>
              <w:tl2br w:val="nil"/>
              <w:tr2bl w:val="nil"/>
            </w:tcBorders>
            <w:vAlign w:val="center"/>
          </w:tcPr>
          <w:p w14:paraId="12CD3DC8">
            <w:pPr>
              <w:spacing w:line="360" w:lineRule="auto"/>
              <w:jc w:val="center"/>
              <w:rPr>
                <w:color w:val="auto"/>
                <w:sz w:val="21"/>
                <w:szCs w:val="21"/>
              </w:rPr>
            </w:pPr>
            <w:r>
              <w:rPr>
                <w:color w:val="auto"/>
                <w:sz w:val="21"/>
                <w:szCs w:val="21"/>
              </w:rPr>
              <w:t>全面拆除燃煤小锅炉。在供热供气管网不能覆盖的地区，改用电、清洁能源或洁净煤。</w:t>
            </w:r>
          </w:p>
        </w:tc>
        <w:tc>
          <w:tcPr>
            <w:tcW w:w="3067" w:type="dxa"/>
            <w:tcBorders>
              <w:tl2br w:val="nil"/>
              <w:tr2bl w:val="nil"/>
            </w:tcBorders>
            <w:vAlign w:val="center"/>
          </w:tcPr>
          <w:p w14:paraId="7558CAAD">
            <w:pPr>
              <w:spacing w:line="360" w:lineRule="auto"/>
              <w:jc w:val="center"/>
              <w:rPr>
                <w:color w:val="auto"/>
                <w:sz w:val="21"/>
                <w:szCs w:val="21"/>
              </w:rPr>
            </w:pPr>
            <w:r>
              <w:rPr>
                <w:color w:val="auto"/>
                <w:sz w:val="21"/>
                <w:szCs w:val="21"/>
              </w:rPr>
              <w:t>本项目选厂冬季供暖</w:t>
            </w:r>
            <w:r>
              <w:rPr>
                <w:color w:val="auto"/>
                <w:sz w:val="21"/>
                <w:szCs w:val="21"/>
                <w:highlight w:val="none"/>
              </w:rPr>
              <w:t>采用电取暖。</w:t>
            </w:r>
          </w:p>
        </w:tc>
        <w:tc>
          <w:tcPr>
            <w:tcW w:w="873" w:type="dxa"/>
            <w:tcBorders>
              <w:tl2br w:val="nil"/>
              <w:tr2bl w:val="nil"/>
            </w:tcBorders>
            <w:vAlign w:val="center"/>
          </w:tcPr>
          <w:p w14:paraId="33AC4024">
            <w:pPr>
              <w:spacing w:line="360" w:lineRule="auto"/>
              <w:jc w:val="center"/>
              <w:rPr>
                <w:color w:val="auto"/>
                <w:sz w:val="21"/>
                <w:szCs w:val="21"/>
              </w:rPr>
            </w:pPr>
            <w:r>
              <w:rPr>
                <w:color w:val="auto"/>
                <w:sz w:val="21"/>
                <w:szCs w:val="21"/>
              </w:rPr>
              <w:t>符合</w:t>
            </w:r>
          </w:p>
        </w:tc>
      </w:tr>
      <w:tr w14:paraId="17CC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1224" w:type="dxa"/>
            <w:vMerge w:val="continue"/>
            <w:tcBorders>
              <w:tl2br w:val="nil"/>
              <w:tr2bl w:val="nil"/>
            </w:tcBorders>
            <w:vAlign w:val="center"/>
          </w:tcPr>
          <w:p w14:paraId="7F43454F">
            <w:pPr>
              <w:spacing w:line="360" w:lineRule="auto"/>
              <w:rPr>
                <w:color w:val="auto"/>
                <w:sz w:val="21"/>
                <w:szCs w:val="21"/>
              </w:rPr>
            </w:pPr>
          </w:p>
        </w:tc>
        <w:tc>
          <w:tcPr>
            <w:tcW w:w="3556" w:type="dxa"/>
            <w:tcBorders>
              <w:tl2br w:val="nil"/>
              <w:tr2bl w:val="nil"/>
            </w:tcBorders>
            <w:vAlign w:val="center"/>
          </w:tcPr>
          <w:p w14:paraId="4110285E">
            <w:pPr>
              <w:spacing w:line="360" w:lineRule="auto"/>
              <w:jc w:val="center"/>
              <w:rPr>
                <w:color w:val="auto"/>
                <w:sz w:val="21"/>
                <w:szCs w:val="21"/>
              </w:rPr>
            </w:pPr>
            <w:r>
              <w:rPr>
                <w:color w:val="auto"/>
                <w:sz w:val="21"/>
                <w:szCs w:val="21"/>
              </w:rPr>
              <w:t>严格环境准入。严格落实国家建设项目污染物排放总量控制政策，将烟粉尘和挥发性有机污染物纳入总量控制管理。</w:t>
            </w:r>
          </w:p>
        </w:tc>
        <w:tc>
          <w:tcPr>
            <w:tcW w:w="3067" w:type="dxa"/>
            <w:tcBorders>
              <w:tl2br w:val="nil"/>
              <w:tr2bl w:val="nil"/>
            </w:tcBorders>
            <w:vAlign w:val="center"/>
          </w:tcPr>
          <w:p w14:paraId="0A5C1C91">
            <w:pPr>
              <w:spacing w:line="360" w:lineRule="auto"/>
              <w:jc w:val="center"/>
              <w:rPr>
                <w:rFonts w:hint="eastAsia" w:eastAsia="宋体"/>
                <w:color w:val="auto"/>
                <w:sz w:val="21"/>
                <w:szCs w:val="21"/>
                <w:lang w:eastAsia="zh-CN"/>
              </w:rPr>
            </w:pPr>
            <w:r>
              <w:rPr>
                <w:color w:val="auto"/>
                <w:sz w:val="21"/>
                <w:szCs w:val="21"/>
              </w:rPr>
              <w:t>本项目</w:t>
            </w:r>
            <w:r>
              <w:rPr>
                <w:rFonts w:hint="eastAsia"/>
                <w:color w:val="auto"/>
                <w:sz w:val="21"/>
                <w:szCs w:val="21"/>
                <w:lang w:eastAsia="zh-CN"/>
              </w:rPr>
              <w:t>运行过程中产生的颗粒物，采用布袋除尘器处理后通过排气筒排放，符合污染物排放标准要求。</w:t>
            </w:r>
          </w:p>
        </w:tc>
        <w:tc>
          <w:tcPr>
            <w:tcW w:w="873" w:type="dxa"/>
            <w:tcBorders>
              <w:tl2br w:val="nil"/>
              <w:tr2bl w:val="nil"/>
            </w:tcBorders>
            <w:vAlign w:val="center"/>
          </w:tcPr>
          <w:p w14:paraId="26C629DB">
            <w:pPr>
              <w:spacing w:line="360" w:lineRule="auto"/>
              <w:jc w:val="center"/>
              <w:rPr>
                <w:color w:val="auto"/>
                <w:sz w:val="21"/>
                <w:szCs w:val="21"/>
              </w:rPr>
            </w:pPr>
            <w:r>
              <w:rPr>
                <w:color w:val="auto"/>
                <w:sz w:val="21"/>
                <w:szCs w:val="21"/>
              </w:rPr>
              <w:t>符合</w:t>
            </w:r>
          </w:p>
        </w:tc>
      </w:tr>
      <w:tr w14:paraId="10C61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1224" w:type="dxa"/>
            <w:vMerge w:val="continue"/>
            <w:tcBorders>
              <w:tl2br w:val="nil"/>
              <w:tr2bl w:val="nil"/>
            </w:tcBorders>
            <w:vAlign w:val="center"/>
          </w:tcPr>
          <w:p w14:paraId="70421842">
            <w:pPr>
              <w:spacing w:line="360" w:lineRule="auto"/>
              <w:rPr>
                <w:color w:val="auto"/>
                <w:sz w:val="21"/>
                <w:szCs w:val="21"/>
              </w:rPr>
            </w:pPr>
          </w:p>
        </w:tc>
        <w:tc>
          <w:tcPr>
            <w:tcW w:w="3556" w:type="dxa"/>
            <w:tcBorders>
              <w:tl2br w:val="nil"/>
              <w:tr2bl w:val="nil"/>
            </w:tcBorders>
            <w:vAlign w:val="center"/>
          </w:tcPr>
          <w:p w14:paraId="7340AB8B">
            <w:pPr>
              <w:spacing w:line="360" w:lineRule="auto"/>
              <w:jc w:val="center"/>
              <w:rPr>
                <w:color w:val="auto"/>
                <w:sz w:val="21"/>
                <w:szCs w:val="21"/>
              </w:rPr>
            </w:pPr>
            <w:r>
              <w:rPr>
                <w:color w:val="auto"/>
                <w:sz w:val="21"/>
                <w:szCs w:val="21"/>
              </w:rPr>
              <w:t>严控工业堆场扬尘。</w:t>
            </w:r>
          </w:p>
        </w:tc>
        <w:tc>
          <w:tcPr>
            <w:tcW w:w="3067" w:type="dxa"/>
            <w:tcBorders>
              <w:tl2br w:val="nil"/>
              <w:tr2bl w:val="nil"/>
            </w:tcBorders>
            <w:vAlign w:val="center"/>
          </w:tcPr>
          <w:p w14:paraId="5193049A">
            <w:pPr>
              <w:spacing w:line="360" w:lineRule="auto"/>
              <w:jc w:val="center"/>
              <w:rPr>
                <w:rFonts w:hint="eastAsia" w:eastAsia="宋体"/>
                <w:color w:val="auto"/>
                <w:sz w:val="21"/>
                <w:szCs w:val="21"/>
                <w:lang w:eastAsia="zh-CN"/>
              </w:rPr>
            </w:pPr>
            <w:r>
              <w:rPr>
                <w:rFonts w:hint="eastAsia"/>
                <w:color w:val="auto"/>
                <w:sz w:val="21"/>
                <w:szCs w:val="21"/>
                <w:lang w:eastAsia="zh-CN"/>
              </w:rPr>
              <w:t>原料堆场扬尘</w:t>
            </w:r>
            <w:r>
              <w:rPr>
                <w:color w:val="auto"/>
                <w:sz w:val="21"/>
                <w:szCs w:val="21"/>
              </w:rPr>
              <w:t>采取洒水抑尘措施抑制无组织粉尘排放。</w:t>
            </w:r>
            <w:r>
              <w:rPr>
                <w:rFonts w:hint="eastAsia"/>
                <w:color w:val="auto"/>
                <w:sz w:val="21"/>
                <w:szCs w:val="21"/>
                <w:lang w:eastAsia="zh-CN"/>
              </w:rPr>
              <w:t>尾矿及产品堆场采取半封闭措施。</w:t>
            </w:r>
          </w:p>
        </w:tc>
        <w:tc>
          <w:tcPr>
            <w:tcW w:w="873" w:type="dxa"/>
            <w:tcBorders>
              <w:tl2br w:val="nil"/>
              <w:tr2bl w:val="nil"/>
            </w:tcBorders>
            <w:vAlign w:val="center"/>
          </w:tcPr>
          <w:p w14:paraId="24A15E9A">
            <w:pPr>
              <w:spacing w:line="360" w:lineRule="auto"/>
              <w:jc w:val="center"/>
              <w:rPr>
                <w:color w:val="auto"/>
                <w:sz w:val="21"/>
                <w:szCs w:val="21"/>
              </w:rPr>
            </w:pPr>
            <w:r>
              <w:rPr>
                <w:color w:val="auto"/>
                <w:sz w:val="21"/>
                <w:szCs w:val="21"/>
              </w:rPr>
              <w:t>符合</w:t>
            </w:r>
          </w:p>
        </w:tc>
      </w:tr>
      <w:tr w14:paraId="1508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224" w:type="dxa"/>
            <w:vMerge w:val="restart"/>
            <w:tcBorders>
              <w:tl2br w:val="nil"/>
              <w:tr2bl w:val="nil"/>
            </w:tcBorders>
            <w:vAlign w:val="center"/>
          </w:tcPr>
          <w:p w14:paraId="6253E34C">
            <w:pPr>
              <w:spacing w:line="360" w:lineRule="auto"/>
              <w:jc w:val="center"/>
              <w:rPr>
                <w:color w:val="auto"/>
                <w:sz w:val="21"/>
                <w:szCs w:val="21"/>
              </w:rPr>
            </w:pPr>
            <w:r>
              <w:rPr>
                <w:color w:val="auto"/>
                <w:sz w:val="21"/>
                <w:szCs w:val="21"/>
              </w:rPr>
              <w:t>辽宁省水污染防治工作方案</w:t>
            </w:r>
          </w:p>
        </w:tc>
        <w:tc>
          <w:tcPr>
            <w:tcW w:w="3556" w:type="dxa"/>
            <w:tcBorders>
              <w:tl2br w:val="nil"/>
              <w:tr2bl w:val="nil"/>
            </w:tcBorders>
            <w:vAlign w:val="center"/>
          </w:tcPr>
          <w:p w14:paraId="0D60E3D0">
            <w:pPr>
              <w:spacing w:line="360" w:lineRule="auto"/>
              <w:jc w:val="center"/>
              <w:rPr>
                <w:color w:val="auto"/>
                <w:sz w:val="21"/>
                <w:szCs w:val="21"/>
              </w:rPr>
            </w:pPr>
            <w:r>
              <w:rPr>
                <w:color w:val="auto"/>
                <w:sz w:val="21"/>
                <w:szCs w:val="21"/>
              </w:rPr>
              <w:t>依法淘汰落后产能。推进循环发展。加强清洁生产审核。</w:t>
            </w:r>
          </w:p>
        </w:tc>
        <w:tc>
          <w:tcPr>
            <w:tcW w:w="3067" w:type="dxa"/>
            <w:tcBorders>
              <w:tl2br w:val="nil"/>
              <w:tr2bl w:val="nil"/>
            </w:tcBorders>
            <w:vAlign w:val="center"/>
          </w:tcPr>
          <w:p w14:paraId="7F052224">
            <w:pPr>
              <w:spacing w:line="360" w:lineRule="auto"/>
              <w:jc w:val="center"/>
              <w:rPr>
                <w:color w:val="auto"/>
                <w:sz w:val="21"/>
                <w:szCs w:val="21"/>
              </w:rPr>
            </w:pPr>
            <w:r>
              <w:rPr>
                <w:color w:val="auto"/>
                <w:sz w:val="21"/>
                <w:szCs w:val="21"/>
              </w:rPr>
              <w:t>项目不属于高耗能、高污染行业，不属于淘汰落后产能。</w:t>
            </w:r>
          </w:p>
        </w:tc>
        <w:tc>
          <w:tcPr>
            <w:tcW w:w="873" w:type="dxa"/>
            <w:tcBorders>
              <w:tl2br w:val="nil"/>
              <w:tr2bl w:val="nil"/>
            </w:tcBorders>
            <w:vAlign w:val="center"/>
          </w:tcPr>
          <w:p w14:paraId="6A96075C">
            <w:pPr>
              <w:spacing w:line="360" w:lineRule="auto"/>
              <w:jc w:val="center"/>
              <w:rPr>
                <w:color w:val="auto"/>
                <w:sz w:val="21"/>
                <w:szCs w:val="21"/>
              </w:rPr>
            </w:pPr>
            <w:r>
              <w:rPr>
                <w:color w:val="auto"/>
                <w:sz w:val="21"/>
                <w:szCs w:val="21"/>
              </w:rPr>
              <w:t>符合</w:t>
            </w:r>
          </w:p>
        </w:tc>
      </w:tr>
      <w:tr w14:paraId="60C4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224" w:type="dxa"/>
            <w:vMerge w:val="continue"/>
            <w:tcBorders>
              <w:tl2br w:val="nil"/>
              <w:tr2bl w:val="nil"/>
            </w:tcBorders>
            <w:vAlign w:val="center"/>
          </w:tcPr>
          <w:p w14:paraId="78ABF7F4">
            <w:pPr>
              <w:spacing w:line="360" w:lineRule="auto"/>
              <w:rPr>
                <w:color w:val="auto"/>
                <w:sz w:val="21"/>
                <w:szCs w:val="21"/>
              </w:rPr>
            </w:pPr>
          </w:p>
        </w:tc>
        <w:tc>
          <w:tcPr>
            <w:tcW w:w="3556" w:type="dxa"/>
            <w:tcBorders>
              <w:tl2br w:val="nil"/>
              <w:tr2bl w:val="nil"/>
            </w:tcBorders>
            <w:vAlign w:val="center"/>
          </w:tcPr>
          <w:p w14:paraId="6D2A521A">
            <w:pPr>
              <w:spacing w:line="360" w:lineRule="auto"/>
              <w:jc w:val="center"/>
              <w:rPr>
                <w:color w:val="auto"/>
                <w:sz w:val="21"/>
                <w:szCs w:val="21"/>
              </w:rPr>
            </w:pPr>
            <w:r>
              <w:rPr>
                <w:color w:val="auto"/>
                <w:sz w:val="21"/>
                <w:szCs w:val="21"/>
              </w:rPr>
              <w:t>加强工业水循环利用。</w:t>
            </w:r>
          </w:p>
        </w:tc>
        <w:tc>
          <w:tcPr>
            <w:tcW w:w="3067" w:type="dxa"/>
            <w:tcBorders>
              <w:tl2br w:val="nil"/>
              <w:tr2bl w:val="nil"/>
            </w:tcBorders>
            <w:vAlign w:val="center"/>
          </w:tcPr>
          <w:p w14:paraId="237451FC">
            <w:pPr>
              <w:spacing w:line="360" w:lineRule="auto"/>
              <w:jc w:val="center"/>
              <w:rPr>
                <w:color w:val="auto"/>
                <w:sz w:val="21"/>
                <w:szCs w:val="21"/>
              </w:rPr>
            </w:pPr>
            <w:r>
              <w:rPr>
                <w:color w:val="auto"/>
                <w:sz w:val="21"/>
                <w:szCs w:val="21"/>
              </w:rPr>
              <w:t>生产废水全部回用，不外排。</w:t>
            </w:r>
          </w:p>
        </w:tc>
        <w:tc>
          <w:tcPr>
            <w:tcW w:w="873" w:type="dxa"/>
            <w:tcBorders>
              <w:tl2br w:val="nil"/>
              <w:tr2bl w:val="nil"/>
            </w:tcBorders>
            <w:vAlign w:val="center"/>
          </w:tcPr>
          <w:p w14:paraId="052674B7">
            <w:pPr>
              <w:spacing w:line="360" w:lineRule="auto"/>
              <w:jc w:val="center"/>
              <w:rPr>
                <w:color w:val="auto"/>
                <w:sz w:val="21"/>
                <w:szCs w:val="21"/>
              </w:rPr>
            </w:pPr>
            <w:r>
              <w:rPr>
                <w:color w:val="auto"/>
                <w:sz w:val="21"/>
                <w:szCs w:val="21"/>
              </w:rPr>
              <w:t>符合</w:t>
            </w:r>
          </w:p>
        </w:tc>
      </w:tr>
      <w:tr w14:paraId="1D0AE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jc w:val="center"/>
        </w:trPr>
        <w:tc>
          <w:tcPr>
            <w:tcW w:w="1224" w:type="dxa"/>
            <w:vMerge w:val="continue"/>
            <w:tcBorders>
              <w:tl2br w:val="nil"/>
              <w:tr2bl w:val="nil"/>
            </w:tcBorders>
            <w:vAlign w:val="center"/>
          </w:tcPr>
          <w:p w14:paraId="62CD8C1D">
            <w:pPr>
              <w:spacing w:line="360" w:lineRule="auto"/>
              <w:rPr>
                <w:color w:val="auto"/>
                <w:sz w:val="21"/>
                <w:szCs w:val="21"/>
              </w:rPr>
            </w:pPr>
          </w:p>
        </w:tc>
        <w:tc>
          <w:tcPr>
            <w:tcW w:w="3556" w:type="dxa"/>
            <w:tcBorders>
              <w:tl2br w:val="nil"/>
              <w:tr2bl w:val="nil"/>
            </w:tcBorders>
            <w:vAlign w:val="center"/>
          </w:tcPr>
          <w:p w14:paraId="7866FF9F">
            <w:pPr>
              <w:spacing w:line="360" w:lineRule="auto"/>
              <w:jc w:val="center"/>
              <w:rPr>
                <w:color w:val="auto"/>
                <w:sz w:val="21"/>
                <w:szCs w:val="21"/>
              </w:rPr>
            </w:pPr>
            <w:r>
              <w:rPr>
                <w:color w:val="auto"/>
                <w:sz w:val="21"/>
                <w:szCs w:val="21"/>
              </w:rPr>
              <w:t>严控地下水超采。</w:t>
            </w:r>
          </w:p>
        </w:tc>
        <w:tc>
          <w:tcPr>
            <w:tcW w:w="3067" w:type="dxa"/>
            <w:tcBorders>
              <w:tl2br w:val="nil"/>
              <w:tr2bl w:val="nil"/>
            </w:tcBorders>
            <w:vAlign w:val="center"/>
          </w:tcPr>
          <w:p w14:paraId="30F67BEC">
            <w:pPr>
              <w:spacing w:line="360" w:lineRule="auto"/>
              <w:jc w:val="center"/>
              <w:rPr>
                <w:rFonts w:hint="eastAsia" w:eastAsia="宋体"/>
                <w:color w:val="auto"/>
                <w:sz w:val="21"/>
                <w:szCs w:val="21"/>
                <w:lang w:eastAsia="zh-CN"/>
              </w:rPr>
            </w:pPr>
            <w:r>
              <w:rPr>
                <w:color w:val="auto"/>
                <w:sz w:val="21"/>
                <w:szCs w:val="21"/>
              </w:rPr>
              <w:t>项目选矿生产用水优先使用尾矿回水，尾矿回水不足时新增</w:t>
            </w:r>
            <w:r>
              <w:rPr>
                <w:rFonts w:hint="eastAsia"/>
                <w:color w:val="auto"/>
                <w:sz w:val="21"/>
                <w:szCs w:val="21"/>
              </w:rPr>
              <w:t>少量</w:t>
            </w:r>
            <w:r>
              <w:rPr>
                <w:color w:val="auto"/>
                <w:sz w:val="21"/>
                <w:szCs w:val="21"/>
              </w:rPr>
              <w:t>新水</w:t>
            </w:r>
            <w:r>
              <w:rPr>
                <w:rFonts w:hint="eastAsia"/>
                <w:color w:val="auto"/>
                <w:sz w:val="21"/>
                <w:szCs w:val="21"/>
                <w:lang w:eastAsia="zh-CN"/>
              </w:rPr>
              <w:t>。</w:t>
            </w:r>
          </w:p>
        </w:tc>
        <w:tc>
          <w:tcPr>
            <w:tcW w:w="873" w:type="dxa"/>
            <w:tcBorders>
              <w:tl2br w:val="nil"/>
              <w:tr2bl w:val="nil"/>
            </w:tcBorders>
            <w:vAlign w:val="center"/>
          </w:tcPr>
          <w:p w14:paraId="256BFC49">
            <w:pPr>
              <w:spacing w:line="360" w:lineRule="auto"/>
              <w:jc w:val="center"/>
              <w:rPr>
                <w:color w:val="auto"/>
                <w:sz w:val="21"/>
                <w:szCs w:val="21"/>
              </w:rPr>
            </w:pPr>
            <w:r>
              <w:rPr>
                <w:color w:val="auto"/>
                <w:sz w:val="21"/>
                <w:szCs w:val="21"/>
              </w:rPr>
              <w:t>符合</w:t>
            </w:r>
          </w:p>
        </w:tc>
      </w:tr>
      <w:tr w14:paraId="31A2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1224" w:type="dxa"/>
            <w:vMerge w:val="continue"/>
            <w:tcBorders>
              <w:tl2br w:val="nil"/>
              <w:tr2bl w:val="nil"/>
            </w:tcBorders>
            <w:vAlign w:val="center"/>
          </w:tcPr>
          <w:p w14:paraId="43775319">
            <w:pPr>
              <w:spacing w:line="360" w:lineRule="auto"/>
              <w:rPr>
                <w:color w:val="auto"/>
                <w:sz w:val="21"/>
                <w:szCs w:val="21"/>
              </w:rPr>
            </w:pPr>
          </w:p>
        </w:tc>
        <w:tc>
          <w:tcPr>
            <w:tcW w:w="3556" w:type="dxa"/>
            <w:tcBorders>
              <w:tl2br w:val="nil"/>
              <w:tr2bl w:val="nil"/>
            </w:tcBorders>
            <w:vAlign w:val="center"/>
          </w:tcPr>
          <w:p w14:paraId="08A550C4">
            <w:pPr>
              <w:spacing w:line="360" w:lineRule="auto"/>
              <w:jc w:val="center"/>
              <w:rPr>
                <w:color w:val="auto"/>
                <w:sz w:val="21"/>
                <w:szCs w:val="21"/>
              </w:rPr>
            </w:pPr>
            <w:r>
              <w:rPr>
                <w:color w:val="auto"/>
                <w:sz w:val="21"/>
                <w:szCs w:val="21"/>
              </w:rPr>
              <w:t>落实排污单位主体责任。各类排污单位要严格执行环保法律法规等要求，加大资金投入，加强节水治污设施运行管理，确保稳定达标排放。</w:t>
            </w:r>
          </w:p>
        </w:tc>
        <w:tc>
          <w:tcPr>
            <w:tcW w:w="3067" w:type="dxa"/>
            <w:tcBorders>
              <w:tl2br w:val="nil"/>
              <w:tr2bl w:val="nil"/>
            </w:tcBorders>
            <w:vAlign w:val="center"/>
          </w:tcPr>
          <w:p w14:paraId="3B45C547">
            <w:pPr>
              <w:spacing w:line="360" w:lineRule="auto"/>
              <w:jc w:val="center"/>
              <w:rPr>
                <w:color w:val="auto"/>
                <w:sz w:val="21"/>
                <w:szCs w:val="21"/>
              </w:rPr>
            </w:pPr>
            <w:r>
              <w:rPr>
                <w:color w:val="auto"/>
                <w:sz w:val="21"/>
                <w:szCs w:val="21"/>
              </w:rPr>
              <w:t>建设单位加强污染污染治理设施的建设和运行管理，落实排污单位的主体责任。</w:t>
            </w:r>
          </w:p>
        </w:tc>
        <w:tc>
          <w:tcPr>
            <w:tcW w:w="873" w:type="dxa"/>
            <w:tcBorders>
              <w:tl2br w:val="nil"/>
              <w:tr2bl w:val="nil"/>
            </w:tcBorders>
            <w:vAlign w:val="center"/>
          </w:tcPr>
          <w:p w14:paraId="72AE0984">
            <w:pPr>
              <w:spacing w:line="360" w:lineRule="auto"/>
              <w:jc w:val="center"/>
              <w:rPr>
                <w:color w:val="auto"/>
                <w:sz w:val="21"/>
                <w:szCs w:val="21"/>
              </w:rPr>
            </w:pPr>
            <w:r>
              <w:rPr>
                <w:color w:val="auto"/>
                <w:sz w:val="21"/>
                <w:szCs w:val="21"/>
              </w:rPr>
              <w:t>符合</w:t>
            </w:r>
          </w:p>
        </w:tc>
      </w:tr>
      <w:tr w14:paraId="7552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1224" w:type="dxa"/>
            <w:vMerge w:val="restart"/>
            <w:tcBorders>
              <w:tl2br w:val="nil"/>
              <w:tr2bl w:val="nil"/>
            </w:tcBorders>
            <w:vAlign w:val="center"/>
          </w:tcPr>
          <w:p w14:paraId="57E91AB3">
            <w:pPr>
              <w:spacing w:line="360" w:lineRule="auto"/>
              <w:jc w:val="center"/>
              <w:rPr>
                <w:color w:val="auto"/>
                <w:sz w:val="21"/>
                <w:szCs w:val="21"/>
              </w:rPr>
            </w:pPr>
            <w:r>
              <w:rPr>
                <w:rFonts w:hint="eastAsia"/>
                <w:color w:val="auto"/>
                <w:sz w:val="21"/>
                <w:szCs w:val="21"/>
              </w:rPr>
              <w:t>辽宁省土壤污染防治工作方案</w:t>
            </w:r>
          </w:p>
        </w:tc>
        <w:tc>
          <w:tcPr>
            <w:tcW w:w="3556" w:type="dxa"/>
            <w:tcBorders>
              <w:tl2br w:val="nil"/>
              <w:tr2bl w:val="nil"/>
            </w:tcBorders>
            <w:vAlign w:val="center"/>
          </w:tcPr>
          <w:p w14:paraId="4FF651AE">
            <w:pPr>
              <w:spacing w:line="360" w:lineRule="auto"/>
              <w:jc w:val="center"/>
              <w:rPr>
                <w:color w:val="auto"/>
                <w:sz w:val="21"/>
                <w:szCs w:val="21"/>
              </w:rPr>
            </w:pPr>
            <w:r>
              <w:rPr>
                <w:color w:val="auto"/>
                <w:sz w:val="21"/>
                <w:szCs w:val="21"/>
              </w:rPr>
              <w:t>严控工矿污染，加强日常环境监管。各地要根据工矿企业分布和污染排放情况，确定土壤环境重点监管企业名单，实行动态更新，并肩社会公布，列入名单的企业每年要自行对其用地进行土壤环境监测，结果向社会公开</w:t>
            </w:r>
            <w:r>
              <w:rPr>
                <w:rFonts w:hint="eastAsia"/>
                <w:color w:val="auto"/>
                <w:sz w:val="21"/>
                <w:szCs w:val="21"/>
              </w:rPr>
              <w:t>。</w:t>
            </w:r>
          </w:p>
        </w:tc>
        <w:tc>
          <w:tcPr>
            <w:tcW w:w="3067" w:type="dxa"/>
            <w:tcBorders>
              <w:tl2br w:val="nil"/>
              <w:tr2bl w:val="nil"/>
            </w:tcBorders>
            <w:vAlign w:val="center"/>
          </w:tcPr>
          <w:p w14:paraId="3F1CCBF9">
            <w:pPr>
              <w:spacing w:line="360" w:lineRule="auto"/>
              <w:jc w:val="center"/>
              <w:rPr>
                <w:rFonts w:hint="eastAsia" w:eastAsia="宋体"/>
                <w:color w:val="auto"/>
                <w:sz w:val="21"/>
                <w:szCs w:val="21"/>
                <w:lang w:eastAsia="zh-CN"/>
              </w:rPr>
            </w:pPr>
            <w:r>
              <w:rPr>
                <w:rFonts w:hint="eastAsia"/>
                <w:color w:val="auto"/>
                <w:sz w:val="21"/>
                <w:szCs w:val="21"/>
              </w:rPr>
              <w:t>本项目</w:t>
            </w:r>
            <w:r>
              <w:rPr>
                <w:rFonts w:hint="eastAsia"/>
                <w:color w:val="auto"/>
                <w:sz w:val="21"/>
                <w:szCs w:val="21"/>
                <w:lang w:eastAsia="zh-CN"/>
              </w:rPr>
              <w:t>不属于土壤环境重点监管企业，环评中提出</w:t>
            </w:r>
            <w:r>
              <w:rPr>
                <w:rFonts w:hint="eastAsia"/>
                <w:color w:val="auto"/>
                <w:sz w:val="21"/>
                <w:szCs w:val="21"/>
              </w:rPr>
              <w:t>土壤</w:t>
            </w:r>
            <w:r>
              <w:rPr>
                <w:color w:val="auto"/>
                <w:sz w:val="21"/>
                <w:szCs w:val="21"/>
              </w:rPr>
              <w:t>监测计划，</w:t>
            </w:r>
            <w:r>
              <w:rPr>
                <w:rFonts w:hint="eastAsia"/>
                <w:color w:val="auto"/>
                <w:sz w:val="21"/>
                <w:szCs w:val="21"/>
                <w:lang w:eastAsia="zh-CN"/>
              </w:rPr>
              <w:t>定期进行监测，并将结果向社会公开。</w:t>
            </w:r>
          </w:p>
        </w:tc>
        <w:tc>
          <w:tcPr>
            <w:tcW w:w="873" w:type="dxa"/>
            <w:tcBorders>
              <w:tl2br w:val="nil"/>
              <w:tr2bl w:val="nil"/>
            </w:tcBorders>
            <w:vAlign w:val="center"/>
          </w:tcPr>
          <w:p w14:paraId="69A354BC">
            <w:pPr>
              <w:spacing w:line="360" w:lineRule="auto"/>
              <w:jc w:val="center"/>
              <w:rPr>
                <w:color w:val="auto"/>
                <w:sz w:val="21"/>
                <w:szCs w:val="21"/>
              </w:rPr>
            </w:pPr>
            <w:r>
              <w:rPr>
                <w:color w:val="auto"/>
                <w:sz w:val="21"/>
                <w:szCs w:val="21"/>
              </w:rPr>
              <w:t>符合</w:t>
            </w:r>
          </w:p>
        </w:tc>
      </w:tr>
      <w:tr w14:paraId="0236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224" w:type="dxa"/>
            <w:vMerge w:val="continue"/>
            <w:tcBorders>
              <w:tl2br w:val="nil"/>
              <w:tr2bl w:val="nil"/>
            </w:tcBorders>
            <w:vAlign w:val="center"/>
          </w:tcPr>
          <w:p w14:paraId="66C7362A">
            <w:pPr>
              <w:spacing w:line="360" w:lineRule="auto"/>
              <w:rPr>
                <w:color w:val="auto"/>
                <w:sz w:val="21"/>
                <w:szCs w:val="21"/>
              </w:rPr>
            </w:pPr>
          </w:p>
        </w:tc>
        <w:tc>
          <w:tcPr>
            <w:tcW w:w="3556" w:type="dxa"/>
            <w:tcBorders>
              <w:tl2br w:val="nil"/>
              <w:tr2bl w:val="nil"/>
            </w:tcBorders>
            <w:vAlign w:val="center"/>
          </w:tcPr>
          <w:p w14:paraId="26423ED3">
            <w:pPr>
              <w:spacing w:line="360" w:lineRule="auto"/>
              <w:jc w:val="center"/>
              <w:rPr>
                <w:color w:val="auto"/>
                <w:sz w:val="21"/>
                <w:szCs w:val="21"/>
              </w:rPr>
            </w:pPr>
            <w:r>
              <w:rPr>
                <w:color w:val="auto"/>
                <w:sz w:val="21"/>
                <w:szCs w:val="21"/>
              </w:rPr>
              <w:t>加强工业废物处理处置，</w:t>
            </w:r>
            <w:r>
              <w:rPr>
                <w:rFonts w:hint="eastAsia"/>
                <w:color w:val="auto"/>
                <w:sz w:val="21"/>
                <w:szCs w:val="21"/>
              </w:rPr>
              <w:t>全面</w:t>
            </w:r>
            <w:r>
              <w:rPr>
                <w:color w:val="auto"/>
                <w:sz w:val="21"/>
                <w:szCs w:val="21"/>
              </w:rPr>
              <w:t>整治尾矿、煤矸石、工业副产石膏，粉煤灰，水泥，冶炼渣，电石渣，铬渣，砷渣以及脱硫、脱销、除尘产生固体废物的堆存场所，完善防扬散、防流失、防渗漏等设施，制定整治方案并有序实施，加强工业固体废物综合利用</w:t>
            </w:r>
            <w:r>
              <w:rPr>
                <w:rFonts w:hint="eastAsia"/>
                <w:color w:val="auto"/>
                <w:sz w:val="21"/>
                <w:szCs w:val="21"/>
              </w:rPr>
              <w:t>。</w:t>
            </w:r>
          </w:p>
        </w:tc>
        <w:tc>
          <w:tcPr>
            <w:tcW w:w="3067" w:type="dxa"/>
            <w:tcBorders>
              <w:tl2br w:val="nil"/>
              <w:tr2bl w:val="nil"/>
            </w:tcBorders>
            <w:vAlign w:val="center"/>
          </w:tcPr>
          <w:p w14:paraId="015BFF6A">
            <w:pPr>
              <w:spacing w:line="360" w:lineRule="auto"/>
              <w:jc w:val="center"/>
              <w:rPr>
                <w:color w:val="auto"/>
                <w:sz w:val="21"/>
                <w:szCs w:val="21"/>
              </w:rPr>
            </w:pPr>
            <w:r>
              <w:rPr>
                <w:rFonts w:hint="eastAsia"/>
                <w:color w:val="auto"/>
                <w:sz w:val="21"/>
                <w:szCs w:val="21"/>
              </w:rPr>
              <w:t>本项目</w:t>
            </w:r>
            <w:r>
              <w:rPr>
                <w:rFonts w:hint="eastAsia"/>
                <w:color w:val="auto"/>
                <w:sz w:val="21"/>
                <w:szCs w:val="21"/>
                <w:lang w:eastAsia="zh-CN"/>
              </w:rPr>
              <w:t>选矿</w:t>
            </w:r>
            <w:r>
              <w:rPr>
                <w:rFonts w:hint="eastAsia"/>
                <w:color w:val="auto"/>
                <w:sz w:val="21"/>
                <w:szCs w:val="21"/>
              </w:rPr>
              <w:t>尾矿进行干排处理</w:t>
            </w:r>
            <w:r>
              <w:rPr>
                <w:rFonts w:hint="eastAsia"/>
                <w:color w:val="auto"/>
                <w:sz w:val="21"/>
                <w:szCs w:val="21"/>
                <w:lang w:val="en-US" w:eastAsia="zh-CN"/>
              </w:rPr>
              <w:t>后外运综合利用</w:t>
            </w:r>
            <w:r>
              <w:rPr>
                <w:rFonts w:hint="eastAsia"/>
                <w:color w:val="auto"/>
                <w:sz w:val="21"/>
                <w:szCs w:val="21"/>
              </w:rPr>
              <w:t>。</w:t>
            </w:r>
          </w:p>
        </w:tc>
        <w:tc>
          <w:tcPr>
            <w:tcW w:w="873" w:type="dxa"/>
            <w:tcBorders>
              <w:tl2br w:val="nil"/>
              <w:tr2bl w:val="nil"/>
            </w:tcBorders>
            <w:vAlign w:val="center"/>
          </w:tcPr>
          <w:p w14:paraId="67460A67">
            <w:pPr>
              <w:spacing w:line="360" w:lineRule="auto"/>
              <w:jc w:val="center"/>
              <w:rPr>
                <w:color w:val="auto"/>
                <w:sz w:val="21"/>
                <w:szCs w:val="21"/>
              </w:rPr>
            </w:pPr>
            <w:r>
              <w:rPr>
                <w:color w:val="auto"/>
                <w:sz w:val="21"/>
                <w:szCs w:val="21"/>
              </w:rPr>
              <w:t>符合</w:t>
            </w:r>
          </w:p>
        </w:tc>
      </w:tr>
      <w:tr w14:paraId="74944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224" w:type="dxa"/>
            <w:tcBorders>
              <w:tl2br w:val="nil"/>
              <w:tr2bl w:val="nil"/>
            </w:tcBorders>
            <w:vAlign w:val="center"/>
          </w:tcPr>
          <w:p w14:paraId="7E6F3924">
            <w:pPr>
              <w:pStyle w:val="184"/>
              <w:spacing w:line="360" w:lineRule="auto"/>
              <w:rPr>
                <w:color w:val="auto"/>
                <w:sz w:val="21"/>
                <w:szCs w:val="21"/>
              </w:rPr>
            </w:pPr>
            <w:r>
              <w:rPr>
                <w:rFonts w:hint="eastAsia"/>
                <w:color w:val="auto"/>
                <w:sz w:val="21"/>
                <w:szCs w:val="21"/>
              </w:rPr>
              <w:t>关于深入贯彻</w:t>
            </w:r>
            <w:r>
              <w:rPr>
                <w:color w:val="auto"/>
                <w:sz w:val="21"/>
                <w:szCs w:val="21"/>
              </w:rPr>
              <w:t>落实</w:t>
            </w:r>
            <w:r>
              <w:rPr>
                <w:rFonts w:hint="eastAsia"/>
                <w:color w:val="auto"/>
                <w:sz w:val="21"/>
                <w:szCs w:val="21"/>
              </w:rPr>
              <w:t>新发展理念</w:t>
            </w:r>
            <w:r>
              <w:rPr>
                <w:color w:val="auto"/>
                <w:sz w:val="21"/>
                <w:szCs w:val="21"/>
              </w:rPr>
              <w:t>全面实施非煤矿山综合治理的意见</w:t>
            </w:r>
          </w:p>
        </w:tc>
        <w:tc>
          <w:tcPr>
            <w:tcW w:w="3556" w:type="dxa"/>
            <w:tcBorders>
              <w:tl2br w:val="nil"/>
              <w:tr2bl w:val="nil"/>
            </w:tcBorders>
            <w:vAlign w:val="center"/>
          </w:tcPr>
          <w:p w14:paraId="118E1D06">
            <w:pPr>
              <w:pStyle w:val="184"/>
              <w:spacing w:line="360" w:lineRule="auto"/>
              <w:rPr>
                <w:color w:val="auto"/>
                <w:sz w:val="21"/>
                <w:szCs w:val="21"/>
              </w:rPr>
            </w:pPr>
            <w:r>
              <w:rPr>
                <w:rFonts w:hint="eastAsia"/>
                <w:color w:val="auto"/>
                <w:sz w:val="21"/>
                <w:szCs w:val="21"/>
              </w:rPr>
              <w:t>到2022年，</w:t>
            </w:r>
            <w:r>
              <w:rPr>
                <w:color w:val="auto"/>
                <w:sz w:val="21"/>
                <w:szCs w:val="21"/>
              </w:rPr>
              <w:t>零排放技术成熟的选矿</w:t>
            </w:r>
            <w:r>
              <w:rPr>
                <w:rFonts w:hint="eastAsia"/>
                <w:color w:val="auto"/>
                <w:sz w:val="21"/>
                <w:szCs w:val="21"/>
              </w:rPr>
              <w:t>行业</w:t>
            </w:r>
            <w:r>
              <w:rPr>
                <w:color w:val="auto"/>
                <w:sz w:val="21"/>
                <w:szCs w:val="21"/>
              </w:rPr>
              <w:t>，应</w:t>
            </w:r>
            <w:r>
              <w:rPr>
                <w:rFonts w:hint="eastAsia"/>
                <w:color w:val="auto"/>
                <w:sz w:val="21"/>
                <w:szCs w:val="21"/>
              </w:rPr>
              <w:t>实现</w:t>
            </w:r>
            <w:r>
              <w:rPr>
                <w:color w:val="auto"/>
                <w:sz w:val="21"/>
                <w:szCs w:val="21"/>
              </w:rPr>
              <w:t>废水全</w:t>
            </w:r>
            <w:r>
              <w:rPr>
                <w:rFonts w:hint="eastAsia"/>
                <w:color w:val="auto"/>
                <w:sz w:val="21"/>
                <w:szCs w:val="21"/>
              </w:rPr>
              <w:t>部回用，</w:t>
            </w:r>
            <w:r>
              <w:rPr>
                <w:color w:val="auto"/>
                <w:sz w:val="21"/>
                <w:szCs w:val="21"/>
              </w:rPr>
              <w:t>……</w:t>
            </w:r>
          </w:p>
        </w:tc>
        <w:tc>
          <w:tcPr>
            <w:tcW w:w="3067" w:type="dxa"/>
            <w:tcBorders>
              <w:tl2br w:val="nil"/>
              <w:tr2bl w:val="nil"/>
            </w:tcBorders>
            <w:vAlign w:val="center"/>
          </w:tcPr>
          <w:p w14:paraId="681CCE89">
            <w:pPr>
              <w:pStyle w:val="184"/>
              <w:spacing w:line="360" w:lineRule="auto"/>
              <w:rPr>
                <w:rFonts w:hint="eastAsia" w:eastAsia="宋体"/>
                <w:color w:val="auto"/>
                <w:sz w:val="21"/>
                <w:szCs w:val="21"/>
                <w:lang w:eastAsia="zh-CN"/>
              </w:rPr>
            </w:pPr>
            <w:r>
              <w:rPr>
                <w:color w:val="auto"/>
                <w:sz w:val="21"/>
                <w:szCs w:val="21"/>
              </w:rPr>
              <w:t>本项目</w:t>
            </w:r>
            <w:r>
              <w:rPr>
                <w:rFonts w:hint="eastAsia"/>
                <w:color w:val="auto"/>
                <w:sz w:val="21"/>
                <w:szCs w:val="21"/>
                <w:lang w:val="en-US" w:eastAsia="zh-CN"/>
              </w:rPr>
              <w:t>选矿废水回用于生产</w:t>
            </w:r>
            <w:r>
              <w:rPr>
                <w:rFonts w:hint="eastAsia"/>
                <w:color w:val="auto"/>
                <w:sz w:val="21"/>
                <w:szCs w:val="21"/>
              </w:rPr>
              <w:t>，不外排</w:t>
            </w:r>
            <w:r>
              <w:rPr>
                <w:rFonts w:hint="eastAsia"/>
                <w:color w:val="auto"/>
                <w:sz w:val="21"/>
                <w:szCs w:val="21"/>
                <w:lang w:eastAsia="zh-CN"/>
              </w:rPr>
              <w:t>。</w:t>
            </w:r>
          </w:p>
        </w:tc>
        <w:tc>
          <w:tcPr>
            <w:tcW w:w="873" w:type="dxa"/>
            <w:tcBorders>
              <w:tl2br w:val="nil"/>
              <w:tr2bl w:val="nil"/>
            </w:tcBorders>
            <w:vAlign w:val="center"/>
          </w:tcPr>
          <w:p w14:paraId="5C433CEE">
            <w:pPr>
              <w:pStyle w:val="184"/>
              <w:spacing w:line="360" w:lineRule="auto"/>
              <w:rPr>
                <w:color w:val="auto"/>
                <w:sz w:val="21"/>
                <w:szCs w:val="21"/>
              </w:rPr>
            </w:pPr>
            <w:r>
              <w:rPr>
                <w:color w:val="auto"/>
                <w:sz w:val="21"/>
                <w:szCs w:val="21"/>
              </w:rPr>
              <w:t>符合</w:t>
            </w:r>
          </w:p>
        </w:tc>
      </w:tr>
      <w:tr w14:paraId="6D14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224" w:type="dxa"/>
            <w:vMerge w:val="restart"/>
            <w:tcBorders>
              <w:tl2br w:val="nil"/>
              <w:tr2bl w:val="nil"/>
            </w:tcBorders>
            <w:vAlign w:val="center"/>
          </w:tcPr>
          <w:p w14:paraId="2E314997">
            <w:pPr>
              <w:pStyle w:val="184"/>
              <w:spacing w:line="360" w:lineRule="auto"/>
              <w:rPr>
                <w:color w:val="auto"/>
                <w:sz w:val="21"/>
                <w:szCs w:val="21"/>
              </w:rPr>
            </w:pPr>
            <w:r>
              <w:rPr>
                <w:color w:val="auto"/>
                <w:sz w:val="21"/>
                <w:szCs w:val="21"/>
              </w:rPr>
              <w:t>关于印发防范化解尾矿库安全风险工作方案</w:t>
            </w:r>
          </w:p>
        </w:tc>
        <w:tc>
          <w:tcPr>
            <w:tcW w:w="3556" w:type="dxa"/>
            <w:tcBorders>
              <w:tl2br w:val="nil"/>
              <w:tr2bl w:val="nil"/>
            </w:tcBorders>
            <w:vAlign w:val="center"/>
          </w:tcPr>
          <w:p w14:paraId="52DC097B">
            <w:pPr>
              <w:pStyle w:val="184"/>
              <w:spacing w:line="360" w:lineRule="auto"/>
              <w:rPr>
                <w:color w:val="auto"/>
                <w:sz w:val="21"/>
                <w:szCs w:val="21"/>
              </w:rPr>
            </w:pPr>
            <w:r>
              <w:rPr>
                <w:rFonts w:hint="eastAsia"/>
                <w:color w:val="auto"/>
                <w:sz w:val="21"/>
                <w:szCs w:val="21"/>
              </w:rPr>
              <w:t>（二）强化源头准入，严格控制尾矿库数量。2.严格准入条件审查。严格控制新建独立选矿厂尾矿库，严禁新建“头顶库”、总坝高超过</w:t>
            </w:r>
            <w:r>
              <w:rPr>
                <w:color w:val="auto"/>
                <w:sz w:val="21"/>
                <w:szCs w:val="21"/>
              </w:rPr>
              <w:t>200</w:t>
            </w:r>
            <w:r>
              <w:rPr>
                <w:rFonts w:hint="eastAsia"/>
                <w:color w:val="auto"/>
                <w:sz w:val="21"/>
                <w:szCs w:val="21"/>
              </w:rPr>
              <w:t>米的尾矿库，严禁在距离长江和黄河干流岸线</w:t>
            </w:r>
            <w:r>
              <w:rPr>
                <w:color w:val="auto"/>
                <w:sz w:val="21"/>
                <w:szCs w:val="21"/>
              </w:rPr>
              <w:t>3</w:t>
            </w:r>
            <w:r>
              <w:rPr>
                <w:rFonts w:hint="eastAsia"/>
                <w:color w:val="auto"/>
                <w:sz w:val="21"/>
                <w:szCs w:val="21"/>
              </w:rPr>
              <w:t>公里、重要支流岸线</w:t>
            </w:r>
            <w:r>
              <w:rPr>
                <w:color w:val="auto"/>
                <w:sz w:val="21"/>
                <w:szCs w:val="21"/>
              </w:rPr>
              <w:t>1</w:t>
            </w:r>
            <w:r>
              <w:rPr>
                <w:rFonts w:hint="eastAsia"/>
                <w:color w:val="auto"/>
                <w:sz w:val="21"/>
                <w:szCs w:val="21"/>
              </w:rPr>
              <w:t>公里范围内新（改、扩）建尾矿库，新建四等、五等尾矿库必须采用一次建坝方式。</w:t>
            </w:r>
          </w:p>
        </w:tc>
        <w:tc>
          <w:tcPr>
            <w:tcW w:w="3067" w:type="dxa"/>
            <w:tcBorders>
              <w:tl2br w:val="nil"/>
              <w:tr2bl w:val="nil"/>
            </w:tcBorders>
            <w:vAlign w:val="center"/>
          </w:tcPr>
          <w:p w14:paraId="1BA9B5C7">
            <w:pPr>
              <w:pStyle w:val="184"/>
              <w:spacing w:line="360" w:lineRule="auto"/>
              <w:rPr>
                <w:rFonts w:hint="eastAsia" w:eastAsia="宋体"/>
                <w:color w:val="auto"/>
                <w:sz w:val="21"/>
                <w:szCs w:val="21"/>
                <w:lang w:eastAsia="zh-CN"/>
              </w:rPr>
            </w:pPr>
            <w:r>
              <w:rPr>
                <w:rFonts w:hint="eastAsia"/>
                <w:color w:val="auto"/>
                <w:sz w:val="21"/>
                <w:szCs w:val="21"/>
              </w:rPr>
              <w:t>本项目</w:t>
            </w:r>
            <w:r>
              <w:rPr>
                <w:rFonts w:hint="eastAsia"/>
                <w:color w:val="auto"/>
                <w:sz w:val="21"/>
                <w:szCs w:val="21"/>
                <w:lang w:val="en-US" w:eastAsia="zh-CN"/>
              </w:rPr>
              <w:t>尾矿全部</w:t>
            </w:r>
            <w:r>
              <w:rPr>
                <w:rFonts w:hint="eastAsia"/>
                <w:color w:val="auto"/>
                <w:sz w:val="21"/>
                <w:szCs w:val="21"/>
                <w:lang w:eastAsia="zh-CN"/>
              </w:rPr>
              <w:t>干排，无尾矿库。</w:t>
            </w:r>
          </w:p>
        </w:tc>
        <w:tc>
          <w:tcPr>
            <w:tcW w:w="873" w:type="dxa"/>
            <w:tcBorders>
              <w:tl2br w:val="nil"/>
              <w:tr2bl w:val="nil"/>
            </w:tcBorders>
            <w:vAlign w:val="center"/>
          </w:tcPr>
          <w:p w14:paraId="109C683E">
            <w:pPr>
              <w:pStyle w:val="184"/>
              <w:spacing w:line="360" w:lineRule="auto"/>
              <w:rPr>
                <w:color w:val="auto"/>
                <w:sz w:val="21"/>
                <w:szCs w:val="21"/>
              </w:rPr>
            </w:pPr>
            <w:r>
              <w:rPr>
                <w:rFonts w:hint="eastAsia"/>
                <w:color w:val="auto"/>
                <w:sz w:val="21"/>
                <w:szCs w:val="21"/>
              </w:rPr>
              <w:t>符合</w:t>
            </w:r>
          </w:p>
        </w:tc>
      </w:tr>
      <w:tr w14:paraId="138F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224" w:type="dxa"/>
            <w:vMerge w:val="continue"/>
            <w:tcBorders>
              <w:tl2br w:val="nil"/>
              <w:tr2bl w:val="nil"/>
            </w:tcBorders>
            <w:vAlign w:val="center"/>
          </w:tcPr>
          <w:p w14:paraId="51851A7D">
            <w:pPr>
              <w:pStyle w:val="184"/>
              <w:spacing w:line="360" w:lineRule="auto"/>
              <w:rPr>
                <w:color w:val="auto"/>
                <w:sz w:val="21"/>
                <w:szCs w:val="21"/>
              </w:rPr>
            </w:pPr>
          </w:p>
        </w:tc>
        <w:tc>
          <w:tcPr>
            <w:tcW w:w="3556" w:type="dxa"/>
            <w:tcBorders>
              <w:tl2br w:val="nil"/>
              <w:tr2bl w:val="nil"/>
            </w:tcBorders>
            <w:vAlign w:val="center"/>
          </w:tcPr>
          <w:p w14:paraId="749E740E">
            <w:pPr>
              <w:pStyle w:val="184"/>
              <w:spacing w:line="360" w:lineRule="auto"/>
              <w:rPr>
                <w:color w:val="auto"/>
                <w:sz w:val="21"/>
                <w:szCs w:val="21"/>
              </w:rPr>
            </w:pPr>
            <w:r>
              <w:rPr>
                <w:rFonts w:hint="eastAsia"/>
                <w:color w:val="auto"/>
                <w:sz w:val="21"/>
                <w:szCs w:val="21"/>
              </w:rPr>
              <w:t>（三）强化责任落实，有效管控尾矿库安全风险。3.建立完善尾矿库安全风险监测预警机制。干式堆存尾矿库要实现对坝体表面位移的在线监测。</w:t>
            </w:r>
          </w:p>
        </w:tc>
        <w:tc>
          <w:tcPr>
            <w:tcW w:w="3067" w:type="dxa"/>
            <w:tcBorders>
              <w:tl2br w:val="nil"/>
              <w:tr2bl w:val="nil"/>
            </w:tcBorders>
            <w:vAlign w:val="center"/>
          </w:tcPr>
          <w:p w14:paraId="3105A0F6">
            <w:pPr>
              <w:pStyle w:val="184"/>
              <w:spacing w:line="360" w:lineRule="auto"/>
              <w:rPr>
                <w:rFonts w:hint="default" w:eastAsia="宋体"/>
                <w:color w:val="auto"/>
                <w:sz w:val="21"/>
                <w:szCs w:val="21"/>
                <w:lang w:val="en-US" w:eastAsia="zh-CN"/>
              </w:rPr>
            </w:pPr>
            <w:r>
              <w:rPr>
                <w:rFonts w:hint="default" w:eastAsia="宋体"/>
                <w:color w:val="auto"/>
                <w:sz w:val="21"/>
                <w:szCs w:val="21"/>
                <w:lang w:val="en-US" w:eastAsia="zh-CN"/>
              </w:rPr>
              <w:t>本项目尾矿全部干排，无尾矿库。</w:t>
            </w:r>
          </w:p>
        </w:tc>
        <w:tc>
          <w:tcPr>
            <w:tcW w:w="873" w:type="dxa"/>
            <w:tcBorders>
              <w:tl2br w:val="nil"/>
              <w:tr2bl w:val="nil"/>
            </w:tcBorders>
            <w:vAlign w:val="center"/>
          </w:tcPr>
          <w:p w14:paraId="0E22D217">
            <w:pPr>
              <w:pStyle w:val="184"/>
              <w:spacing w:line="360" w:lineRule="auto"/>
              <w:rPr>
                <w:color w:val="auto"/>
                <w:sz w:val="21"/>
                <w:szCs w:val="21"/>
              </w:rPr>
            </w:pPr>
            <w:r>
              <w:rPr>
                <w:rFonts w:hint="eastAsia"/>
                <w:color w:val="auto"/>
                <w:sz w:val="21"/>
                <w:szCs w:val="21"/>
              </w:rPr>
              <w:t>符合</w:t>
            </w:r>
          </w:p>
        </w:tc>
      </w:tr>
      <w:tr w14:paraId="7DA1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224" w:type="dxa"/>
            <w:vMerge w:val="restart"/>
            <w:tcBorders>
              <w:tl2br w:val="nil"/>
              <w:tr2bl w:val="nil"/>
            </w:tcBorders>
            <w:vAlign w:val="center"/>
          </w:tcPr>
          <w:p w14:paraId="6CF6CA32">
            <w:pPr>
              <w:pStyle w:val="184"/>
              <w:spacing w:line="360" w:lineRule="auto"/>
              <w:rPr>
                <w:rFonts w:asciiTheme="minorEastAsia" w:hAnsiTheme="minorEastAsia" w:eastAsiaTheme="minorEastAsia"/>
                <w:color w:val="auto"/>
                <w:sz w:val="21"/>
                <w:szCs w:val="21"/>
              </w:rPr>
            </w:pPr>
            <w:r>
              <w:rPr>
                <w:rFonts w:hint="eastAsia" w:asciiTheme="minorEastAsia" w:hAnsiTheme="minorEastAsia" w:eastAsiaTheme="minorEastAsia"/>
                <w:color w:val="auto"/>
                <w:sz w:val="21"/>
                <w:szCs w:val="21"/>
              </w:rPr>
              <w:t>地下水管理条例</w:t>
            </w:r>
          </w:p>
        </w:tc>
        <w:tc>
          <w:tcPr>
            <w:tcW w:w="3556" w:type="dxa"/>
            <w:tcBorders>
              <w:tl2br w:val="nil"/>
              <w:tr2bl w:val="nil"/>
            </w:tcBorders>
            <w:vAlign w:val="center"/>
          </w:tcPr>
          <w:p w14:paraId="7CD1B2D2">
            <w:pPr>
              <w:pStyle w:val="184"/>
              <w:spacing w:line="360" w:lineRule="auto"/>
              <w:rPr>
                <w:color w:val="auto"/>
                <w:sz w:val="21"/>
                <w:szCs w:val="21"/>
              </w:rPr>
            </w:pPr>
            <w:r>
              <w:rPr>
                <w:rFonts w:hint="eastAsia"/>
                <w:color w:val="auto"/>
                <w:sz w:val="21"/>
                <w:szCs w:val="21"/>
              </w:rPr>
              <w:t>第二十一条 取用地下水的单位和个人应当遵守取水总量控制和定额管理要求，使用先进节约用水技术、工艺和设备，采取循环用水、综合利用及废水处理回用等措施，实施技术改造，降低用水消耗。对下列工艺、设备和产品，应当在规定的期限内停止生产、销售、进口或者使用：（一）列入淘汰落后的、耗水量高的工艺、设备和产品名录的；（二）列入限期禁止采用的严重污染水环境的工艺名录和限期禁止生产、销售、进口、使用的严重污染水环境的设备名录的。</w:t>
            </w:r>
          </w:p>
        </w:tc>
        <w:tc>
          <w:tcPr>
            <w:tcW w:w="3067" w:type="dxa"/>
            <w:tcBorders>
              <w:tl2br w:val="nil"/>
              <w:tr2bl w:val="nil"/>
            </w:tcBorders>
            <w:vAlign w:val="center"/>
          </w:tcPr>
          <w:p w14:paraId="63DA151D">
            <w:pPr>
              <w:pStyle w:val="184"/>
              <w:spacing w:line="360" w:lineRule="auto"/>
              <w:rPr>
                <w:color w:val="auto"/>
                <w:sz w:val="21"/>
                <w:szCs w:val="21"/>
              </w:rPr>
            </w:pPr>
            <w:r>
              <w:rPr>
                <w:color w:val="auto"/>
                <w:sz w:val="21"/>
                <w:szCs w:val="21"/>
              </w:rPr>
              <w:t>生产</w:t>
            </w:r>
            <w:r>
              <w:rPr>
                <w:rFonts w:hint="eastAsia"/>
                <w:color w:val="auto"/>
                <w:sz w:val="21"/>
                <w:szCs w:val="21"/>
                <w:lang w:eastAsia="zh-CN"/>
              </w:rPr>
              <w:t>用</w:t>
            </w:r>
            <w:r>
              <w:rPr>
                <w:rFonts w:hint="eastAsia"/>
                <w:color w:val="auto"/>
                <w:sz w:val="21"/>
                <w:szCs w:val="21"/>
              </w:rPr>
              <w:t>水取</w:t>
            </w:r>
            <w:r>
              <w:rPr>
                <w:rFonts w:hint="eastAsia"/>
                <w:color w:val="auto"/>
                <w:sz w:val="21"/>
                <w:szCs w:val="21"/>
                <w:highlight w:val="none"/>
              </w:rPr>
              <w:t>自水井</w:t>
            </w:r>
            <w:r>
              <w:rPr>
                <w:color w:val="auto"/>
                <w:sz w:val="21"/>
                <w:szCs w:val="21"/>
                <w:highlight w:val="none"/>
              </w:rPr>
              <w:t>。选矿废水</w:t>
            </w:r>
            <w:r>
              <w:rPr>
                <w:rFonts w:hint="eastAsia"/>
                <w:color w:val="auto"/>
                <w:sz w:val="21"/>
                <w:szCs w:val="21"/>
                <w:highlight w:val="none"/>
                <w:lang w:eastAsia="zh-CN"/>
              </w:rPr>
              <w:t>全部循环使用，不外</w:t>
            </w:r>
            <w:r>
              <w:rPr>
                <w:rFonts w:hint="eastAsia"/>
                <w:color w:val="auto"/>
                <w:sz w:val="21"/>
                <w:szCs w:val="21"/>
                <w:lang w:eastAsia="zh-CN"/>
              </w:rPr>
              <w:t>排</w:t>
            </w:r>
            <w:r>
              <w:rPr>
                <w:color w:val="auto"/>
                <w:sz w:val="21"/>
                <w:szCs w:val="21"/>
              </w:rPr>
              <w:t>。且</w:t>
            </w:r>
            <w:r>
              <w:rPr>
                <w:rFonts w:hint="eastAsia"/>
                <w:color w:val="auto"/>
                <w:sz w:val="21"/>
                <w:szCs w:val="21"/>
              </w:rPr>
              <w:t>工艺、设备和产品中</w:t>
            </w:r>
            <w:r>
              <w:rPr>
                <w:color w:val="auto"/>
                <w:sz w:val="21"/>
                <w:szCs w:val="21"/>
              </w:rPr>
              <w:t>，无</w:t>
            </w:r>
            <w:r>
              <w:rPr>
                <w:rFonts w:hint="eastAsia"/>
                <w:color w:val="auto"/>
                <w:sz w:val="21"/>
                <w:szCs w:val="21"/>
              </w:rPr>
              <w:t>列入淘汰落后的、耗水量高的工艺、设备和产品名录的；无列入限期禁止采用的严重污染水环境的工艺名录和限期禁止生产、销售、进口、使用的严重污染水环境的设备名录的。</w:t>
            </w:r>
          </w:p>
        </w:tc>
        <w:tc>
          <w:tcPr>
            <w:tcW w:w="873" w:type="dxa"/>
            <w:tcBorders>
              <w:tl2br w:val="nil"/>
              <w:tr2bl w:val="nil"/>
            </w:tcBorders>
            <w:vAlign w:val="center"/>
          </w:tcPr>
          <w:p w14:paraId="4177960A">
            <w:pPr>
              <w:pStyle w:val="184"/>
              <w:spacing w:line="360" w:lineRule="auto"/>
              <w:rPr>
                <w:color w:val="auto"/>
                <w:sz w:val="21"/>
                <w:szCs w:val="21"/>
              </w:rPr>
            </w:pPr>
            <w:r>
              <w:rPr>
                <w:rFonts w:hint="eastAsia"/>
                <w:color w:val="auto"/>
                <w:sz w:val="21"/>
                <w:szCs w:val="21"/>
              </w:rPr>
              <w:t>符合</w:t>
            </w:r>
          </w:p>
        </w:tc>
      </w:tr>
      <w:tr w14:paraId="44F1D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224" w:type="dxa"/>
            <w:vMerge w:val="continue"/>
            <w:tcBorders>
              <w:tl2br w:val="nil"/>
              <w:tr2bl w:val="nil"/>
            </w:tcBorders>
            <w:vAlign w:val="center"/>
          </w:tcPr>
          <w:p w14:paraId="76C1DA40">
            <w:pPr>
              <w:pStyle w:val="184"/>
              <w:spacing w:line="360" w:lineRule="auto"/>
              <w:rPr>
                <w:rFonts w:asciiTheme="minorEastAsia" w:hAnsiTheme="minorEastAsia" w:eastAsiaTheme="minorEastAsia"/>
                <w:color w:val="auto"/>
                <w:sz w:val="21"/>
                <w:szCs w:val="21"/>
              </w:rPr>
            </w:pPr>
          </w:p>
        </w:tc>
        <w:tc>
          <w:tcPr>
            <w:tcW w:w="3556" w:type="dxa"/>
            <w:tcBorders>
              <w:tl2br w:val="nil"/>
              <w:tr2bl w:val="nil"/>
            </w:tcBorders>
            <w:vAlign w:val="center"/>
          </w:tcPr>
          <w:p w14:paraId="482D1F4A">
            <w:pPr>
              <w:pStyle w:val="1485"/>
              <w:shd w:val="clear" w:color="auto" w:fill="FFFFFF"/>
              <w:spacing w:line="360" w:lineRule="auto"/>
              <w:jc w:val="both"/>
              <w:rPr>
                <w:color w:val="auto"/>
                <w:sz w:val="21"/>
                <w:szCs w:val="21"/>
              </w:rPr>
            </w:pPr>
            <w:r>
              <w:rPr>
                <w:rFonts w:hint="eastAsia" w:ascii="Times New Roman" w:hAnsi="Times New Roman" w:cs="Times New Roman"/>
                <w:color w:val="auto"/>
                <w:kern w:val="2"/>
                <w:sz w:val="21"/>
                <w:szCs w:val="21"/>
              </w:rPr>
              <w:t>第四十条 禁止下列污染或者可能污染地下水的行为：（一）利用渗井、渗坑、裂隙、溶洞以及私设暗管等逃避监管的方式排放水污染物；（二）利用岩层孔隙、裂隙、溶洞、废弃矿坑等贮存石化原料及产品、农药、危险废物、城镇污水处理设施产生的污泥和处理后的污泥或者其他有毒有害物质；（三）利用无防渗漏措施的沟渠、坑塘等输送或者贮存含有毒污染物的废水、含病原体的污水和其他废弃物；（四）法律、法规禁止的其他污染或者可能污染地下水的行为。</w:t>
            </w:r>
          </w:p>
        </w:tc>
        <w:tc>
          <w:tcPr>
            <w:tcW w:w="3067" w:type="dxa"/>
            <w:tcBorders>
              <w:tl2br w:val="nil"/>
              <w:tr2bl w:val="nil"/>
            </w:tcBorders>
            <w:vAlign w:val="center"/>
          </w:tcPr>
          <w:p w14:paraId="469B692C">
            <w:pPr>
              <w:pStyle w:val="184"/>
              <w:spacing w:line="360" w:lineRule="auto"/>
              <w:rPr>
                <w:color w:val="auto"/>
                <w:sz w:val="21"/>
                <w:szCs w:val="21"/>
              </w:rPr>
            </w:pPr>
            <w:r>
              <w:rPr>
                <w:rFonts w:hint="eastAsia"/>
                <w:color w:val="auto"/>
                <w:sz w:val="21"/>
                <w:szCs w:val="21"/>
              </w:rPr>
              <w:t>本项目</w:t>
            </w:r>
            <w:r>
              <w:rPr>
                <w:color w:val="auto"/>
                <w:sz w:val="21"/>
                <w:szCs w:val="21"/>
              </w:rPr>
              <w:t>不</w:t>
            </w:r>
            <w:r>
              <w:rPr>
                <w:rFonts w:hint="eastAsia"/>
                <w:color w:val="auto"/>
                <w:sz w:val="21"/>
                <w:szCs w:val="21"/>
              </w:rPr>
              <w:t>利用渗井、渗坑、裂隙、溶洞以及私设暗管等逃避监管的方式排放水污染物；不利用岩层孔隙、裂隙、溶洞、废弃矿坑等贮存石化原料及产品、农药、危险废物、城镇污水处理设施产生的污泥和处理后的污泥或者其他有毒有害</w:t>
            </w:r>
            <w:r>
              <w:rPr>
                <w:rFonts w:hint="eastAsia"/>
                <w:color w:val="auto"/>
                <w:sz w:val="21"/>
                <w:szCs w:val="21"/>
                <w:highlight w:val="none"/>
              </w:rPr>
              <w:t>物质；本项目选厂</w:t>
            </w:r>
            <w:r>
              <w:rPr>
                <w:rFonts w:hint="eastAsia"/>
                <w:color w:val="auto"/>
                <w:sz w:val="21"/>
                <w:szCs w:val="21"/>
                <w:highlight w:val="none"/>
                <w:lang w:val="en-US" w:eastAsia="zh-CN"/>
              </w:rPr>
              <w:t>循环水池</w:t>
            </w:r>
            <w:r>
              <w:rPr>
                <w:color w:val="auto"/>
                <w:sz w:val="21"/>
                <w:szCs w:val="21"/>
                <w:highlight w:val="none"/>
              </w:rPr>
              <w:t>、事故池均</w:t>
            </w:r>
            <w:r>
              <w:rPr>
                <w:color w:val="auto"/>
                <w:sz w:val="21"/>
                <w:szCs w:val="21"/>
              </w:rPr>
              <w:t>设计采用</w:t>
            </w:r>
            <w:r>
              <w:rPr>
                <w:rFonts w:hint="eastAsia"/>
                <w:color w:val="auto"/>
                <w:sz w:val="21"/>
                <w:szCs w:val="21"/>
              </w:rPr>
              <w:t>防渗漏措施；无法律、法规禁止的其他污染或者可能污染地下水的行为。</w:t>
            </w:r>
          </w:p>
        </w:tc>
        <w:tc>
          <w:tcPr>
            <w:tcW w:w="873" w:type="dxa"/>
            <w:tcBorders>
              <w:tl2br w:val="nil"/>
              <w:tr2bl w:val="nil"/>
            </w:tcBorders>
            <w:vAlign w:val="center"/>
          </w:tcPr>
          <w:p w14:paraId="4000386A">
            <w:pPr>
              <w:pStyle w:val="184"/>
              <w:spacing w:line="360" w:lineRule="auto"/>
              <w:rPr>
                <w:color w:val="auto"/>
                <w:sz w:val="21"/>
                <w:szCs w:val="21"/>
              </w:rPr>
            </w:pPr>
            <w:r>
              <w:rPr>
                <w:rFonts w:hint="eastAsia"/>
                <w:color w:val="auto"/>
                <w:sz w:val="21"/>
                <w:szCs w:val="21"/>
              </w:rPr>
              <w:t>符合</w:t>
            </w:r>
          </w:p>
        </w:tc>
      </w:tr>
      <w:tr w14:paraId="4169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224" w:type="dxa"/>
            <w:vMerge w:val="continue"/>
            <w:tcBorders>
              <w:tl2br w:val="nil"/>
              <w:tr2bl w:val="nil"/>
            </w:tcBorders>
            <w:vAlign w:val="center"/>
          </w:tcPr>
          <w:p w14:paraId="3FF5AB31">
            <w:pPr>
              <w:pStyle w:val="184"/>
              <w:spacing w:line="360" w:lineRule="auto"/>
              <w:rPr>
                <w:rFonts w:asciiTheme="minorEastAsia" w:hAnsiTheme="minorEastAsia" w:eastAsiaTheme="minorEastAsia"/>
                <w:color w:val="auto"/>
                <w:sz w:val="21"/>
                <w:szCs w:val="21"/>
              </w:rPr>
            </w:pPr>
          </w:p>
        </w:tc>
        <w:tc>
          <w:tcPr>
            <w:tcW w:w="3556" w:type="dxa"/>
            <w:tcBorders>
              <w:tl2br w:val="nil"/>
              <w:tr2bl w:val="nil"/>
            </w:tcBorders>
            <w:vAlign w:val="center"/>
          </w:tcPr>
          <w:p w14:paraId="04C1134F">
            <w:pPr>
              <w:pStyle w:val="184"/>
              <w:spacing w:line="360" w:lineRule="auto"/>
              <w:rPr>
                <w:color w:val="auto"/>
                <w:sz w:val="21"/>
                <w:szCs w:val="21"/>
              </w:rPr>
            </w:pPr>
            <w:r>
              <w:rPr>
                <w:rFonts w:hint="eastAsia"/>
                <w:color w:val="auto"/>
                <w:sz w:val="21"/>
                <w:szCs w:val="21"/>
              </w:rPr>
              <w:t>第四十一条 企业事业单位和其他生产经营者应当采取下列措施，防止地下水污染：……（二）化学品生产企业以及工业集聚区、矿山开采区、尾矿库、危险废物处置场、垃圾填埋场等的运营、管理单位，应当采取防渗漏等措施，并建设地下水水质监测井进行监测；……</w:t>
            </w:r>
          </w:p>
        </w:tc>
        <w:tc>
          <w:tcPr>
            <w:tcW w:w="3067" w:type="dxa"/>
            <w:tcBorders>
              <w:tl2br w:val="nil"/>
              <w:tr2bl w:val="nil"/>
            </w:tcBorders>
            <w:vAlign w:val="center"/>
          </w:tcPr>
          <w:p w14:paraId="135F4394">
            <w:pPr>
              <w:pStyle w:val="184"/>
              <w:spacing w:line="360" w:lineRule="auto"/>
              <w:rPr>
                <w:color w:val="auto"/>
                <w:sz w:val="21"/>
                <w:szCs w:val="21"/>
              </w:rPr>
            </w:pPr>
            <w:r>
              <w:rPr>
                <w:rFonts w:hint="eastAsia"/>
                <w:color w:val="auto"/>
                <w:sz w:val="21"/>
                <w:szCs w:val="21"/>
              </w:rPr>
              <w:t>本项目</w:t>
            </w:r>
            <w:r>
              <w:rPr>
                <w:rFonts w:hint="eastAsia"/>
                <w:color w:val="auto"/>
                <w:sz w:val="21"/>
                <w:szCs w:val="21"/>
                <w:lang w:val="en-US" w:eastAsia="zh-CN"/>
              </w:rPr>
              <w:t>依托现有</w:t>
            </w:r>
            <w:r>
              <w:rPr>
                <w:rFonts w:hint="eastAsia"/>
                <w:color w:val="auto"/>
                <w:sz w:val="21"/>
                <w:szCs w:val="21"/>
                <w:lang w:eastAsia="zh-CN"/>
              </w:rPr>
              <w:t>危废贮存点</w:t>
            </w:r>
            <w:r>
              <w:rPr>
                <w:color w:val="auto"/>
                <w:sz w:val="21"/>
                <w:szCs w:val="21"/>
              </w:rPr>
              <w:t>，</w:t>
            </w:r>
            <w:r>
              <w:rPr>
                <w:rFonts w:hint="eastAsia"/>
                <w:color w:val="auto"/>
                <w:sz w:val="21"/>
                <w:szCs w:val="21"/>
                <w:lang w:val="en-US" w:eastAsia="zh-CN"/>
              </w:rPr>
              <w:t>并采取了重点防渗，安排专人定期检修、维护</w:t>
            </w:r>
            <w:r>
              <w:rPr>
                <w:rFonts w:hint="eastAsia"/>
                <w:color w:val="auto"/>
                <w:sz w:val="21"/>
                <w:szCs w:val="21"/>
              </w:rPr>
              <w:t>。</w:t>
            </w:r>
          </w:p>
        </w:tc>
        <w:tc>
          <w:tcPr>
            <w:tcW w:w="873" w:type="dxa"/>
            <w:tcBorders>
              <w:tl2br w:val="nil"/>
              <w:tr2bl w:val="nil"/>
            </w:tcBorders>
            <w:vAlign w:val="center"/>
          </w:tcPr>
          <w:p w14:paraId="538B3E1C">
            <w:pPr>
              <w:pStyle w:val="184"/>
              <w:spacing w:line="360" w:lineRule="auto"/>
              <w:rPr>
                <w:color w:val="auto"/>
                <w:sz w:val="21"/>
                <w:szCs w:val="21"/>
              </w:rPr>
            </w:pPr>
            <w:r>
              <w:rPr>
                <w:rFonts w:hint="eastAsia"/>
                <w:color w:val="auto"/>
                <w:sz w:val="21"/>
                <w:szCs w:val="21"/>
              </w:rPr>
              <w:t>符合</w:t>
            </w:r>
          </w:p>
        </w:tc>
      </w:tr>
    </w:tbl>
    <w:p w14:paraId="411E0399">
      <w:pPr>
        <w:pStyle w:val="4"/>
        <w:bidi w:val="0"/>
        <w:rPr>
          <w:rFonts w:hint="default" w:ascii="Times New Roman" w:hAnsi="Times New Roman" w:cs="Times New Roman" w:eastAsiaTheme="minorEastAsia"/>
          <w:lang w:val="en-US" w:eastAsia="zh-CN"/>
        </w:rPr>
      </w:pPr>
      <w:bookmarkStart w:id="220" w:name="_Toc29473"/>
      <w:r>
        <w:rPr>
          <w:rFonts w:hint="default" w:ascii="Times New Roman" w:hAnsi="Times New Roman" w:cs="Times New Roman" w:eastAsiaTheme="minorEastAsia"/>
          <w:lang w:val="en-US" w:eastAsia="zh-CN"/>
        </w:rPr>
        <w:t>11.</w:t>
      </w:r>
      <w:r>
        <w:rPr>
          <w:rFonts w:hint="eastAsia" w:ascii="Times New Roman" w:hAnsi="Times New Roman" w:cs="Times New Roman" w:eastAsiaTheme="minorEastAsia"/>
          <w:lang w:val="en-US" w:eastAsia="zh-CN"/>
        </w:rPr>
        <w:t>6</w:t>
      </w:r>
      <w:r>
        <w:rPr>
          <w:rFonts w:hint="default" w:ascii="Times New Roman" w:hAnsi="Times New Roman" w:cs="Times New Roman" w:eastAsiaTheme="minorEastAsia"/>
          <w:lang w:val="en-US" w:eastAsia="zh-CN"/>
        </w:rPr>
        <w:t>与</w:t>
      </w:r>
      <w:r>
        <w:rPr>
          <w:rFonts w:hint="eastAsia" w:ascii="Times New Roman" w:hAnsi="Times New Roman" w:cs="Times New Roman" w:eastAsiaTheme="minorEastAsia"/>
          <w:lang w:val="en-US" w:eastAsia="zh-CN"/>
        </w:rPr>
        <w:t>相关规范、意见等</w:t>
      </w:r>
      <w:r>
        <w:rPr>
          <w:rFonts w:hint="default" w:ascii="Times New Roman" w:hAnsi="Times New Roman" w:cs="Times New Roman" w:eastAsiaTheme="minorEastAsia"/>
          <w:lang w:val="zh-CN" w:eastAsia="zh-CN"/>
        </w:rPr>
        <w:t>相符性分析</w:t>
      </w:r>
      <w:bookmarkEnd w:id="220"/>
    </w:p>
    <w:p w14:paraId="56837167">
      <w:pPr>
        <w:pStyle w:val="5"/>
        <w:bidi w:val="0"/>
      </w:pPr>
      <w:r>
        <w:rPr>
          <w:rFonts w:hint="eastAsia"/>
          <w:lang w:val="en-US" w:eastAsia="zh-CN"/>
        </w:rPr>
        <w:t>11.6.1与《有色金属行业绿色矿山建设规范》（</w:t>
      </w:r>
      <w:r>
        <w:rPr>
          <w:rFonts w:hint="default"/>
          <w:lang w:val="en-US" w:eastAsia="zh-CN"/>
        </w:rPr>
        <w:t>DZ/T0320-2018</w:t>
      </w:r>
      <w:r>
        <w:rPr>
          <w:rFonts w:hint="eastAsia"/>
          <w:lang w:val="en-US" w:eastAsia="zh-CN"/>
        </w:rPr>
        <w:t>）</w:t>
      </w:r>
    </w:p>
    <w:p w14:paraId="52B2B6F7">
      <w:pPr>
        <w:pStyle w:val="177"/>
        <w:ind w:left="0" w:leftChars="0" w:firstLine="480" w:firstLineChars="0"/>
        <w:jc w:val="both"/>
        <w:rPr>
          <w:rFonts w:hint="eastAsia"/>
          <w:sz w:val="24"/>
          <w:szCs w:val="24"/>
          <w:lang w:val="en-US" w:eastAsia="zh-CN"/>
        </w:rPr>
      </w:pPr>
      <w:r>
        <w:rPr>
          <w:rFonts w:hint="eastAsia" w:ascii="Times New Roman" w:cs="Times New Roman"/>
          <w:b w:val="0"/>
          <w:bCs w:val="0"/>
          <w:color w:val="auto"/>
          <w:lang w:val="en-US" w:eastAsia="zh-CN"/>
        </w:rPr>
        <w:t>项目与</w:t>
      </w:r>
      <w:r>
        <w:rPr>
          <w:rFonts w:hint="eastAsia"/>
          <w:b w:val="0"/>
          <w:bCs w:val="0"/>
          <w:sz w:val="24"/>
          <w:szCs w:val="24"/>
          <w:lang w:val="en-US" w:eastAsia="zh-CN"/>
        </w:rPr>
        <w:t>《有色</w:t>
      </w:r>
      <w:r>
        <w:rPr>
          <w:rFonts w:hint="eastAsia"/>
          <w:sz w:val="24"/>
          <w:szCs w:val="24"/>
          <w:lang w:val="en-US" w:eastAsia="zh-CN"/>
        </w:rPr>
        <w:t>金属行业绿色矿山建设规</w:t>
      </w:r>
      <w:r>
        <w:rPr>
          <w:rFonts w:hint="default" w:ascii="Times New Roman" w:hAnsi="Times New Roman" w:cs="Times New Roman"/>
          <w:sz w:val="24"/>
          <w:szCs w:val="24"/>
          <w:lang w:val="en-US" w:eastAsia="zh-CN"/>
        </w:rPr>
        <w:t>范》（DZ/T0320-2018）相符</w:t>
      </w:r>
      <w:r>
        <w:rPr>
          <w:rFonts w:hint="eastAsia"/>
          <w:sz w:val="24"/>
          <w:szCs w:val="24"/>
          <w:lang w:val="en-US" w:eastAsia="zh-CN"/>
        </w:rPr>
        <w:t>性分析见下表。</w:t>
      </w:r>
    </w:p>
    <w:p w14:paraId="6589DA72">
      <w:pPr>
        <w:pStyle w:val="177"/>
        <w:ind w:left="0" w:leftChars="0" w:firstLine="0" w:firstLineChars="0"/>
        <w:jc w:val="center"/>
        <w:rPr>
          <w:rFonts w:hint="eastAsia"/>
          <w:b/>
          <w:bCs/>
          <w:sz w:val="24"/>
          <w:szCs w:val="24"/>
          <w:lang w:val="en-US" w:eastAsia="zh-CN"/>
        </w:rPr>
      </w:pPr>
      <w:r>
        <w:rPr>
          <w:rFonts w:hint="eastAsia"/>
          <w:b/>
          <w:bCs/>
          <w:sz w:val="24"/>
          <w:szCs w:val="24"/>
          <w:lang w:val="en-US" w:eastAsia="zh-CN"/>
        </w:rPr>
        <w:t xml:space="preserve">表11.6-1   </w:t>
      </w:r>
      <w:r>
        <w:rPr>
          <w:rFonts w:hint="eastAsia" w:ascii="Times New Roman" w:cs="Times New Roman"/>
          <w:b/>
          <w:bCs/>
          <w:color w:val="auto"/>
          <w:lang w:val="en-US" w:eastAsia="zh-CN"/>
        </w:rPr>
        <w:t>项目与</w:t>
      </w:r>
      <w:r>
        <w:rPr>
          <w:rFonts w:hint="eastAsia"/>
          <w:b/>
          <w:bCs/>
          <w:sz w:val="24"/>
          <w:szCs w:val="24"/>
          <w:lang w:val="en-US" w:eastAsia="zh-CN"/>
        </w:rPr>
        <w:t>《有色金属行业绿色矿山建设规范》（</w:t>
      </w:r>
      <w:r>
        <w:rPr>
          <w:rFonts w:hint="default"/>
          <w:b/>
          <w:bCs/>
          <w:sz w:val="24"/>
          <w:szCs w:val="24"/>
          <w:lang w:val="en-US" w:eastAsia="zh-CN"/>
        </w:rPr>
        <w:t>DZ/T0320-2018</w:t>
      </w:r>
      <w:r>
        <w:rPr>
          <w:rFonts w:hint="eastAsia"/>
          <w:b/>
          <w:bCs/>
          <w:sz w:val="24"/>
          <w:szCs w:val="24"/>
          <w:lang w:val="en-US" w:eastAsia="zh-CN"/>
        </w:rPr>
        <w:t>）相符性分析一览表</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9"/>
        <w:gridCol w:w="3012"/>
        <w:gridCol w:w="1769"/>
      </w:tblGrid>
      <w:tr w14:paraId="628FB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9" w:type="dxa"/>
            <w:vAlign w:val="center"/>
          </w:tcPr>
          <w:p w14:paraId="0FA152F1">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规范要求</w:t>
            </w:r>
          </w:p>
        </w:tc>
        <w:tc>
          <w:tcPr>
            <w:tcW w:w="3012" w:type="dxa"/>
            <w:vAlign w:val="center"/>
          </w:tcPr>
          <w:p w14:paraId="3506D614">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本项目情况</w:t>
            </w:r>
          </w:p>
        </w:tc>
        <w:tc>
          <w:tcPr>
            <w:tcW w:w="1769" w:type="dxa"/>
            <w:vAlign w:val="center"/>
          </w:tcPr>
          <w:p w14:paraId="1C4AFAB9">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相符性</w:t>
            </w:r>
          </w:p>
        </w:tc>
      </w:tr>
      <w:tr w14:paraId="6AB2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9" w:type="dxa"/>
            <w:vAlign w:val="center"/>
          </w:tcPr>
          <w:p w14:paraId="5F19361E">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在矿山生产、运输、储运过程应采取防尘保洁措施，在储矿仓、破碎机、振动筛、带式输送机的收料点、卸料点等产生粉尘的部分，宜采用全封闭措施或采取机械除尘、喷雾降尘；道路、采区作业面、排土场等采取洒水或喷洒降尘。</w:t>
            </w:r>
          </w:p>
        </w:tc>
        <w:tc>
          <w:tcPr>
            <w:tcW w:w="3012" w:type="dxa"/>
            <w:vAlign w:val="center"/>
          </w:tcPr>
          <w:p w14:paraId="1A2CA116">
            <w:pPr>
              <w:keepNext w:val="0"/>
              <w:keepLines w:val="0"/>
              <w:widowControl/>
              <w:suppressLineNumbers w:val="0"/>
              <w:spacing w:line="360" w:lineRule="auto"/>
              <w:jc w:val="center"/>
              <w:rPr>
                <w:rFonts w:hint="default"/>
                <w:sz w:val="21"/>
                <w:szCs w:val="21"/>
                <w:vertAlign w:val="baseline"/>
                <w:lang w:val="en-US" w:eastAsia="zh-CN"/>
              </w:rPr>
            </w:pPr>
            <w:r>
              <w:rPr>
                <w:rFonts w:hint="eastAsia" w:ascii="宋体" w:hAnsi="Times New Roman" w:eastAsia="宋体" w:cs="Times New Roman"/>
                <w:color w:val="000000"/>
                <w:kern w:val="2"/>
                <w:sz w:val="21"/>
                <w:szCs w:val="21"/>
                <w:vertAlign w:val="baseline"/>
                <w:lang w:val="en-US" w:eastAsia="zh-CN" w:bidi="ar-SA"/>
              </w:rPr>
              <w:t>本项目</w:t>
            </w:r>
            <w:r>
              <w:rPr>
                <w:rFonts w:hint="eastAsia" w:ascii="宋体" w:cs="Times New Roman"/>
                <w:color w:val="000000"/>
                <w:kern w:val="2"/>
                <w:sz w:val="21"/>
                <w:szCs w:val="21"/>
                <w:vertAlign w:val="baseline"/>
                <w:lang w:val="en-US" w:eastAsia="zh-CN" w:bidi="ar-SA"/>
              </w:rPr>
              <w:t>破碎区、球磨产生的粉尘采用布袋除尘器处理</w:t>
            </w:r>
            <w:r>
              <w:rPr>
                <w:rFonts w:hint="eastAsia" w:ascii="宋体" w:hAnsi="Times New Roman" w:eastAsia="宋体" w:cs="Times New Roman"/>
                <w:color w:val="000000"/>
                <w:kern w:val="2"/>
                <w:sz w:val="21"/>
                <w:szCs w:val="21"/>
                <w:vertAlign w:val="baseline"/>
                <w:lang w:val="en-US" w:eastAsia="zh-CN" w:bidi="ar-SA"/>
              </w:rPr>
              <w:t>；皮带输送</w:t>
            </w:r>
            <w:r>
              <w:rPr>
                <w:rFonts w:hint="eastAsia" w:ascii="宋体" w:cs="Times New Roman"/>
                <w:color w:val="000000"/>
                <w:kern w:val="2"/>
                <w:sz w:val="21"/>
                <w:szCs w:val="21"/>
                <w:vertAlign w:val="baseline"/>
                <w:lang w:val="en-US" w:eastAsia="zh-CN" w:bidi="ar-SA"/>
              </w:rPr>
              <w:t>设</w:t>
            </w:r>
            <w:r>
              <w:rPr>
                <w:rFonts w:hint="eastAsia" w:ascii="宋体" w:hAnsi="Times New Roman" w:eastAsia="宋体" w:cs="Times New Roman"/>
                <w:color w:val="000000"/>
                <w:kern w:val="2"/>
                <w:sz w:val="21"/>
                <w:szCs w:val="21"/>
                <w:vertAlign w:val="baseline"/>
                <w:lang w:val="en-US" w:eastAsia="zh-CN" w:bidi="ar-SA"/>
              </w:rPr>
              <w:t>全封闭廊道；运输道路定期洒水抑尘</w:t>
            </w:r>
            <w:r>
              <w:rPr>
                <w:rFonts w:hint="eastAsia" w:ascii="宋体" w:cs="Times New Roman"/>
                <w:color w:val="000000"/>
                <w:kern w:val="2"/>
                <w:sz w:val="21"/>
                <w:szCs w:val="21"/>
                <w:vertAlign w:val="baseline"/>
                <w:lang w:val="en-US" w:eastAsia="zh-CN" w:bidi="ar-SA"/>
              </w:rPr>
              <w:t>、</w:t>
            </w:r>
            <w:r>
              <w:rPr>
                <w:rFonts w:hint="eastAsia" w:cs="Times New Roman"/>
                <w:b w:val="0"/>
                <w:color w:val="auto"/>
                <w:kern w:val="2"/>
                <w:sz w:val="21"/>
                <w:szCs w:val="20"/>
                <w:lang w:val="en-US" w:eastAsia="zh-CN" w:bidi="ar-SA"/>
              </w:rPr>
              <w:t>车辆采用苫布遮盖</w:t>
            </w:r>
            <w:r>
              <w:rPr>
                <w:rFonts w:hint="eastAsia" w:ascii="宋体" w:hAnsi="Times New Roman" w:eastAsia="宋体" w:cs="Times New Roman"/>
                <w:color w:val="000000"/>
                <w:kern w:val="2"/>
                <w:sz w:val="21"/>
                <w:szCs w:val="21"/>
                <w:vertAlign w:val="baseline"/>
                <w:lang w:val="en-US" w:eastAsia="zh-CN" w:bidi="ar-SA"/>
              </w:rPr>
              <w:t>；</w:t>
            </w:r>
            <w:r>
              <w:rPr>
                <w:rFonts w:hint="eastAsia" w:ascii="宋体" w:cs="Times New Roman"/>
                <w:color w:val="000000"/>
                <w:kern w:val="2"/>
                <w:sz w:val="21"/>
                <w:szCs w:val="21"/>
                <w:vertAlign w:val="baseline"/>
                <w:lang w:val="en-US" w:eastAsia="zh-CN" w:bidi="ar-SA"/>
              </w:rPr>
              <w:t>成品库房采用全封闭式；尾矿暂存于全封闭的干排车间内；</w:t>
            </w:r>
            <w:r>
              <w:rPr>
                <w:rFonts w:hint="eastAsia" w:cs="Times New Roman"/>
                <w:color w:val="000000"/>
                <w:kern w:val="0"/>
                <w:sz w:val="21"/>
                <w:szCs w:val="21"/>
                <w:lang w:val="en-US" w:eastAsia="zh-CN" w:bidi="ar"/>
              </w:rPr>
              <w:t>堆场装卸扬尘</w:t>
            </w:r>
            <w:r>
              <w:rPr>
                <w:rFonts w:hint="eastAsia"/>
                <w:color w:val="000000" w:themeColor="text1"/>
                <w:szCs w:val="20"/>
                <w:lang w:val="en-US" w:eastAsia="zh-CN"/>
                <w14:textFill>
                  <w14:solidFill>
                    <w14:schemeClr w14:val="tx1"/>
                  </w14:solidFill>
                </w14:textFill>
              </w:rPr>
              <w:t>采取</w:t>
            </w:r>
            <w:r>
              <w:rPr>
                <w:rFonts w:hint="eastAsia"/>
                <w:color w:val="000000" w:themeColor="text1"/>
                <w:szCs w:val="20"/>
                <w14:textFill>
                  <w14:solidFill>
                    <w14:schemeClr w14:val="tx1"/>
                  </w14:solidFill>
                </w14:textFill>
              </w:rPr>
              <w:t>洒水抑尘</w:t>
            </w:r>
            <w:r>
              <w:rPr>
                <w:rFonts w:hint="eastAsia"/>
                <w:color w:val="000000" w:themeColor="text1"/>
                <w:szCs w:val="20"/>
                <w:lang w:eastAsia="zh-CN"/>
                <w14:textFill>
                  <w14:solidFill>
                    <w14:schemeClr w14:val="tx1"/>
                  </w14:solidFill>
                </w14:textFill>
              </w:rPr>
              <w:t>、</w:t>
            </w:r>
            <w:r>
              <w:rPr>
                <w:rFonts w:hint="eastAsia"/>
                <w:color w:val="000000" w:themeColor="text1"/>
                <w:szCs w:val="20"/>
                <w:lang w:val="en-US" w:eastAsia="zh-CN"/>
                <w14:textFill>
                  <w14:solidFill>
                    <w14:schemeClr w14:val="tx1"/>
                  </w14:solidFill>
                </w14:textFill>
              </w:rPr>
              <w:t>降低装卸高度等措施</w:t>
            </w:r>
            <w:r>
              <w:rPr>
                <w:rFonts w:hint="eastAsia" w:ascii="宋体" w:hAnsi="Times New Roman" w:eastAsia="宋体" w:cs="Times New Roman"/>
                <w:color w:val="000000"/>
                <w:kern w:val="2"/>
                <w:sz w:val="21"/>
                <w:szCs w:val="21"/>
                <w:vertAlign w:val="baseline"/>
                <w:lang w:val="en-US" w:eastAsia="zh-CN" w:bidi="ar-SA"/>
              </w:rPr>
              <w:t>。</w:t>
            </w:r>
          </w:p>
        </w:tc>
        <w:tc>
          <w:tcPr>
            <w:tcW w:w="1769" w:type="dxa"/>
            <w:vAlign w:val="center"/>
          </w:tcPr>
          <w:p w14:paraId="51795E00">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4BE43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9" w:type="dxa"/>
            <w:vAlign w:val="center"/>
          </w:tcPr>
          <w:p w14:paraId="18BAECBE">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矿区生活污水与生产废水分开收集、处理，污水100%达标排放。</w:t>
            </w:r>
          </w:p>
        </w:tc>
        <w:tc>
          <w:tcPr>
            <w:tcW w:w="3012" w:type="dxa"/>
            <w:vAlign w:val="center"/>
          </w:tcPr>
          <w:p w14:paraId="095103F0">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本项目选矿</w:t>
            </w:r>
            <w:r>
              <w:rPr>
                <w:rFonts w:hint="eastAsia"/>
                <w:sz w:val="21"/>
                <w:szCs w:val="21"/>
                <w:vertAlign w:val="baseline"/>
                <w:lang w:val="en-US" w:eastAsia="zh-CN"/>
              </w:rPr>
              <w:t>过程中产生的</w:t>
            </w:r>
            <w:r>
              <w:rPr>
                <w:rFonts w:hint="default"/>
                <w:sz w:val="21"/>
                <w:szCs w:val="21"/>
                <w:vertAlign w:val="baseline"/>
                <w:lang w:val="en-US" w:eastAsia="zh-CN"/>
              </w:rPr>
              <w:t>废水</w:t>
            </w:r>
            <w:r>
              <w:rPr>
                <w:rFonts w:hint="eastAsia"/>
                <w:sz w:val="21"/>
                <w:szCs w:val="21"/>
                <w:vertAlign w:val="baseline"/>
                <w:lang w:val="en-US" w:eastAsia="zh-CN"/>
              </w:rPr>
              <w:t>全部回用于球磨工序</w:t>
            </w:r>
            <w:r>
              <w:rPr>
                <w:rFonts w:hint="default"/>
                <w:sz w:val="21"/>
                <w:szCs w:val="21"/>
                <w:vertAlign w:val="baseline"/>
                <w:lang w:val="en-US" w:eastAsia="zh-CN"/>
              </w:rPr>
              <w:t>。生活污水</w:t>
            </w:r>
            <w:r>
              <w:rPr>
                <w:rFonts w:hint="eastAsia"/>
                <w:sz w:val="21"/>
                <w:szCs w:val="21"/>
                <w:vertAlign w:val="baseline"/>
                <w:lang w:val="en-US" w:eastAsia="zh-CN"/>
              </w:rPr>
              <w:t>排入现有旱厕后定期清掏，不外排</w:t>
            </w:r>
            <w:r>
              <w:rPr>
                <w:rFonts w:hint="default"/>
                <w:sz w:val="21"/>
                <w:szCs w:val="21"/>
                <w:vertAlign w:val="baseline"/>
                <w:lang w:val="en-US" w:eastAsia="zh-CN"/>
              </w:rPr>
              <w:t>。</w:t>
            </w:r>
          </w:p>
        </w:tc>
        <w:tc>
          <w:tcPr>
            <w:tcW w:w="1769" w:type="dxa"/>
            <w:vAlign w:val="center"/>
          </w:tcPr>
          <w:p w14:paraId="62FC0C64">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3553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9" w:type="dxa"/>
            <w:vAlign w:val="center"/>
          </w:tcPr>
          <w:p w14:paraId="10B0165D">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应采取合理有效的技术措施对高噪</w:t>
            </w:r>
          </w:p>
          <w:p w14:paraId="5B59B654">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音设备进行降噪处理</w:t>
            </w:r>
            <w:r>
              <w:rPr>
                <w:rFonts w:hint="eastAsia"/>
                <w:sz w:val="21"/>
                <w:szCs w:val="21"/>
                <w:vertAlign w:val="baseline"/>
                <w:lang w:val="en-US" w:eastAsia="zh-CN"/>
              </w:rPr>
              <w:t>。</w:t>
            </w:r>
          </w:p>
        </w:tc>
        <w:tc>
          <w:tcPr>
            <w:tcW w:w="3012" w:type="dxa"/>
            <w:vAlign w:val="center"/>
          </w:tcPr>
          <w:p w14:paraId="7DEDA791">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本项目生产设备置于封闭车间内，设置减震、消声等措施降噪。</w:t>
            </w:r>
          </w:p>
        </w:tc>
        <w:tc>
          <w:tcPr>
            <w:tcW w:w="1769" w:type="dxa"/>
            <w:vAlign w:val="center"/>
          </w:tcPr>
          <w:p w14:paraId="3846AD64">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相符</w:t>
            </w:r>
          </w:p>
        </w:tc>
      </w:tr>
      <w:tr w14:paraId="4FDA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9" w:type="dxa"/>
            <w:vAlign w:val="center"/>
          </w:tcPr>
          <w:p w14:paraId="039D8495">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选矿工艺宜选用高效、低毒对环境影响的选矿药剂。</w:t>
            </w:r>
          </w:p>
        </w:tc>
        <w:tc>
          <w:tcPr>
            <w:tcW w:w="3012" w:type="dxa"/>
            <w:vAlign w:val="center"/>
          </w:tcPr>
          <w:p w14:paraId="779D0B91">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本项目选取</w:t>
            </w:r>
            <w:r>
              <w:rPr>
                <w:rFonts w:hint="eastAsia"/>
                <w:sz w:val="21"/>
                <w:szCs w:val="21"/>
                <w:vertAlign w:val="baseline"/>
                <w:lang w:val="en-US" w:eastAsia="zh-CN"/>
              </w:rPr>
              <w:t>药剂为丁铵黑药、丁基黄药，均</w:t>
            </w:r>
            <w:r>
              <w:rPr>
                <w:rFonts w:hint="default"/>
                <w:sz w:val="21"/>
                <w:szCs w:val="21"/>
                <w:vertAlign w:val="baseline"/>
                <w:lang w:val="en-US" w:eastAsia="zh-CN"/>
              </w:rPr>
              <w:t>无毒无害。</w:t>
            </w:r>
          </w:p>
        </w:tc>
        <w:tc>
          <w:tcPr>
            <w:tcW w:w="1769" w:type="dxa"/>
            <w:vAlign w:val="center"/>
          </w:tcPr>
          <w:p w14:paraId="7345BECD">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相符</w:t>
            </w:r>
          </w:p>
        </w:tc>
      </w:tr>
      <w:tr w14:paraId="7D02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9" w:type="dxa"/>
            <w:vAlign w:val="center"/>
          </w:tcPr>
          <w:p w14:paraId="7D76507E">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default"/>
                <w:sz w:val="21"/>
                <w:szCs w:val="21"/>
                <w:vertAlign w:val="baseline"/>
                <w:lang w:val="en-US" w:eastAsia="zh-CN"/>
              </w:rPr>
              <w:t>企业宜开展废石、尾矿中的有用组分回收和尾矿中有用组分回收和尾矿中稀散金属的提取与利用，以及针对废石、尾矿开展回填、筑路、制作建筑材料等资源化利用工作。</w:t>
            </w:r>
          </w:p>
        </w:tc>
        <w:tc>
          <w:tcPr>
            <w:tcW w:w="3012" w:type="dxa"/>
            <w:vAlign w:val="center"/>
          </w:tcPr>
          <w:p w14:paraId="06F7E042">
            <w:pPr>
              <w:pStyle w:val="177"/>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sz w:val="21"/>
                <w:szCs w:val="21"/>
                <w:vertAlign w:val="baseline"/>
                <w:lang w:val="en-US" w:eastAsia="zh-CN"/>
              </w:rPr>
            </w:pPr>
            <w:r>
              <w:rPr>
                <w:rFonts w:hint="eastAsia"/>
                <w:sz w:val="21"/>
                <w:szCs w:val="21"/>
                <w:vertAlign w:val="baseline"/>
                <w:lang w:val="en-US" w:eastAsia="zh-CN"/>
              </w:rPr>
              <w:t>本项目</w:t>
            </w:r>
            <w:r>
              <w:rPr>
                <w:rFonts w:hint="default"/>
                <w:sz w:val="21"/>
                <w:szCs w:val="21"/>
                <w:vertAlign w:val="baseline"/>
                <w:lang w:val="en-US" w:eastAsia="zh-CN"/>
              </w:rPr>
              <w:t>产生的</w:t>
            </w:r>
            <w:r>
              <w:rPr>
                <w:rFonts w:hint="eastAsia"/>
                <w:sz w:val="21"/>
                <w:szCs w:val="21"/>
                <w:vertAlign w:val="baseline"/>
                <w:lang w:val="en-US" w:eastAsia="zh-CN"/>
              </w:rPr>
              <w:t>尾矿干排</w:t>
            </w:r>
            <w:r>
              <w:rPr>
                <w:rFonts w:hint="default"/>
                <w:sz w:val="21"/>
                <w:szCs w:val="21"/>
                <w:vertAlign w:val="baseline"/>
                <w:lang w:val="en-US" w:eastAsia="zh-CN"/>
              </w:rPr>
              <w:t>，作为建筑材料原料综合利用。</w:t>
            </w:r>
          </w:p>
        </w:tc>
        <w:tc>
          <w:tcPr>
            <w:tcW w:w="1769" w:type="dxa"/>
            <w:vAlign w:val="center"/>
          </w:tcPr>
          <w:p w14:paraId="7F05B777">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sz w:val="21"/>
                <w:szCs w:val="21"/>
                <w:vertAlign w:val="baseline"/>
                <w:lang w:val="en-US" w:eastAsia="zh-CN"/>
              </w:rPr>
            </w:pPr>
            <w:r>
              <w:rPr>
                <w:rFonts w:hint="eastAsia"/>
                <w:sz w:val="21"/>
                <w:szCs w:val="21"/>
                <w:vertAlign w:val="baseline"/>
                <w:lang w:val="en-US" w:eastAsia="zh-CN"/>
              </w:rPr>
              <w:t>相符</w:t>
            </w:r>
          </w:p>
        </w:tc>
      </w:tr>
    </w:tbl>
    <w:p w14:paraId="12BEB60E">
      <w:pPr>
        <w:pStyle w:val="5"/>
        <w:bidi w:val="0"/>
        <w:rPr>
          <w:rFonts w:hint="default"/>
          <w:lang w:val="en-US" w:eastAsia="zh-CN"/>
        </w:rPr>
      </w:pPr>
      <w:r>
        <w:rPr>
          <w:rFonts w:hint="eastAsia"/>
          <w:lang w:val="en-US" w:eastAsia="zh-CN"/>
        </w:rPr>
        <w:t>11.6.2与《黄金行业绿色矿山建设规范》(DZ/T0314-2018)相符性分析</w:t>
      </w:r>
    </w:p>
    <w:p w14:paraId="191BF1C1">
      <w:pPr>
        <w:bidi w:val="0"/>
        <w:spacing w:line="360" w:lineRule="auto"/>
        <w:ind w:firstLine="241" w:firstLineChars="100"/>
        <w:rPr>
          <w:rFonts w:hint="default"/>
          <w:b/>
          <w:bCs/>
          <w:sz w:val="24"/>
          <w:szCs w:val="24"/>
          <w:lang w:val="en-US" w:eastAsia="zh-CN"/>
        </w:rPr>
      </w:pPr>
      <w:r>
        <w:rPr>
          <w:rFonts w:hint="eastAsia"/>
          <w:b/>
          <w:bCs/>
          <w:sz w:val="24"/>
          <w:szCs w:val="24"/>
          <w:lang w:val="en-US" w:eastAsia="zh-CN"/>
        </w:rPr>
        <w:t>表11.6-2 与《黄金行业绿色矿山建设规范》(DZ/T0314-2018)相符性分析一览表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5"/>
        <w:gridCol w:w="2654"/>
        <w:gridCol w:w="1781"/>
      </w:tblGrid>
      <w:tr w14:paraId="15BCD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625898DA">
            <w:pPr>
              <w:bidi w:val="0"/>
              <w:spacing w:line="360" w:lineRule="auto"/>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规范要求</w:t>
            </w:r>
          </w:p>
        </w:tc>
        <w:tc>
          <w:tcPr>
            <w:tcW w:w="2654" w:type="dxa"/>
            <w:vAlign w:val="center"/>
          </w:tcPr>
          <w:p w14:paraId="584803BA">
            <w:pPr>
              <w:bidi w:val="0"/>
              <w:spacing w:line="360" w:lineRule="auto"/>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本项目情况</w:t>
            </w:r>
          </w:p>
        </w:tc>
        <w:tc>
          <w:tcPr>
            <w:tcW w:w="1781" w:type="dxa"/>
            <w:vAlign w:val="center"/>
          </w:tcPr>
          <w:p w14:paraId="2D39A130">
            <w:pPr>
              <w:bidi w:val="0"/>
              <w:spacing w:line="360" w:lineRule="auto"/>
              <w:jc w:val="center"/>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相符性</w:t>
            </w:r>
          </w:p>
        </w:tc>
      </w:tr>
      <w:tr w14:paraId="2701E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58D41411">
            <w:pPr>
              <w:keepNext w:val="0"/>
              <w:keepLines w:val="0"/>
              <w:widowControl/>
              <w:suppressLineNumbers w:val="0"/>
              <w:spacing w:line="360" w:lineRule="auto"/>
              <w:jc w:val="left"/>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sz w:val="21"/>
                <w:szCs w:val="21"/>
                <w:vertAlign w:val="baseline"/>
                <w:lang w:val="en-US" w:eastAsia="zh-CN"/>
              </w:rPr>
              <w:t>6资源开发方式</w:t>
            </w:r>
          </w:p>
        </w:tc>
      </w:tr>
      <w:tr w14:paraId="7DBD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05985385">
            <w:pPr>
              <w:bidi w:val="0"/>
              <w:spacing w:line="360" w:lineRule="auto"/>
              <w:jc w:val="left"/>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6.2 绿色开发</w:t>
            </w:r>
          </w:p>
        </w:tc>
      </w:tr>
      <w:tr w14:paraId="1326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41DBB27E">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a）宜采用环保型浮选、提金药剂进行生产；新建、改扩建矿山禁止采用小型独立氰化工艺、小型火法冶炼工艺、小型独立堆浸工艺等国家明文规定的限制和淘汰类技术。</w:t>
            </w:r>
          </w:p>
        </w:tc>
        <w:tc>
          <w:tcPr>
            <w:tcW w:w="2654" w:type="dxa"/>
            <w:vAlign w:val="center"/>
          </w:tcPr>
          <w:p w14:paraId="22716856">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本项目采用浮选工艺，使用</w:t>
            </w:r>
            <w:r>
              <w:rPr>
                <w:rFonts w:hint="default" w:ascii="Times New Roman" w:hAnsi="Times New Roman" w:cs="Times New Roman" w:eastAsiaTheme="minorEastAsia"/>
                <w:b w:val="0"/>
                <w:bCs/>
                <w:color w:val="auto"/>
                <w:kern w:val="2"/>
                <w:sz w:val="21"/>
                <w:szCs w:val="21"/>
                <w:vertAlign w:val="baseline"/>
                <w:lang w:val="en-US" w:eastAsia="zh-CN" w:bidi="ar-SA"/>
              </w:rPr>
              <w:t>丁铵黑药、丁基黄药浮选药剂。</w:t>
            </w:r>
          </w:p>
        </w:tc>
        <w:tc>
          <w:tcPr>
            <w:tcW w:w="1781" w:type="dxa"/>
            <w:vAlign w:val="center"/>
          </w:tcPr>
          <w:p w14:paraId="6344EB10">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140BA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0E322B0A">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b）对复杂的含砷、含硫、微细包裹型金精矿(或含金矿石)宜采用原矿焙烧、生物氧化、热压氧化等工艺进行预处理。</w:t>
            </w:r>
          </w:p>
        </w:tc>
        <w:tc>
          <w:tcPr>
            <w:tcW w:w="2654" w:type="dxa"/>
            <w:vAlign w:val="center"/>
          </w:tcPr>
          <w:p w14:paraId="4487AB5A">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本项目原矿属于易处理矿石，成分较简单。</w:t>
            </w:r>
          </w:p>
        </w:tc>
        <w:tc>
          <w:tcPr>
            <w:tcW w:w="1781" w:type="dxa"/>
            <w:vAlign w:val="center"/>
          </w:tcPr>
          <w:p w14:paraId="3B9C01EB">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54C0E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7A8E84B0">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c）应根据不同的矿石性质，选择合理的选冶工艺，提高选矿（冶）回收率。选矿（冶）回收率指标应符合附录A要求。</w:t>
            </w:r>
          </w:p>
        </w:tc>
        <w:tc>
          <w:tcPr>
            <w:tcW w:w="2654" w:type="dxa"/>
            <w:vAlign w:val="center"/>
          </w:tcPr>
          <w:p w14:paraId="65FD8AF5">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被你项目采用浮选工艺，回收率可达95%＞85%，满足</w:t>
            </w:r>
            <w:r>
              <w:rPr>
                <w:rFonts w:hint="default" w:ascii="Times New Roman" w:hAnsi="Times New Roman" w:cs="Times New Roman" w:eastAsiaTheme="minorEastAsia"/>
                <w:color w:val="000000"/>
                <w:kern w:val="0"/>
                <w:sz w:val="21"/>
                <w:szCs w:val="21"/>
                <w:lang w:val="en-US" w:eastAsia="zh-CN" w:bidi="ar"/>
              </w:rPr>
              <w:t>附录A要求。</w:t>
            </w:r>
          </w:p>
        </w:tc>
        <w:tc>
          <w:tcPr>
            <w:tcW w:w="1781" w:type="dxa"/>
            <w:vAlign w:val="center"/>
          </w:tcPr>
          <w:p w14:paraId="612ED82B">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36D4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5757434F">
            <w:pPr>
              <w:bidi w:val="0"/>
              <w:spacing w:line="360" w:lineRule="auto"/>
              <w:jc w:val="left"/>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7.资源综合利用</w:t>
            </w:r>
          </w:p>
        </w:tc>
      </w:tr>
      <w:tr w14:paraId="77B8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15B43585">
            <w:pPr>
              <w:bidi w:val="0"/>
              <w:spacing w:line="360" w:lineRule="auto"/>
              <w:jc w:val="left"/>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7.3固体废弃物利用</w:t>
            </w:r>
          </w:p>
        </w:tc>
      </w:tr>
      <w:tr w14:paraId="08AA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78D8CB22">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7.3.1 应对采选活动产生的废石、尾矿及氰渣等固体废弃物进行可利用性评价，并分类合理利用。</w:t>
            </w:r>
          </w:p>
        </w:tc>
        <w:tc>
          <w:tcPr>
            <w:tcW w:w="2654" w:type="dxa"/>
            <w:vAlign w:val="center"/>
          </w:tcPr>
          <w:p w14:paraId="4C09DE15">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本项目产生的尾矿采用干排方式，全部外运综合利用。</w:t>
            </w:r>
          </w:p>
        </w:tc>
        <w:tc>
          <w:tcPr>
            <w:tcW w:w="1781" w:type="dxa"/>
            <w:vAlign w:val="center"/>
          </w:tcPr>
          <w:p w14:paraId="6031813C">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244F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308D2389">
            <w:pPr>
              <w:bidi w:val="0"/>
              <w:spacing w:line="360" w:lineRule="auto"/>
              <w:jc w:val="left"/>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7.4废水利用</w:t>
            </w:r>
          </w:p>
        </w:tc>
      </w:tr>
      <w:tr w14:paraId="7D63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6F82E5CD">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7.4.3 选矿过程产生的废水应循环重复利用，选矿废水循环利用率不低于85%。干旱地区的选矿废水循环利用率应达到100%。</w:t>
            </w:r>
          </w:p>
        </w:tc>
        <w:tc>
          <w:tcPr>
            <w:tcW w:w="2654" w:type="dxa"/>
            <w:vAlign w:val="center"/>
          </w:tcPr>
          <w:p w14:paraId="545086B2">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本项目选矿过程中产生的生产废水暂存于循环水池，全部回用于球磨工序，回用率可达100%。</w:t>
            </w:r>
          </w:p>
        </w:tc>
        <w:tc>
          <w:tcPr>
            <w:tcW w:w="1781" w:type="dxa"/>
            <w:vAlign w:val="center"/>
          </w:tcPr>
          <w:p w14:paraId="392F1E94">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75B9F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0" w:type="dxa"/>
            <w:gridSpan w:val="3"/>
            <w:vAlign w:val="center"/>
          </w:tcPr>
          <w:p w14:paraId="3241CE50">
            <w:pPr>
              <w:bidi w:val="0"/>
              <w:spacing w:line="360" w:lineRule="auto"/>
              <w:jc w:val="left"/>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8.节能减排</w:t>
            </w:r>
          </w:p>
        </w:tc>
      </w:tr>
      <w:tr w14:paraId="6589F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661F8494">
            <w:pPr>
              <w:bidi w:val="0"/>
              <w:spacing w:line="360" w:lineRule="auto"/>
              <w:jc w:val="left"/>
              <w:rPr>
                <w:rFonts w:hint="default" w:ascii="Times New Roman" w:hAnsi="Times New Roman" w:cs="Times New Roman" w:eastAsiaTheme="minorEastAsia"/>
                <w:b/>
                <w:bCs/>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8.2节能降耗</w:t>
            </w:r>
          </w:p>
        </w:tc>
      </w:tr>
      <w:tr w14:paraId="5E70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6DC9EF75">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8.2.1 应通过综合评价资源、能耗、经济和环境，合理确定开采方式，降低采矿能耗；选矿工艺流程宜采用“联合选矿”，遵循“多碎少磨”等原则，提高生产效率，降低选矿能耗。</w:t>
            </w:r>
          </w:p>
        </w:tc>
        <w:tc>
          <w:tcPr>
            <w:tcW w:w="2654" w:type="dxa"/>
            <w:vAlign w:val="center"/>
          </w:tcPr>
          <w:p w14:paraId="06FDCE5A">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本项目破碎区设置二级破碎，分别为粗破、细破，遵循了“多碎少磨”原则；项目选矿回收率为95%，满足本规范中附录A要求。</w:t>
            </w:r>
            <w:r>
              <w:rPr>
                <w:rFonts w:hint="default" w:ascii="Times New Roman" w:hAnsi="Times New Roman" w:cs="Times New Roman" w:eastAsiaTheme="minorEastAsia"/>
                <w:sz w:val="21"/>
                <w:szCs w:val="21"/>
                <w:lang w:val="en-US" w:eastAsia="zh-CN"/>
              </w:rPr>
              <w:t>项目年用电量为800万kW·h/a，年处理原矿量为20万t/a，则</w:t>
            </w:r>
            <w:r>
              <w:rPr>
                <w:rFonts w:hint="default" w:ascii="Times New Roman" w:hAnsi="Times New Roman" w:cs="Times New Roman" w:eastAsiaTheme="minorEastAsia"/>
                <w:sz w:val="21"/>
                <w:szCs w:val="21"/>
              </w:rPr>
              <w:t>矿石耗用电量</w:t>
            </w:r>
            <w:r>
              <w:rPr>
                <w:rFonts w:hint="default" w:ascii="Times New Roman" w:hAnsi="Times New Roman" w:cs="Times New Roman" w:eastAsiaTheme="minorEastAsia"/>
                <w:sz w:val="21"/>
                <w:szCs w:val="21"/>
                <w:lang w:val="en-US" w:eastAsia="zh-CN"/>
              </w:rPr>
              <w:t>为40</w:t>
            </w:r>
            <w:r>
              <w:rPr>
                <w:rFonts w:hint="default" w:ascii="Times New Roman" w:hAnsi="Times New Roman" w:cs="Times New Roman" w:eastAsiaTheme="minorEastAsia"/>
                <w:sz w:val="21"/>
                <w:szCs w:val="21"/>
              </w:rPr>
              <w:t>千瓦时/吨</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lang w:val="en-US" w:eastAsia="zh-CN"/>
              </w:rPr>
              <w:t>满足《工业和信息化部关于促进黄金行业持续健康发展的指导意见》（工信部原[2012]531号）中45</w:t>
            </w:r>
            <w:r>
              <w:rPr>
                <w:rFonts w:hint="default" w:ascii="Times New Roman" w:hAnsi="Times New Roman" w:cs="Times New Roman" w:eastAsiaTheme="minorEastAsia"/>
                <w:sz w:val="21"/>
                <w:szCs w:val="21"/>
              </w:rPr>
              <w:t>千瓦时/吨</w:t>
            </w:r>
            <w:r>
              <w:rPr>
                <w:rFonts w:hint="default" w:ascii="Times New Roman" w:hAnsi="Times New Roman" w:cs="Times New Roman" w:eastAsiaTheme="minorEastAsia"/>
                <w:sz w:val="21"/>
                <w:szCs w:val="21"/>
                <w:lang w:val="en-US" w:eastAsia="zh-CN"/>
              </w:rPr>
              <w:t>的限值要求</w:t>
            </w:r>
          </w:p>
        </w:tc>
        <w:tc>
          <w:tcPr>
            <w:tcW w:w="1781" w:type="dxa"/>
            <w:vAlign w:val="center"/>
          </w:tcPr>
          <w:p w14:paraId="1EE162DD">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1EF8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75C7EA4C">
            <w:pPr>
              <w:keepNext w:val="0"/>
              <w:keepLines w:val="0"/>
              <w:widowControl/>
              <w:suppressLineNumbers w:val="0"/>
              <w:jc w:val="both"/>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8.3 固体废弃物排放</w:t>
            </w:r>
          </w:p>
        </w:tc>
      </w:tr>
      <w:tr w14:paraId="563F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724616D1">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8.3.1 应选用先进合理的采、选工艺，减少固体废弃物的产生。</w:t>
            </w:r>
          </w:p>
        </w:tc>
        <w:tc>
          <w:tcPr>
            <w:tcW w:w="2654" w:type="dxa"/>
            <w:vAlign w:val="center"/>
          </w:tcPr>
          <w:p w14:paraId="3EB49FDA">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本项目采用浮选工艺，固废产生量较小。</w:t>
            </w:r>
          </w:p>
        </w:tc>
        <w:tc>
          <w:tcPr>
            <w:tcW w:w="1781" w:type="dxa"/>
            <w:vAlign w:val="center"/>
          </w:tcPr>
          <w:p w14:paraId="58E516B5">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31EE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5B011A53">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8.3.2 矿山生产过程产生的废石、尾矿及氰渣应有专用贮存、处置场所，其建设、运行和监督管理应符合GB 18599的规定。</w:t>
            </w:r>
          </w:p>
        </w:tc>
        <w:tc>
          <w:tcPr>
            <w:tcW w:w="2654" w:type="dxa"/>
            <w:vAlign w:val="center"/>
          </w:tcPr>
          <w:p w14:paraId="493FB6F5">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本项目尾矿采用干排方式，暂存于干排车间内尾矿暂存处，干排车间为封闭结构，地面做重点防渗。</w:t>
            </w:r>
          </w:p>
        </w:tc>
        <w:tc>
          <w:tcPr>
            <w:tcW w:w="1781" w:type="dxa"/>
            <w:vAlign w:val="center"/>
          </w:tcPr>
          <w:p w14:paraId="6299E7B9">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1A79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3C3E7AE3">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8.3.3 宜对尾矿进行干式排放，减少尾矿库占地面积。</w:t>
            </w:r>
          </w:p>
        </w:tc>
        <w:tc>
          <w:tcPr>
            <w:tcW w:w="2654" w:type="dxa"/>
            <w:vAlign w:val="center"/>
          </w:tcPr>
          <w:p w14:paraId="4A920424">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本项目尾矿采用干排方式，不设置尾矿库，干排尾矿暂存于干排车间内尾矿暂存处。</w:t>
            </w:r>
          </w:p>
        </w:tc>
        <w:tc>
          <w:tcPr>
            <w:tcW w:w="1781" w:type="dxa"/>
            <w:vAlign w:val="center"/>
          </w:tcPr>
          <w:p w14:paraId="42BE34E8">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2BA9B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25C052FD">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8.3.5 矿山生活垃圾应集中、无害化处置。</w:t>
            </w:r>
          </w:p>
        </w:tc>
        <w:tc>
          <w:tcPr>
            <w:tcW w:w="2654" w:type="dxa"/>
            <w:vAlign w:val="center"/>
          </w:tcPr>
          <w:p w14:paraId="19CA8FA3">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本项目新增的生活垃圾委托环卫部门处理。</w:t>
            </w:r>
          </w:p>
        </w:tc>
        <w:tc>
          <w:tcPr>
            <w:tcW w:w="1781" w:type="dxa"/>
            <w:vAlign w:val="center"/>
          </w:tcPr>
          <w:p w14:paraId="13EF263B">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69D3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335FD5D0">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8.3.6 固体废弃物的处置率应达到100%。</w:t>
            </w:r>
          </w:p>
        </w:tc>
        <w:tc>
          <w:tcPr>
            <w:tcW w:w="2654" w:type="dxa"/>
            <w:vAlign w:val="center"/>
          </w:tcPr>
          <w:p w14:paraId="7D40A75F">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本项目固废均得到合理处置，处置率可到100%。</w:t>
            </w:r>
          </w:p>
        </w:tc>
        <w:tc>
          <w:tcPr>
            <w:tcW w:w="1781" w:type="dxa"/>
            <w:vAlign w:val="center"/>
          </w:tcPr>
          <w:p w14:paraId="28BC89CE">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558F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top"/>
          </w:tcPr>
          <w:p w14:paraId="26B3DFEB">
            <w:pPr>
              <w:bidi w:val="0"/>
              <w:spacing w:line="360" w:lineRule="auto"/>
              <w:jc w:val="both"/>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8.4 污水排放</w:t>
            </w:r>
          </w:p>
        </w:tc>
      </w:tr>
      <w:tr w14:paraId="1F22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1C330467">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8.4.1 矿山应单独或联合建立污水处理站，同时实现雨污分流、清污分流。</w:t>
            </w:r>
          </w:p>
        </w:tc>
        <w:tc>
          <w:tcPr>
            <w:tcW w:w="2654" w:type="dxa"/>
            <w:vAlign w:val="center"/>
          </w:tcPr>
          <w:p w14:paraId="04D3A45F">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本项目生产废水不外排，废水经厂内循环水池沉淀后可满足回用要求。</w:t>
            </w:r>
          </w:p>
        </w:tc>
        <w:tc>
          <w:tcPr>
            <w:tcW w:w="1781" w:type="dxa"/>
            <w:vAlign w:val="center"/>
          </w:tcPr>
          <w:p w14:paraId="1ED6BA59">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7E00D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75770FDA">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8.4.2 矿区尾矿及氰渣堆存场所、污水处理站前应设置截（排）水沟。</w:t>
            </w:r>
          </w:p>
        </w:tc>
        <w:tc>
          <w:tcPr>
            <w:tcW w:w="2654" w:type="dxa"/>
            <w:vAlign w:val="center"/>
          </w:tcPr>
          <w:p w14:paraId="17D08332">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项目尾矿暂存于干排车间内，按要求在干排车间前设置排水沟。</w:t>
            </w:r>
          </w:p>
        </w:tc>
        <w:tc>
          <w:tcPr>
            <w:tcW w:w="1781" w:type="dxa"/>
            <w:vAlign w:val="center"/>
          </w:tcPr>
          <w:p w14:paraId="1208F2F1">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5C48F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706F5C4C">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8.4.3 采、选过程中产生的废水应合理处置，实现达标排放。</w:t>
            </w:r>
          </w:p>
        </w:tc>
        <w:tc>
          <w:tcPr>
            <w:tcW w:w="2654" w:type="dxa"/>
            <w:vAlign w:val="center"/>
          </w:tcPr>
          <w:p w14:paraId="0C116319">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项目生产废水不外排，废水经厂内循环水池沉淀后可回用；生活污水依托现有防渗旱厕处理，定期清掏不外排。</w:t>
            </w:r>
          </w:p>
        </w:tc>
        <w:tc>
          <w:tcPr>
            <w:tcW w:w="1781" w:type="dxa"/>
            <w:vAlign w:val="center"/>
          </w:tcPr>
          <w:p w14:paraId="25A6C045">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r w14:paraId="3C8A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vAlign w:val="center"/>
          </w:tcPr>
          <w:p w14:paraId="42679420">
            <w:pPr>
              <w:keepNext w:val="0"/>
              <w:keepLines w:val="0"/>
              <w:widowControl/>
              <w:suppressLineNumbers w:val="0"/>
              <w:jc w:val="both"/>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b/>
                <w:bCs/>
                <w:color w:val="000000"/>
                <w:kern w:val="0"/>
                <w:sz w:val="21"/>
                <w:szCs w:val="21"/>
                <w:lang w:val="en-US" w:eastAsia="zh-CN" w:bidi="ar"/>
              </w:rPr>
              <w:t>8.5 粉尘和废气排放</w:t>
            </w:r>
          </w:p>
        </w:tc>
      </w:tr>
      <w:tr w14:paraId="0D94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85" w:type="dxa"/>
            <w:vAlign w:val="center"/>
          </w:tcPr>
          <w:p w14:paraId="5FC67554">
            <w:pPr>
              <w:keepNext w:val="0"/>
              <w:keepLines w:val="0"/>
              <w:widowControl/>
              <w:suppressLineNumbers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8.5.2 应对爆破、装运过程中产生的粉尘进行喷雾洒水，有效控制粉尘排放。</w:t>
            </w:r>
          </w:p>
        </w:tc>
        <w:tc>
          <w:tcPr>
            <w:tcW w:w="2654" w:type="dxa"/>
            <w:vAlign w:val="center"/>
          </w:tcPr>
          <w:p w14:paraId="204479E7">
            <w:pPr>
              <w:bidi w:val="0"/>
              <w:spacing w:line="360" w:lineRule="auto"/>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本项目在装运过程中采取洒水降尘、降低卸料高度等措施，可有效控制粉尘排放。</w:t>
            </w:r>
          </w:p>
        </w:tc>
        <w:tc>
          <w:tcPr>
            <w:tcW w:w="1781" w:type="dxa"/>
            <w:vAlign w:val="center"/>
          </w:tcPr>
          <w:p w14:paraId="56EE8D7F">
            <w:pPr>
              <w:bidi w:val="0"/>
              <w:spacing w:line="360" w:lineRule="auto"/>
              <w:jc w:val="center"/>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相符</w:t>
            </w:r>
          </w:p>
        </w:tc>
      </w:tr>
    </w:tbl>
    <w:p w14:paraId="43DA19FD">
      <w:pPr>
        <w:pStyle w:val="5"/>
        <w:bidi w:val="0"/>
        <w:rPr>
          <w:rFonts w:hint="default"/>
          <w:lang w:val="en-US"/>
        </w:rPr>
      </w:pPr>
      <w:r>
        <w:rPr>
          <w:rFonts w:hint="eastAsia"/>
          <w:lang w:val="en-US" w:eastAsia="zh-CN"/>
        </w:rPr>
        <w:t xml:space="preserve">11.6.3与《关于进一步加强重金属污染防控的意见》（环固体 </w:t>
      </w:r>
      <w:r>
        <w:rPr>
          <w:rFonts w:hint="default"/>
          <w:lang w:val="en-US" w:eastAsia="zh-CN"/>
        </w:rPr>
        <w:t>[2022]17</w:t>
      </w:r>
      <w:r>
        <w:rPr>
          <w:rFonts w:hint="eastAsia"/>
          <w:lang w:val="en-US" w:eastAsia="zh-CN"/>
        </w:rPr>
        <w:t>号）相符性分析</w:t>
      </w:r>
    </w:p>
    <w:p w14:paraId="4C7381B7">
      <w:pPr>
        <w:bidi w:val="0"/>
        <w:spacing w:line="360" w:lineRule="auto"/>
        <w:jc w:val="center"/>
        <w:rPr>
          <w:rFonts w:hint="eastAsia"/>
          <w:b/>
          <w:bCs/>
          <w:sz w:val="24"/>
          <w:szCs w:val="24"/>
          <w:lang w:val="en-US" w:eastAsia="zh-CN"/>
        </w:rPr>
      </w:pPr>
      <w:r>
        <w:rPr>
          <w:rFonts w:hint="eastAsia"/>
          <w:b/>
          <w:bCs/>
          <w:sz w:val="24"/>
          <w:szCs w:val="24"/>
          <w:lang w:val="en-US" w:eastAsia="zh-CN"/>
        </w:rPr>
        <w:t xml:space="preserve">表11.6-3    与《关于进一步加强重金属污染防控的意见》（环固体 </w:t>
      </w:r>
      <w:r>
        <w:rPr>
          <w:rFonts w:hint="default"/>
          <w:b/>
          <w:bCs/>
          <w:sz w:val="24"/>
          <w:szCs w:val="24"/>
          <w:lang w:val="en-US" w:eastAsia="zh-CN"/>
        </w:rPr>
        <w:t>[2022]17</w:t>
      </w:r>
      <w:r>
        <w:rPr>
          <w:rFonts w:hint="eastAsia"/>
          <w:b/>
          <w:bCs/>
          <w:sz w:val="24"/>
          <w:szCs w:val="24"/>
          <w:lang w:val="en-US" w:eastAsia="zh-CN"/>
        </w:rPr>
        <w:t>号）相符性分析</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8"/>
        <w:gridCol w:w="2527"/>
        <w:gridCol w:w="1885"/>
      </w:tblGrid>
      <w:tr w14:paraId="21BE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3FA516E4">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意见要求</w:t>
            </w:r>
          </w:p>
        </w:tc>
        <w:tc>
          <w:tcPr>
            <w:tcW w:w="2527" w:type="dxa"/>
            <w:vAlign w:val="center"/>
          </w:tcPr>
          <w:p w14:paraId="171E9C57">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本项目情况</w:t>
            </w:r>
          </w:p>
        </w:tc>
        <w:tc>
          <w:tcPr>
            <w:tcW w:w="1885" w:type="dxa"/>
            <w:vAlign w:val="center"/>
          </w:tcPr>
          <w:p w14:paraId="2D48E8F0">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b/>
                <w:bCs/>
                <w:sz w:val="21"/>
                <w:szCs w:val="21"/>
                <w:vertAlign w:val="baseline"/>
                <w:lang w:val="en-US" w:eastAsia="zh-CN"/>
              </w:rPr>
            </w:pPr>
            <w:r>
              <w:rPr>
                <w:rFonts w:hint="eastAsia"/>
                <w:b/>
                <w:bCs/>
                <w:sz w:val="21"/>
                <w:szCs w:val="21"/>
                <w:vertAlign w:val="baseline"/>
                <w:lang w:val="en-US" w:eastAsia="zh-CN"/>
              </w:rPr>
              <w:t>相符性</w:t>
            </w:r>
          </w:p>
        </w:tc>
      </w:tr>
      <w:tr w14:paraId="5DEA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51C974BF">
            <w:pPr>
              <w:keepNext w:val="0"/>
              <w:keepLines w:val="0"/>
              <w:widowControl/>
              <w:suppressLineNumbers w:val="0"/>
              <w:spacing w:line="360" w:lineRule="auto"/>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严格重点行业企业准入管理。新、改、扩建重点行业建设项目应符合“三线一单”、产业政策、区域环评、规划环评和行业环境准入管控要求。</w:t>
            </w:r>
          </w:p>
        </w:tc>
        <w:tc>
          <w:tcPr>
            <w:tcW w:w="2527" w:type="dxa"/>
            <w:vAlign w:val="center"/>
          </w:tcPr>
          <w:p w14:paraId="2CD27B01">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经前文分析，本</w:t>
            </w:r>
            <w:r>
              <w:rPr>
                <w:rFonts w:hint="default"/>
                <w:sz w:val="21"/>
                <w:szCs w:val="21"/>
                <w:vertAlign w:val="baseline"/>
                <w:lang w:val="en-US" w:eastAsia="zh-CN"/>
              </w:rPr>
              <w:t>项目建设符合产业政策和行业准入要求，符合“三线一单”管控要求。</w:t>
            </w:r>
          </w:p>
        </w:tc>
        <w:tc>
          <w:tcPr>
            <w:tcW w:w="1885" w:type="dxa"/>
            <w:vAlign w:val="center"/>
          </w:tcPr>
          <w:p w14:paraId="0CD7DA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34F8C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430BFFF2">
            <w:pPr>
              <w:keepNext w:val="0"/>
              <w:keepLines w:val="0"/>
              <w:widowControl/>
              <w:suppressLineNumbers w:val="0"/>
              <w:spacing w:line="360" w:lineRule="auto"/>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推行企业重金属污染物排放总量控制制度。依法将重点行业企业纳入排污许可管理。</w:t>
            </w:r>
          </w:p>
        </w:tc>
        <w:tc>
          <w:tcPr>
            <w:tcW w:w="2527" w:type="dxa"/>
            <w:vAlign w:val="center"/>
          </w:tcPr>
          <w:p w14:paraId="7EC56B38">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本项目严格按照</w:t>
            </w:r>
            <w:r>
              <w:rPr>
                <w:rFonts w:hint="eastAsia" w:ascii="宋体" w:hAnsi="宋体" w:eastAsia="宋体" w:cs="宋体"/>
                <w:color w:val="000000"/>
                <w:kern w:val="0"/>
                <w:sz w:val="21"/>
                <w:szCs w:val="21"/>
                <w:lang w:val="en-US" w:eastAsia="zh-CN" w:bidi="ar"/>
              </w:rPr>
              <w:t>排污许可</w:t>
            </w:r>
            <w:r>
              <w:rPr>
                <w:rFonts w:hint="eastAsia" w:ascii="宋体" w:hAnsi="宋体" w:cs="宋体"/>
                <w:color w:val="000000"/>
                <w:kern w:val="0"/>
                <w:sz w:val="21"/>
                <w:szCs w:val="21"/>
                <w:lang w:val="en-US" w:eastAsia="zh-CN" w:bidi="ar"/>
              </w:rPr>
              <w:t>管理相关要求执行。</w:t>
            </w:r>
          </w:p>
        </w:tc>
        <w:tc>
          <w:tcPr>
            <w:tcW w:w="1885" w:type="dxa"/>
            <w:vAlign w:val="center"/>
          </w:tcPr>
          <w:p w14:paraId="7DC123C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78BE3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38CF70A8">
            <w:pPr>
              <w:keepNext w:val="0"/>
              <w:keepLines w:val="0"/>
              <w:widowControl/>
              <w:suppressLineNumbers w:val="0"/>
              <w:spacing w:line="36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依法推动落后产能退出。根据《产业结构调整指导目录（</w:t>
            </w:r>
            <w:r>
              <w:rPr>
                <w:rFonts w:hint="default" w:ascii="Times New Roman" w:hAnsi="Times New Roman" w:eastAsia="宋体" w:cs="Times New Roman"/>
                <w:color w:val="000000"/>
                <w:kern w:val="0"/>
                <w:sz w:val="21"/>
                <w:szCs w:val="21"/>
                <w:lang w:val="en-US" w:eastAsia="zh-CN" w:bidi="ar"/>
              </w:rPr>
              <w:t>2024</w:t>
            </w:r>
            <w:r>
              <w:rPr>
                <w:rFonts w:hint="eastAsia" w:ascii="宋体" w:hAnsi="宋体" w:eastAsia="宋体" w:cs="宋体"/>
                <w:color w:val="000000"/>
                <w:kern w:val="0"/>
                <w:sz w:val="21"/>
                <w:szCs w:val="21"/>
                <w:lang w:val="en-US" w:eastAsia="zh-CN" w:bidi="ar"/>
              </w:rPr>
              <w:t>年）》等要求，推动依法淘汰涉中金属扩后产能和化解过剩产能。</w:t>
            </w:r>
          </w:p>
        </w:tc>
        <w:tc>
          <w:tcPr>
            <w:tcW w:w="2527" w:type="dxa"/>
            <w:vAlign w:val="center"/>
          </w:tcPr>
          <w:p w14:paraId="29CB3D15">
            <w:pPr>
              <w:keepNext w:val="0"/>
              <w:keepLines w:val="0"/>
              <w:widowControl/>
              <w:suppressLineNumbers w:val="0"/>
              <w:spacing w:line="360" w:lineRule="auto"/>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本项目不属于国家《产业结构调整指导目录（</w:t>
            </w:r>
            <w:r>
              <w:rPr>
                <w:rFonts w:hint="default" w:ascii="Times New Roman" w:hAnsi="Times New Roman" w:eastAsia="宋体" w:cs="Times New Roman"/>
                <w:color w:val="000000"/>
                <w:kern w:val="0"/>
                <w:sz w:val="21"/>
                <w:szCs w:val="21"/>
                <w:lang w:val="en-US" w:eastAsia="zh-CN" w:bidi="ar"/>
              </w:rPr>
              <w:t xml:space="preserve">2024 </w:t>
            </w:r>
            <w:r>
              <w:rPr>
                <w:rFonts w:hint="eastAsia" w:ascii="宋体" w:hAnsi="宋体" w:eastAsia="宋体" w:cs="宋体"/>
                <w:color w:val="000000"/>
                <w:kern w:val="0"/>
                <w:sz w:val="21"/>
                <w:szCs w:val="21"/>
                <w:lang w:val="en-US" w:eastAsia="zh-CN" w:bidi="ar"/>
              </w:rPr>
              <w:t>年本）》中所列的限制类项目，采用的生产工艺、设备和生产的产品不在该目录中所列的落后工艺、装备和产品之列，且符合国家相关法律、法规规定。</w:t>
            </w:r>
          </w:p>
        </w:tc>
        <w:tc>
          <w:tcPr>
            <w:tcW w:w="1885" w:type="dxa"/>
            <w:vAlign w:val="center"/>
          </w:tcPr>
          <w:p w14:paraId="09615E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6932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68A86418">
            <w:pPr>
              <w:keepNext w:val="0"/>
              <w:keepLines w:val="0"/>
              <w:widowControl/>
              <w:suppressLineNumbers w:val="0"/>
              <w:spacing w:line="36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重有色金属矿采选企业要按照规定完善废石堆场、排土场周边雨污分流设施，建设酸性废水收集与处理设施，处理达标后排放。采用洒水、旋风等简易除尘治理工艺的重有色金属矿采选企业，应加强废气收集，实施过滤除尘等颗粒物治理升级改造工程。</w:t>
            </w:r>
          </w:p>
        </w:tc>
        <w:tc>
          <w:tcPr>
            <w:tcW w:w="2527" w:type="dxa"/>
            <w:vAlign w:val="center"/>
          </w:tcPr>
          <w:p w14:paraId="7CF29AFA">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ascii="宋体" w:hAnsi="宋体" w:cs="宋体"/>
                <w:color w:val="000000"/>
                <w:kern w:val="0"/>
                <w:sz w:val="21"/>
                <w:szCs w:val="21"/>
                <w:lang w:val="en-US" w:eastAsia="zh-CN" w:bidi="ar"/>
              </w:rPr>
              <w:t>本项目不涉及</w:t>
            </w:r>
            <w:r>
              <w:rPr>
                <w:rFonts w:hint="eastAsia" w:ascii="宋体" w:hAnsi="宋体" w:eastAsia="宋体" w:cs="宋体"/>
                <w:color w:val="000000"/>
                <w:kern w:val="0"/>
                <w:sz w:val="21"/>
                <w:szCs w:val="21"/>
                <w:lang w:val="en-US" w:eastAsia="zh-CN" w:bidi="ar"/>
              </w:rPr>
              <w:t>废石堆场、排土场</w:t>
            </w:r>
            <w:r>
              <w:rPr>
                <w:rFonts w:hint="eastAsia" w:ascii="宋体" w:hAnsi="宋体" w:cs="宋体"/>
                <w:color w:val="000000"/>
                <w:kern w:val="0"/>
                <w:sz w:val="21"/>
                <w:szCs w:val="21"/>
                <w:lang w:val="en-US" w:eastAsia="zh-CN" w:bidi="ar"/>
              </w:rPr>
              <w:t>；选矿过程中产生的生产废水全部回用，不外排；在破碎区、球磨工序设置集气罩，并配套布袋除尘器。</w:t>
            </w:r>
          </w:p>
        </w:tc>
        <w:tc>
          <w:tcPr>
            <w:tcW w:w="1885" w:type="dxa"/>
            <w:vAlign w:val="center"/>
          </w:tcPr>
          <w:p w14:paraId="7F5C51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4A51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5B84C347">
            <w:pPr>
              <w:keepNext w:val="0"/>
              <w:keepLines w:val="0"/>
              <w:widowControl/>
              <w:suppressLineNumbers w:val="0"/>
              <w:spacing w:line="36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加强涉重金属固体废物环境管理。加强重点行业企业废渣场环境管理，完善防渗漏、防流失、防扬散等措施。</w:t>
            </w:r>
          </w:p>
        </w:tc>
        <w:tc>
          <w:tcPr>
            <w:tcW w:w="2527" w:type="dxa"/>
            <w:vAlign w:val="center"/>
          </w:tcPr>
          <w:p w14:paraId="70488B7D">
            <w:pPr>
              <w:keepNext w:val="0"/>
              <w:keepLines w:val="0"/>
              <w:widowControl/>
              <w:suppressLineNumbers w:val="0"/>
              <w:spacing w:line="360" w:lineRule="auto"/>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本项目产生尾矿采取干排方式，外运作为建筑材料原料综合利用。暂存在干排车间内尾矿暂存处，干排车间为封闭式，地面按要求做重点防渗。</w:t>
            </w:r>
          </w:p>
        </w:tc>
        <w:tc>
          <w:tcPr>
            <w:tcW w:w="1885" w:type="dxa"/>
            <w:vAlign w:val="center"/>
          </w:tcPr>
          <w:p w14:paraId="10819BF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07627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8" w:type="dxa"/>
            <w:vAlign w:val="center"/>
          </w:tcPr>
          <w:p w14:paraId="71FB751A">
            <w:pPr>
              <w:keepNext w:val="0"/>
              <w:keepLines w:val="0"/>
              <w:widowControl/>
              <w:suppressLineNumbers w:val="0"/>
              <w:spacing w:line="360" w:lineRule="auto"/>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强化涉重金属污染应急管理。重点行业企业应依法依规完善环境风险防范和环境安全隐患排查治理措施，制定环境应急预案，储备相关应急物资，定期开展应急演练。</w:t>
            </w:r>
          </w:p>
        </w:tc>
        <w:tc>
          <w:tcPr>
            <w:tcW w:w="2527" w:type="dxa"/>
            <w:vAlign w:val="center"/>
          </w:tcPr>
          <w:p w14:paraId="140FA28D">
            <w:pPr>
              <w:keepNext w:val="0"/>
              <w:keepLines w:val="0"/>
              <w:widowControl/>
              <w:suppressLineNumbers w:val="0"/>
              <w:spacing w:line="360" w:lineRule="auto"/>
              <w:jc w:val="center"/>
              <w:rPr>
                <w:rFonts w:hint="default"/>
                <w:sz w:val="21"/>
                <w:szCs w:val="21"/>
                <w:vertAlign w:val="baseline"/>
                <w:lang w:val="en-US" w:eastAsia="zh-CN"/>
              </w:rPr>
            </w:pPr>
            <w:r>
              <w:rPr>
                <w:rFonts w:hint="eastAsia" w:ascii="宋体" w:hAnsi="宋体" w:eastAsia="宋体" w:cs="宋体"/>
                <w:color w:val="000000"/>
                <w:kern w:val="0"/>
                <w:sz w:val="21"/>
                <w:szCs w:val="21"/>
                <w:lang w:val="en-US" w:eastAsia="zh-CN" w:bidi="ar"/>
              </w:rPr>
              <w:t>本项目建成后，按要求制定环境应急预案，储备相关应急物资，定期开展应急演练。</w:t>
            </w:r>
          </w:p>
        </w:tc>
        <w:tc>
          <w:tcPr>
            <w:tcW w:w="1885" w:type="dxa"/>
            <w:vAlign w:val="center"/>
          </w:tcPr>
          <w:p w14:paraId="3A8CB9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bl>
    <w:p w14:paraId="39A4331D">
      <w:pPr>
        <w:pStyle w:val="5"/>
        <w:bidi w:val="0"/>
      </w:pPr>
      <w:r>
        <w:rPr>
          <w:rFonts w:hint="eastAsia"/>
          <w:lang w:val="en-US" w:eastAsia="zh-CN"/>
        </w:rPr>
        <w:t>11.6.4与《工业和信息化部关于促进黄金行业持续健康发展的指导意见》（工信部原[2012]531号）符合性分析</w:t>
      </w:r>
    </w:p>
    <w:p w14:paraId="1CA96E89">
      <w:pPr>
        <w:pStyle w:val="50"/>
        <w:spacing w:line="360" w:lineRule="auto"/>
        <w:ind w:firstLine="360"/>
        <w:rPr>
          <w:rFonts w:hint="eastAsia"/>
          <w:sz w:val="24"/>
          <w:szCs w:val="24"/>
          <w:lang w:val="en-US" w:eastAsia="zh-CN"/>
        </w:rPr>
      </w:pPr>
      <w:r>
        <w:rPr>
          <w:rFonts w:hint="eastAsia"/>
          <w:sz w:val="24"/>
          <w:szCs w:val="24"/>
          <w:lang w:val="en-US" w:eastAsia="zh-CN"/>
        </w:rPr>
        <w:t>本项目与《工业和信息化部关于促进黄金行业持续健康发展的指导意见》（工信部原[2012]531号）的相符性分析见下表。</w:t>
      </w:r>
    </w:p>
    <w:p w14:paraId="78EE9658">
      <w:pPr>
        <w:spacing w:line="360" w:lineRule="auto"/>
        <w:jc w:val="center"/>
        <w:rPr>
          <w:rFonts w:hint="eastAsia"/>
          <w:b/>
          <w:bCs/>
          <w:sz w:val="24"/>
          <w:szCs w:val="24"/>
          <w:lang w:val="en-US" w:eastAsia="zh-CN"/>
        </w:rPr>
      </w:pPr>
      <w:r>
        <w:rPr>
          <w:rFonts w:hint="eastAsia"/>
          <w:b/>
          <w:bCs/>
          <w:sz w:val="24"/>
          <w:szCs w:val="32"/>
          <w:lang w:val="en-US" w:eastAsia="zh-CN"/>
        </w:rPr>
        <w:t>表11.6-4</w:t>
      </w:r>
      <w:r>
        <w:rPr>
          <w:rFonts w:hint="eastAsia"/>
          <w:b/>
          <w:bCs/>
          <w:lang w:val="en-US" w:eastAsia="zh-CN"/>
        </w:rPr>
        <w:t xml:space="preserve">   </w:t>
      </w:r>
      <w:r>
        <w:rPr>
          <w:rFonts w:hint="eastAsia"/>
          <w:b/>
          <w:bCs/>
          <w:sz w:val="24"/>
          <w:szCs w:val="24"/>
          <w:lang w:val="en-US" w:eastAsia="zh-CN"/>
        </w:rPr>
        <w:t>本项目与《工业和信息化部关于促进黄金行业持续健康发展的指导意见》的相符性分析一览表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4"/>
        <w:gridCol w:w="2493"/>
        <w:gridCol w:w="1873"/>
      </w:tblGrid>
      <w:tr w14:paraId="2D316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14:paraId="264D1C18">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意见要求</w:t>
            </w:r>
          </w:p>
        </w:tc>
        <w:tc>
          <w:tcPr>
            <w:tcW w:w="2493" w:type="dxa"/>
          </w:tcPr>
          <w:p w14:paraId="5A09D812">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本项目情况</w:t>
            </w:r>
          </w:p>
        </w:tc>
        <w:tc>
          <w:tcPr>
            <w:tcW w:w="1873" w:type="dxa"/>
          </w:tcPr>
          <w:p w14:paraId="3F4C0E16">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相符性</w:t>
            </w:r>
          </w:p>
        </w:tc>
      </w:tr>
      <w:tr w14:paraId="7615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68B02AC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（四）主要任务</w:t>
            </w:r>
          </w:p>
        </w:tc>
      </w:tr>
      <w:tr w14:paraId="78FF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79188BD3">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（二）促进资源节约与节能减排</w:t>
            </w:r>
          </w:p>
        </w:tc>
      </w:tr>
      <w:tr w14:paraId="1806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14:paraId="45BE22F3">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sz w:val="21"/>
                <w:szCs w:val="21"/>
              </w:rPr>
              <w:t>黄金生产企业要把资源节约、节能减排、发展循环经济放在突出的位置。黄金矿产地下开采回采率达到80%以上、贫化率不超过15%， 露天矿山回采率达到85%以上、贫化率不超过5%。鼓励低品位矿、共伴生矿、难处理矿、尾矿等资源开发利用，促进黄金矿山及冶炼企 业原料中各种有价元素的回收、尾矿综合利用、冶炼渣综合利用以及冶炼余热利用。易处理金矿及低品位、难处理金矿资源的选冶综合回收率分别不低于85%和70%，水循环利用率不低于90%。地下矿山、露采矿山的采矿综合能耗分别低于7千克标准煤/吨矿和1.3千克标准煤/吨矿。黄金选矿综合能耗低于12千克标准煤/吨矿，矿石耗用电量低于45千瓦时/吨。</w:t>
            </w:r>
          </w:p>
        </w:tc>
        <w:tc>
          <w:tcPr>
            <w:tcW w:w="2493" w:type="dxa"/>
          </w:tcPr>
          <w:p w14:paraId="0BEE705F">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本项目仅为选矿，不实际采矿，项目浮选过程中产生的尾矿采取干排方式，暂存于干排车间内尾矿暂存处，委托处置，综合利用；</w:t>
            </w:r>
            <w:r>
              <w:rPr>
                <w:rFonts w:hint="eastAsia" w:ascii="Times New Roman" w:hAnsi="Times New Roman" w:cs="Times New Roman"/>
                <w:sz w:val="21"/>
                <w:szCs w:val="21"/>
                <w:lang w:val="en-US" w:eastAsia="zh-CN"/>
              </w:rPr>
              <w:t>项目</w:t>
            </w:r>
            <w:r>
              <w:rPr>
                <w:rFonts w:hint="eastAsia" w:ascii="Times New Roman" w:hAnsi="Times New Roman" w:eastAsia="宋体" w:cs="Times New Roman"/>
                <w:sz w:val="21"/>
                <w:szCs w:val="21"/>
                <w:lang w:val="en-US" w:eastAsia="zh-CN"/>
              </w:rPr>
              <w:t>年用电量为800万kW·h/a，年处理原矿量为20万t/a，则</w:t>
            </w:r>
            <w:r>
              <w:rPr>
                <w:rFonts w:hint="default" w:ascii="Times New Roman" w:hAnsi="Times New Roman" w:eastAsia="宋体" w:cs="Times New Roman"/>
                <w:sz w:val="21"/>
                <w:szCs w:val="21"/>
              </w:rPr>
              <w:t>矿石耗用电量</w:t>
            </w:r>
            <w:r>
              <w:rPr>
                <w:rFonts w:hint="eastAsia" w:ascii="Times New Roman" w:hAnsi="Times New Roman" w:eastAsia="宋体" w:cs="Times New Roman"/>
                <w:sz w:val="21"/>
                <w:szCs w:val="21"/>
                <w:lang w:val="en-US" w:eastAsia="zh-CN"/>
              </w:rPr>
              <w:t>为40＜45</w:t>
            </w:r>
            <w:r>
              <w:rPr>
                <w:rFonts w:hint="default" w:ascii="Times New Roman" w:hAnsi="Times New Roman" w:eastAsia="宋体" w:cs="Times New Roman"/>
                <w:sz w:val="21"/>
                <w:szCs w:val="21"/>
              </w:rPr>
              <w:t>千瓦时/吨</w:t>
            </w:r>
            <w:r>
              <w:rPr>
                <w:rFonts w:hint="eastAsia" w:cs="Times New Roman"/>
                <w:sz w:val="21"/>
                <w:szCs w:val="21"/>
                <w:lang w:eastAsia="zh-CN"/>
              </w:rPr>
              <w:t>。</w:t>
            </w:r>
          </w:p>
        </w:tc>
        <w:tc>
          <w:tcPr>
            <w:tcW w:w="1873" w:type="dxa"/>
          </w:tcPr>
          <w:p w14:paraId="3B4174A6">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相符</w:t>
            </w:r>
          </w:p>
        </w:tc>
      </w:tr>
      <w:tr w14:paraId="5AA3D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3688819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b/>
                <w:bCs/>
                <w:sz w:val="21"/>
                <w:szCs w:val="21"/>
                <w:vertAlign w:val="baseline"/>
                <w:lang w:val="en-US" w:eastAsia="zh-CN"/>
              </w:rPr>
              <w:t>（四）加快企业技术改造</w:t>
            </w:r>
          </w:p>
        </w:tc>
      </w:tr>
      <w:tr w14:paraId="5E80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14:paraId="41C34B2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依靠法律、经济和必要的行政手段，坚决淘汰混汞提金工艺、小氰化池浸工艺、土法冶炼工艺以及日处理能力50吨以下采选项目。鼓励企业积极研发和采用先进适用技术改造落后黄金采矿、选矿、冶炼 生产能力，实现节能减排和提高资源综合利用水平。依靠技术进步， 积极开展黄金高附加值产品开发。依托龙头骨干企业，在有条件的地区建设新的大型黄金生产基地，扩大规模，增加产量。</w:t>
            </w:r>
          </w:p>
        </w:tc>
        <w:tc>
          <w:tcPr>
            <w:tcW w:w="2493" w:type="dxa"/>
          </w:tcPr>
          <w:p w14:paraId="59EC483D">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本项目采用浮选工艺，不涉及本条款所列的淘汰工艺，项目年处理矿石量为20万t/a，年工作300天，日处理能力为666.67t/d，远大于50t/d。</w:t>
            </w:r>
          </w:p>
        </w:tc>
        <w:tc>
          <w:tcPr>
            <w:tcW w:w="1873" w:type="dxa"/>
          </w:tcPr>
          <w:p w14:paraId="5BD106A8">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相符</w:t>
            </w:r>
          </w:p>
        </w:tc>
      </w:tr>
      <w:tr w14:paraId="55AE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5EEB3462">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vertAlign w:val="baseline"/>
                <w:lang w:val="en-US" w:eastAsia="zh-CN"/>
              </w:rPr>
              <w:t>五、保障措施</w:t>
            </w:r>
          </w:p>
        </w:tc>
      </w:tr>
      <w:tr w14:paraId="2D12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0243D7D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1"/>
                <w:szCs w:val="21"/>
                <w:vertAlign w:val="baseline"/>
                <w:lang w:val="en-US" w:eastAsia="zh-CN"/>
              </w:rPr>
            </w:pPr>
            <w:r>
              <w:rPr>
                <w:rFonts w:hint="default" w:ascii="Times New Roman" w:hAnsi="Times New Roman" w:cs="Times New Roman"/>
                <w:b/>
                <w:bCs/>
                <w:sz w:val="21"/>
                <w:szCs w:val="21"/>
                <w:vertAlign w:val="baseline"/>
                <w:lang w:val="en-US" w:eastAsia="zh-CN"/>
              </w:rPr>
              <w:t>（二）提高行业准入规模</w:t>
            </w:r>
          </w:p>
        </w:tc>
      </w:tr>
      <w:tr w14:paraId="5B050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54" w:type="dxa"/>
          </w:tcPr>
          <w:p w14:paraId="7B324961">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default" w:ascii="Times New Roman" w:hAnsi="Times New Roman" w:cs="Times New Roman"/>
                <w:sz w:val="21"/>
                <w:szCs w:val="21"/>
                <w:vertAlign w:val="baseline"/>
                <w:lang w:val="en-US" w:eastAsia="zh-CN"/>
              </w:rPr>
              <w:t>为提高黄金资源开发利用水平，要进一步提高企业生产经营规模。黄金采、选、冶企业最小规模为：露采矿山现有200吨/日，新建300吨/日，地下矿山现有及新建100吨/日；无配套采矿系统的独立选矿厂现有200吨/日，新建300吨/日；原料自供能力不足50％的独立氰化企 业现有100吨/日，新建200吨/日；无配套采矿系统的独立堆浸现有750 吨/日，新建1500吨/日；无配套采矿系统的独立黄金冶炼厂现有精矿处理能力100吨/日，新建200吨/日。</w:t>
            </w:r>
          </w:p>
        </w:tc>
        <w:tc>
          <w:tcPr>
            <w:tcW w:w="2493" w:type="dxa"/>
          </w:tcPr>
          <w:p w14:paraId="6029CBC0">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项目年处理矿石量为20万t/a，年工作300天，日处理能力为666.67t/d，</w:t>
            </w:r>
            <w:r>
              <w:rPr>
                <w:rFonts w:hint="eastAsia" w:cs="Times New Roman"/>
                <w:sz w:val="21"/>
                <w:szCs w:val="21"/>
                <w:vertAlign w:val="baseline"/>
                <w:lang w:val="en-US" w:eastAsia="zh-CN"/>
              </w:rPr>
              <w:t>远高于本条款要求的最小规模。</w:t>
            </w:r>
          </w:p>
        </w:tc>
        <w:tc>
          <w:tcPr>
            <w:tcW w:w="1873" w:type="dxa"/>
          </w:tcPr>
          <w:p w14:paraId="59532C72">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相符</w:t>
            </w:r>
          </w:p>
        </w:tc>
      </w:tr>
    </w:tbl>
    <w:p w14:paraId="2560ECAC">
      <w:pPr>
        <w:pStyle w:val="50"/>
        <w:keepNext w:val="0"/>
        <w:keepLines w:val="0"/>
        <w:pageBreakBefore w:val="0"/>
        <w:widowControl w:val="0"/>
        <w:kinsoku/>
        <w:wordWrap/>
        <w:overflowPunct/>
        <w:topLinePunct w:val="0"/>
        <w:autoSpaceDE/>
        <w:autoSpaceDN/>
        <w:bidi w:val="0"/>
        <w:adjustRightInd/>
        <w:snapToGrid/>
        <w:spacing w:line="360" w:lineRule="auto"/>
        <w:ind w:firstLine="450"/>
        <w:textAlignment w:val="auto"/>
        <w:rPr>
          <w:rFonts w:hint="eastAsia"/>
          <w:sz w:val="24"/>
          <w:szCs w:val="24"/>
          <w:lang w:val="en-US" w:eastAsia="zh-CN"/>
        </w:rPr>
      </w:pPr>
      <w:r>
        <w:rPr>
          <w:rFonts w:hint="eastAsia"/>
          <w:sz w:val="24"/>
          <w:szCs w:val="24"/>
          <w:lang w:val="en-US" w:eastAsia="zh-CN"/>
        </w:rPr>
        <w:t>由上表可知，本项目与《工业和信息化部关于促进黄金行业持续健康发展的指导意见》（工信部原[2012]531号）相符。</w:t>
      </w:r>
    </w:p>
    <w:p w14:paraId="7F410A5F">
      <w:pPr>
        <w:pStyle w:val="5"/>
        <w:bidi w:val="0"/>
      </w:pPr>
      <w:r>
        <w:rPr>
          <w:rFonts w:hint="eastAsia"/>
          <w:lang w:val="en-US" w:eastAsia="zh-CN"/>
        </w:rPr>
        <w:t>11.6.5与《金矿资源合理开发利用</w:t>
      </w:r>
      <w:r>
        <w:rPr>
          <w:lang w:val="en-US" w:eastAsia="zh-CN"/>
        </w:rPr>
        <w:t>“</w:t>
      </w:r>
      <w:r>
        <w:rPr>
          <w:rFonts w:hint="eastAsia"/>
          <w:lang w:val="en-US" w:eastAsia="zh-CN"/>
        </w:rPr>
        <w:t>三率</w:t>
      </w:r>
      <w:r>
        <w:rPr>
          <w:rFonts w:hint="default"/>
          <w:lang w:val="en-US" w:eastAsia="zh-CN"/>
        </w:rPr>
        <w:t>”</w:t>
      </w:r>
      <w:r>
        <w:rPr>
          <w:rFonts w:hint="eastAsia"/>
          <w:lang w:val="en-US" w:eastAsia="zh-CN"/>
        </w:rPr>
        <w:t>指标要求（试行）》符合性分析</w:t>
      </w:r>
    </w:p>
    <w:p w14:paraId="1C7B111E">
      <w:pPr>
        <w:keepNext w:val="0"/>
        <w:keepLines w:val="0"/>
        <w:widowControl/>
        <w:suppressLineNumbers w:val="0"/>
        <w:jc w:val="center"/>
        <w:rPr>
          <w:rFonts w:hint="eastAsia" w:ascii="宋体" w:hAnsi="宋体" w:eastAsia="宋体" w:cs="宋体"/>
          <w:b/>
          <w:bCs/>
          <w:color w:val="000000"/>
          <w:kern w:val="0"/>
          <w:sz w:val="24"/>
          <w:szCs w:val="24"/>
          <w:lang w:val="en-US" w:eastAsia="zh-CN" w:bidi="ar"/>
        </w:rPr>
      </w:pPr>
      <w:r>
        <w:rPr>
          <w:rFonts w:hint="eastAsia"/>
          <w:b/>
          <w:bCs/>
          <w:sz w:val="24"/>
          <w:szCs w:val="24"/>
          <w:lang w:val="en-US" w:eastAsia="zh-CN"/>
        </w:rPr>
        <w:t>表11.6-5  本项目</w:t>
      </w:r>
      <w:r>
        <w:rPr>
          <w:rFonts w:hint="eastAsia" w:ascii="宋体" w:hAnsi="宋体" w:eastAsia="宋体" w:cs="宋体"/>
          <w:b/>
          <w:bCs/>
          <w:color w:val="000000"/>
          <w:kern w:val="0"/>
          <w:sz w:val="24"/>
          <w:szCs w:val="24"/>
          <w:lang w:val="en-US" w:eastAsia="zh-CN" w:bidi="ar"/>
        </w:rPr>
        <w:t>与《金矿资源合理开发利用</w:t>
      </w:r>
      <w:r>
        <w:rPr>
          <w:rFonts w:ascii="TimesNewRomanPS-BoldMT" w:hAnsi="TimesNewRomanPS-BoldMT" w:eastAsia="TimesNewRomanPS-BoldMT" w:cs="TimesNewRomanPS-BoldMT"/>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三率</w:t>
      </w:r>
      <w:r>
        <w:rPr>
          <w:rFonts w:hint="default" w:ascii="TimesNewRomanPS-BoldMT" w:hAnsi="TimesNewRomanPS-BoldMT" w:eastAsia="TimesNewRomanPS-BoldMT" w:cs="TimesNewRomanPS-BoldMT"/>
          <w:b/>
          <w:bCs/>
          <w:color w:val="000000"/>
          <w:kern w:val="0"/>
          <w:sz w:val="24"/>
          <w:szCs w:val="24"/>
          <w:lang w:val="en-US" w:eastAsia="zh-CN" w:bidi="ar"/>
        </w:rPr>
        <w:t>”</w:t>
      </w:r>
      <w:r>
        <w:rPr>
          <w:rFonts w:hint="eastAsia" w:ascii="宋体" w:hAnsi="宋体" w:eastAsia="宋体" w:cs="宋体"/>
          <w:b/>
          <w:bCs/>
          <w:color w:val="000000"/>
          <w:kern w:val="0"/>
          <w:sz w:val="24"/>
          <w:szCs w:val="24"/>
          <w:lang w:val="en-US" w:eastAsia="zh-CN" w:bidi="ar"/>
        </w:rPr>
        <w:t>指标要求（试行）》符合性分析一览表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3"/>
        <w:gridCol w:w="2313"/>
        <w:gridCol w:w="2931"/>
        <w:gridCol w:w="2023"/>
      </w:tblGrid>
      <w:tr w14:paraId="4F14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66" w:type="dxa"/>
            <w:gridSpan w:val="2"/>
            <w:vAlign w:val="center"/>
          </w:tcPr>
          <w:p w14:paraId="430EB175">
            <w:pPr>
              <w:pStyle w:val="50"/>
              <w:spacing w:line="360" w:lineRule="auto"/>
              <w:jc w:val="center"/>
              <w:rPr>
                <w:rFonts w:hint="default" w:eastAsia="宋体"/>
                <w:sz w:val="21"/>
                <w:szCs w:val="21"/>
                <w:vertAlign w:val="baseline"/>
                <w:lang w:val="en-US" w:eastAsia="zh-CN"/>
              </w:rPr>
            </w:pPr>
            <w:r>
              <w:rPr>
                <w:rFonts w:hint="eastAsia"/>
                <w:sz w:val="21"/>
                <w:szCs w:val="21"/>
                <w:vertAlign w:val="baseline"/>
                <w:lang w:val="en-US" w:eastAsia="zh-CN"/>
              </w:rPr>
              <w:t>指标要求</w:t>
            </w:r>
          </w:p>
        </w:tc>
        <w:tc>
          <w:tcPr>
            <w:tcW w:w="2931" w:type="dxa"/>
            <w:vAlign w:val="center"/>
          </w:tcPr>
          <w:p w14:paraId="1E203D7F">
            <w:pPr>
              <w:pStyle w:val="50"/>
              <w:spacing w:line="360" w:lineRule="auto"/>
              <w:jc w:val="center"/>
              <w:rPr>
                <w:rFonts w:hint="default" w:eastAsia="宋体"/>
                <w:sz w:val="21"/>
                <w:szCs w:val="21"/>
                <w:vertAlign w:val="baseline"/>
                <w:lang w:val="en-US" w:eastAsia="zh-CN"/>
              </w:rPr>
            </w:pPr>
            <w:r>
              <w:rPr>
                <w:rFonts w:hint="eastAsia"/>
                <w:sz w:val="21"/>
                <w:szCs w:val="21"/>
                <w:vertAlign w:val="baseline"/>
                <w:lang w:val="en-US" w:eastAsia="zh-CN"/>
              </w:rPr>
              <w:t>本项目情况</w:t>
            </w:r>
          </w:p>
        </w:tc>
        <w:tc>
          <w:tcPr>
            <w:tcW w:w="2023" w:type="dxa"/>
            <w:vAlign w:val="center"/>
          </w:tcPr>
          <w:p w14:paraId="61243887">
            <w:pPr>
              <w:pStyle w:val="50"/>
              <w:spacing w:line="360" w:lineRule="auto"/>
              <w:jc w:val="center"/>
              <w:rPr>
                <w:rFonts w:hint="eastAsia" w:eastAsia="宋体"/>
                <w:sz w:val="21"/>
                <w:szCs w:val="21"/>
                <w:vertAlign w:val="baseline"/>
                <w:lang w:val="en-US" w:eastAsia="zh-CN"/>
              </w:rPr>
            </w:pPr>
            <w:r>
              <w:rPr>
                <w:rFonts w:hint="eastAsia"/>
                <w:sz w:val="21"/>
                <w:szCs w:val="21"/>
                <w:vertAlign w:val="baseline"/>
                <w:lang w:val="en-US" w:eastAsia="zh-CN"/>
              </w:rPr>
              <w:t>相符性</w:t>
            </w:r>
          </w:p>
        </w:tc>
      </w:tr>
      <w:tr w14:paraId="66BA1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453" w:type="dxa"/>
            <w:vAlign w:val="center"/>
          </w:tcPr>
          <w:p w14:paraId="24E4856C">
            <w:pPr>
              <w:pStyle w:val="50"/>
              <w:spacing w:line="360" w:lineRule="auto"/>
              <w:jc w:val="center"/>
              <w:rPr>
                <w:rFonts w:hint="default" w:eastAsia="宋体"/>
                <w:sz w:val="21"/>
                <w:szCs w:val="21"/>
                <w:vertAlign w:val="baseline"/>
                <w:lang w:val="en-US" w:eastAsia="zh-CN"/>
              </w:rPr>
            </w:pPr>
            <w:r>
              <w:rPr>
                <w:rFonts w:hint="eastAsia"/>
                <w:sz w:val="21"/>
                <w:szCs w:val="21"/>
                <w:vertAlign w:val="baseline"/>
                <w:lang w:val="en-US" w:eastAsia="zh-CN"/>
              </w:rPr>
              <w:t>类型</w:t>
            </w:r>
          </w:p>
        </w:tc>
        <w:tc>
          <w:tcPr>
            <w:tcW w:w="2313" w:type="dxa"/>
            <w:vAlign w:val="center"/>
          </w:tcPr>
          <w:p w14:paraId="2726B080">
            <w:pPr>
              <w:pStyle w:val="50"/>
              <w:spacing w:line="360" w:lineRule="auto"/>
              <w:jc w:val="center"/>
              <w:rPr>
                <w:rFonts w:hint="default"/>
                <w:sz w:val="21"/>
                <w:szCs w:val="21"/>
                <w:vertAlign w:val="baseline"/>
                <w:lang w:val="en-US" w:eastAsia="zh-CN"/>
              </w:rPr>
            </w:pPr>
            <w:r>
              <w:rPr>
                <w:rFonts w:hint="eastAsia"/>
                <w:sz w:val="21"/>
                <w:szCs w:val="21"/>
                <w:vertAlign w:val="baseline"/>
                <w:lang w:val="en-US" w:eastAsia="zh-CN"/>
              </w:rPr>
              <w:t>选矿回收率%</w:t>
            </w:r>
          </w:p>
        </w:tc>
        <w:tc>
          <w:tcPr>
            <w:tcW w:w="2931" w:type="dxa"/>
            <w:vMerge w:val="restart"/>
            <w:vAlign w:val="center"/>
          </w:tcPr>
          <w:p w14:paraId="4B0F9E5A">
            <w:pPr>
              <w:pStyle w:val="50"/>
              <w:spacing w:line="360" w:lineRule="auto"/>
              <w:jc w:val="center"/>
              <w:rPr>
                <w:rFonts w:hint="default" w:eastAsia="宋体"/>
                <w:sz w:val="21"/>
                <w:szCs w:val="21"/>
                <w:vertAlign w:val="baseline"/>
                <w:lang w:val="en-US" w:eastAsia="zh-CN"/>
              </w:rPr>
            </w:pPr>
            <w:r>
              <w:rPr>
                <w:rFonts w:hint="eastAsia"/>
                <w:sz w:val="21"/>
                <w:szCs w:val="21"/>
                <w:vertAlign w:val="baseline"/>
                <w:lang w:val="en-US" w:eastAsia="zh-CN"/>
              </w:rPr>
              <w:t>95%</w:t>
            </w:r>
          </w:p>
        </w:tc>
        <w:tc>
          <w:tcPr>
            <w:tcW w:w="2023" w:type="dxa"/>
            <w:vMerge w:val="restart"/>
            <w:vAlign w:val="center"/>
          </w:tcPr>
          <w:p w14:paraId="28036F52">
            <w:pPr>
              <w:pStyle w:val="50"/>
              <w:spacing w:line="360" w:lineRule="auto"/>
              <w:jc w:val="center"/>
              <w:rPr>
                <w:rFonts w:hint="eastAsia" w:eastAsia="宋体"/>
                <w:sz w:val="21"/>
                <w:szCs w:val="21"/>
                <w:vertAlign w:val="baseline"/>
                <w:lang w:val="en-US" w:eastAsia="zh-CN"/>
              </w:rPr>
            </w:pPr>
            <w:r>
              <w:rPr>
                <w:rFonts w:hint="eastAsia"/>
                <w:sz w:val="21"/>
                <w:szCs w:val="21"/>
                <w:vertAlign w:val="baseline"/>
                <w:lang w:val="en-US" w:eastAsia="zh-CN"/>
              </w:rPr>
              <w:t>相符</w:t>
            </w:r>
          </w:p>
        </w:tc>
      </w:tr>
      <w:tr w14:paraId="6E595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1453" w:type="dxa"/>
            <w:vAlign w:val="center"/>
          </w:tcPr>
          <w:p w14:paraId="00E6B4F6">
            <w:pPr>
              <w:pStyle w:val="50"/>
              <w:spacing w:line="360" w:lineRule="auto"/>
              <w:jc w:val="center"/>
              <w:rPr>
                <w:rFonts w:hint="eastAsia"/>
                <w:sz w:val="21"/>
                <w:szCs w:val="21"/>
                <w:vertAlign w:val="baseline"/>
                <w:lang w:val="en-US" w:eastAsia="zh-CN"/>
              </w:rPr>
            </w:pPr>
            <w:r>
              <w:rPr>
                <w:rFonts w:hint="eastAsia"/>
                <w:sz w:val="21"/>
                <w:szCs w:val="21"/>
                <w:vertAlign w:val="baseline"/>
                <w:lang w:val="en-US" w:eastAsia="zh-CN"/>
              </w:rPr>
              <w:t>易处理矿石</w:t>
            </w:r>
          </w:p>
        </w:tc>
        <w:tc>
          <w:tcPr>
            <w:tcW w:w="2313" w:type="dxa"/>
            <w:vAlign w:val="center"/>
          </w:tcPr>
          <w:p w14:paraId="5DF9C94F">
            <w:pPr>
              <w:pStyle w:val="50"/>
              <w:spacing w:line="360" w:lineRule="auto"/>
              <w:jc w:val="center"/>
              <w:rPr>
                <w:rFonts w:hint="eastAsia"/>
                <w:sz w:val="21"/>
                <w:szCs w:val="21"/>
                <w:vertAlign w:val="baseline"/>
                <w:lang w:val="en-US" w:eastAsia="zh-CN"/>
              </w:rPr>
            </w:pPr>
            <w:r>
              <w:rPr>
                <w:rFonts w:hint="eastAsia"/>
                <w:sz w:val="21"/>
                <w:szCs w:val="21"/>
                <w:vertAlign w:val="baseline"/>
                <w:lang w:val="en-US" w:eastAsia="zh-CN"/>
              </w:rPr>
              <w:t>85</w:t>
            </w:r>
          </w:p>
        </w:tc>
        <w:tc>
          <w:tcPr>
            <w:tcW w:w="2931" w:type="dxa"/>
            <w:vMerge w:val="continue"/>
            <w:vAlign w:val="center"/>
          </w:tcPr>
          <w:p w14:paraId="26B98F87">
            <w:pPr>
              <w:pStyle w:val="50"/>
              <w:spacing w:line="360" w:lineRule="auto"/>
              <w:jc w:val="center"/>
              <w:rPr>
                <w:rFonts w:hint="eastAsia"/>
                <w:sz w:val="21"/>
                <w:szCs w:val="21"/>
                <w:vertAlign w:val="baseline"/>
                <w:lang w:val="en-US" w:eastAsia="zh-CN"/>
              </w:rPr>
            </w:pPr>
          </w:p>
        </w:tc>
        <w:tc>
          <w:tcPr>
            <w:tcW w:w="2023" w:type="dxa"/>
            <w:vMerge w:val="continue"/>
            <w:vAlign w:val="center"/>
          </w:tcPr>
          <w:p w14:paraId="1E001B07">
            <w:pPr>
              <w:pStyle w:val="50"/>
              <w:spacing w:line="360" w:lineRule="auto"/>
              <w:jc w:val="center"/>
              <w:rPr>
                <w:rFonts w:hint="eastAsia"/>
                <w:sz w:val="21"/>
                <w:szCs w:val="21"/>
                <w:vertAlign w:val="baseline"/>
                <w:lang w:val="en-US" w:eastAsia="zh-CN"/>
              </w:rPr>
            </w:pPr>
          </w:p>
        </w:tc>
      </w:tr>
    </w:tbl>
    <w:p w14:paraId="71D37684">
      <w:pPr>
        <w:pStyle w:val="50"/>
        <w:rPr>
          <w:rFonts w:hint="default"/>
          <w:lang w:val="en-US"/>
        </w:rPr>
      </w:pPr>
    </w:p>
    <w:p w14:paraId="5E879263">
      <w:pPr>
        <w:keepNext w:val="0"/>
        <w:keepLines w:val="0"/>
        <w:widowControl/>
        <w:suppressLineNumbers w:val="0"/>
        <w:jc w:val="left"/>
        <w:rPr>
          <w:rFonts w:hint="default" w:ascii="Times New Roman" w:hAnsi="Times New Roman" w:eastAsia="宋体" w:cs="Times New Roman"/>
          <w:color w:val="auto"/>
          <w:kern w:val="2"/>
          <w:sz w:val="24"/>
          <w:szCs w:val="20"/>
          <w:lang w:val="en-US" w:eastAsia="zh-CN" w:bidi="ar-SA"/>
        </w:rPr>
      </w:pPr>
      <w:r>
        <w:rPr>
          <w:rFonts w:hint="default" w:ascii="Times New Roman" w:hAnsi="Times New Roman" w:eastAsia="宋体" w:cs="Times New Roman"/>
          <w:color w:val="auto"/>
          <w:kern w:val="2"/>
          <w:sz w:val="24"/>
          <w:szCs w:val="20"/>
          <w:lang w:val="en-US" w:eastAsia="zh-CN" w:bidi="ar-SA"/>
        </w:rPr>
        <w:t>由表可知</w:t>
      </w:r>
      <w:r>
        <w:rPr>
          <w:rFonts w:hint="eastAsia" w:cs="Times New Roman"/>
          <w:color w:val="auto"/>
          <w:kern w:val="2"/>
          <w:sz w:val="24"/>
          <w:szCs w:val="20"/>
          <w:lang w:val="en-US" w:eastAsia="zh-CN" w:bidi="ar-SA"/>
        </w:rPr>
        <w:t>，</w:t>
      </w:r>
      <w:r>
        <w:rPr>
          <w:rFonts w:hint="default" w:ascii="Times New Roman" w:hAnsi="Times New Roman" w:eastAsia="宋体" w:cs="Times New Roman"/>
          <w:color w:val="auto"/>
          <w:kern w:val="2"/>
          <w:sz w:val="24"/>
          <w:szCs w:val="20"/>
          <w:lang w:val="en-US" w:eastAsia="zh-CN" w:bidi="ar-SA"/>
        </w:rPr>
        <w:t>本项目选矿回收率指标与《金矿资源合理开发利用“三率”指标要求（试行）》相符。</w:t>
      </w:r>
    </w:p>
    <w:p w14:paraId="6B7FE61D">
      <w:pPr>
        <w:pStyle w:val="5"/>
        <w:bidi w:val="0"/>
      </w:pPr>
      <w:r>
        <w:rPr>
          <w:rFonts w:hint="eastAsia"/>
          <w:lang w:val="en-US" w:eastAsia="zh-CN"/>
        </w:rPr>
        <w:t>11.6.6与《关于</w:t>
      </w:r>
      <w:r>
        <w:rPr>
          <w:rFonts w:hint="default"/>
          <w:lang w:val="en-US" w:eastAsia="zh-CN"/>
        </w:rPr>
        <w:t>“</w:t>
      </w:r>
      <w:r>
        <w:rPr>
          <w:rFonts w:hint="eastAsia"/>
          <w:lang w:val="en-US" w:eastAsia="zh-CN"/>
        </w:rPr>
        <w:t>十四五</w:t>
      </w:r>
      <w:r>
        <w:rPr>
          <w:rFonts w:hint="default"/>
          <w:lang w:val="en-US" w:eastAsia="zh-CN"/>
        </w:rPr>
        <w:t>”</w:t>
      </w:r>
      <w:r>
        <w:rPr>
          <w:rFonts w:hint="eastAsia"/>
          <w:lang w:val="en-US" w:eastAsia="zh-CN"/>
        </w:rPr>
        <w:t>大宗固体废弃物综合利用的指导意见》相符性分析</w:t>
      </w:r>
    </w:p>
    <w:p w14:paraId="7A76A0A2">
      <w:pPr>
        <w:spacing w:line="360" w:lineRule="auto"/>
        <w:jc w:val="center"/>
        <w:rPr>
          <w:rFonts w:hint="default" w:ascii="Times New Roman" w:hAnsi="Times New Roman" w:eastAsia="宋体" w:cs="Times New Roman"/>
          <w:b/>
          <w:bCs/>
          <w:color w:val="auto"/>
          <w:kern w:val="2"/>
          <w:sz w:val="24"/>
          <w:szCs w:val="20"/>
          <w:lang w:val="en-US" w:eastAsia="zh-CN" w:bidi="ar-SA"/>
        </w:rPr>
      </w:pPr>
      <w:r>
        <w:rPr>
          <w:rFonts w:hint="eastAsia" w:cs="Times New Roman"/>
          <w:b/>
          <w:bCs/>
          <w:color w:val="auto"/>
          <w:kern w:val="2"/>
          <w:sz w:val="24"/>
          <w:szCs w:val="20"/>
          <w:lang w:val="en-US" w:eastAsia="zh-CN" w:bidi="ar-SA"/>
        </w:rPr>
        <w:t>表11.6-6  项目</w:t>
      </w:r>
      <w:r>
        <w:rPr>
          <w:rFonts w:hint="default" w:ascii="Times New Roman" w:hAnsi="Times New Roman" w:eastAsia="宋体" w:cs="Times New Roman"/>
          <w:b/>
          <w:bCs/>
          <w:color w:val="auto"/>
          <w:kern w:val="2"/>
          <w:sz w:val="24"/>
          <w:szCs w:val="20"/>
          <w:lang w:val="en-US" w:eastAsia="zh-CN" w:bidi="ar-SA"/>
        </w:rPr>
        <w:t>与《关于“十四五”大宗固体废弃物综合利用的指导意见》</w:t>
      </w:r>
    </w:p>
    <w:p w14:paraId="46F8D84A">
      <w:pPr>
        <w:spacing w:line="360" w:lineRule="auto"/>
        <w:jc w:val="center"/>
        <w:rPr>
          <w:rFonts w:hint="eastAsia" w:cs="Times New Roman"/>
          <w:b/>
          <w:bCs/>
          <w:color w:val="auto"/>
          <w:kern w:val="2"/>
          <w:sz w:val="24"/>
          <w:szCs w:val="20"/>
          <w:lang w:val="en-US" w:eastAsia="zh-CN" w:bidi="ar-SA"/>
        </w:rPr>
      </w:pPr>
      <w:r>
        <w:rPr>
          <w:rFonts w:hint="default" w:ascii="Times New Roman" w:hAnsi="Times New Roman" w:eastAsia="宋体" w:cs="Times New Roman"/>
          <w:b/>
          <w:bCs/>
          <w:color w:val="auto"/>
          <w:kern w:val="2"/>
          <w:sz w:val="24"/>
          <w:szCs w:val="20"/>
          <w:lang w:val="en-US" w:eastAsia="zh-CN" w:bidi="ar-SA"/>
        </w:rPr>
        <w:t>相符</w:t>
      </w:r>
      <w:r>
        <w:rPr>
          <w:rFonts w:hint="eastAsia" w:cs="Times New Roman"/>
          <w:b/>
          <w:bCs/>
          <w:color w:val="auto"/>
          <w:kern w:val="2"/>
          <w:sz w:val="24"/>
          <w:szCs w:val="20"/>
          <w:lang w:val="en-US" w:eastAsia="zh-CN" w:bidi="ar-SA"/>
        </w:rPr>
        <w:t>性分析</w:t>
      </w:r>
    </w:p>
    <w:tbl>
      <w:tblPr>
        <w:tblStyle w:val="7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5"/>
        <w:gridCol w:w="2192"/>
        <w:gridCol w:w="1943"/>
      </w:tblGrid>
      <w:tr w14:paraId="27AA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5" w:type="dxa"/>
            <w:vAlign w:val="center"/>
          </w:tcPr>
          <w:p w14:paraId="0F1BDC62">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指导意见中要求</w:t>
            </w:r>
          </w:p>
        </w:tc>
        <w:tc>
          <w:tcPr>
            <w:tcW w:w="2192" w:type="dxa"/>
            <w:vAlign w:val="center"/>
          </w:tcPr>
          <w:p w14:paraId="16994B9E">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本项目情况</w:t>
            </w:r>
          </w:p>
        </w:tc>
        <w:tc>
          <w:tcPr>
            <w:tcW w:w="1943" w:type="dxa"/>
            <w:vAlign w:val="center"/>
          </w:tcPr>
          <w:p w14:paraId="7B5F5044">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相符性</w:t>
            </w:r>
          </w:p>
        </w:tc>
      </w:tr>
      <w:tr w14:paraId="6481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5" w:type="dxa"/>
            <w:vAlign w:val="center"/>
          </w:tcPr>
          <w:p w14:paraId="4783C3F2">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ascii="宋体" w:hAnsi="宋体" w:eastAsia="宋体" w:cs="宋体"/>
                <w:sz w:val="21"/>
                <w:szCs w:val="21"/>
              </w:rPr>
              <w:t>（七）尾矿（共伴生矿）。稳步推进金属尾矿有价组分高效提取及整体利用， 推动采矿废石制备砂石骨料、陶粒、干混砂浆等砂源替代材料和胶凝回填利用，探索尾矿在生态环境治理领域的利用。加快推进黑色金属、有色金属、稀贵金属 等共伴生矿产资源综合开发利用和有价组分梯级回收，推动有价金属提取后剩余废渣的规模化利用。依法依规推动已闭库尾矿库生态修复，未经批准不得擅自回采尾矿。</w:t>
            </w:r>
          </w:p>
        </w:tc>
        <w:tc>
          <w:tcPr>
            <w:tcW w:w="2192" w:type="dxa"/>
            <w:vAlign w:val="center"/>
          </w:tcPr>
          <w:p w14:paraId="693D0C5F">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本项目产生的尾矿采取干排方式，全部外运综合利用，可有效提高资源利用效率。</w:t>
            </w:r>
          </w:p>
        </w:tc>
        <w:tc>
          <w:tcPr>
            <w:tcW w:w="1943" w:type="dxa"/>
            <w:vAlign w:val="center"/>
          </w:tcPr>
          <w:p w14:paraId="22B937E4">
            <w:pPr>
              <w:pStyle w:val="5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sz w:val="21"/>
                <w:szCs w:val="21"/>
                <w:vertAlign w:val="baseline"/>
                <w:lang w:val="en-US" w:eastAsia="zh-CN"/>
              </w:rPr>
            </w:pPr>
            <w:r>
              <w:rPr>
                <w:rFonts w:hint="eastAsia"/>
                <w:sz w:val="21"/>
                <w:szCs w:val="21"/>
                <w:vertAlign w:val="baseline"/>
                <w:lang w:val="en-US" w:eastAsia="zh-CN"/>
              </w:rPr>
              <w:t>相符</w:t>
            </w:r>
          </w:p>
        </w:tc>
      </w:tr>
    </w:tbl>
    <w:p w14:paraId="374E39AE">
      <w:pPr>
        <w:pStyle w:val="50"/>
        <w:rPr>
          <w:rFonts w:hint="default"/>
          <w:lang w:val="en-US" w:eastAsia="zh-CN"/>
        </w:rPr>
      </w:pPr>
    </w:p>
    <w:p w14:paraId="5A835144">
      <w:pPr>
        <w:spacing w:line="360" w:lineRule="auto"/>
        <w:ind w:firstLine="480" w:firstLineChars="200"/>
        <w:rPr>
          <w:rFonts w:hint="default" w:ascii="Times New Roman" w:hAnsi="Times New Roman" w:eastAsia="宋体" w:cs="Times New Roman"/>
          <w:color w:val="auto"/>
          <w:kern w:val="2"/>
          <w:sz w:val="24"/>
          <w:szCs w:val="20"/>
          <w:lang w:val="en-US" w:eastAsia="zh-CN" w:bidi="ar-SA"/>
        </w:rPr>
      </w:pPr>
      <w:r>
        <w:rPr>
          <w:rFonts w:hint="eastAsia" w:cs="Times New Roman"/>
          <w:color w:val="auto"/>
          <w:kern w:val="2"/>
          <w:sz w:val="24"/>
          <w:szCs w:val="20"/>
          <w:lang w:val="en-US" w:eastAsia="zh-CN" w:bidi="ar-SA"/>
        </w:rPr>
        <w:t>根据上表可知，本项目</w:t>
      </w:r>
      <w:r>
        <w:rPr>
          <w:rFonts w:hint="default" w:ascii="Times New Roman" w:hAnsi="Times New Roman" w:eastAsia="宋体" w:cs="Times New Roman"/>
          <w:color w:val="auto"/>
          <w:kern w:val="2"/>
          <w:sz w:val="24"/>
          <w:szCs w:val="20"/>
          <w:lang w:val="en-US" w:eastAsia="zh-CN" w:bidi="ar-SA"/>
        </w:rPr>
        <w:t>与《关于“十四五”大宗固体废弃物综合利用的指导意见》</w:t>
      </w:r>
      <w:r>
        <w:rPr>
          <w:rFonts w:hint="eastAsia" w:cs="Times New Roman"/>
          <w:color w:val="auto"/>
          <w:kern w:val="2"/>
          <w:sz w:val="24"/>
          <w:szCs w:val="20"/>
          <w:lang w:val="en-US" w:eastAsia="zh-CN" w:bidi="ar-SA"/>
        </w:rPr>
        <w:t>中相关要求</w:t>
      </w:r>
      <w:r>
        <w:rPr>
          <w:rFonts w:hint="default" w:ascii="Times New Roman" w:hAnsi="Times New Roman" w:eastAsia="宋体" w:cs="Times New Roman"/>
          <w:color w:val="auto"/>
          <w:kern w:val="2"/>
          <w:sz w:val="24"/>
          <w:szCs w:val="20"/>
          <w:lang w:val="en-US" w:eastAsia="zh-CN" w:bidi="ar-SA"/>
        </w:rPr>
        <w:t>相符。</w:t>
      </w:r>
    </w:p>
    <w:p w14:paraId="6C330F31">
      <w:pPr>
        <w:pStyle w:val="5"/>
        <w:bidi w:val="0"/>
      </w:pPr>
      <w:r>
        <w:rPr>
          <w:rFonts w:hint="eastAsia"/>
          <w:lang w:val="en-US" w:eastAsia="zh-CN"/>
        </w:rPr>
        <w:t>11.6.7与《尾矿污染环境防治管理办法》（生态环境部令第</w:t>
      </w:r>
      <w:r>
        <w:rPr>
          <w:rFonts w:hint="default"/>
          <w:lang w:val="en-US" w:eastAsia="zh-CN"/>
        </w:rPr>
        <w:t>26</w:t>
      </w:r>
      <w:r>
        <w:rPr>
          <w:rFonts w:hint="eastAsia"/>
          <w:lang w:val="en-US" w:eastAsia="zh-CN"/>
        </w:rPr>
        <w:t>号）相符性分析</w:t>
      </w:r>
    </w:p>
    <w:p w14:paraId="41201B0C">
      <w:pPr>
        <w:spacing w:line="360" w:lineRule="auto"/>
        <w:jc w:val="center"/>
        <w:rPr>
          <w:rFonts w:hint="eastAsia"/>
          <w:b/>
          <w:bCs/>
          <w:sz w:val="24"/>
          <w:szCs w:val="24"/>
          <w:lang w:val="en-US" w:eastAsia="zh-CN"/>
        </w:rPr>
      </w:pPr>
      <w:r>
        <w:rPr>
          <w:rFonts w:hint="eastAsia" w:cs="Times New Roman"/>
          <w:b/>
          <w:bCs/>
          <w:color w:val="auto"/>
          <w:kern w:val="2"/>
          <w:sz w:val="24"/>
          <w:szCs w:val="24"/>
          <w:lang w:val="en-US" w:eastAsia="zh-CN" w:bidi="ar-SA"/>
        </w:rPr>
        <w:t>表11.6-7  项目与</w:t>
      </w:r>
      <w:r>
        <w:rPr>
          <w:rFonts w:hint="eastAsia"/>
          <w:b/>
          <w:bCs/>
          <w:sz w:val="24"/>
          <w:szCs w:val="24"/>
          <w:lang w:val="en-US" w:eastAsia="zh-CN"/>
        </w:rPr>
        <w:t>《尾矿污染环境防治管理办法》（生态环境部令第</w:t>
      </w:r>
      <w:r>
        <w:rPr>
          <w:rFonts w:hint="default"/>
          <w:b/>
          <w:bCs/>
          <w:sz w:val="24"/>
          <w:szCs w:val="24"/>
          <w:lang w:val="en-US" w:eastAsia="zh-CN"/>
        </w:rPr>
        <w:t>26</w:t>
      </w:r>
      <w:r>
        <w:rPr>
          <w:rFonts w:hint="eastAsia"/>
          <w:b/>
          <w:bCs/>
          <w:sz w:val="24"/>
          <w:szCs w:val="24"/>
          <w:lang w:val="en-US" w:eastAsia="zh-CN"/>
        </w:rPr>
        <w:t>号）</w:t>
      </w:r>
    </w:p>
    <w:p w14:paraId="538FB974">
      <w:pPr>
        <w:spacing w:line="360" w:lineRule="auto"/>
        <w:jc w:val="center"/>
        <w:rPr>
          <w:rFonts w:hint="eastAsia"/>
          <w:b/>
          <w:bCs/>
          <w:sz w:val="24"/>
          <w:szCs w:val="24"/>
          <w:lang w:val="en-US" w:eastAsia="zh-CN"/>
        </w:rPr>
      </w:pPr>
      <w:r>
        <w:rPr>
          <w:rFonts w:hint="eastAsia"/>
          <w:b/>
          <w:bCs/>
          <w:sz w:val="24"/>
          <w:szCs w:val="24"/>
          <w:lang w:val="en-US" w:eastAsia="zh-CN"/>
        </w:rPr>
        <w:t>相符性分析</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0"/>
        <w:gridCol w:w="2642"/>
        <w:gridCol w:w="1908"/>
      </w:tblGrid>
      <w:tr w14:paraId="4B1E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7DD3A994">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管理办法中要求</w:t>
            </w:r>
          </w:p>
        </w:tc>
        <w:tc>
          <w:tcPr>
            <w:tcW w:w="2642" w:type="dxa"/>
          </w:tcPr>
          <w:p w14:paraId="69B30831">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本项目情况</w:t>
            </w:r>
          </w:p>
        </w:tc>
        <w:tc>
          <w:tcPr>
            <w:tcW w:w="1908" w:type="dxa"/>
          </w:tcPr>
          <w:p w14:paraId="6FA5899E">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相符性</w:t>
            </w:r>
          </w:p>
        </w:tc>
      </w:tr>
      <w:tr w14:paraId="1F89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gridSpan w:val="3"/>
          </w:tcPr>
          <w:p w14:paraId="262F0873">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第二章 污染防治</w:t>
            </w:r>
          </w:p>
        </w:tc>
      </w:tr>
      <w:tr w14:paraId="5B99D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44DE699F">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第六条 产生尾矿的单位应当建立健全尾矿产生、贮存、运输、综合利用等全过程的污染防治责任制度，确定承担污染防治工作的部门和专职技术人员，明确单位负责人和相关人员的责任。</w:t>
            </w:r>
          </w:p>
        </w:tc>
        <w:tc>
          <w:tcPr>
            <w:tcW w:w="2642" w:type="dxa"/>
          </w:tcPr>
          <w:p w14:paraId="497093A7">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本项目严格按照要求执行，建立</w:t>
            </w:r>
            <w:r>
              <w:rPr>
                <w:rFonts w:hint="default"/>
                <w:sz w:val="21"/>
                <w:szCs w:val="21"/>
                <w:vertAlign w:val="baseline"/>
                <w:lang w:val="en-US" w:eastAsia="zh-CN"/>
              </w:rPr>
              <w:t>污染防治责任制度，确定承担污染防治工作的部门和专职技术人员，明确单位负责人和相关人员的责任。</w:t>
            </w:r>
          </w:p>
        </w:tc>
        <w:tc>
          <w:tcPr>
            <w:tcW w:w="1908" w:type="dxa"/>
          </w:tcPr>
          <w:p w14:paraId="39E2BC9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7B32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1B4A879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第七条  产生尾矿的单位和尾矿库运营、管理单位应当建立尾矿环境管理台账。</w:t>
            </w:r>
          </w:p>
          <w:p w14:paraId="5496AB23">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　　产生尾矿的单位应当在尾矿环境管理台账中如实记录生产运营中产生尾矿的种类、数量、流向、贮存、综合利用等信息；尾矿库运营、管理单位应当在尾矿环境管理台账中如实记录尾矿库的污染防治设施建设和运行情况、环境监测情况、污染隐患排查治理情况、突发环境事件应急预案及其落实情况等信息。</w:t>
            </w:r>
          </w:p>
          <w:p w14:paraId="2A3B9383">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　　尾矿环境管理台账保存期限不得少于五年，其中尾矿库运营、管理单位的环境管理台账信息应当永久保存。</w:t>
            </w:r>
          </w:p>
          <w:p w14:paraId="4DD15E39">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　　产生尾矿的单位和尾矿库运营、管理单位应当于每年1月31日之前通过全国固体废物污染环境防治信息平台填报上一年度产生的相关信息。</w:t>
            </w:r>
          </w:p>
        </w:tc>
        <w:tc>
          <w:tcPr>
            <w:tcW w:w="2642" w:type="dxa"/>
          </w:tcPr>
          <w:p w14:paraId="7E56286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本项目严格按照要求执行，建立完善的尾矿环境管理台账。</w:t>
            </w:r>
          </w:p>
        </w:tc>
        <w:tc>
          <w:tcPr>
            <w:tcW w:w="1908" w:type="dxa"/>
          </w:tcPr>
          <w:p w14:paraId="1DD01079">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1960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5A9CA33A">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第八条 产生尾矿的单位委托他人贮存、运输、综合利用尾矿，或者尾矿库运营、管理单位委托他人运输、综合利用尾矿的，应当对受托方的主体资格和技术能力进行核实，依法签订书面合同，在合同中约定污染防治要求。</w:t>
            </w:r>
          </w:p>
        </w:tc>
        <w:tc>
          <w:tcPr>
            <w:tcW w:w="2642" w:type="dxa"/>
          </w:tcPr>
          <w:p w14:paraId="118479E8">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企业严格按照要求执行，日后生产签订书面合同，并在</w:t>
            </w:r>
            <w:r>
              <w:rPr>
                <w:rFonts w:hint="default"/>
                <w:sz w:val="21"/>
                <w:szCs w:val="21"/>
                <w:vertAlign w:val="baseline"/>
                <w:lang w:val="en-US" w:eastAsia="zh-CN"/>
              </w:rPr>
              <w:t>合同中约定污染防治要求。</w:t>
            </w:r>
          </w:p>
        </w:tc>
        <w:tc>
          <w:tcPr>
            <w:tcW w:w="1908" w:type="dxa"/>
          </w:tcPr>
          <w:p w14:paraId="62C005A3">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39F6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52E6C289">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第十三条 采用传送带方式输送尾矿的，应当采取封闭等措施，防止尾矿流失和扬散。</w:t>
            </w:r>
          </w:p>
          <w:p w14:paraId="4274FFF5">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　　通过车辆运输尾矿的，应当采取遮盖等措施，防止尾矿遗撒和扬散。</w:t>
            </w:r>
          </w:p>
        </w:tc>
        <w:tc>
          <w:tcPr>
            <w:tcW w:w="2642" w:type="dxa"/>
          </w:tcPr>
          <w:p w14:paraId="75D5AD5C">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本项目生产线上产生尾矿经管线输送至干排车间内，尾矿经压滤后，直接暂存于干排车间内尾矿暂存处，可有效防止尾矿</w:t>
            </w:r>
            <w:r>
              <w:rPr>
                <w:rFonts w:hint="default"/>
                <w:sz w:val="21"/>
                <w:szCs w:val="21"/>
                <w:vertAlign w:val="baseline"/>
                <w:lang w:val="en-US" w:eastAsia="zh-CN"/>
              </w:rPr>
              <w:t>遗撒和扬散。</w:t>
            </w:r>
            <w:r>
              <w:rPr>
                <w:rFonts w:hint="eastAsia"/>
                <w:sz w:val="21"/>
                <w:szCs w:val="21"/>
                <w:vertAlign w:val="baseline"/>
                <w:lang w:val="en-US" w:eastAsia="zh-CN"/>
              </w:rPr>
              <w:t>在外运过程中，运输车辆采用苫布苫盖等方式，有效防止尾矿</w:t>
            </w:r>
            <w:r>
              <w:rPr>
                <w:rFonts w:hint="default"/>
                <w:sz w:val="21"/>
                <w:szCs w:val="21"/>
                <w:vertAlign w:val="baseline"/>
                <w:lang w:val="en-US" w:eastAsia="zh-CN"/>
              </w:rPr>
              <w:t>遗撒和扬散。</w:t>
            </w:r>
          </w:p>
        </w:tc>
        <w:tc>
          <w:tcPr>
            <w:tcW w:w="1908" w:type="dxa"/>
          </w:tcPr>
          <w:p w14:paraId="72A34DD6">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相符</w:t>
            </w:r>
          </w:p>
        </w:tc>
      </w:tr>
      <w:tr w14:paraId="6298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0" w:type="dxa"/>
          </w:tcPr>
          <w:p w14:paraId="5FEC7F18">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第十七条 尾矿水应当优先返回选矿工艺使用；向环境排放的，应当符合国家和地方污染物排放标准，不得与尾矿库外的雨水混合排放，并按照有关规定设置污染物排放口，设立标志，依法安装流量计和视频监控。</w:t>
            </w:r>
          </w:p>
          <w:p w14:paraId="2CB5DA9C">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default"/>
                <w:sz w:val="21"/>
                <w:szCs w:val="21"/>
                <w:vertAlign w:val="baseline"/>
                <w:lang w:val="en-US" w:eastAsia="zh-CN"/>
              </w:rPr>
              <w:t>　　污染物排放口的流量计监测记录保存期限不得少于五年，视频监控记录保存期限不得少于三个月。</w:t>
            </w:r>
          </w:p>
        </w:tc>
        <w:tc>
          <w:tcPr>
            <w:tcW w:w="2642" w:type="dxa"/>
          </w:tcPr>
          <w:p w14:paraId="23E52B92">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本项目产生的尾矿采取干排方式，压滤过程中产生的废水暂存于循环水池内，回用于球磨工序。</w:t>
            </w:r>
          </w:p>
        </w:tc>
        <w:tc>
          <w:tcPr>
            <w:tcW w:w="1908" w:type="dxa"/>
          </w:tcPr>
          <w:p w14:paraId="74F2BD9B">
            <w:pPr>
              <w:pStyle w:val="5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1"/>
                <w:szCs w:val="21"/>
                <w:vertAlign w:val="baseline"/>
                <w:lang w:val="en-US" w:eastAsia="zh-CN"/>
              </w:rPr>
            </w:pPr>
            <w:r>
              <w:rPr>
                <w:rFonts w:hint="eastAsia"/>
                <w:sz w:val="21"/>
                <w:szCs w:val="21"/>
                <w:vertAlign w:val="baseline"/>
                <w:lang w:val="en-US" w:eastAsia="zh-CN"/>
              </w:rPr>
              <w:t>相符</w:t>
            </w:r>
          </w:p>
        </w:tc>
      </w:tr>
    </w:tbl>
    <w:p w14:paraId="46E9E162">
      <w:pPr>
        <w:pStyle w:val="50"/>
        <w:rPr>
          <w:rFonts w:hint="eastAsia"/>
          <w:sz w:val="21"/>
          <w:szCs w:val="21"/>
          <w:lang w:val="en-US" w:eastAsia="zh-CN"/>
        </w:rPr>
      </w:pPr>
      <w:r>
        <w:rPr>
          <w:rFonts w:hint="eastAsia"/>
          <w:sz w:val="21"/>
          <w:szCs w:val="21"/>
          <w:lang w:val="en-US" w:eastAsia="zh-CN"/>
        </w:rPr>
        <w:t>注：本项目尾矿采取干排方式，不设置尾矿库，本管理办法中与尾矿库相关的条款未进行罗列。</w:t>
      </w:r>
    </w:p>
    <w:p w14:paraId="5A27575C">
      <w:pPr>
        <w:spacing w:line="360" w:lineRule="auto"/>
        <w:ind w:firstLine="480" w:firstLineChars="200"/>
        <w:rPr>
          <w:rFonts w:hint="eastAsia"/>
          <w:sz w:val="24"/>
          <w:szCs w:val="24"/>
          <w:lang w:val="en-US" w:eastAsia="zh-CN"/>
        </w:rPr>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sz w:val="24"/>
          <w:szCs w:val="24"/>
          <w:lang w:val="en-US" w:eastAsia="zh-CN"/>
        </w:rPr>
        <w:t>由上表可知，本项目与《尾矿污染环境防治管理办法》（生态环境部令第26号）中相关要求相符。</w:t>
      </w:r>
    </w:p>
    <w:p w14:paraId="2EF1F9B2">
      <w:pPr>
        <w:pStyle w:val="3"/>
        <w:bidi w:val="0"/>
        <w:rPr>
          <w:rFonts w:hint="default"/>
          <w:lang w:val="en-US" w:eastAsia="zh-CN"/>
        </w:rPr>
      </w:pPr>
      <w:bookmarkStart w:id="221" w:name="_Toc19558"/>
      <w:r>
        <w:rPr>
          <w:rFonts w:hint="default"/>
          <w:lang w:val="en-US" w:eastAsia="zh-CN"/>
        </w:rPr>
        <w:t>1</w:t>
      </w:r>
      <w:r>
        <w:rPr>
          <w:rFonts w:hint="eastAsia"/>
          <w:lang w:val="en-US" w:eastAsia="zh-CN"/>
        </w:rPr>
        <w:t>2</w:t>
      </w:r>
      <w:r>
        <w:rPr>
          <w:rFonts w:hint="default"/>
          <w:lang w:val="en-US" w:eastAsia="zh-CN"/>
        </w:rPr>
        <w:t>结论</w:t>
      </w:r>
      <w:bookmarkEnd w:id="221"/>
    </w:p>
    <w:p w14:paraId="6F7565C8">
      <w:pPr>
        <w:pStyle w:val="4"/>
        <w:bidi w:val="0"/>
        <w:rPr>
          <w:rFonts w:hint="default" w:ascii="Times New Roman" w:hAnsi="Times New Roman" w:cs="Times New Roman" w:eastAsiaTheme="majorEastAsia"/>
          <w:lang w:val="zh-CN" w:eastAsia="zh-CN"/>
        </w:rPr>
      </w:pPr>
      <w:bookmarkStart w:id="222" w:name="_Toc436571697"/>
      <w:bookmarkEnd w:id="222"/>
      <w:bookmarkStart w:id="223" w:name="_Toc588"/>
      <w:r>
        <w:rPr>
          <w:rFonts w:hint="default" w:ascii="Times New Roman" w:hAnsi="Times New Roman" w:cs="Times New Roman" w:eastAsiaTheme="majorEastAsia"/>
          <w:lang w:val="zh-CN" w:eastAsia="zh-CN"/>
        </w:rPr>
        <w:t>1</w:t>
      </w:r>
      <w:r>
        <w:rPr>
          <w:rFonts w:hint="eastAsia" w:ascii="Times New Roman" w:hAnsi="Times New Roman" w:cs="Times New Roman" w:eastAsiaTheme="majorEastAsia"/>
          <w:lang w:val="en-US" w:eastAsia="zh-CN"/>
        </w:rPr>
        <w:t>2</w:t>
      </w:r>
      <w:r>
        <w:rPr>
          <w:rFonts w:hint="default" w:ascii="Times New Roman" w:hAnsi="Times New Roman" w:cs="Times New Roman" w:eastAsiaTheme="majorEastAsia"/>
          <w:lang w:val="zh-CN" w:eastAsia="zh-CN"/>
        </w:rPr>
        <w:t>.1建设概况</w:t>
      </w:r>
      <w:bookmarkEnd w:id="223"/>
    </w:p>
    <w:p w14:paraId="60EA2E21">
      <w:pPr>
        <w:bidi w:val="0"/>
        <w:spacing w:line="360" w:lineRule="auto"/>
        <w:ind w:firstLine="480" w:firstLineChars="20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北票市大力铁精粉精选厂成立于2008年8月，位于辽宁省朝阳市北票市娄家店乡冯家营村，经营范围主要为选矿、金属矿石销售等，选厂占地面积为13340m</w:t>
      </w:r>
      <w:r>
        <w:rPr>
          <w:rFonts w:hint="eastAsia" w:ascii="Times New Roman" w:hAnsi="Times New Roman" w:eastAsia="宋体" w:cs="Times New Roman"/>
          <w:color w:val="auto"/>
          <w:kern w:val="2"/>
          <w:sz w:val="24"/>
          <w:szCs w:val="22"/>
          <w:vertAlign w:val="superscript"/>
          <w:lang w:val="en-US" w:eastAsia="zh-CN" w:bidi="ar-SA"/>
        </w:rPr>
        <w:t>2</w:t>
      </w:r>
      <w:r>
        <w:rPr>
          <w:rFonts w:hint="eastAsia" w:ascii="Times New Roman" w:hAnsi="Times New Roman" w:eastAsia="宋体" w:cs="Times New Roman"/>
          <w:color w:val="auto"/>
          <w:kern w:val="2"/>
          <w:sz w:val="24"/>
          <w:szCs w:val="22"/>
          <w:lang w:val="en-US" w:eastAsia="zh-CN" w:bidi="ar-SA"/>
        </w:rPr>
        <w:t>，本项目为</w:t>
      </w:r>
      <w:r>
        <w:rPr>
          <w:rFonts w:hint="eastAsia" w:cs="Times New Roman"/>
          <w:color w:val="auto"/>
          <w:kern w:val="2"/>
          <w:sz w:val="24"/>
          <w:szCs w:val="22"/>
          <w:lang w:val="en-US" w:eastAsia="zh-CN" w:bidi="ar-SA"/>
        </w:rPr>
        <w:t>改</w:t>
      </w:r>
      <w:r>
        <w:rPr>
          <w:rFonts w:hint="eastAsia" w:ascii="Times New Roman" w:hAnsi="Times New Roman" w:eastAsia="宋体" w:cs="Times New Roman"/>
          <w:color w:val="auto"/>
          <w:kern w:val="2"/>
          <w:sz w:val="24"/>
          <w:szCs w:val="22"/>
          <w:lang w:val="en-US" w:eastAsia="zh-CN" w:bidi="ar-SA"/>
        </w:rPr>
        <w:t>扩建项目，在现有厂区内建设，新增浮选选金生产线，年处理原矿20万t/a，年产金精粉1.406万t/a，尾矿18.594万t/a，尾矿采取干排方式。</w:t>
      </w:r>
    </w:p>
    <w:p w14:paraId="30D89062">
      <w:pPr>
        <w:pStyle w:val="4"/>
        <w:bidi w:val="0"/>
        <w:rPr>
          <w:rFonts w:hint="default" w:ascii="Times New Roman" w:hAnsi="Times New Roman" w:cs="Times New Roman" w:eastAsiaTheme="majorEastAsia"/>
          <w:lang w:val="zh-CN" w:eastAsia="zh-CN"/>
        </w:rPr>
      </w:pPr>
      <w:bookmarkStart w:id="224" w:name="_Toc24173"/>
      <w:r>
        <w:rPr>
          <w:rFonts w:hint="default" w:ascii="Times New Roman" w:hAnsi="Times New Roman" w:cs="Times New Roman" w:eastAsiaTheme="majorEastAsia"/>
          <w:lang w:val="zh-CN" w:eastAsia="zh-CN"/>
        </w:rPr>
        <w:t>1</w:t>
      </w:r>
      <w:r>
        <w:rPr>
          <w:rFonts w:hint="eastAsia" w:ascii="Times New Roman" w:hAnsi="Times New Roman" w:cs="Times New Roman" w:eastAsiaTheme="majorEastAsia"/>
          <w:lang w:val="en-US" w:eastAsia="zh-CN"/>
        </w:rPr>
        <w:t>2</w:t>
      </w:r>
      <w:r>
        <w:rPr>
          <w:rFonts w:hint="default" w:ascii="Times New Roman" w:hAnsi="Times New Roman" w:cs="Times New Roman" w:eastAsiaTheme="majorEastAsia"/>
          <w:lang w:val="zh-CN" w:eastAsia="zh-CN"/>
        </w:rPr>
        <w:t>.2环境质量现状</w:t>
      </w:r>
      <w:bookmarkEnd w:id="224"/>
    </w:p>
    <w:p w14:paraId="031F1A2A">
      <w:pPr>
        <w:pStyle w:val="1486"/>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firstLine="480"/>
        <w:rPr>
          <w:rFonts w:hint="eastAsia" w:eastAsia="宋体" w:cs="Times New Roman"/>
          <w:b/>
          <w:bCs/>
          <w:color w:val="auto"/>
          <w:lang w:val="en-US" w:eastAsia="zh-CN"/>
        </w:rPr>
      </w:pPr>
      <w:bookmarkStart w:id="225" w:name="_Toc436571700"/>
      <w:bookmarkStart w:id="226" w:name="_Toc213732088"/>
      <w:bookmarkStart w:id="227" w:name="_Toc316410484"/>
      <w:r>
        <w:rPr>
          <w:rFonts w:hint="eastAsia" w:eastAsia="宋体" w:cs="Times New Roman"/>
          <w:b/>
          <w:bCs/>
          <w:color w:val="auto"/>
          <w:lang w:val="en-US" w:eastAsia="zh-CN"/>
        </w:rPr>
        <w:t>大气环境</w:t>
      </w:r>
    </w:p>
    <w:p w14:paraId="6C8921CE">
      <w:pPr>
        <w:pStyle w:val="1486"/>
        <w:keepNext w:val="0"/>
        <w:keepLines w:val="0"/>
        <w:pageBreakBefore w:val="0"/>
        <w:widowControl w:val="0"/>
        <w:kinsoku/>
        <w:wordWrap/>
        <w:overflowPunct/>
        <w:topLinePunct w:val="0"/>
        <w:autoSpaceDE/>
        <w:autoSpaceDN/>
        <w:bidi w:val="0"/>
        <w:adjustRightInd/>
        <w:snapToGrid w:val="0"/>
        <w:spacing w:line="360" w:lineRule="auto"/>
        <w:ind w:firstLine="480"/>
        <w:rPr>
          <w:rFonts w:hint="default" w:ascii="Times New Roman" w:hAnsi="Times New Roman" w:eastAsia="宋体" w:cs="Times New Roman"/>
          <w:color w:val="auto"/>
        </w:rPr>
      </w:pPr>
      <w:r>
        <w:rPr>
          <w:rFonts w:hint="eastAsia" w:eastAsia="宋体" w:cs="Times New Roman"/>
          <w:color w:val="auto"/>
          <w:lang w:val="en-US" w:eastAsia="zh-CN"/>
        </w:rPr>
        <w:t>根据2024</w:t>
      </w:r>
      <w:r>
        <w:rPr>
          <w:rFonts w:hint="default" w:ascii="Times New Roman" w:hAnsi="Times New Roman" w:eastAsia="宋体" w:cs="Times New Roman"/>
          <w:color w:val="auto"/>
          <w:lang w:val="en-US" w:eastAsia="zh-CN"/>
        </w:rPr>
        <w:t>年朝阳市生态环境质量公报，</w:t>
      </w:r>
      <w:r>
        <w:rPr>
          <w:rFonts w:hint="eastAsia" w:eastAsia="宋体" w:cs="Times New Roman"/>
          <w:color w:val="auto"/>
          <w:lang w:val="en-US" w:eastAsia="zh-CN"/>
        </w:rPr>
        <w:t>2024</w:t>
      </w:r>
      <w:r>
        <w:rPr>
          <w:rFonts w:hint="default" w:ascii="Times New Roman" w:hAnsi="Times New Roman" w:eastAsia="宋体" w:cs="Times New Roman"/>
          <w:color w:val="auto"/>
          <w:lang w:val="en-US" w:eastAsia="zh-CN"/>
        </w:rPr>
        <w:t>年朝阳市市环境空气中，各项指标均满足《环境空气质量标准》（GB3095-2012）中的二级标准要求，属于达标区</w:t>
      </w:r>
      <w:r>
        <w:rPr>
          <w:rFonts w:hint="eastAsia" w:eastAsia="宋体" w:cs="Times New Roman"/>
          <w:color w:val="auto"/>
          <w:lang w:val="en-US" w:eastAsia="zh-CN"/>
        </w:rPr>
        <w:t>。</w:t>
      </w:r>
    </w:p>
    <w:p w14:paraId="2F0A3CFF">
      <w:pPr>
        <w:pStyle w:val="1486"/>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0" w:leftChars="0"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地下水环境</w:t>
      </w:r>
    </w:p>
    <w:p w14:paraId="00846A0E">
      <w:pPr>
        <w:pStyle w:val="148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rPr>
          <w:rFonts w:hint="default" w:ascii="Times New Roman" w:hAnsi="Times New Roman" w:eastAsia="宋体" w:cs="Times New Roman"/>
          <w:color w:val="auto"/>
        </w:rPr>
      </w:pPr>
      <w:r>
        <w:rPr>
          <w:rFonts w:hint="eastAsia" w:eastAsia="宋体" w:cs="Times New Roman"/>
          <w:color w:val="auto"/>
          <w:lang w:val="en-US" w:eastAsia="zh-CN"/>
        </w:rPr>
        <w:t>根据本项目对区域地下水环境的实测数据，项目</w:t>
      </w:r>
      <w:r>
        <w:rPr>
          <w:rFonts w:hint="default" w:ascii="Times New Roman" w:hAnsi="Times New Roman" w:eastAsia="宋体" w:cs="Times New Roman"/>
          <w:color w:val="auto"/>
          <w:lang w:val="en-US" w:eastAsia="zh-CN"/>
        </w:rPr>
        <w:t>区域地下水环境现状质量</w:t>
      </w:r>
      <w:r>
        <w:rPr>
          <w:rFonts w:hint="eastAsia" w:eastAsia="宋体" w:cs="Times New Roman"/>
          <w:color w:val="auto"/>
          <w:lang w:val="en-US" w:eastAsia="zh-CN"/>
        </w:rPr>
        <w:t>满足</w:t>
      </w:r>
      <w:r>
        <w:rPr>
          <w:rFonts w:hint="default" w:ascii="Times New Roman" w:hAnsi="Times New Roman" w:eastAsia="宋体" w:cs="Times New Roman"/>
          <w:color w:val="auto"/>
          <w:lang w:val="en-US" w:eastAsia="zh-CN"/>
        </w:rPr>
        <w:t>《地下水环境质量标准》(GB/T14848-2017)中的Ⅲ类水质标准</w:t>
      </w:r>
      <w:r>
        <w:rPr>
          <w:rFonts w:hint="eastAsia" w:eastAsia="宋体" w:cs="Times New Roman"/>
          <w:color w:val="auto"/>
          <w:lang w:val="en-US" w:eastAsia="zh-CN"/>
        </w:rPr>
        <w:t>，</w:t>
      </w:r>
      <w:r>
        <w:rPr>
          <w:rFonts w:hint="default" w:ascii="Times New Roman" w:hAnsi="Times New Roman" w:eastAsia="宋体" w:cs="Times New Roman"/>
          <w:color w:val="auto"/>
          <w:lang w:val="en-US" w:eastAsia="zh-CN"/>
        </w:rPr>
        <w:t>区域</w:t>
      </w:r>
      <w:r>
        <w:rPr>
          <w:rFonts w:hint="eastAsia" w:eastAsia="宋体" w:cs="Times New Roman"/>
          <w:color w:val="auto"/>
          <w:lang w:val="en-US" w:eastAsia="zh-CN"/>
        </w:rPr>
        <w:t>地下水环境质量较好</w:t>
      </w:r>
      <w:r>
        <w:rPr>
          <w:rFonts w:hint="default" w:ascii="Times New Roman" w:hAnsi="Times New Roman" w:eastAsia="宋体" w:cs="Times New Roman"/>
          <w:color w:val="auto"/>
          <w:lang w:val="en-US" w:eastAsia="zh-CN"/>
        </w:rPr>
        <w:t xml:space="preserve">。 </w:t>
      </w:r>
    </w:p>
    <w:p w14:paraId="4D1D7658">
      <w:pPr>
        <w:pStyle w:val="1486"/>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0" w:leftChars="0"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声环境</w:t>
      </w:r>
    </w:p>
    <w:p w14:paraId="5C1930CB">
      <w:pPr>
        <w:pStyle w:val="148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rPr>
          <w:rFonts w:hint="default" w:ascii="Times New Roman" w:hAnsi="Times New Roman" w:eastAsia="宋体" w:cs="Times New Roman"/>
          <w:color w:val="auto"/>
        </w:rPr>
      </w:pPr>
      <w:r>
        <w:rPr>
          <w:rFonts w:hint="eastAsia" w:eastAsia="宋体" w:cs="Times New Roman"/>
          <w:color w:val="auto"/>
          <w:lang w:val="en-US" w:eastAsia="zh-CN"/>
        </w:rPr>
        <w:t>根据本项目对厂界声环境的实测数据，</w:t>
      </w:r>
      <w:r>
        <w:rPr>
          <w:rFonts w:hint="default" w:ascii="Times New Roman" w:hAnsi="Times New Roman" w:eastAsia="宋体" w:cs="Times New Roman"/>
          <w:color w:val="auto"/>
          <w:lang w:val="en-US" w:eastAsia="zh-CN"/>
        </w:rPr>
        <w:t>监测结果满足《声环境质量标准》（GB3096-2008）中</w:t>
      </w:r>
      <w:r>
        <w:rPr>
          <w:rFonts w:hint="eastAsia" w:eastAsia="宋体" w:cs="Times New Roman"/>
          <w:color w:val="auto"/>
          <w:lang w:val="en-US" w:eastAsia="zh-CN"/>
        </w:rPr>
        <w:t>3</w:t>
      </w:r>
      <w:r>
        <w:rPr>
          <w:rFonts w:hint="default" w:ascii="Times New Roman" w:hAnsi="Times New Roman" w:eastAsia="宋体" w:cs="Times New Roman"/>
          <w:color w:val="auto"/>
          <w:lang w:val="en-US" w:eastAsia="zh-CN"/>
        </w:rPr>
        <w:t>类标准</w:t>
      </w:r>
      <w:r>
        <w:rPr>
          <w:rFonts w:hint="eastAsia" w:eastAsia="宋体" w:cs="Times New Roman"/>
          <w:color w:val="auto"/>
          <w:lang w:val="en-US" w:eastAsia="zh-CN"/>
        </w:rPr>
        <w:t>限值</w:t>
      </w:r>
      <w:r>
        <w:rPr>
          <w:rFonts w:hint="default" w:ascii="Times New Roman" w:hAnsi="Times New Roman" w:eastAsia="宋体" w:cs="Times New Roman"/>
          <w:color w:val="auto"/>
          <w:lang w:val="en-US" w:eastAsia="zh-CN"/>
        </w:rPr>
        <w:t xml:space="preserve">要求，区域声环境质量较好。 </w:t>
      </w:r>
    </w:p>
    <w:p w14:paraId="14CB88C8">
      <w:pPr>
        <w:pStyle w:val="1486"/>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0" w:leftChars="0"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土壤环境</w:t>
      </w:r>
    </w:p>
    <w:p w14:paraId="5EF7D596">
      <w:pPr>
        <w:pStyle w:val="148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rPr>
          <w:rFonts w:hint="default" w:ascii="Times New Roman" w:hAnsi="Times New Roman" w:eastAsia="宋体" w:cs="Times New Roman"/>
          <w:color w:val="auto"/>
        </w:rPr>
      </w:pPr>
      <w:r>
        <w:rPr>
          <w:rFonts w:hint="eastAsia" w:eastAsia="宋体" w:cs="Times New Roman"/>
          <w:color w:val="auto"/>
          <w:lang w:val="en-US" w:eastAsia="zh-CN"/>
        </w:rPr>
        <w:t>根据本项目对周围</w:t>
      </w:r>
      <w:r>
        <w:rPr>
          <w:rFonts w:hint="default" w:ascii="Times New Roman" w:hAnsi="Times New Roman" w:eastAsia="宋体" w:cs="Times New Roman"/>
          <w:color w:val="auto"/>
          <w:lang w:val="en-US" w:eastAsia="zh-CN"/>
        </w:rPr>
        <w:t>土壤</w:t>
      </w:r>
      <w:r>
        <w:rPr>
          <w:rFonts w:hint="eastAsia" w:eastAsia="宋体" w:cs="Times New Roman"/>
          <w:color w:val="auto"/>
          <w:lang w:val="en-US" w:eastAsia="zh-CN"/>
        </w:rPr>
        <w:t>质量的实测数据</w:t>
      </w:r>
      <w:r>
        <w:rPr>
          <w:rFonts w:hint="default" w:ascii="Times New Roman" w:hAnsi="Times New Roman" w:eastAsia="宋体" w:cs="Times New Roman"/>
          <w:color w:val="auto"/>
          <w:lang w:val="en-US" w:eastAsia="zh-CN"/>
        </w:rPr>
        <w:t>，</w:t>
      </w:r>
      <w:r>
        <w:rPr>
          <w:rFonts w:hint="eastAsia" w:eastAsia="宋体" w:cs="Times New Roman"/>
          <w:color w:val="auto"/>
          <w:lang w:val="en-US" w:eastAsia="zh-CN"/>
        </w:rPr>
        <w:t>项目区域</w:t>
      </w:r>
      <w:r>
        <w:rPr>
          <w:rFonts w:hint="default" w:ascii="Times New Roman" w:hAnsi="Times New Roman" w:eastAsia="宋体" w:cs="Times New Roman"/>
          <w:color w:val="auto"/>
          <w:lang w:val="en-US" w:eastAsia="zh-CN"/>
        </w:rPr>
        <w:t>建设用地土壤环境质量满足《土壤环境质量建设用地土壤污染风险管控标准》（试行）（GB36600-2018）中的标准限值要求，</w:t>
      </w:r>
      <w:r>
        <w:rPr>
          <w:rFonts w:hint="eastAsia" w:eastAsia="宋体" w:cs="Times New Roman"/>
          <w:color w:val="auto"/>
          <w:lang w:val="en-US" w:eastAsia="zh-CN"/>
        </w:rPr>
        <w:t>农用地</w:t>
      </w:r>
      <w:r>
        <w:rPr>
          <w:rFonts w:hint="default" w:ascii="Times New Roman" w:hAnsi="Times New Roman" w:eastAsia="宋体" w:cs="Times New Roman"/>
          <w:color w:val="auto"/>
          <w:lang w:val="en-US" w:eastAsia="zh-CN"/>
        </w:rPr>
        <w:t xml:space="preserve">土壤环境质量满足《土壤环境质量 农用地土壤污染风险管控标准》（试行）（GB15618-2018）中的标准限值要求。 </w:t>
      </w:r>
    </w:p>
    <w:p w14:paraId="597F64E4">
      <w:pPr>
        <w:pStyle w:val="1486"/>
        <w:keepNext w:val="0"/>
        <w:keepLines w:val="0"/>
        <w:pageBreakBefore w:val="0"/>
        <w:widowControl w:val="0"/>
        <w:numPr>
          <w:ilvl w:val="0"/>
          <w:numId w:val="15"/>
        </w:numPr>
        <w:kinsoku/>
        <w:wordWrap/>
        <w:overflowPunct/>
        <w:topLinePunct w:val="0"/>
        <w:autoSpaceDE/>
        <w:autoSpaceDN/>
        <w:bidi w:val="0"/>
        <w:adjustRightInd/>
        <w:snapToGrid w:val="0"/>
        <w:spacing w:line="360" w:lineRule="auto"/>
        <w:ind w:left="0" w:leftChars="0" w:firstLine="482" w:firstLineChars="20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生态环境</w:t>
      </w:r>
    </w:p>
    <w:p w14:paraId="0DBFE80D">
      <w:pPr>
        <w:pStyle w:val="148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评价区植被覆盖度一般，区域生态环境存在一定的人为破坏，生态系统完整性和功能性保持较好。</w:t>
      </w:r>
    </w:p>
    <w:bookmarkEnd w:id="225"/>
    <w:bookmarkEnd w:id="226"/>
    <w:bookmarkEnd w:id="227"/>
    <w:p w14:paraId="6A7CD429">
      <w:pPr>
        <w:pStyle w:val="4"/>
        <w:bidi w:val="0"/>
        <w:rPr>
          <w:rFonts w:hint="default" w:ascii="Times New Roman" w:hAnsi="Times New Roman" w:cs="Times New Roman" w:eastAsiaTheme="minorEastAsia"/>
          <w:lang w:val="zh-CN" w:eastAsia="zh-CN"/>
        </w:rPr>
      </w:pPr>
      <w:bookmarkStart w:id="228" w:name="_Toc18366"/>
      <w:r>
        <w:rPr>
          <w:rFonts w:hint="default" w:ascii="Times New Roman" w:hAnsi="Times New Roman" w:cs="Times New Roman" w:eastAsiaTheme="minorEastAsia"/>
          <w:lang w:val="zh-CN" w:eastAsia="zh-CN"/>
        </w:rPr>
        <w:t>1</w:t>
      </w: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zh-CN" w:eastAsia="zh-CN"/>
        </w:rPr>
        <w:t>.3项目采取的环保措施及主要环境影响</w:t>
      </w:r>
      <w:bookmarkEnd w:id="228"/>
    </w:p>
    <w:p w14:paraId="4A2A629A">
      <w:pPr>
        <w:pStyle w:val="5"/>
        <w:bidi w:val="0"/>
        <w:rPr>
          <w:rFonts w:hint="eastAsia"/>
          <w:lang w:val="zh-CN" w:eastAsia="zh-CN"/>
        </w:rPr>
      </w:pPr>
      <w:r>
        <w:rPr>
          <w:rFonts w:hint="eastAsia"/>
          <w:lang w:val="zh-CN" w:eastAsia="zh-CN"/>
        </w:rPr>
        <w:t>1</w:t>
      </w:r>
      <w:r>
        <w:rPr>
          <w:rFonts w:hint="eastAsia"/>
          <w:lang w:val="en-US" w:eastAsia="zh-CN"/>
        </w:rPr>
        <w:t>2</w:t>
      </w:r>
      <w:r>
        <w:rPr>
          <w:rFonts w:hint="eastAsia"/>
          <w:lang w:val="zh-CN" w:eastAsia="zh-CN"/>
        </w:rPr>
        <w:t>.3.1废气</w:t>
      </w:r>
    </w:p>
    <w:p w14:paraId="23A9EEE8">
      <w:pPr>
        <w:pStyle w:val="1486"/>
        <w:ind w:firstLine="48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rPr>
        <w:t>（1）</w:t>
      </w:r>
      <w:r>
        <w:rPr>
          <w:rFonts w:hint="eastAsia" w:eastAsia="宋体" w:cs="Times New Roman"/>
          <w:b/>
          <w:bCs/>
          <w:color w:val="auto"/>
          <w:lang w:val="en-US" w:eastAsia="zh-CN"/>
        </w:rPr>
        <w:t>有组织粉尘</w:t>
      </w:r>
    </w:p>
    <w:p w14:paraId="06920E6B">
      <w:pPr>
        <w:pStyle w:val="1486"/>
        <w:ind w:firstLine="480"/>
        <w:rPr>
          <w:rFonts w:hint="default" w:ascii="Times New Roman" w:hAnsi="Times New Roman" w:eastAsia="宋体" w:cs="Times New Roman"/>
          <w:color w:val="auto"/>
        </w:rPr>
      </w:pPr>
      <w:r>
        <w:rPr>
          <w:rFonts w:hint="eastAsia" w:eastAsia="宋体" w:cs="Times New Roman"/>
          <w:color w:val="auto"/>
          <w:lang w:val="en-US" w:eastAsia="zh-CN"/>
        </w:rPr>
        <w:t>项目有组织粉尘排放源包括破碎区、球磨工序，企业依托现有1台布袋除尘器（TA001）处理，处理后通过1根15m高排气筒（DA001）有组织排放，粉尘的排放浓度及排放速率可满足</w:t>
      </w:r>
      <w:r>
        <w:rPr>
          <w:rFonts w:hint="eastAsia" w:ascii="Times New Roman" w:hAnsi="Times New Roman" w:eastAsia="宋体" w:cs="Times New Roman"/>
          <w:color w:val="auto"/>
          <w:lang w:val="en-US" w:eastAsia="zh-CN"/>
        </w:rPr>
        <w:t>《大气污染物综合排放标准》(GB16297- 1996）</w:t>
      </w:r>
      <w:r>
        <w:rPr>
          <w:rFonts w:hint="default" w:ascii="Times New Roman" w:hAnsi="Times New Roman" w:eastAsia="宋体" w:cs="Times New Roman"/>
          <w:color w:val="auto"/>
        </w:rPr>
        <w:t>。</w:t>
      </w:r>
    </w:p>
    <w:p w14:paraId="1BD48488">
      <w:pPr>
        <w:pStyle w:val="1486"/>
        <w:numPr>
          <w:ilvl w:val="0"/>
          <w:numId w:val="0"/>
        </w:numPr>
        <w:ind w:leftChars="200"/>
        <w:rPr>
          <w:rFonts w:hint="eastAsia" w:eastAsia="宋体" w:cs="Times New Roman"/>
          <w:b/>
          <w:bCs/>
          <w:color w:val="auto"/>
          <w:lang w:val="en-US" w:eastAsia="zh-CN"/>
        </w:rPr>
      </w:pPr>
      <w:r>
        <w:rPr>
          <w:rFonts w:hint="eastAsia" w:eastAsia="宋体" w:cs="Times New Roman"/>
          <w:b/>
          <w:bCs/>
          <w:color w:val="auto"/>
          <w:lang w:val="en-US" w:eastAsia="zh-CN"/>
        </w:rPr>
        <w:t>（2）无组织粉尘</w:t>
      </w:r>
    </w:p>
    <w:p w14:paraId="5B138952">
      <w:pPr>
        <w:pStyle w:val="1486"/>
        <w:numPr>
          <w:ilvl w:val="0"/>
          <w:numId w:val="0"/>
        </w:numPr>
        <w:rPr>
          <w:rFonts w:hint="default" w:ascii="Times New Roman" w:hAnsi="Times New Roman" w:eastAsia="宋体" w:cs="Times New Roman"/>
          <w:color w:val="auto"/>
        </w:rPr>
      </w:pPr>
      <w:r>
        <w:rPr>
          <w:rFonts w:hint="eastAsia" w:eastAsia="宋体" w:cs="Times New Roman"/>
          <w:color w:val="auto"/>
          <w:lang w:val="en-US" w:eastAsia="zh-CN"/>
        </w:rPr>
        <w:t xml:space="preserve">    无组织粉尘包括皮带输送粉尘、道路运输粉尘、堆场装卸扬尘、尾矿暂存扬尘。企业采取洒水降尘、降低装卸高度、苫布苫盖或厂房封闭等措施，有效减少粉尘无组织排放量，经前文预测，粉尘无组织排放浓度可满足</w:t>
      </w:r>
      <w:r>
        <w:rPr>
          <w:rFonts w:hint="eastAsia" w:ascii="Times New Roman" w:hAnsi="Times New Roman" w:eastAsia="宋体" w:cs="Times New Roman"/>
          <w:color w:val="auto"/>
          <w:lang w:val="en-US" w:eastAsia="zh-CN"/>
        </w:rPr>
        <w:t>《大气污染物综合排放标准》(GB16297- 1996）</w:t>
      </w:r>
      <w:r>
        <w:rPr>
          <w:rFonts w:hint="default" w:ascii="Times New Roman" w:hAnsi="Times New Roman" w:eastAsia="宋体" w:cs="Times New Roman"/>
          <w:color w:val="auto"/>
        </w:rPr>
        <w:t>。</w:t>
      </w:r>
    </w:p>
    <w:p w14:paraId="67D999CE">
      <w:pPr>
        <w:pStyle w:val="5"/>
        <w:bidi w:val="0"/>
        <w:rPr>
          <w:rFonts w:hint="eastAsia"/>
          <w:lang w:val="zh-CN" w:eastAsia="zh-CN"/>
        </w:rPr>
      </w:pPr>
      <w:r>
        <w:rPr>
          <w:rFonts w:hint="eastAsia"/>
          <w:lang w:val="zh-CN" w:eastAsia="zh-CN"/>
        </w:rPr>
        <w:t>1</w:t>
      </w:r>
      <w:r>
        <w:rPr>
          <w:rFonts w:hint="eastAsia"/>
          <w:lang w:val="en-US" w:eastAsia="zh-CN"/>
        </w:rPr>
        <w:t>2</w:t>
      </w:r>
      <w:r>
        <w:rPr>
          <w:rFonts w:hint="eastAsia"/>
          <w:lang w:val="zh-CN" w:eastAsia="zh-CN"/>
        </w:rPr>
        <w:t>.3.2废水</w:t>
      </w:r>
    </w:p>
    <w:p w14:paraId="6E6AEA18">
      <w:pPr>
        <w:pStyle w:val="1486"/>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color w:val="auto"/>
          <w:lang w:val="en-US" w:eastAsia="zh-CN"/>
        </w:rPr>
      </w:pPr>
      <w:r>
        <w:rPr>
          <w:rFonts w:hint="eastAsia" w:ascii="宋体" w:hAnsi="宋体" w:eastAsia="宋体" w:cs="宋体"/>
          <w:color w:val="auto"/>
          <w:lang w:val="en-US" w:eastAsia="zh-CN"/>
        </w:rPr>
        <w:t>本项目新增的生活污水排入现有防渗旱厕，定期清掏，不外排；生产废水全部回用于生产工序，不外排。</w:t>
      </w:r>
    </w:p>
    <w:p w14:paraId="26563DC2">
      <w:pPr>
        <w:pStyle w:val="5"/>
        <w:bidi w:val="0"/>
        <w:rPr>
          <w:rFonts w:hint="eastAsia"/>
          <w:lang w:val="zh-CN" w:eastAsia="zh-CN"/>
        </w:rPr>
      </w:pPr>
      <w:r>
        <w:rPr>
          <w:rFonts w:hint="eastAsia"/>
          <w:lang w:val="zh-CN" w:eastAsia="zh-CN"/>
        </w:rPr>
        <w:t>1</w:t>
      </w:r>
      <w:r>
        <w:rPr>
          <w:rFonts w:hint="eastAsia"/>
          <w:lang w:val="en-US" w:eastAsia="zh-CN"/>
        </w:rPr>
        <w:t>2</w:t>
      </w:r>
      <w:r>
        <w:rPr>
          <w:rFonts w:hint="eastAsia"/>
          <w:lang w:val="zh-CN" w:eastAsia="zh-CN"/>
        </w:rPr>
        <w:t>.3.3固体废物</w:t>
      </w:r>
    </w:p>
    <w:p w14:paraId="554B4118">
      <w:pPr>
        <w:pStyle w:val="50"/>
        <w:keepNext w:val="0"/>
        <w:keepLines w:val="0"/>
        <w:pageBreakBefore w:val="0"/>
        <w:widowControl w:val="0"/>
        <w:numPr>
          <w:ilvl w:val="0"/>
          <w:numId w:val="16"/>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一般固废</w:t>
      </w:r>
    </w:p>
    <w:p w14:paraId="3DABCF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本项目新增的一般固废为干排尾矿和除尘灰。干排尾矿外运综合利用，除尘灰回用生产。</w:t>
      </w:r>
    </w:p>
    <w:p w14:paraId="69337593">
      <w:pPr>
        <w:pStyle w:val="50"/>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危废</w:t>
      </w:r>
    </w:p>
    <w:p w14:paraId="4B5FF6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本项目新增的危废为废机油、废油桶、浮选药剂废包装，全部暂存于危废贮存点，委托有资质的单位处理。</w:t>
      </w:r>
    </w:p>
    <w:p w14:paraId="57627D55">
      <w:pPr>
        <w:pStyle w:val="50"/>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生活垃圾</w:t>
      </w:r>
    </w:p>
    <w:p w14:paraId="43D88DF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color w:val="auto"/>
          <w:kern w:val="2"/>
          <w:sz w:val="24"/>
          <w:szCs w:val="22"/>
          <w:lang w:val="en-US" w:eastAsia="zh-CN" w:bidi="ar-SA"/>
        </w:rPr>
      </w:pPr>
      <w:r>
        <w:rPr>
          <w:rFonts w:hint="default" w:ascii="Times New Roman" w:hAnsi="Times New Roman" w:eastAsia="宋体" w:cs="Times New Roman"/>
          <w:color w:val="auto"/>
          <w:kern w:val="2"/>
          <w:sz w:val="24"/>
          <w:szCs w:val="22"/>
          <w:lang w:val="en-US" w:eastAsia="zh-CN" w:bidi="ar-SA"/>
        </w:rPr>
        <w:t>生活垃圾暂存于生</w:t>
      </w:r>
      <w:r>
        <w:rPr>
          <w:rFonts w:hint="eastAsia" w:ascii="宋体" w:hAnsi="宋体" w:eastAsia="宋体" w:cs="宋体"/>
          <w:color w:val="auto"/>
          <w:kern w:val="2"/>
          <w:sz w:val="24"/>
          <w:szCs w:val="22"/>
          <w:lang w:val="en-US" w:eastAsia="zh-CN" w:bidi="ar-SA"/>
        </w:rPr>
        <w:t>活垃圾箱，委托环卫部门处理。</w:t>
      </w:r>
    </w:p>
    <w:p w14:paraId="190C68EB">
      <w:pPr>
        <w:pStyle w:val="5"/>
        <w:bidi w:val="0"/>
        <w:rPr>
          <w:rFonts w:hint="eastAsia"/>
          <w:lang w:val="zh-CN" w:eastAsia="zh-CN"/>
        </w:rPr>
      </w:pPr>
      <w:r>
        <w:rPr>
          <w:rFonts w:hint="eastAsia"/>
          <w:lang w:val="zh-CN" w:eastAsia="zh-CN"/>
        </w:rPr>
        <w:t>1</w:t>
      </w:r>
      <w:r>
        <w:rPr>
          <w:rFonts w:hint="eastAsia"/>
          <w:lang w:val="en-US" w:eastAsia="zh-CN"/>
        </w:rPr>
        <w:t>2</w:t>
      </w:r>
      <w:r>
        <w:rPr>
          <w:rFonts w:hint="eastAsia"/>
          <w:lang w:val="zh-CN" w:eastAsia="zh-CN"/>
        </w:rPr>
        <w:t>.3.4噪声</w:t>
      </w:r>
    </w:p>
    <w:p w14:paraId="41F6F63E">
      <w:pPr>
        <w:spacing w:line="360" w:lineRule="auto"/>
        <w:ind w:firstLine="480" w:firstLineChars="200"/>
        <w:rPr>
          <w:color w:val="auto"/>
          <w:sz w:val="24"/>
        </w:rPr>
      </w:pPr>
      <w:r>
        <w:rPr>
          <w:color w:val="auto"/>
          <w:sz w:val="24"/>
        </w:rPr>
        <w:t>本项目对</w:t>
      </w:r>
      <w:r>
        <w:rPr>
          <w:rFonts w:hint="eastAsia"/>
          <w:color w:val="auto"/>
          <w:sz w:val="24"/>
          <w:lang w:val="en-US" w:eastAsia="zh-CN"/>
        </w:rPr>
        <w:t>产噪设备</w:t>
      </w:r>
      <w:r>
        <w:rPr>
          <w:color w:val="auto"/>
          <w:sz w:val="24"/>
        </w:rPr>
        <w:t>采取减振、隔声等措施，</w:t>
      </w:r>
      <w:r>
        <w:rPr>
          <w:rFonts w:hint="eastAsia"/>
          <w:color w:val="auto"/>
          <w:sz w:val="24"/>
          <w:lang w:val="en-US" w:eastAsia="zh-CN"/>
        </w:rPr>
        <w:t>经预测，厂界噪声</w:t>
      </w:r>
      <w:r>
        <w:rPr>
          <w:rFonts w:hint="eastAsia"/>
          <w:color w:val="auto"/>
          <w:sz w:val="24"/>
        </w:rPr>
        <w:t>满足</w:t>
      </w:r>
      <w:r>
        <w:rPr>
          <w:color w:val="auto"/>
          <w:sz w:val="24"/>
        </w:rPr>
        <w:t>《工业企业厂界环境噪声排放标准》（GB12348-2008）中</w:t>
      </w:r>
      <w:r>
        <w:rPr>
          <w:rFonts w:hint="eastAsia"/>
          <w:color w:val="auto"/>
          <w:sz w:val="24"/>
          <w:lang w:val="en-US" w:eastAsia="zh-CN"/>
        </w:rPr>
        <w:t>3</w:t>
      </w:r>
      <w:r>
        <w:rPr>
          <w:color w:val="auto"/>
          <w:sz w:val="24"/>
        </w:rPr>
        <w:t>类标准要求。</w:t>
      </w:r>
    </w:p>
    <w:p w14:paraId="076E5ACF">
      <w:pPr>
        <w:pStyle w:val="5"/>
        <w:bidi w:val="0"/>
        <w:rPr>
          <w:rFonts w:hint="eastAsia"/>
          <w:lang w:val="zh-CN" w:eastAsia="zh-CN"/>
        </w:rPr>
      </w:pPr>
      <w:r>
        <w:rPr>
          <w:rFonts w:hint="eastAsia"/>
          <w:lang w:val="zh-CN" w:eastAsia="zh-CN"/>
        </w:rPr>
        <w:t>1</w:t>
      </w:r>
      <w:r>
        <w:rPr>
          <w:rFonts w:hint="eastAsia"/>
          <w:lang w:val="en-US" w:eastAsia="zh-CN"/>
        </w:rPr>
        <w:t>2</w:t>
      </w:r>
      <w:r>
        <w:rPr>
          <w:rFonts w:hint="eastAsia"/>
          <w:lang w:val="zh-CN" w:eastAsia="zh-CN"/>
        </w:rPr>
        <w:t>.3.</w:t>
      </w:r>
      <w:r>
        <w:rPr>
          <w:rFonts w:hint="eastAsia"/>
          <w:lang w:val="en-US" w:eastAsia="zh-CN"/>
        </w:rPr>
        <w:t>5</w:t>
      </w:r>
      <w:r>
        <w:rPr>
          <w:rFonts w:hint="eastAsia"/>
          <w:lang w:val="zh-CN" w:eastAsia="zh-CN"/>
        </w:rPr>
        <w:t>环境风险</w:t>
      </w:r>
    </w:p>
    <w:p w14:paraId="7716939D">
      <w:pPr>
        <w:spacing w:line="360" w:lineRule="auto"/>
        <w:ind w:firstLine="480" w:firstLineChars="200"/>
        <w:rPr>
          <w:color w:val="auto"/>
          <w:sz w:val="24"/>
        </w:rPr>
      </w:pPr>
      <w:r>
        <w:rPr>
          <w:rFonts w:hint="eastAsia" w:eastAsiaTheme="minorEastAsia"/>
          <w:color w:val="auto"/>
          <w:sz w:val="24"/>
          <w:lang w:val="en-US" w:eastAsia="zh-CN"/>
        </w:rPr>
        <w:t>企业在生产过程中，严格落实各项风险防范措施，可使全厂的风险事故隐患降至最低，环境风险是可以接受的。</w:t>
      </w:r>
    </w:p>
    <w:p w14:paraId="47F67332">
      <w:pPr>
        <w:pStyle w:val="4"/>
        <w:bidi w:val="0"/>
        <w:rPr>
          <w:rFonts w:hint="default" w:ascii="Times New Roman" w:hAnsi="Times New Roman" w:cs="Times New Roman" w:eastAsiaTheme="minorEastAsia"/>
          <w:lang w:val="zh-CN" w:eastAsia="zh-CN"/>
        </w:rPr>
      </w:pPr>
      <w:bookmarkStart w:id="229" w:name="_Toc27934"/>
      <w:r>
        <w:rPr>
          <w:rFonts w:hint="default" w:ascii="Times New Roman" w:hAnsi="Times New Roman" w:cs="Times New Roman" w:eastAsiaTheme="minorEastAsia"/>
          <w:lang w:val="zh-CN" w:eastAsia="zh-CN"/>
        </w:rPr>
        <w:t>1</w:t>
      </w: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zh-CN" w:eastAsia="zh-CN"/>
        </w:rPr>
        <w:t>.4总量控制</w:t>
      </w:r>
      <w:bookmarkEnd w:id="229"/>
    </w:p>
    <w:p w14:paraId="557730EB">
      <w:pPr>
        <w:spacing w:line="360" w:lineRule="auto"/>
        <w:ind w:firstLine="480" w:firstLineChars="200"/>
        <w:rPr>
          <w:rFonts w:hint="default" w:eastAsia="宋体"/>
          <w:color w:val="auto"/>
          <w:sz w:val="24"/>
          <w:lang w:val="en-US" w:eastAsia="zh-CN"/>
        </w:rPr>
      </w:pPr>
      <w:r>
        <w:rPr>
          <w:rFonts w:hint="eastAsia" w:cs="Times New Roman"/>
          <w:color w:val="auto"/>
          <w:sz w:val="24"/>
          <w:highlight w:val="none"/>
          <w:lang w:eastAsia="zh-CN"/>
        </w:rPr>
        <w:t>本次改扩建</w:t>
      </w:r>
      <w:r>
        <w:rPr>
          <w:rFonts w:hint="eastAsia" w:ascii="Times New Roman" w:hAnsi="Times New Roman" w:eastAsia="宋体" w:cs="Times New Roman"/>
          <w:color w:val="auto"/>
          <w:sz w:val="24"/>
          <w:highlight w:val="none"/>
          <w:lang w:eastAsia="zh-CN"/>
        </w:rPr>
        <w:t>项目不新增总量控制指标</w:t>
      </w:r>
      <w:r>
        <w:rPr>
          <w:rFonts w:ascii="Times New Roman" w:hAnsi="Times New Roman" w:eastAsia="宋体" w:cs="Times New Roman"/>
          <w:color w:val="auto"/>
          <w:sz w:val="24"/>
          <w:highlight w:val="none"/>
        </w:rPr>
        <w:t>。</w:t>
      </w:r>
    </w:p>
    <w:p w14:paraId="1DA5E64A">
      <w:pPr>
        <w:pStyle w:val="4"/>
        <w:bidi w:val="0"/>
        <w:rPr>
          <w:rFonts w:hint="default" w:ascii="Times New Roman" w:hAnsi="Times New Roman" w:cs="Times New Roman" w:eastAsiaTheme="majorEastAsia"/>
          <w:lang w:val="zh-CN" w:eastAsia="zh-CN"/>
        </w:rPr>
      </w:pPr>
      <w:bookmarkStart w:id="230" w:name="_Toc2482"/>
      <w:r>
        <w:rPr>
          <w:rFonts w:hint="default" w:ascii="Times New Roman" w:hAnsi="Times New Roman" w:cs="Times New Roman" w:eastAsiaTheme="majorEastAsia"/>
          <w:lang w:val="zh-CN" w:eastAsia="zh-CN"/>
        </w:rPr>
        <w:t>1</w:t>
      </w:r>
      <w:r>
        <w:rPr>
          <w:rFonts w:hint="eastAsia" w:ascii="Times New Roman" w:hAnsi="Times New Roman" w:cs="Times New Roman" w:eastAsiaTheme="majorEastAsia"/>
          <w:lang w:val="en-US" w:eastAsia="zh-CN"/>
        </w:rPr>
        <w:t>2</w:t>
      </w:r>
      <w:r>
        <w:rPr>
          <w:rFonts w:hint="default" w:ascii="Times New Roman" w:hAnsi="Times New Roman" w:cs="Times New Roman" w:eastAsiaTheme="majorEastAsia"/>
          <w:lang w:val="zh-CN" w:eastAsia="zh-CN"/>
        </w:rPr>
        <w:t>.5环保投资及环境影响经济损益分析</w:t>
      </w:r>
      <w:bookmarkEnd w:id="230"/>
    </w:p>
    <w:p w14:paraId="2F5175BA">
      <w:pPr>
        <w:autoSpaceDE w:val="0"/>
        <w:autoSpaceDN w:val="0"/>
        <w:adjustRightInd w:val="0"/>
        <w:snapToGrid w:val="0"/>
        <w:spacing w:line="360" w:lineRule="auto"/>
        <w:ind w:firstLine="480" w:firstLineChars="200"/>
        <w:rPr>
          <w:bCs/>
          <w:color w:val="auto"/>
          <w:sz w:val="24"/>
        </w:rPr>
      </w:pPr>
      <w:r>
        <w:rPr>
          <w:bCs/>
          <w:color w:val="auto"/>
          <w:sz w:val="24"/>
        </w:rPr>
        <w:t>本项目总投资额为</w:t>
      </w:r>
      <w:r>
        <w:rPr>
          <w:rFonts w:hint="eastAsia"/>
          <w:bCs/>
          <w:color w:val="auto"/>
          <w:sz w:val="24"/>
          <w:lang w:val="en-US" w:eastAsia="zh-CN"/>
        </w:rPr>
        <w:t>500</w:t>
      </w:r>
      <w:r>
        <w:rPr>
          <w:bCs/>
          <w:color w:val="auto"/>
          <w:sz w:val="24"/>
        </w:rPr>
        <w:t>万元，环保投资为</w:t>
      </w:r>
      <w:r>
        <w:rPr>
          <w:rFonts w:hint="eastAsia"/>
          <w:bCs/>
          <w:color w:val="auto"/>
          <w:sz w:val="24"/>
          <w:highlight w:val="none"/>
          <w:lang w:val="en-US" w:eastAsia="zh-CN"/>
        </w:rPr>
        <w:t>40</w:t>
      </w:r>
      <w:r>
        <w:rPr>
          <w:bCs/>
          <w:color w:val="auto"/>
          <w:sz w:val="24"/>
        </w:rPr>
        <w:t>万元，环保投资占总投资额的</w:t>
      </w:r>
      <w:r>
        <w:rPr>
          <w:rFonts w:hint="eastAsia"/>
          <w:bCs/>
          <w:color w:val="auto"/>
          <w:sz w:val="24"/>
          <w:highlight w:val="none"/>
          <w:lang w:val="en-US" w:eastAsia="zh-CN"/>
        </w:rPr>
        <w:t>8</w:t>
      </w:r>
      <w:r>
        <w:rPr>
          <w:rFonts w:hint="eastAsia"/>
          <w:bCs/>
          <w:color w:val="auto"/>
          <w:sz w:val="24"/>
          <w:highlight w:val="none"/>
        </w:rPr>
        <w:t>％</w:t>
      </w:r>
      <w:r>
        <w:rPr>
          <w:bCs/>
          <w:color w:val="auto"/>
          <w:sz w:val="24"/>
        </w:rPr>
        <w:t>。</w:t>
      </w:r>
      <w:bookmarkStart w:id="231" w:name="_Toc436571702"/>
    </w:p>
    <w:p w14:paraId="330E7905">
      <w:pPr>
        <w:autoSpaceDE w:val="0"/>
        <w:autoSpaceDN w:val="0"/>
        <w:adjustRightInd w:val="0"/>
        <w:snapToGrid w:val="0"/>
        <w:spacing w:line="360" w:lineRule="auto"/>
        <w:rPr>
          <w:color w:val="auto"/>
          <w:sz w:val="24"/>
        </w:rPr>
      </w:pPr>
      <w:r>
        <w:rPr>
          <w:color w:val="auto"/>
          <w:sz w:val="24"/>
        </w:rPr>
        <w:t>本项目的建设运行，有利于增强地方经济实力、财力，增加就业机会；增强企业的盈利能力和资源综合利用水平；有利于地方产业结构的调整；大大改善了环境资源的利用效率。因此，在社会效益、经济效益和环境效益三个方面都是可行的。此外，应当注意在生产过程中加强设备的管理、职工培训、严格操作规程，保证生产设备和环保设施的正常运行，确保环境保护要求的防治措施得到实施。</w:t>
      </w:r>
    </w:p>
    <w:bookmarkEnd w:id="231"/>
    <w:p w14:paraId="2E9042A9">
      <w:pPr>
        <w:pStyle w:val="4"/>
        <w:bidi w:val="0"/>
        <w:rPr>
          <w:rFonts w:hint="default" w:ascii="Times New Roman" w:hAnsi="Times New Roman" w:cs="Times New Roman" w:eastAsiaTheme="majorEastAsia"/>
          <w:lang w:val="zh-CN" w:eastAsia="zh-CN"/>
        </w:rPr>
      </w:pPr>
      <w:bookmarkStart w:id="232" w:name="_Toc15311"/>
      <w:r>
        <w:rPr>
          <w:rFonts w:hint="default" w:ascii="Times New Roman" w:hAnsi="Times New Roman" w:cs="Times New Roman" w:eastAsiaTheme="majorEastAsia"/>
          <w:lang w:val="zh-CN" w:eastAsia="zh-CN"/>
        </w:rPr>
        <w:t>1</w:t>
      </w:r>
      <w:r>
        <w:rPr>
          <w:rFonts w:hint="eastAsia" w:ascii="Times New Roman" w:hAnsi="Times New Roman" w:cs="Times New Roman" w:eastAsiaTheme="majorEastAsia"/>
          <w:lang w:val="en-US" w:eastAsia="zh-CN"/>
        </w:rPr>
        <w:t>2</w:t>
      </w:r>
      <w:r>
        <w:rPr>
          <w:rFonts w:hint="default" w:ascii="Times New Roman" w:hAnsi="Times New Roman" w:cs="Times New Roman" w:eastAsiaTheme="majorEastAsia"/>
          <w:lang w:val="zh-CN" w:eastAsia="zh-CN"/>
        </w:rPr>
        <w:t>.</w:t>
      </w:r>
      <w:r>
        <w:rPr>
          <w:rFonts w:hint="eastAsia" w:ascii="Times New Roman" w:hAnsi="Times New Roman" w:cs="Times New Roman" w:eastAsiaTheme="majorEastAsia"/>
          <w:lang w:val="en-US" w:eastAsia="zh-CN"/>
        </w:rPr>
        <w:t>6</w:t>
      </w:r>
      <w:r>
        <w:rPr>
          <w:rFonts w:hint="default" w:ascii="Times New Roman" w:hAnsi="Times New Roman" w:cs="Times New Roman" w:eastAsiaTheme="majorEastAsia"/>
          <w:lang w:val="zh-CN" w:eastAsia="zh-CN"/>
        </w:rPr>
        <w:t>环境管理与监测计划</w:t>
      </w:r>
      <w:bookmarkEnd w:id="232"/>
    </w:p>
    <w:p w14:paraId="1BBBC8DD">
      <w:pPr>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建设单位按照项目建设阶段和生产运行的不同阶段，针对不同工况、不同环境影响和环境风险特征，制定完善的环境管理制度，明确各项环境保护设施的建设、运行以及维护保障计划，并制定完善的污染源监测计划和环境质量监测计划，最大限度地避免因管理不善而造成的环境风险。</w:t>
      </w:r>
    </w:p>
    <w:p w14:paraId="42017E05">
      <w:pPr>
        <w:pStyle w:val="4"/>
        <w:bidi w:val="0"/>
        <w:rPr>
          <w:rFonts w:hint="default" w:ascii="Times New Roman" w:hAnsi="Times New Roman" w:cs="Times New Roman" w:eastAsiaTheme="minorEastAsia"/>
          <w:lang w:val="zh-CN" w:eastAsia="zh-CN"/>
        </w:rPr>
      </w:pPr>
      <w:bookmarkStart w:id="233" w:name="_Toc416697491"/>
      <w:bookmarkEnd w:id="233"/>
      <w:bookmarkStart w:id="234" w:name="_Toc316410489"/>
      <w:bookmarkEnd w:id="234"/>
      <w:bookmarkStart w:id="235" w:name="_Toc408781298"/>
      <w:bookmarkEnd w:id="235"/>
      <w:bookmarkStart w:id="236" w:name="_Toc213732093"/>
      <w:bookmarkEnd w:id="236"/>
      <w:bookmarkStart w:id="237" w:name="_Toc436571704"/>
      <w:bookmarkEnd w:id="237"/>
      <w:bookmarkStart w:id="238" w:name="_Toc17440"/>
      <w:r>
        <w:rPr>
          <w:rFonts w:hint="default" w:ascii="Times New Roman" w:hAnsi="Times New Roman" w:cs="Times New Roman" w:eastAsiaTheme="minorEastAsia"/>
          <w:lang w:val="zh-CN" w:eastAsia="zh-CN"/>
        </w:rPr>
        <w:t>1</w:t>
      </w:r>
      <w:r>
        <w:rPr>
          <w:rFonts w:hint="eastAsia" w:ascii="Times New Roman" w:hAnsi="Times New Roman" w:cs="Times New Roman" w:eastAsiaTheme="minorEastAsia"/>
          <w:lang w:val="en-US" w:eastAsia="zh-CN"/>
        </w:rPr>
        <w:t>2</w:t>
      </w:r>
      <w:r>
        <w:rPr>
          <w:rFonts w:hint="default" w:ascii="Times New Roman" w:hAnsi="Times New Roman" w:cs="Times New Roman" w:eastAsiaTheme="minorEastAsia"/>
          <w:lang w:val="zh-CN" w:eastAsia="zh-CN"/>
        </w:rPr>
        <w:t>.</w:t>
      </w:r>
      <w:r>
        <w:rPr>
          <w:rFonts w:hint="eastAsia" w:ascii="Times New Roman" w:hAnsi="Times New Roman" w:cs="Times New Roman" w:eastAsiaTheme="minorEastAsia"/>
          <w:lang w:val="en-US" w:eastAsia="zh-CN"/>
        </w:rPr>
        <w:t>7</w:t>
      </w:r>
      <w:r>
        <w:rPr>
          <w:rFonts w:hint="default" w:ascii="Times New Roman" w:hAnsi="Times New Roman" w:cs="Times New Roman" w:eastAsiaTheme="minorEastAsia"/>
          <w:lang w:val="zh-CN" w:eastAsia="zh-CN"/>
        </w:rPr>
        <w:t>评价总结论</w:t>
      </w:r>
      <w:bookmarkEnd w:id="238"/>
    </w:p>
    <w:p w14:paraId="362ADF8A">
      <w:pPr>
        <w:autoSpaceDE w:val="0"/>
        <w:autoSpaceDN w:val="0"/>
        <w:adjustRightInd w:val="0"/>
        <w:snapToGrid w:val="0"/>
        <w:spacing w:line="360" w:lineRule="auto"/>
        <w:ind w:firstLine="480" w:firstLineChars="200"/>
        <w:rPr>
          <w:color w:val="auto"/>
          <w:sz w:val="24"/>
        </w:rPr>
      </w:pPr>
      <w:r>
        <w:rPr>
          <w:rFonts w:hint="eastAsia"/>
          <w:color w:val="auto"/>
          <w:sz w:val="24"/>
          <w:lang w:eastAsia="zh-CN"/>
        </w:rPr>
        <w:t>北票大力铁精粉精选厂改扩建项目</w:t>
      </w:r>
      <w:r>
        <w:rPr>
          <w:color w:val="auto"/>
          <w:sz w:val="24"/>
        </w:rPr>
        <w:t>的建设符合国家产业政策及相关规划要求。项目在建设和</w:t>
      </w:r>
      <w:r>
        <w:rPr>
          <w:rFonts w:hint="eastAsia"/>
          <w:color w:val="auto"/>
          <w:sz w:val="24"/>
          <w:lang w:val="en-US" w:eastAsia="zh-CN"/>
        </w:rPr>
        <w:t>运营</w:t>
      </w:r>
      <w:r>
        <w:rPr>
          <w:color w:val="auto"/>
          <w:sz w:val="24"/>
        </w:rPr>
        <w:t>过程中产生废气、噪声、废水和固体废物等污染，</w:t>
      </w:r>
      <w:r>
        <w:rPr>
          <w:rFonts w:hint="eastAsia"/>
          <w:color w:val="auto"/>
          <w:sz w:val="24"/>
          <w:lang w:val="en-US" w:eastAsia="zh-CN"/>
        </w:rPr>
        <w:t>企业</w:t>
      </w:r>
      <w:r>
        <w:rPr>
          <w:color w:val="auto"/>
          <w:sz w:val="24"/>
        </w:rPr>
        <w:t>须认真落实本评价提出的各污染防治对策，做好废气防治、废水处理、降噪、固体废物处置等工程，确保营运期</w:t>
      </w:r>
      <w:r>
        <w:rPr>
          <w:rFonts w:hint="eastAsia"/>
          <w:color w:val="auto"/>
          <w:sz w:val="24"/>
          <w:lang w:val="en-US" w:eastAsia="zh-CN"/>
        </w:rPr>
        <w:t>废气、噪声</w:t>
      </w:r>
      <w:r>
        <w:rPr>
          <w:color w:val="auto"/>
          <w:sz w:val="24"/>
        </w:rPr>
        <w:t>稳定达标排放</w:t>
      </w:r>
      <w:r>
        <w:rPr>
          <w:rFonts w:hint="eastAsia"/>
          <w:color w:val="auto"/>
          <w:sz w:val="24"/>
          <w:lang w:eastAsia="zh-CN"/>
        </w:rPr>
        <w:t>，</w:t>
      </w:r>
      <w:r>
        <w:rPr>
          <w:rFonts w:hint="eastAsia"/>
          <w:color w:val="auto"/>
          <w:sz w:val="24"/>
          <w:lang w:val="en-US" w:eastAsia="zh-CN"/>
        </w:rPr>
        <w:t>废水、固废合理处置</w:t>
      </w:r>
      <w:r>
        <w:rPr>
          <w:color w:val="auto"/>
          <w:sz w:val="24"/>
        </w:rPr>
        <w:t>。并严格贯彻“三同时”政策，保证环评中污染防治设施的建设与总体施工进度相同步</w:t>
      </w:r>
      <w:r>
        <w:rPr>
          <w:rFonts w:hint="eastAsia"/>
          <w:color w:val="auto"/>
          <w:sz w:val="24"/>
          <w:lang w:eastAsia="zh-CN"/>
        </w:rPr>
        <w:t>，</w:t>
      </w:r>
      <w:r>
        <w:rPr>
          <w:color w:val="auto"/>
          <w:sz w:val="24"/>
        </w:rPr>
        <w:t>并应积极配合环境保护行政主管部门进行环保措施验收工作，保证项目环保措施的有效落实</w:t>
      </w:r>
      <w:r>
        <w:rPr>
          <w:rFonts w:hint="eastAsia"/>
          <w:color w:val="auto"/>
          <w:sz w:val="24"/>
          <w:lang w:eastAsia="zh-CN"/>
        </w:rPr>
        <w:t>，</w:t>
      </w:r>
      <w:r>
        <w:rPr>
          <w:rFonts w:hint="eastAsia"/>
          <w:color w:val="auto"/>
          <w:sz w:val="24"/>
          <w:lang w:val="en-US" w:eastAsia="zh-CN"/>
        </w:rPr>
        <w:t>对项目区域环境空气、地下水、土壤及声环境质量影响较小，污染物排放总量满足总量控制的要求</w:t>
      </w:r>
      <w:r>
        <w:rPr>
          <w:color w:val="auto"/>
          <w:sz w:val="24"/>
        </w:rPr>
        <w:t>。</w:t>
      </w:r>
    </w:p>
    <w:p w14:paraId="1935ACAD">
      <w:pPr>
        <w:autoSpaceDE w:val="0"/>
        <w:autoSpaceDN w:val="0"/>
        <w:adjustRightInd w:val="0"/>
        <w:snapToGrid w:val="0"/>
        <w:spacing w:line="360" w:lineRule="auto"/>
        <w:ind w:firstLine="480" w:firstLineChars="200"/>
        <w:rPr>
          <w:color w:val="auto"/>
          <w:sz w:val="24"/>
        </w:rPr>
      </w:pPr>
      <w:r>
        <w:rPr>
          <w:color w:val="auto"/>
          <w:sz w:val="24"/>
        </w:rPr>
        <w:t>综上所述，在严格执行本次评价提出的各项污染防治措施及环境管理要求的前提下，项目建设所引发的不利环境影响能够得到有效缓解和控制，从环境保护角度分析，本项目建设</w:t>
      </w:r>
      <w:r>
        <w:rPr>
          <w:rFonts w:hint="eastAsia"/>
          <w:color w:val="auto"/>
          <w:sz w:val="24"/>
          <w:lang w:eastAsia="zh-CN"/>
        </w:rPr>
        <w:t>合理</w:t>
      </w:r>
      <w:r>
        <w:rPr>
          <w:color w:val="auto"/>
          <w:sz w:val="24"/>
        </w:rPr>
        <w:t>可行。</w:t>
      </w:r>
    </w:p>
    <w:p w14:paraId="770BB7FA">
      <w:pPr>
        <w:rPr>
          <w:color w:val="auto"/>
          <w:sz w:val="24"/>
          <w:lang w:val="en-US" w:eastAsia="zh-CN"/>
        </w:rPr>
      </w:pPr>
    </w:p>
    <w:sectPr>
      <w:pgSz w:w="11906" w:h="16838"/>
      <w:pgMar w:top="1701" w:right="1701" w:bottom="1701" w:left="1701" w:header="1247" w:footer="1134"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汉鼎简书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imesNewRoman">
    <w:altName w:val="Yu Gothic"/>
    <w:panose1 w:val="00000000000000000000"/>
    <w:charset w:val="80"/>
    <w:family w:val="auto"/>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ˎ̥">
    <w:altName w:val="Times New Roman"/>
    <w:panose1 w:val="00000000000000000000"/>
    <w:charset w:val="00"/>
    <w:family w:val="modern"/>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7F" w:usb3="00000000" w:csb0="203F01FF" w:csb1="DFFF0000"/>
  </w:font>
  <w:font w:name="Arial Narrow">
    <w:altName w:val="Arial"/>
    <w:panose1 w:val="020B0606020202030204"/>
    <w:charset w:val="00"/>
    <w:family w:val="swiss"/>
    <w:pitch w:val="default"/>
    <w:sig w:usb0="00000000" w:usb1="00000000" w:usb2="00000000" w:usb3="00000000" w:csb0="2000009F" w:csb1="DFD70000"/>
  </w:font>
  <w:font w:name="隶书">
    <w:altName w:val="微软雅黑"/>
    <w:panose1 w:val="02010509060101010101"/>
    <w:charset w:val="86"/>
    <w:family w:val="modern"/>
    <w:pitch w:val="default"/>
    <w:sig w:usb0="00000000" w:usb1="00000000" w:usb2="00000000"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
    <w:altName w:val="Times New Roman"/>
    <w:panose1 w:val="00000000000000000000"/>
    <w:charset w:val="00"/>
    <w:family w:val="roman"/>
    <w:pitch w:val="default"/>
    <w:sig w:usb0="00000000" w:usb1="00000000" w:usb2="00000000" w:usb3="00000000" w:csb0="00000001" w:csb1="00000000"/>
  </w:font>
  <w:font w:name="p10">
    <w:altName w:val="Times New Roman"/>
    <w:panose1 w:val="00000000000000000000"/>
    <w:charset w:val="00"/>
    <w:family w:val="roman"/>
    <w:pitch w:val="default"/>
    <w:sig w:usb0="00000000" w:usb1="00000000" w:usb2="00000000" w:usb3="00000000" w:csb0="00000001" w:csb1="0000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font>
  <w:font w:name="Roman PS">
    <w:altName w:val="Times New Roman"/>
    <w:panose1 w:val="00000000000000000000"/>
    <w:charset w:val="00"/>
    <w:family w:val="roman"/>
    <w:pitch w:val="default"/>
    <w:sig w:usb0="00000000" w:usb1="00000000" w:usb2="00000000" w:usb3="00000000" w:csb0="00000001" w:csb1="00000000"/>
  </w:font>
  <w:font w:name="创艺简楷体">
    <w:altName w:val="黑体"/>
    <w:panose1 w:val="00000000000000000000"/>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imesNewRomanPS-BoldMT">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E731">
    <w:pPr>
      <w:pStyle w:val="50"/>
    </w:pPr>
    <w:r>
      <w:rPr>
        <w:sz w:val="18"/>
      </w:rPr>
      <mc:AlternateContent>
        <mc:Choice Requires="wps">
          <w:drawing>
            <wp:anchor distT="0" distB="0" distL="114300" distR="114300" simplePos="0" relativeHeight="2518835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DC776">
                          <w:pPr>
                            <w:pStyle w:val="50"/>
                          </w:pPr>
                          <w:r>
                            <w:fldChar w:fldCharType="begin"/>
                          </w:r>
                          <w:r>
                            <w:instrText xml:space="preserve"> PAGE  \* MERGEFORMAT </w:instrText>
                          </w:r>
                          <w:r>
                            <w:fldChar w:fldCharType="separate"/>
                          </w:r>
                          <w:r>
                            <w:t>- 10 -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35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2D0DC776">
                    <w:pPr>
                      <w:pStyle w:val="50"/>
                    </w:pPr>
                    <w:r>
                      <w:fldChar w:fldCharType="begin"/>
                    </w:r>
                    <w:r>
                      <w:instrText xml:space="preserve"> PAGE  \* MERGEFORMAT </w:instrText>
                    </w:r>
                    <w:r>
                      <w:fldChar w:fldCharType="separate"/>
                    </w:r>
                    <w:r>
                      <w:t>- 10 -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410A74">
    <w:pPr>
      <w:spacing w:after="141" w:line="28" w:lineRule="exact"/>
    </w:pPr>
    <w:r>
      <mc:AlternateContent>
        <mc:Choice Requires="wps">
          <w:drawing>
            <wp:inline distT="0" distB="0" distL="114300" distR="114300">
              <wp:extent cx="5437505" cy="18415"/>
              <wp:effectExtent l="0" t="0" r="0" b="0"/>
              <wp:docPr id="193" name="任意多边形 193"/>
              <wp:cNvGraphicFramePr/>
              <a:graphic xmlns:a="http://schemas.openxmlformats.org/drawingml/2006/main">
                <a:graphicData uri="http://schemas.microsoft.com/office/word/2010/wordprocessingShape">
                  <wps:wsp>
                    <wps:cNvSpPr/>
                    <wps:spPr>
                      <a:xfrm>
                        <a:off x="0" y="0"/>
                        <a:ext cx="5437505" cy="18415"/>
                      </a:xfrm>
                      <a:custGeom>
                        <a:avLst/>
                        <a:gdLst/>
                        <a:ahLst/>
                        <a:cxnLst/>
                        <a:pathLst>
                          <a:path w="8562" h="29">
                            <a:moveTo>
                              <a:pt x="0" y="28"/>
                            </a:moveTo>
                            <a:lnTo>
                              <a:pt x="8562" y="28"/>
                            </a:lnTo>
                            <a:lnTo>
                              <a:pt x="8562" y="0"/>
                            </a:lnTo>
                            <a:lnTo>
                              <a:pt x="0" y="0"/>
                            </a:lnTo>
                            <a:lnTo>
                              <a:pt x="0" y="28"/>
                            </a:lnTo>
                            <a:close/>
                          </a:path>
                        </a:pathLst>
                      </a:custGeom>
                      <a:solidFill>
                        <a:srgbClr val="000000"/>
                      </a:solidFill>
                      <a:ln>
                        <a:noFill/>
                      </a:ln>
                    </wps:spPr>
                    <wps:bodyPr upright="1"/>
                  </wps:wsp>
                </a:graphicData>
              </a:graphic>
            </wp:inline>
          </w:drawing>
        </mc:Choice>
        <mc:Fallback>
          <w:pict>
            <v:shape id="_x0000_s1026" o:spid="_x0000_s1026" o:spt="100" style="height:1.45pt;width:428.15pt;" fillcolor="#000000" filled="t" stroked="f" coordsize="8562,29" o:gfxdata="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kLMgH1AAAAAMBAAAPAAAA&#10;AAAAAAEAIAAAACIAAABkcnMvZG93bnJldi54bWxQSwECFAAUAAAACACHTuJAmYRMdRkCAACBBAAA&#10;DgAAAAAAAAABACAAAAAjAQAAZHJzL2Uyb0RvYy54bWxQSwUGAAAAAAYABgBZAQAArgUAAAAA&#10;" path="m0,28l8562,28,8562,0,0,0,0,28xe">
              <v:fill on="t" focussize="0,0"/>
              <v:stroke on="f"/>
              <v:imagedata o:title=""/>
              <o:lock v:ext="edit" aspectratio="f"/>
              <w10:wrap type="none"/>
              <w10:anchorlock/>
            </v:shape>
          </w:pict>
        </mc:Fallback>
      </mc:AlternateContent>
    </w:r>
  </w:p>
  <w:p w14:paraId="6DCE2C49">
    <w:pPr>
      <w:pStyle w:val="31"/>
      <w:spacing w:line="220" w:lineRule="auto"/>
      <w:ind w:left="4149"/>
      <w:rPr>
        <w:sz w:val="18"/>
        <w:szCs w:val="18"/>
      </w:rPr>
    </w:pPr>
    <w:r>
      <w:rPr>
        <w:spacing w:val="-1"/>
        <w:sz w:val="18"/>
        <w:szCs w:val="18"/>
      </w:rPr>
      <w:t>227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327EF">
    <w:pPr>
      <w:spacing w:after="141" w:line="28" w:lineRule="exact"/>
    </w:pPr>
  </w:p>
  <w:p w14:paraId="0034F893">
    <w:pPr>
      <w:pStyle w:val="31"/>
      <w:spacing w:line="220" w:lineRule="auto"/>
      <w:ind w:left="4149"/>
      <w:rPr>
        <w:sz w:val="18"/>
        <w:szCs w:val="18"/>
      </w:rPr>
    </w:pPr>
    <w:r>
      <w:rPr>
        <w:spacing w:val="-1"/>
        <w:sz w:val="18"/>
        <w:szCs w:val="18"/>
      </w:rPr>
      <w:t>226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56A98">
    <w:pPr>
      <w:pStyle w:val="5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7" name="文本框 3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B7E4B">
                          <w:pPr>
                            <w:pStyle w:val="50"/>
                          </w:pPr>
                          <w:r>
                            <w:fldChar w:fldCharType="begin"/>
                          </w:r>
                          <w:r>
                            <w:instrText xml:space="preserve"> PAGE  \* MERGEFORMAT </w:instrText>
                          </w:r>
                          <w:r>
                            <w:fldChar w:fldCharType="separate"/>
                          </w:r>
                          <w:r>
                            <w:t>- 189 -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F6w41AgAAZQQAAA4AAABkcnMvZTJvRG9jLnhtbK1US27bMBDdF+gd&#10;CO5ryQ6a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q7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oXrDjUCAABlBAAADgAAAAAAAAABACAAAAAfAQAAZHJzL2Uyb0RvYy54bWxQ&#10;SwUGAAAAAAYABgBZAQAAxgUAAAAA&#10;">
              <v:fill on="f" focussize="0,0"/>
              <v:stroke on="f" weight="0.5pt"/>
              <v:imagedata o:title=""/>
              <o:lock v:ext="edit" aspectratio="f"/>
              <v:textbox inset="0mm,0mm,0mm,0mm" style="mso-fit-shape-to-text:t;">
                <w:txbxContent>
                  <w:p w14:paraId="22EB7E4B">
                    <w:pPr>
                      <w:pStyle w:val="50"/>
                    </w:pPr>
                    <w:r>
                      <w:fldChar w:fldCharType="begin"/>
                    </w:r>
                    <w:r>
                      <w:instrText xml:space="preserve"> PAGE  \* MERGEFORMAT </w:instrText>
                    </w:r>
                    <w:r>
                      <w:fldChar w:fldCharType="separate"/>
                    </w:r>
                    <w:r>
                      <w:t>- 189 -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60ED">
    <w:pPr>
      <w:pStyle w:val="50"/>
    </w:pPr>
    <w:r>
      <w:rPr>
        <w:sz w:val="18"/>
      </w:rPr>
      <mc:AlternateContent>
        <mc:Choice Requires="wps">
          <w:drawing>
            <wp:anchor distT="0" distB="0" distL="114300" distR="114300" simplePos="0" relativeHeight="251828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7" name="文本框 7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143DC">
                          <w:pPr>
                            <w:pStyle w:val="5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T0s4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9Hp6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LRPSzjUCAABlBAAADgAAAAAAAAABACAAAAAfAQAAZHJzL2Uyb0RvYy54bWxQ&#10;SwUGAAAAAAYABgBZAQAAxgUAAAAA&#10;">
              <v:fill on="f" focussize="0,0"/>
              <v:stroke on="f" weight="0.5pt"/>
              <v:imagedata o:title=""/>
              <o:lock v:ext="edit" aspectratio="f"/>
              <v:textbox inset="0mm,0mm,0mm,0mm" style="mso-fit-shape-to-text:t;">
                <w:txbxContent>
                  <w:p w14:paraId="383143DC">
                    <w:pPr>
                      <w:pStyle w:val="5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90C46">
    <w:pPr>
      <w:pStyle w:val="50"/>
      <w:tabs>
        <w:tab w:val="left" w:pos="4870"/>
        <w:tab w:val="clear" w:pos="4153"/>
      </w:tabs>
      <w:rPr>
        <w:rFonts w:hint="eastAsia" w:eastAsia="宋体"/>
        <w:lang w:eastAsia="zh-CN"/>
      </w:rPr>
    </w:pPr>
    <w:r>
      <w:rPr>
        <w:sz w:val="18"/>
      </w:rPr>
      <mc:AlternateContent>
        <mc:Choice Requires="wps">
          <w:drawing>
            <wp:anchor distT="0" distB="0" distL="114300" distR="114300" simplePos="0" relativeHeight="251829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8" name="文本框 7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2F679">
                          <w:pPr>
                            <w:pStyle w:val="50"/>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9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cOp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0UhTdMo+SnH99P&#10;Px9Ov76RdAiJGhdmiLx3iI3tO9uicYbzgMPEvK28Tl9wIvBD4ONFYNFGwtOl6WQ6zeHi8A0b4GeP&#10;150P8b2wmiSjoB4V7IRlh02IfegQkrIZu5ZKdVVUhjQFvXr9J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3DqQNAIAAGUEAAAOAAAAAAAAAAEAIAAAAB8BAABkcnMvZTJvRG9jLnhtbFBL&#10;BQYAAAAABgAGAFkBAADFBQAAAAA=&#10;">
              <v:fill on="f" focussize="0,0"/>
              <v:stroke on="f" weight="0.5pt"/>
              <v:imagedata o:title=""/>
              <o:lock v:ext="edit" aspectratio="f"/>
              <v:textbox inset="0mm,0mm,0mm,0mm" style="mso-fit-shape-to-text:t;">
                <w:txbxContent>
                  <w:p w14:paraId="59E2F679">
                    <w:pPr>
                      <w:pStyle w:val="50"/>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00A045">
    <w:pPr>
      <w:pStyle w:val="50"/>
    </w:pPr>
    <w:r>
      <w:rPr>
        <w:sz w:val="18"/>
      </w:rPr>
      <mc:AlternateContent>
        <mc:Choice Requires="wps">
          <w:drawing>
            <wp:anchor distT="0" distB="0" distL="114300" distR="114300" simplePos="0" relativeHeight="251827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86" name="文本框 7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3098E">
                          <w:pPr>
                            <w:pStyle w:val="50"/>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7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vTFI0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ezKSWaKZT88uP7&#10;5efD5dc3Eg8hUW39HJE7i9jQvDMNGmc49ziMzJvCqfgFJwI/BD5fBRZNIDxemk1msxQuDt+wAX7y&#10;eN06H94Lo0g0MupQwVZYdtr60IUOITGbNptKyraKUpM6o9PXb9L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r0xSNAIAAGUEAAAOAAAAAAAAAAEAIAAAAB8BAABkcnMvZTJvRG9jLnhtbFBL&#10;BQYAAAAABgAGAFkBAADFBQAAAAA=&#10;">
              <v:fill on="f" focussize="0,0"/>
              <v:stroke on="f" weight="0.5pt"/>
              <v:imagedata o:title=""/>
              <o:lock v:ext="edit" aspectratio="f"/>
              <v:textbox inset="0mm,0mm,0mm,0mm" style="mso-fit-shape-to-text:t;">
                <w:txbxContent>
                  <w:p w14:paraId="3A53098E">
                    <w:pPr>
                      <w:pStyle w:val="50"/>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8476A">
    <w:pPr>
      <w:pStyle w:val="50"/>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FDB5F2">
                          <w:pPr>
                            <w:pStyle w:val="50"/>
                          </w:pPr>
                          <w:r>
                            <w:fldChar w:fldCharType="begin"/>
                          </w:r>
                          <w:r>
                            <w:instrText xml:space="preserve"> PAGE  \* MERGEFORMAT </w:instrText>
                          </w:r>
                          <w:r>
                            <w:fldChar w:fldCharType="separate"/>
                          </w:r>
                          <w:r>
                            <w:t>- 61 -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7FDB5F2">
                    <w:pPr>
                      <w:pStyle w:val="50"/>
                    </w:pPr>
                    <w:r>
                      <w:fldChar w:fldCharType="begin"/>
                    </w:r>
                    <w:r>
                      <w:instrText xml:space="preserve"> PAGE  \* MERGEFORMAT </w:instrText>
                    </w:r>
                    <w:r>
                      <w:fldChar w:fldCharType="separate"/>
                    </w:r>
                    <w:r>
                      <w:t>- 61 -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A1884">
    <w:pPr>
      <w:pStyle w:val="5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3" name="文本框 3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F84B1">
                          <w:pPr>
                            <w:pStyle w:val="50"/>
                          </w:pPr>
                          <w:r>
                            <w:fldChar w:fldCharType="begin"/>
                          </w:r>
                          <w:r>
                            <w:instrText xml:space="preserve"> PAGE  \* MERGEFORMAT </w:instrText>
                          </w:r>
                          <w:r>
                            <w:fldChar w:fldCharType="separate"/>
                          </w:r>
                          <w:r>
                            <w:t>- 61 -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hE0AgAAZQ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5MX6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1fgIRNAIAAGUEAAAOAAAAAAAAAAEAIAAAAB8BAABkcnMvZTJvRG9jLnhtbFBL&#10;BQYAAAAABgAGAFkBAADFBQAAAAA=&#10;">
              <v:fill on="f" focussize="0,0"/>
              <v:stroke on="f" weight="0.5pt"/>
              <v:imagedata o:title=""/>
              <o:lock v:ext="edit" aspectratio="f"/>
              <v:textbox inset="0mm,0mm,0mm,0mm" style="mso-fit-shape-to-text:t;">
                <w:txbxContent>
                  <w:p w14:paraId="7D4F84B1">
                    <w:pPr>
                      <w:pStyle w:val="50"/>
                    </w:pPr>
                    <w:r>
                      <w:fldChar w:fldCharType="begin"/>
                    </w:r>
                    <w:r>
                      <w:instrText xml:space="preserve"> PAGE  \* MERGEFORMAT </w:instrText>
                    </w:r>
                    <w:r>
                      <w:fldChar w:fldCharType="separate"/>
                    </w:r>
                    <w:r>
                      <w:t>- 61 -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4F837">
    <w:pPr>
      <w:pStyle w:val="50"/>
      <w:rPr>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16199A">
                          <w:pPr>
                            <w:pStyle w:val="50"/>
                          </w:pPr>
                          <w:r>
                            <w:fldChar w:fldCharType="begin"/>
                          </w:r>
                          <w:r>
                            <w:instrText xml:space="preserve"> PAGE  \* MERGEFORMAT </w:instrText>
                          </w:r>
                          <w:r>
                            <w:fldChar w:fldCharType="separate"/>
                          </w:r>
                          <w:r>
                            <w:t>- 93 -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HOXA1AgAAZQQAAA4AAABkcnMvZTJvRG9jLnhtbK1UzY7TMBC+I/EO&#10;lu80aReWqm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kc5cDUCAABlBAAADgAAAAAAAAABACAAAAAfAQAAZHJzL2Uyb0RvYy54bWxQ&#10;SwUGAAAAAAYABgBZAQAAxgUAAAAA&#10;">
              <v:fill on="f" focussize="0,0"/>
              <v:stroke on="f" weight="0.5pt"/>
              <v:imagedata o:title=""/>
              <o:lock v:ext="edit" aspectratio="f"/>
              <v:textbox inset="0mm,0mm,0mm,0mm" style="mso-fit-shape-to-text:t;">
                <w:txbxContent>
                  <w:p w14:paraId="2F16199A">
                    <w:pPr>
                      <w:pStyle w:val="50"/>
                    </w:pPr>
                    <w:r>
                      <w:fldChar w:fldCharType="begin"/>
                    </w:r>
                    <w:r>
                      <w:instrText xml:space="preserve"> PAGE  \* MERGEFORMAT </w:instrText>
                    </w:r>
                    <w:r>
                      <w:fldChar w:fldCharType="separate"/>
                    </w:r>
                    <w:r>
                      <w:t>- 93 -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2E832">
    <w:pPr>
      <w:pStyle w:val="5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5" name="文本框 3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D707CE">
                          <w:pPr>
                            <w:pStyle w:val="50"/>
                          </w:pPr>
                          <w:r>
                            <w:fldChar w:fldCharType="begin"/>
                          </w:r>
                          <w:r>
                            <w:instrText xml:space="preserve"> PAGE  \* MERGEFORMAT </w:instrText>
                          </w:r>
                          <w:r>
                            <w:fldChar w:fldCharType="separate"/>
                          </w:r>
                          <w:r>
                            <w:t>- 96 -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fun7DUCAABlBAAADgAAAAAAAAABACAAAAAfAQAAZHJzL2Uyb0RvYy54bWxQ&#10;SwUGAAAAAAYABgBZAQAAxgUAAAAA&#10;">
              <v:fill on="f" focussize="0,0"/>
              <v:stroke on="f" weight="0.5pt"/>
              <v:imagedata o:title=""/>
              <o:lock v:ext="edit" aspectratio="f"/>
              <v:textbox inset="0mm,0mm,0mm,0mm" style="mso-fit-shape-to-text:t;">
                <w:txbxContent>
                  <w:p w14:paraId="20D707CE">
                    <w:pPr>
                      <w:pStyle w:val="50"/>
                    </w:pPr>
                    <w:r>
                      <w:fldChar w:fldCharType="begin"/>
                    </w:r>
                    <w:r>
                      <w:instrText xml:space="preserve"> PAGE  \* MERGEFORMAT </w:instrText>
                    </w:r>
                    <w:r>
                      <w:fldChar w:fldCharType="separate"/>
                    </w:r>
                    <w:r>
                      <w:t>- 96 -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24CF">
    <w:pPr>
      <w:pStyle w:val="5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CD147">
                          <w:pPr>
                            <w:pStyle w:val="50"/>
                          </w:pPr>
                          <w:r>
                            <w:fldChar w:fldCharType="begin"/>
                          </w:r>
                          <w:r>
                            <w:instrText xml:space="preserve"> PAGE  \* MERGEFORMAT </w:instrText>
                          </w:r>
                          <w:r>
                            <w:fldChar w:fldCharType="separate"/>
                          </w:r>
                          <w:r>
                            <w:t>- 121 -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xOXWSNAIAAGUEAAAOAAAAAAAAAAEAIAAAAB8BAABkcnMvZTJvRG9jLnhtbFBL&#10;BQYAAAAABgAGAFkBAADFBQAAAAA=&#10;">
              <v:fill on="f" focussize="0,0"/>
              <v:stroke on="f" weight="0.5pt"/>
              <v:imagedata o:title=""/>
              <o:lock v:ext="edit" aspectratio="f"/>
              <v:textbox inset="0mm,0mm,0mm,0mm" style="mso-fit-shape-to-text:t;">
                <w:txbxContent>
                  <w:p w14:paraId="22DCD147">
                    <w:pPr>
                      <w:pStyle w:val="50"/>
                    </w:pPr>
                    <w:r>
                      <w:fldChar w:fldCharType="begin"/>
                    </w:r>
                    <w:r>
                      <w:instrText xml:space="preserve"> PAGE  \* MERGEFORMAT </w:instrText>
                    </w:r>
                    <w:r>
                      <w:fldChar w:fldCharType="separate"/>
                    </w:r>
                    <w:r>
                      <w:t>- 121 -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838DD">
    <w:pPr>
      <w:spacing w:after="139" w:line="28" w:lineRule="exact"/>
      <w:ind w:firstLine="127"/>
    </w:pPr>
  </w:p>
  <w:p w14:paraId="7718E540">
    <w:pPr>
      <w:pStyle w:val="31"/>
      <w:spacing w:line="220" w:lineRule="auto"/>
      <w:ind w:left="4293"/>
      <w:rPr>
        <w:sz w:val="18"/>
        <w:szCs w:val="18"/>
      </w:rPr>
    </w:pPr>
    <w:r>
      <w:rPr>
        <w:spacing w:val="-5"/>
        <w:sz w:val="18"/>
        <w:szCs w:val="18"/>
      </w:rPr>
      <w:t>148</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3E03A">
    <w:pPr>
      <w:spacing w:after="139" w:line="28" w:lineRule="exact"/>
    </w:pPr>
    <w:r>
      <mc:AlternateContent>
        <mc:Choice Requires="wps">
          <w:drawing>
            <wp:inline distT="0" distB="0" distL="114300" distR="114300">
              <wp:extent cx="5437505" cy="18415"/>
              <wp:effectExtent l="0" t="0" r="0" b="0"/>
              <wp:docPr id="380" name="任意多边形 380"/>
              <wp:cNvGraphicFramePr/>
              <a:graphic xmlns:a="http://schemas.openxmlformats.org/drawingml/2006/main">
                <a:graphicData uri="http://schemas.microsoft.com/office/word/2010/wordprocessingShape">
                  <wps:wsp>
                    <wps:cNvSpPr/>
                    <wps:spPr>
                      <a:xfrm>
                        <a:off x="0" y="0"/>
                        <a:ext cx="5437505" cy="18415"/>
                      </a:xfrm>
                      <a:custGeom>
                        <a:avLst/>
                        <a:gdLst/>
                        <a:ahLst/>
                        <a:cxnLst/>
                        <a:pathLst>
                          <a:path w="8562" h="29">
                            <a:moveTo>
                              <a:pt x="0" y="28"/>
                            </a:moveTo>
                            <a:lnTo>
                              <a:pt x="8562" y="28"/>
                            </a:lnTo>
                            <a:lnTo>
                              <a:pt x="8562" y="0"/>
                            </a:lnTo>
                            <a:lnTo>
                              <a:pt x="0" y="0"/>
                            </a:lnTo>
                            <a:lnTo>
                              <a:pt x="0" y="28"/>
                            </a:lnTo>
                            <a:close/>
                          </a:path>
                        </a:pathLst>
                      </a:custGeom>
                      <a:solidFill>
                        <a:srgbClr val="000000"/>
                      </a:solidFill>
                      <a:ln>
                        <a:noFill/>
                      </a:ln>
                    </wps:spPr>
                    <wps:bodyPr upright="1"/>
                  </wps:wsp>
                </a:graphicData>
              </a:graphic>
            </wp:inline>
          </w:drawing>
        </mc:Choice>
        <mc:Fallback>
          <w:pict>
            <v:shape id="_x0000_s1026" o:spid="_x0000_s1026" o:spt="100" style="height:1.45pt;width:428.15pt;" fillcolor="#000000" filled="t" stroked="f" coordsize="8562,29" o:gfxdata="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JCzIB9QAAAADAQAADwAAAAAA&#10;AAABACAAAAAiAAAAZHJzL2Rvd25yZXYueG1sUEsBAhQAFAAAAAgAh07iQDh6XAoXAgAAgQQAAA4A&#10;AAAAAAAAAQAgAAAAIwEAAGRycy9lMm9Eb2MueG1sUEsFBgAAAAAGAAYAWQEAAKwFAAAAAA==&#10;" path="m0,28l8562,28,8562,0,0,0,0,28xe">
              <v:fill on="t" focussize="0,0"/>
              <v:stroke on="f"/>
              <v:imagedata o:title=""/>
              <o:lock v:ext="edit" aspectratio="f"/>
              <w10:wrap type="none"/>
              <w10:anchorlock/>
            </v:shape>
          </w:pict>
        </mc:Fallback>
      </mc:AlternateContent>
    </w:r>
  </w:p>
  <w:p w14:paraId="78D5F9A3">
    <w:pPr>
      <w:pStyle w:val="31"/>
      <w:spacing w:line="220" w:lineRule="auto"/>
      <w:ind w:left="4166"/>
      <w:rPr>
        <w:sz w:val="18"/>
        <w:szCs w:val="18"/>
      </w:rPr>
    </w:pPr>
    <w:r>
      <w:rPr>
        <w:spacing w:val="-5"/>
        <w:sz w:val="18"/>
        <w:szCs w:val="18"/>
      </w:rPr>
      <w:t>149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0A7B0">
    <w:pPr>
      <w:spacing w:after="141" w:line="28" w:lineRule="exact"/>
    </w:pPr>
  </w:p>
  <w:p w14:paraId="431B6578">
    <w:pPr>
      <w:pStyle w:val="31"/>
      <w:spacing w:line="220" w:lineRule="auto"/>
      <w:ind w:left="4149"/>
      <w:rPr>
        <w:sz w:val="18"/>
        <w:szCs w:val="18"/>
      </w:rPr>
    </w:pPr>
    <w:r>
      <w:rPr>
        <w:spacing w:val="-1"/>
        <w:sz w:val="18"/>
        <w:szCs w:val="18"/>
      </w:rPr>
      <w:t>225</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762322">
    <w:pPr>
      <w:pStyle w:val="33"/>
      <w:pBdr>
        <w:bottom w:val="single" w:color="auto" w:sz="4" w:space="1"/>
      </w:pBdr>
      <w:jc w:val="center"/>
    </w:pPr>
    <w:r>
      <w:rPr>
        <w:rFonts w:hint="eastAsia"/>
        <w:lang w:eastAsia="zh-CN"/>
      </w:rPr>
      <w:t>北票大力铁精粉精选厂改扩建项目</w:t>
    </w:r>
    <w:r>
      <w:rPr>
        <w:rFonts w:hint="eastAsia"/>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E1700F">
    <w:pPr>
      <w:pStyle w:val="33"/>
      <w:pBdr>
        <w:bottom w:val="single" w:color="auto" w:sz="4" w:space="1"/>
      </w:pBdr>
      <w:jc w:val="left"/>
    </w:pPr>
    <w:r>
      <w:rPr>
        <w:rFonts w:hint="eastAsia"/>
        <w:lang w:eastAsia="zh-CN"/>
      </w:rPr>
      <w:t>北票市大力铁精粉精选厂改扩建项目</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A76C">
    <w:pPr>
      <w:pStyle w:val="33"/>
      <w:pBdr>
        <w:bottom w:val="single" w:color="auto" w:sz="4" w:space="1"/>
      </w:pBdr>
      <w:jc w:val="both"/>
    </w:pPr>
    <w:r>
      <w:rPr>
        <w:rFonts w:hint="eastAsia"/>
        <w:lang w:eastAsia="zh-CN"/>
      </w:rPr>
      <w:t>北票大力铁精粉精选厂改扩建项目</w:t>
    </w:r>
    <w:r>
      <w:rPr>
        <w:rFonts w:hint="eastAsia"/>
      </w:rPr>
      <w:t>环境影响报告书</w:t>
    </w:r>
  </w:p>
  <w:p w14:paraId="58BFEDBA">
    <w:pPr>
      <w:spacing w:before="14" w:line="19"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1F1C9">
    <w:pPr>
      <w:pStyle w:val="33"/>
      <w:pBdr>
        <w:bottom w:val="single" w:color="auto" w:sz="4" w:space="1"/>
      </w:pBdr>
      <w:jc w:val="left"/>
    </w:pPr>
    <w:r>
      <w:rPr>
        <w:rFonts w:hint="eastAsia"/>
        <w:lang w:eastAsia="zh-CN"/>
      </w:rPr>
      <w:t>北票大力铁精粉精选厂改扩建项目</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AEA9D">
    <w:pPr>
      <w:pStyle w:val="33"/>
      <w:pBdr>
        <w:bottom w:val="single" w:color="auto" w:sz="4" w:space="1"/>
      </w:pBdr>
      <w:jc w:val="left"/>
      <w:rPr>
        <w:rFonts w:ascii="宋体" w:hAnsi="宋体" w:eastAsia="宋体" w:cs="宋体"/>
        <w:sz w:val="18"/>
        <w:szCs w:val="18"/>
      </w:rPr>
    </w:pPr>
    <w:r>
      <w:rPr>
        <w:rFonts w:hint="eastAsia"/>
        <w:lang w:eastAsia="zh-CN"/>
      </w:rPr>
      <w:t>北票大力铁精粉精选厂改扩建项目</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5D198">
    <w:pPr>
      <w:pStyle w:val="33"/>
      <w:pBdr>
        <w:bottom w:val="single" w:color="auto" w:sz="4" w:space="1"/>
      </w:pBdr>
      <w:jc w:val="left"/>
      <w:rPr>
        <w:rFonts w:ascii="宋体" w:hAnsi="宋体" w:eastAsia="宋体" w:cs="宋体"/>
        <w:sz w:val="18"/>
        <w:szCs w:val="18"/>
      </w:rPr>
    </w:pPr>
    <w:r>
      <w:rPr>
        <w:rFonts w:hint="eastAsia"/>
        <w:lang w:eastAsia="zh-CN"/>
      </w:rPr>
      <w:t>北票大力铁精粉精选厂改扩建项目</w:t>
    </w:r>
    <w:r>
      <w:rPr>
        <w:rFonts w:hint="eastAsia"/>
      </w:rPr>
      <w:t>环境影响报告书</w:t>
    </w:r>
  </w:p>
  <w:p w14:paraId="1C28A7B0">
    <w:pPr>
      <w:spacing w:before="13" w:line="19"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66E3A">
    <w:pPr>
      <w:pStyle w:val="33"/>
      <w:pBdr>
        <w:bottom w:val="single" w:color="auto" w:sz="4" w:space="1"/>
      </w:pBdr>
      <w:jc w:val="left"/>
      <w:rPr>
        <w:rFonts w:ascii="宋体" w:hAnsi="宋体" w:eastAsia="宋体" w:cs="宋体"/>
        <w:sz w:val="18"/>
        <w:szCs w:val="18"/>
      </w:rPr>
    </w:pPr>
    <w:r>
      <w:rPr>
        <w:rFonts w:hint="eastAsia"/>
        <w:lang w:eastAsia="zh-CN"/>
      </w:rPr>
      <w:t>北票大力铁精粉精选厂改扩建项目</w:t>
    </w:r>
    <w:r>
      <w:rPr>
        <w:rFonts w:hint="eastAsia"/>
      </w:rPr>
      <w:t>环境影响报告书</w:t>
    </w:r>
  </w:p>
  <w:p w14:paraId="69631834">
    <w:pPr>
      <w:spacing w:before="13" w:line="19"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D24CD">
    <w:pPr>
      <w:pStyle w:val="33"/>
      <w:pBdr>
        <w:bottom w:val="single" w:color="auto" w:sz="4" w:space="1"/>
      </w:pBdr>
      <w:jc w:val="left"/>
      <w:rPr>
        <w:rFonts w:ascii="宋体" w:hAnsi="宋体" w:eastAsia="宋体" w:cs="宋体"/>
        <w:sz w:val="18"/>
        <w:szCs w:val="18"/>
      </w:rPr>
    </w:pPr>
    <w:r>
      <w:rPr>
        <w:rFonts w:hint="eastAsia"/>
        <w:lang w:eastAsia="zh-CN"/>
      </w:rPr>
      <w:t>北票大力铁精粉精选厂改扩建项目</w:t>
    </w:r>
    <w:r>
      <w:rPr>
        <w:rFonts w:hint="eastAsia"/>
      </w:rPr>
      <w:t>环境影响报告书</w:t>
    </w:r>
  </w:p>
  <w:p w14:paraId="16F8D6CC">
    <w:pPr>
      <w:spacing w:before="13" w:line="19"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ACE86">
    <w:pPr>
      <w:pStyle w:val="33"/>
      <w:pBdr>
        <w:bottom w:val="single" w:color="auto" w:sz="4" w:space="1"/>
      </w:pBdr>
      <w:jc w:val="left"/>
      <w:rPr>
        <w:rFonts w:ascii="宋体" w:hAnsi="宋体" w:eastAsia="宋体" w:cs="宋体"/>
        <w:sz w:val="18"/>
        <w:szCs w:val="18"/>
      </w:rPr>
    </w:pPr>
    <w:r>
      <w:rPr>
        <w:rFonts w:hint="eastAsia"/>
        <w:lang w:eastAsia="zh-CN"/>
      </w:rPr>
      <w:t>北票大力铁精粉精选厂改扩建项目</w:t>
    </w:r>
    <w:r>
      <w:rPr>
        <w:rFonts w:hint="eastAsia"/>
      </w:rPr>
      <w:t>环境影响报告书</w:t>
    </w:r>
  </w:p>
  <w:p w14:paraId="434F4222">
    <w:pPr>
      <w:spacing w:before="13" w:line="19"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A16D5">
    <w:pPr>
      <w:pStyle w:val="33"/>
      <w:pBdr>
        <w:bottom w:val="single" w:color="auto" w:sz="4" w:space="1"/>
      </w:pBdr>
      <w:jc w:val="left"/>
      <w:rPr>
        <w:rFonts w:hint="default"/>
        <w:lang w:val="en-US" w:eastAsia="zh-CN"/>
      </w:rPr>
    </w:pPr>
    <w:r>
      <w:rPr>
        <w:rFonts w:hint="eastAsia"/>
        <w:lang w:eastAsia="zh-CN"/>
      </w:rPr>
      <w:t>北票市大力铁精粉精选厂改扩建项目</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C4C5CE"/>
    <w:multiLevelType w:val="singleLevel"/>
    <w:tmpl w:val="99C4C5CE"/>
    <w:lvl w:ilvl="0" w:tentative="0">
      <w:start w:val="3"/>
      <w:numFmt w:val="decimal"/>
      <w:suff w:val="nothing"/>
      <w:lvlText w:val="（%1）"/>
      <w:lvlJc w:val="left"/>
    </w:lvl>
  </w:abstractNum>
  <w:abstractNum w:abstractNumId="1">
    <w:nsid w:val="BAA72131"/>
    <w:multiLevelType w:val="singleLevel"/>
    <w:tmpl w:val="BAA72131"/>
    <w:lvl w:ilvl="0" w:tentative="0">
      <w:start w:val="1"/>
      <w:numFmt w:val="decimal"/>
      <w:suff w:val="nothing"/>
      <w:lvlText w:val="%1、"/>
      <w:lvlJc w:val="left"/>
    </w:lvl>
  </w:abstractNum>
  <w:abstractNum w:abstractNumId="2">
    <w:nsid w:val="C30B4AC4"/>
    <w:multiLevelType w:val="singleLevel"/>
    <w:tmpl w:val="C30B4AC4"/>
    <w:lvl w:ilvl="0" w:tentative="0">
      <w:start w:val="1"/>
      <w:numFmt w:val="decimal"/>
      <w:suff w:val="nothing"/>
      <w:lvlText w:val="%1、"/>
      <w:lvlJc w:val="left"/>
    </w:lvl>
  </w:abstractNum>
  <w:abstractNum w:abstractNumId="3">
    <w:nsid w:val="E4BEBB78"/>
    <w:multiLevelType w:val="singleLevel"/>
    <w:tmpl w:val="E4BEBB78"/>
    <w:lvl w:ilvl="0" w:tentative="0">
      <w:start w:val="2"/>
      <w:numFmt w:val="decimal"/>
      <w:suff w:val="nothing"/>
      <w:lvlText w:val="（%1）"/>
      <w:lvlJc w:val="left"/>
    </w:lvl>
  </w:abstractNum>
  <w:abstractNum w:abstractNumId="4">
    <w:nsid w:val="00000012"/>
    <w:multiLevelType w:val="singleLevel"/>
    <w:tmpl w:val="00000012"/>
    <w:lvl w:ilvl="0" w:tentative="0">
      <w:start w:val="1"/>
      <w:numFmt w:val="decimal"/>
      <w:pStyle w:val="158"/>
      <w:lvlText w:val="(%1)"/>
      <w:lvlJc w:val="left"/>
      <w:pPr>
        <w:tabs>
          <w:tab w:val="left" w:pos="0"/>
        </w:tabs>
        <w:ind w:left="0" w:firstLine="289"/>
      </w:pPr>
      <w:rPr>
        <w:rFonts w:hint="default" w:ascii="Times New Roman" w:hAnsi="Times New Roman"/>
      </w:rPr>
    </w:lvl>
  </w:abstractNum>
  <w:abstractNum w:abstractNumId="5">
    <w:nsid w:val="00000019"/>
    <w:multiLevelType w:val="multilevel"/>
    <w:tmpl w:val="00000019"/>
    <w:lvl w:ilvl="0" w:tentative="0">
      <w:start w:val="1"/>
      <w:numFmt w:val="none"/>
      <w:pStyle w:val="146"/>
      <w:suff w:val="nothing"/>
      <w:lvlText w:val="%1"/>
      <w:lvlJc w:val="left"/>
      <w:pPr>
        <w:tabs>
          <w:tab w:val="left" w:pos="0"/>
        </w:tabs>
        <w:ind w:left="0" w:firstLine="0"/>
      </w:pPr>
      <w:rPr>
        <w:rFonts w:hint="default" w:ascii="Times New Roman" w:hAnsi="Times New Roman"/>
        <w:b/>
        <w:i w:val="0"/>
        <w:sz w:val="21"/>
      </w:rPr>
    </w:lvl>
    <w:lvl w:ilvl="1" w:tentative="0">
      <w:start w:val="1"/>
      <w:numFmt w:val="decimal"/>
      <w:pStyle w:val="129"/>
      <w:suff w:val="nothing"/>
      <w:lvlText w:val="%1%2　"/>
      <w:lvlJc w:val="left"/>
      <w:pPr>
        <w:tabs>
          <w:tab w:val="left" w:pos="0"/>
        </w:tabs>
        <w:ind w:left="0" w:firstLine="0"/>
      </w:pPr>
      <w:rPr>
        <w:rFonts w:hint="eastAsia" w:ascii="黑体" w:hAnsi="黑体" w:eastAsia="黑体"/>
        <w:b w:val="0"/>
        <w:i w:val="0"/>
        <w:sz w:val="21"/>
      </w:rPr>
    </w:lvl>
    <w:lvl w:ilvl="2" w:tentative="0">
      <w:start w:val="1"/>
      <w:numFmt w:val="decimal"/>
      <w:suff w:val="nothing"/>
      <w:lvlText w:val="%1%2.%3　"/>
      <w:lvlJc w:val="left"/>
      <w:pPr>
        <w:tabs>
          <w:tab w:val="left" w:pos="0"/>
        </w:tabs>
        <w:ind w:left="0" w:firstLine="0"/>
      </w:pPr>
      <w:rPr>
        <w:rFonts w:hint="eastAsia" w:ascii="黑体" w:hAnsi="黑体" w:eastAsia="黑体"/>
        <w:b w:val="0"/>
        <w:i w:val="0"/>
        <w:sz w:val="21"/>
      </w:rPr>
    </w:lvl>
    <w:lvl w:ilvl="3" w:tentative="0">
      <w:start w:val="1"/>
      <w:numFmt w:val="decimal"/>
      <w:suff w:val="nothing"/>
      <w:lvlText w:val="%1%2.%3.%4　"/>
      <w:lvlJc w:val="left"/>
      <w:pPr>
        <w:tabs>
          <w:tab w:val="left" w:pos="0"/>
        </w:tabs>
        <w:ind w:left="0" w:firstLine="0"/>
      </w:pPr>
      <w:rPr>
        <w:rFonts w:hint="eastAsia" w:ascii="黑体" w:hAnsi="黑体" w:eastAsia="黑体"/>
        <w:b w:val="0"/>
        <w:i w:val="0"/>
        <w:sz w:val="21"/>
      </w:rPr>
    </w:lvl>
    <w:lvl w:ilvl="4" w:tentative="0">
      <w:start w:val="1"/>
      <w:numFmt w:val="decimal"/>
      <w:suff w:val="nothing"/>
      <w:lvlText w:val="%1%2.%3.%4.%5　"/>
      <w:lvlJc w:val="left"/>
      <w:pPr>
        <w:tabs>
          <w:tab w:val="left" w:pos="0"/>
        </w:tabs>
        <w:ind w:left="0" w:firstLine="0"/>
      </w:pPr>
      <w:rPr>
        <w:rFonts w:hint="eastAsia" w:ascii="黑体" w:hAnsi="黑体" w:eastAsia="黑体"/>
        <w:b w:val="0"/>
        <w:i w:val="0"/>
        <w:sz w:val="21"/>
      </w:rPr>
    </w:lvl>
    <w:lvl w:ilvl="5" w:tentative="0">
      <w:start w:val="1"/>
      <w:numFmt w:val="decimal"/>
      <w:suff w:val="nothing"/>
      <w:lvlText w:val="%1%2.%3.%4.%5.%6　"/>
      <w:lvlJc w:val="left"/>
      <w:pPr>
        <w:tabs>
          <w:tab w:val="left" w:pos="0"/>
        </w:tabs>
        <w:ind w:left="0" w:firstLine="0"/>
      </w:pPr>
      <w:rPr>
        <w:rFonts w:hint="eastAsia" w:ascii="黑体" w:hAnsi="黑体" w:eastAsia="黑体"/>
        <w:b w:val="0"/>
        <w:i w:val="0"/>
        <w:sz w:val="21"/>
      </w:rPr>
    </w:lvl>
    <w:lvl w:ilvl="6" w:tentative="0">
      <w:start w:val="1"/>
      <w:numFmt w:val="decimal"/>
      <w:suff w:val="nothing"/>
      <w:lvlText w:val="%1%2.%3.%4.%5.%6.%7　"/>
      <w:lvlJc w:val="left"/>
      <w:pPr>
        <w:tabs>
          <w:tab w:val="left" w:pos="0"/>
        </w:tabs>
        <w:ind w:left="44" w:firstLine="0"/>
      </w:pPr>
      <w:rPr>
        <w:rFonts w:hint="eastAsia" w:ascii="黑体" w:hAnsi="黑体" w:eastAsia="黑体"/>
        <w:b w:val="0"/>
        <w:i w:val="0"/>
        <w:sz w:val="21"/>
      </w:rPr>
    </w:lvl>
    <w:lvl w:ilvl="7" w:tentative="0">
      <w:start w:val="1"/>
      <w:numFmt w:val="decimal"/>
      <w:lvlText w:val="%1.%2.%3.%4.%5.%6.%7.%8"/>
      <w:lvlJc w:val="left"/>
      <w:pPr>
        <w:tabs>
          <w:tab w:val="left" w:pos="0"/>
        </w:tabs>
        <w:ind w:left="3969" w:hanging="1418"/>
      </w:pPr>
      <w:rPr>
        <w:rFonts w:hint="eastAsia"/>
      </w:rPr>
    </w:lvl>
    <w:lvl w:ilvl="8" w:tentative="0">
      <w:start w:val="1"/>
      <w:numFmt w:val="decimal"/>
      <w:lvlText w:val="%1.%2.%3.%4.%5.%6.%7.%8.%9"/>
      <w:lvlJc w:val="left"/>
      <w:pPr>
        <w:tabs>
          <w:tab w:val="left" w:pos="0"/>
        </w:tabs>
        <w:ind w:left="4677" w:hanging="1700"/>
      </w:pPr>
      <w:rPr>
        <w:rFonts w:hint="eastAsia"/>
      </w:rPr>
    </w:lvl>
  </w:abstractNum>
  <w:abstractNum w:abstractNumId="6">
    <w:nsid w:val="0FAB8021"/>
    <w:multiLevelType w:val="singleLevel"/>
    <w:tmpl w:val="0FAB8021"/>
    <w:lvl w:ilvl="0" w:tentative="0">
      <w:start w:val="1"/>
      <w:numFmt w:val="decimal"/>
      <w:suff w:val="nothing"/>
      <w:lvlText w:val="%1、"/>
      <w:lvlJc w:val="left"/>
    </w:lvl>
  </w:abstractNum>
  <w:abstractNum w:abstractNumId="7">
    <w:nsid w:val="1CA636C3"/>
    <w:multiLevelType w:val="singleLevel"/>
    <w:tmpl w:val="1CA636C3"/>
    <w:lvl w:ilvl="0" w:tentative="0">
      <w:start w:val="1"/>
      <w:numFmt w:val="bullet"/>
      <w:pStyle w:val="166"/>
      <w:lvlText w:val=""/>
      <w:lvlJc w:val="left"/>
      <w:pPr>
        <w:tabs>
          <w:tab w:val="left" w:pos="0"/>
        </w:tabs>
        <w:ind w:left="425" w:hanging="425"/>
      </w:pPr>
      <w:rPr>
        <w:rFonts w:hint="default" w:ascii="Wingdings" w:hAnsi="Wingdings"/>
      </w:rPr>
    </w:lvl>
  </w:abstractNum>
  <w:abstractNum w:abstractNumId="8">
    <w:nsid w:val="502329F0"/>
    <w:multiLevelType w:val="singleLevel"/>
    <w:tmpl w:val="502329F0"/>
    <w:lvl w:ilvl="0" w:tentative="0">
      <w:start w:val="1"/>
      <w:numFmt w:val="decimal"/>
      <w:lvlText w:val="%1."/>
      <w:lvlJc w:val="left"/>
      <w:pPr>
        <w:tabs>
          <w:tab w:val="left" w:pos="312"/>
        </w:tabs>
      </w:pPr>
    </w:lvl>
  </w:abstractNum>
  <w:abstractNum w:abstractNumId="9">
    <w:nsid w:val="59DFB7F1"/>
    <w:multiLevelType w:val="singleLevel"/>
    <w:tmpl w:val="59DFB7F1"/>
    <w:lvl w:ilvl="0" w:tentative="0">
      <w:start w:val="3"/>
      <w:numFmt w:val="decimal"/>
      <w:suff w:val="nothing"/>
      <w:lvlText w:val="%1、"/>
      <w:lvlJc w:val="left"/>
    </w:lvl>
  </w:abstractNum>
  <w:abstractNum w:abstractNumId="10">
    <w:nsid w:val="5AFBA73E"/>
    <w:multiLevelType w:val="singleLevel"/>
    <w:tmpl w:val="5AFBA73E"/>
    <w:lvl w:ilvl="0" w:tentative="0">
      <w:start w:val="1"/>
      <w:numFmt w:val="decimal"/>
      <w:suff w:val="nothing"/>
      <w:lvlText w:val="（%1）"/>
      <w:lvlJc w:val="left"/>
    </w:lvl>
  </w:abstractNum>
  <w:abstractNum w:abstractNumId="11">
    <w:nsid w:val="5AFBB1BC"/>
    <w:multiLevelType w:val="singleLevel"/>
    <w:tmpl w:val="5AFBB1BC"/>
    <w:lvl w:ilvl="0" w:tentative="0">
      <w:start w:val="1"/>
      <w:numFmt w:val="decimal"/>
      <w:suff w:val="nothing"/>
      <w:lvlText w:val="（%1）"/>
      <w:lvlJc w:val="left"/>
    </w:lvl>
  </w:abstractNum>
  <w:abstractNum w:abstractNumId="12">
    <w:nsid w:val="5DECF2E5"/>
    <w:multiLevelType w:val="singleLevel"/>
    <w:tmpl w:val="5DECF2E5"/>
    <w:lvl w:ilvl="0" w:tentative="0">
      <w:start w:val="1"/>
      <w:numFmt w:val="decimal"/>
      <w:lvlText w:val="%1)"/>
      <w:lvlJc w:val="left"/>
      <w:pPr>
        <w:ind w:left="425" w:hanging="425"/>
      </w:pPr>
      <w:rPr>
        <w:rFonts w:hint="default"/>
      </w:rPr>
    </w:lvl>
  </w:abstractNum>
  <w:abstractNum w:abstractNumId="13">
    <w:nsid w:val="65B40045"/>
    <w:multiLevelType w:val="multilevel"/>
    <w:tmpl w:val="65B40045"/>
    <w:lvl w:ilvl="0" w:tentative="0">
      <w:start w:val="1"/>
      <w:numFmt w:val="decimal"/>
      <w:suff w:val="nothing"/>
      <w:lvlText w:val="%1"/>
      <w:lvlJc w:val="left"/>
      <w:pPr>
        <w:ind w:left="0" w:firstLine="0"/>
      </w:pPr>
      <w:rPr>
        <w:rFonts w:hint="default" w:ascii="Times New Roman" w:hAnsi="Times New Roman" w:eastAsia="宋体" w:cs="Times New Roman"/>
        <w:w w:val="10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B1FA9CF"/>
    <w:multiLevelType w:val="singleLevel"/>
    <w:tmpl w:val="6B1FA9CF"/>
    <w:lvl w:ilvl="0" w:tentative="0">
      <w:start w:val="1"/>
      <w:numFmt w:val="decimal"/>
      <w:suff w:val="nothing"/>
      <w:lvlText w:val="（%1）"/>
      <w:lvlJc w:val="left"/>
    </w:lvl>
  </w:abstractNum>
  <w:abstractNum w:abstractNumId="15">
    <w:nsid w:val="7A614FB1"/>
    <w:multiLevelType w:val="singleLevel"/>
    <w:tmpl w:val="7A614FB1"/>
    <w:lvl w:ilvl="0" w:tentative="0">
      <w:start w:val="1"/>
      <w:numFmt w:val="decimal"/>
      <w:lvlText w:val="(%1)"/>
      <w:lvlJc w:val="left"/>
      <w:pPr>
        <w:tabs>
          <w:tab w:val="left" w:pos="312"/>
        </w:tabs>
      </w:pPr>
    </w:lvl>
  </w:abstractNum>
  <w:num w:numId="1">
    <w:abstractNumId w:val="5"/>
  </w:num>
  <w:num w:numId="2">
    <w:abstractNumId w:val="4"/>
  </w:num>
  <w:num w:numId="3">
    <w:abstractNumId w:val="7"/>
  </w:num>
  <w:num w:numId="4">
    <w:abstractNumId w:val="0"/>
  </w:num>
  <w:num w:numId="5">
    <w:abstractNumId w:val="8"/>
  </w:num>
  <w:num w:numId="6">
    <w:abstractNumId w:val="13"/>
  </w:num>
  <w:num w:numId="7">
    <w:abstractNumId w:val="3"/>
  </w:num>
  <w:num w:numId="8">
    <w:abstractNumId w:val="15"/>
  </w:num>
  <w:num w:numId="9">
    <w:abstractNumId w:val="12"/>
  </w:num>
  <w:num w:numId="10">
    <w:abstractNumId w:val="9"/>
  </w:num>
  <w:num w:numId="11">
    <w:abstractNumId w:val="1"/>
  </w:num>
  <w:num w:numId="12">
    <w:abstractNumId w:val="10"/>
  </w:num>
  <w:num w:numId="13">
    <w:abstractNumId w:val="11"/>
  </w:num>
  <w:num w:numId="14">
    <w:abstractNumId w:val="6"/>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xODVhOWNjMmQxMTYxMjY1NjFlMzk5ZWNhMjUyODMifQ=="/>
  </w:docVars>
  <w:rsids>
    <w:rsidRoot w:val="00A75941"/>
    <w:rsid w:val="00001BB6"/>
    <w:rsid w:val="00004C66"/>
    <w:rsid w:val="0000575F"/>
    <w:rsid w:val="0000587A"/>
    <w:rsid w:val="00006318"/>
    <w:rsid w:val="00010528"/>
    <w:rsid w:val="000105BD"/>
    <w:rsid w:val="0001321E"/>
    <w:rsid w:val="0001449B"/>
    <w:rsid w:val="0001575A"/>
    <w:rsid w:val="000169E7"/>
    <w:rsid w:val="00017D1D"/>
    <w:rsid w:val="000208EA"/>
    <w:rsid w:val="00022688"/>
    <w:rsid w:val="000226D5"/>
    <w:rsid w:val="00024E5E"/>
    <w:rsid w:val="0002747D"/>
    <w:rsid w:val="000323E3"/>
    <w:rsid w:val="00033130"/>
    <w:rsid w:val="000331F9"/>
    <w:rsid w:val="00034A31"/>
    <w:rsid w:val="00035167"/>
    <w:rsid w:val="000355D9"/>
    <w:rsid w:val="00036685"/>
    <w:rsid w:val="000370B6"/>
    <w:rsid w:val="00037234"/>
    <w:rsid w:val="00041F92"/>
    <w:rsid w:val="00044108"/>
    <w:rsid w:val="00044B41"/>
    <w:rsid w:val="00045FD1"/>
    <w:rsid w:val="000469F6"/>
    <w:rsid w:val="00046EA3"/>
    <w:rsid w:val="0004782D"/>
    <w:rsid w:val="0005349A"/>
    <w:rsid w:val="000554BB"/>
    <w:rsid w:val="00055775"/>
    <w:rsid w:val="000559E6"/>
    <w:rsid w:val="00056E37"/>
    <w:rsid w:val="0005703F"/>
    <w:rsid w:val="000572AC"/>
    <w:rsid w:val="0006133E"/>
    <w:rsid w:val="00066EBC"/>
    <w:rsid w:val="0006778D"/>
    <w:rsid w:val="00070499"/>
    <w:rsid w:val="00075540"/>
    <w:rsid w:val="0007609C"/>
    <w:rsid w:val="000802E0"/>
    <w:rsid w:val="00081E92"/>
    <w:rsid w:val="000834C0"/>
    <w:rsid w:val="00084B71"/>
    <w:rsid w:val="00084FE8"/>
    <w:rsid w:val="00091E53"/>
    <w:rsid w:val="000926C0"/>
    <w:rsid w:val="000928B3"/>
    <w:rsid w:val="0009334A"/>
    <w:rsid w:val="00093461"/>
    <w:rsid w:val="000936B8"/>
    <w:rsid w:val="00095B77"/>
    <w:rsid w:val="00096C1E"/>
    <w:rsid w:val="00097452"/>
    <w:rsid w:val="00097CA2"/>
    <w:rsid w:val="000A034D"/>
    <w:rsid w:val="000A4D2D"/>
    <w:rsid w:val="000A66AA"/>
    <w:rsid w:val="000B02BC"/>
    <w:rsid w:val="000B0CC5"/>
    <w:rsid w:val="000B1270"/>
    <w:rsid w:val="000B2BE8"/>
    <w:rsid w:val="000B4542"/>
    <w:rsid w:val="000C0568"/>
    <w:rsid w:val="000C0813"/>
    <w:rsid w:val="000C2236"/>
    <w:rsid w:val="000C39F9"/>
    <w:rsid w:val="000C4A78"/>
    <w:rsid w:val="000C5162"/>
    <w:rsid w:val="000C6037"/>
    <w:rsid w:val="000C7107"/>
    <w:rsid w:val="000D08D4"/>
    <w:rsid w:val="000D1127"/>
    <w:rsid w:val="000D1D68"/>
    <w:rsid w:val="000D529D"/>
    <w:rsid w:val="000D7E34"/>
    <w:rsid w:val="000E173F"/>
    <w:rsid w:val="000E1FC3"/>
    <w:rsid w:val="000E4B55"/>
    <w:rsid w:val="000E5217"/>
    <w:rsid w:val="000E599E"/>
    <w:rsid w:val="000E6949"/>
    <w:rsid w:val="000F007D"/>
    <w:rsid w:val="000F1862"/>
    <w:rsid w:val="000F2B52"/>
    <w:rsid w:val="000F3A0F"/>
    <w:rsid w:val="000F4C5B"/>
    <w:rsid w:val="000F52C0"/>
    <w:rsid w:val="000F6770"/>
    <w:rsid w:val="000F7D1A"/>
    <w:rsid w:val="001011A1"/>
    <w:rsid w:val="00101ADC"/>
    <w:rsid w:val="00101DCA"/>
    <w:rsid w:val="001109D1"/>
    <w:rsid w:val="00111F60"/>
    <w:rsid w:val="0011363D"/>
    <w:rsid w:val="00113734"/>
    <w:rsid w:val="00116833"/>
    <w:rsid w:val="00117EFC"/>
    <w:rsid w:val="001226A4"/>
    <w:rsid w:val="001252C5"/>
    <w:rsid w:val="001274CB"/>
    <w:rsid w:val="00127EF7"/>
    <w:rsid w:val="00130D5A"/>
    <w:rsid w:val="00131233"/>
    <w:rsid w:val="001314FE"/>
    <w:rsid w:val="0013718E"/>
    <w:rsid w:val="00137325"/>
    <w:rsid w:val="001373AE"/>
    <w:rsid w:val="00141102"/>
    <w:rsid w:val="00142906"/>
    <w:rsid w:val="00142CD5"/>
    <w:rsid w:val="001434AB"/>
    <w:rsid w:val="0014600D"/>
    <w:rsid w:val="0014666C"/>
    <w:rsid w:val="0015142D"/>
    <w:rsid w:val="00151788"/>
    <w:rsid w:val="00152A02"/>
    <w:rsid w:val="00152AE7"/>
    <w:rsid w:val="001558C0"/>
    <w:rsid w:val="00157169"/>
    <w:rsid w:val="001609E7"/>
    <w:rsid w:val="0016186D"/>
    <w:rsid w:val="001640A2"/>
    <w:rsid w:val="001657E4"/>
    <w:rsid w:val="00165A3A"/>
    <w:rsid w:val="00165FB1"/>
    <w:rsid w:val="00170A53"/>
    <w:rsid w:val="00174534"/>
    <w:rsid w:val="001749B0"/>
    <w:rsid w:val="00177909"/>
    <w:rsid w:val="001822F2"/>
    <w:rsid w:val="0018237A"/>
    <w:rsid w:val="00183ED6"/>
    <w:rsid w:val="00184AC0"/>
    <w:rsid w:val="00186F89"/>
    <w:rsid w:val="00187187"/>
    <w:rsid w:val="001877CE"/>
    <w:rsid w:val="00193122"/>
    <w:rsid w:val="00195701"/>
    <w:rsid w:val="001A206B"/>
    <w:rsid w:val="001A2930"/>
    <w:rsid w:val="001A2A79"/>
    <w:rsid w:val="001A5767"/>
    <w:rsid w:val="001A7A52"/>
    <w:rsid w:val="001B0F0A"/>
    <w:rsid w:val="001B425E"/>
    <w:rsid w:val="001B4276"/>
    <w:rsid w:val="001B4957"/>
    <w:rsid w:val="001B5F7E"/>
    <w:rsid w:val="001C40E4"/>
    <w:rsid w:val="001C4E33"/>
    <w:rsid w:val="001D03C2"/>
    <w:rsid w:val="001D168D"/>
    <w:rsid w:val="001D39A2"/>
    <w:rsid w:val="001D3BD4"/>
    <w:rsid w:val="001E3883"/>
    <w:rsid w:val="001F103C"/>
    <w:rsid w:val="001F105B"/>
    <w:rsid w:val="001F1185"/>
    <w:rsid w:val="001F1EC5"/>
    <w:rsid w:val="001F6277"/>
    <w:rsid w:val="001F7CC6"/>
    <w:rsid w:val="002042B4"/>
    <w:rsid w:val="002043B5"/>
    <w:rsid w:val="00204C15"/>
    <w:rsid w:val="00205BE1"/>
    <w:rsid w:val="00206120"/>
    <w:rsid w:val="0020677C"/>
    <w:rsid w:val="00207845"/>
    <w:rsid w:val="0021056E"/>
    <w:rsid w:val="00211018"/>
    <w:rsid w:val="00212267"/>
    <w:rsid w:val="00213B1E"/>
    <w:rsid w:val="00215DAA"/>
    <w:rsid w:val="002166E9"/>
    <w:rsid w:val="00220639"/>
    <w:rsid w:val="00222A40"/>
    <w:rsid w:val="00222AC0"/>
    <w:rsid w:val="002238F2"/>
    <w:rsid w:val="002253F8"/>
    <w:rsid w:val="00225ECE"/>
    <w:rsid w:val="0023187E"/>
    <w:rsid w:val="002324A0"/>
    <w:rsid w:val="002367B0"/>
    <w:rsid w:val="002379D8"/>
    <w:rsid w:val="002407A1"/>
    <w:rsid w:val="002408A3"/>
    <w:rsid w:val="0024103B"/>
    <w:rsid w:val="002412F6"/>
    <w:rsid w:val="00241726"/>
    <w:rsid w:val="00241CB0"/>
    <w:rsid w:val="00242232"/>
    <w:rsid w:val="00246B21"/>
    <w:rsid w:val="00250B7C"/>
    <w:rsid w:val="002514F2"/>
    <w:rsid w:val="00253C4B"/>
    <w:rsid w:val="00254FEF"/>
    <w:rsid w:val="00256379"/>
    <w:rsid w:val="00257034"/>
    <w:rsid w:val="00262E79"/>
    <w:rsid w:val="00263020"/>
    <w:rsid w:val="00263953"/>
    <w:rsid w:val="00264006"/>
    <w:rsid w:val="002657C3"/>
    <w:rsid w:val="00265889"/>
    <w:rsid w:val="00265BEA"/>
    <w:rsid w:val="00271E33"/>
    <w:rsid w:val="00271E53"/>
    <w:rsid w:val="00273649"/>
    <w:rsid w:val="00273657"/>
    <w:rsid w:val="002753D7"/>
    <w:rsid w:val="00281DB6"/>
    <w:rsid w:val="00282AF8"/>
    <w:rsid w:val="00283CCF"/>
    <w:rsid w:val="002843A3"/>
    <w:rsid w:val="002850AB"/>
    <w:rsid w:val="002864D6"/>
    <w:rsid w:val="00286AA9"/>
    <w:rsid w:val="002922C1"/>
    <w:rsid w:val="00293922"/>
    <w:rsid w:val="00293BF1"/>
    <w:rsid w:val="00294807"/>
    <w:rsid w:val="00294C9C"/>
    <w:rsid w:val="002A1254"/>
    <w:rsid w:val="002A1C1F"/>
    <w:rsid w:val="002A4038"/>
    <w:rsid w:val="002A4B56"/>
    <w:rsid w:val="002A7E0D"/>
    <w:rsid w:val="002B14B6"/>
    <w:rsid w:val="002B255C"/>
    <w:rsid w:val="002B3554"/>
    <w:rsid w:val="002B390C"/>
    <w:rsid w:val="002B45CA"/>
    <w:rsid w:val="002B4903"/>
    <w:rsid w:val="002B631A"/>
    <w:rsid w:val="002B6609"/>
    <w:rsid w:val="002C0AD6"/>
    <w:rsid w:val="002C3A4F"/>
    <w:rsid w:val="002C4466"/>
    <w:rsid w:val="002C48B5"/>
    <w:rsid w:val="002C4972"/>
    <w:rsid w:val="002D0A1E"/>
    <w:rsid w:val="002D13AD"/>
    <w:rsid w:val="002D252C"/>
    <w:rsid w:val="002D414B"/>
    <w:rsid w:val="002D43B0"/>
    <w:rsid w:val="002D4792"/>
    <w:rsid w:val="002D7511"/>
    <w:rsid w:val="002D7CDE"/>
    <w:rsid w:val="002E0581"/>
    <w:rsid w:val="002E6A41"/>
    <w:rsid w:val="0030399A"/>
    <w:rsid w:val="00305BE0"/>
    <w:rsid w:val="00306793"/>
    <w:rsid w:val="00310B0A"/>
    <w:rsid w:val="003118F2"/>
    <w:rsid w:val="00315DB3"/>
    <w:rsid w:val="003204A0"/>
    <w:rsid w:val="00324559"/>
    <w:rsid w:val="00324CB8"/>
    <w:rsid w:val="00324E77"/>
    <w:rsid w:val="00326759"/>
    <w:rsid w:val="003301D8"/>
    <w:rsid w:val="003309C2"/>
    <w:rsid w:val="00330C2D"/>
    <w:rsid w:val="003310FB"/>
    <w:rsid w:val="003315D1"/>
    <w:rsid w:val="00331B98"/>
    <w:rsid w:val="00331DE4"/>
    <w:rsid w:val="00334D94"/>
    <w:rsid w:val="00335558"/>
    <w:rsid w:val="003364C5"/>
    <w:rsid w:val="003400E0"/>
    <w:rsid w:val="0034406B"/>
    <w:rsid w:val="00350062"/>
    <w:rsid w:val="003511B9"/>
    <w:rsid w:val="003528FE"/>
    <w:rsid w:val="00356BAC"/>
    <w:rsid w:val="00360D6B"/>
    <w:rsid w:val="00361014"/>
    <w:rsid w:val="003625E5"/>
    <w:rsid w:val="00363E80"/>
    <w:rsid w:val="003643A3"/>
    <w:rsid w:val="003655C0"/>
    <w:rsid w:val="003665A8"/>
    <w:rsid w:val="003704E3"/>
    <w:rsid w:val="00373965"/>
    <w:rsid w:val="00375B53"/>
    <w:rsid w:val="00377A71"/>
    <w:rsid w:val="00380502"/>
    <w:rsid w:val="0038319D"/>
    <w:rsid w:val="003855AE"/>
    <w:rsid w:val="003865B1"/>
    <w:rsid w:val="0039368F"/>
    <w:rsid w:val="003942BE"/>
    <w:rsid w:val="00394810"/>
    <w:rsid w:val="00395DD9"/>
    <w:rsid w:val="00397DF2"/>
    <w:rsid w:val="003A3822"/>
    <w:rsid w:val="003A4BA3"/>
    <w:rsid w:val="003A6898"/>
    <w:rsid w:val="003A6A18"/>
    <w:rsid w:val="003A762A"/>
    <w:rsid w:val="003B1008"/>
    <w:rsid w:val="003B1DAD"/>
    <w:rsid w:val="003B560C"/>
    <w:rsid w:val="003B5CDD"/>
    <w:rsid w:val="003B6E5D"/>
    <w:rsid w:val="003B7A22"/>
    <w:rsid w:val="003C0868"/>
    <w:rsid w:val="003C1AD3"/>
    <w:rsid w:val="003C3716"/>
    <w:rsid w:val="003C3D99"/>
    <w:rsid w:val="003C53F6"/>
    <w:rsid w:val="003C665D"/>
    <w:rsid w:val="003C6704"/>
    <w:rsid w:val="003D2E48"/>
    <w:rsid w:val="003E0443"/>
    <w:rsid w:val="003E1555"/>
    <w:rsid w:val="003E18F9"/>
    <w:rsid w:val="003E55B7"/>
    <w:rsid w:val="003F2B23"/>
    <w:rsid w:val="003F4C76"/>
    <w:rsid w:val="003F4F9A"/>
    <w:rsid w:val="003F5CD9"/>
    <w:rsid w:val="003F65D1"/>
    <w:rsid w:val="003F6D4F"/>
    <w:rsid w:val="00400A11"/>
    <w:rsid w:val="0040246E"/>
    <w:rsid w:val="0040319E"/>
    <w:rsid w:val="00403322"/>
    <w:rsid w:val="00403CAE"/>
    <w:rsid w:val="0041143D"/>
    <w:rsid w:val="004116FE"/>
    <w:rsid w:val="00413C5D"/>
    <w:rsid w:val="004173E9"/>
    <w:rsid w:val="0042046A"/>
    <w:rsid w:val="00422633"/>
    <w:rsid w:val="0042301E"/>
    <w:rsid w:val="004239B5"/>
    <w:rsid w:val="0043003A"/>
    <w:rsid w:val="00430B58"/>
    <w:rsid w:val="00431EE8"/>
    <w:rsid w:val="00432134"/>
    <w:rsid w:val="00434954"/>
    <w:rsid w:val="004410BD"/>
    <w:rsid w:val="00441256"/>
    <w:rsid w:val="004419C6"/>
    <w:rsid w:val="004429DD"/>
    <w:rsid w:val="0044423C"/>
    <w:rsid w:val="004453A2"/>
    <w:rsid w:val="004458FF"/>
    <w:rsid w:val="0045470E"/>
    <w:rsid w:val="00454F54"/>
    <w:rsid w:val="00461766"/>
    <w:rsid w:val="00461ACA"/>
    <w:rsid w:val="00462668"/>
    <w:rsid w:val="00463A49"/>
    <w:rsid w:val="00464A11"/>
    <w:rsid w:val="0046538E"/>
    <w:rsid w:val="0046582F"/>
    <w:rsid w:val="004666FC"/>
    <w:rsid w:val="00470247"/>
    <w:rsid w:val="004705C2"/>
    <w:rsid w:val="004763EB"/>
    <w:rsid w:val="004775C1"/>
    <w:rsid w:val="0047788B"/>
    <w:rsid w:val="0048099F"/>
    <w:rsid w:val="004814C0"/>
    <w:rsid w:val="0048162A"/>
    <w:rsid w:val="0048164A"/>
    <w:rsid w:val="00481940"/>
    <w:rsid w:val="0048395E"/>
    <w:rsid w:val="00483ED9"/>
    <w:rsid w:val="00484F90"/>
    <w:rsid w:val="0048652A"/>
    <w:rsid w:val="00491422"/>
    <w:rsid w:val="004920ED"/>
    <w:rsid w:val="00492531"/>
    <w:rsid w:val="00494216"/>
    <w:rsid w:val="00494E54"/>
    <w:rsid w:val="00495D14"/>
    <w:rsid w:val="00497049"/>
    <w:rsid w:val="004978AA"/>
    <w:rsid w:val="004A07BC"/>
    <w:rsid w:val="004A0BCB"/>
    <w:rsid w:val="004A373D"/>
    <w:rsid w:val="004A5EB7"/>
    <w:rsid w:val="004A7049"/>
    <w:rsid w:val="004B1360"/>
    <w:rsid w:val="004B1A16"/>
    <w:rsid w:val="004B357E"/>
    <w:rsid w:val="004B3C38"/>
    <w:rsid w:val="004B3CB7"/>
    <w:rsid w:val="004B62FC"/>
    <w:rsid w:val="004B6407"/>
    <w:rsid w:val="004B6828"/>
    <w:rsid w:val="004B6A81"/>
    <w:rsid w:val="004C0AD6"/>
    <w:rsid w:val="004C2091"/>
    <w:rsid w:val="004C2F6A"/>
    <w:rsid w:val="004C3A3A"/>
    <w:rsid w:val="004C4EB6"/>
    <w:rsid w:val="004D2B51"/>
    <w:rsid w:val="004D6028"/>
    <w:rsid w:val="004D790B"/>
    <w:rsid w:val="004E1E81"/>
    <w:rsid w:val="004E3A08"/>
    <w:rsid w:val="004E4169"/>
    <w:rsid w:val="004E5853"/>
    <w:rsid w:val="004E67AA"/>
    <w:rsid w:val="004E7E68"/>
    <w:rsid w:val="004F0BAF"/>
    <w:rsid w:val="004F3884"/>
    <w:rsid w:val="004F4B55"/>
    <w:rsid w:val="004F670C"/>
    <w:rsid w:val="00501B85"/>
    <w:rsid w:val="00503B0D"/>
    <w:rsid w:val="00505329"/>
    <w:rsid w:val="00505874"/>
    <w:rsid w:val="0051242B"/>
    <w:rsid w:val="00512530"/>
    <w:rsid w:val="00512C4D"/>
    <w:rsid w:val="005131E7"/>
    <w:rsid w:val="00514F92"/>
    <w:rsid w:val="00516603"/>
    <w:rsid w:val="00517A85"/>
    <w:rsid w:val="00517DD5"/>
    <w:rsid w:val="00521140"/>
    <w:rsid w:val="00523903"/>
    <w:rsid w:val="00525F37"/>
    <w:rsid w:val="00526BAF"/>
    <w:rsid w:val="00530AB3"/>
    <w:rsid w:val="00534C12"/>
    <w:rsid w:val="005351E0"/>
    <w:rsid w:val="00536794"/>
    <w:rsid w:val="00537F86"/>
    <w:rsid w:val="005401BC"/>
    <w:rsid w:val="00541BFC"/>
    <w:rsid w:val="005433BA"/>
    <w:rsid w:val="00543481"/>
    <w:rsid w:val="00544737"/>
    <w:rsid w:val="00547D65"/>
    <w:rsid w:val="00547EC1"/>
    <w:rsid w:val="005500A6"/>
    <w:rsid w:val="005503ED"/>
    <w:rsid w:val="005547FF"/>
    <w:rsid w:val="00555CB7"/>
    <w:rsid w:val="0055691B"/>
    <w:rsid w:val="005610CD"/>
    <w:rsid w:val="005618FC"/>
    <w:rsid w:val="00561CF4"/>
    <w:rsid w:val="00563638"/>
    <w:rsid w:val="00570DAE"/>
    <w:rsid w:val="00571827"/>
    <w:rsid w:val="00571F6E"/>
    <w:rsid w:val="0057227F"/>
    <w:rsid w:val="005728D9"/>
    <w:rsid w:val="00572D86"/>
    <w:rsid w:val="005769BE"/>
    <w:rsid w:val="00576A03"/>
    <w:rsid w:val="00583F16"/>
    <w:rsid w:val="00587D80"/>
    <w:rsid w:val="005900FF"/>
    <w:rsid w:val="0059050B"/>
    <w:rsid w:val="005909A1"/>
    <w:rsid w:val="00593255"/>
    <w:rsid w:val="00595E24"/>
    <w:rsid w:val="00596981"/>
    <w:rsid w:val="005A03E3"/>
    <w:rsid w:val="005A2FA1"/>
    <w:rsid w:val="005A3183"/>
    <w:rsid w:val="005A3295"/>
    <w:rsid w:val="005A690F"/>
    <w:rsid w:val="005A6ED4"/>
    <w:rsid w:val="005B197E"/>
    <w:rsid w:val="005B3775"/>
    <w:rsid w:val="005B4607"/>
    <w:rsid w:val="005B6457"/>
    <w:rsid w:val="005B733E"/>
    <w:rsid w:val="005C2BC9"/>
    <w:rsid w:val="005C3639"/>
    <w:rsid w:val="005C578F"/>
    <w:rsid w:val="005C64F7"/>
    <w:rsid w:val="005D46E6"/>
    <w:rsid w:val="005D6170"/>
    <w:rsid w:val="005E1A45"/>
    <w:rsid w:val="005E3813"/>
    <w:rsid w:val="005E3884"/>
    <w:rsid w:val="005E4099"/>
    <w:rsid w:val="005F0578"/>
    <w:rsid w:val="005F478F"/>
    <w:rsid w:val="005F4C48"/>
    <w:rsid w:val="005F51F2"/>
    <w:rsid w:val="005F688D"/>
    <w:rsid w:val="005F6943"/>
    <w:rsid w:val="005F6DFC"/>
    <w:rsid w:val="005F7FBC"/>
    <w:rsid w:val="0060167F"/>
    <w:rsid w:val="0060561F"/>
    <w:rsid w:val="00605945"/>
    <w:rsid w:val="00605EC8"/>
    <w:rsid w:val="0060698B"/>
    <w:rsid w:val="00611F62"/>
    <w:rsid w:val="006168E2"/>
    <w:rsid w:val="00616C5B"/>
    <w:rsid w:val="006201CE"/>
    <w:rsid w:val="00621C19"/>
    <w:rsid w:val="00623A74"/>
    <w:rsid w:val="006262D7"/>
    <w:rsid w:val="00626FFD"/>
    <w:rsid w:val="00631365"/>
    <w:rsid w:val="00631AD3"/>
    <w:rsid w:val="00633558"/>
    <w:rsid w:val="006338C7"/>
    <w:rsid w:val="006350F7"/>
    <w:rsid w:val="00635E3F"/>
    <w:rsid w:val="00637374"/>
    <w:rsid w:val="00640C5C"/>
    <w:rsid w:val="0064207D"/>
    <w:rsid w:val="006435AC"/>
    <w:rsid w:val="00645041"/>
    <w:rsid w:val="00650AB4"/>
    <w:rsid w:val="00650B47"/>
    <w:rsid w:val="00652659"/>
    <w:rsid w:val="006542C6"/>
    <w:rsid w:val="00655047"/>
    <w:rsid w:val="00663BCC"/>
    <w:rsid w:val="00665915"/>
    <w:rsid w:val="006670D2"/>
    <w:rsid w:val="006676ED"/>
    <w:rsid w:val="00667DD1"/>
    <w:rsid w:val="00672AD1"/>
    <w:rsid w:val="00673183"/>
    <w:rsid w:val="0067355B"/>
    <w:rsid w:val="00676015"/>
    <w:rsid w:val="0067619A"/>
    <w:rsid w:val="00677D21"/>
    <w:rsid w:val="00677DD7"/>
    <w:rsid w:val="00681F39"/>
    <w:rsid w:val="006832CC"/>
    <w:rsid w:val="00685C68"/>
    <w:rsid w:val="00686105"/>
    <w:rsid w:val="00686450"/>
    <w:rsid w:val="0069087A"/>
    <w:rsid w:val="00690E54"/>
    <w:rsid w:val="00691DA0"/>
    <w:rsid w:val="00693BE8"/>
    <w:rsid w:val="006952EE"/>
    <w:rsid w:val="0069555A"/>
    <w:rsid w:val="006A0E93"/>
    <w:rsid w:val="006A1E03"/>
    <w:rsid w:val="006A21A4"/>
    <w:rsid w:val="006A223C"/>
    <w:rsid w:val="006A372F"/>
    <w:rsid w:val="006A6012"/>
    <w:rsid w:val="006B2D0A"/>
    <w:rsid w:val="006B5532"/>
    <w:rsid w:val="006B6839"/>
    <w:rsid w:val="006B70EB"/>
    <w:rsid w:val="006B7346"/>
    <w:rsid w:val="006C0723"/>
    <w:rsid w:val="006C2C1E"/>
    <w:rsid w:val="006C35DB"/>
    <w:rsid w:val="006C3C76"/>
    <w:rsid w:val="006C3D03"/>
    <w:rsid w:val="006C3EF7"/>
    <w:rsid w:val="006C79F9"/>
    <w:rsid w:val="006D1180"/>
    <w:rsid w:val="006D1D82"/>
    <w:rsid w:val="006D1FFA"/>
    <w:rsid w:val="006D558F"/>
    <w:rsid w:val="006D5A4E"/>
    <w:rsid w:val="006D6966"/>
    <w:rsid w:val="006E2BAE"/>
    <w:rsid w:val="006E32DB"/>
    <w:rsid w:val="006E4B2D"/>
    <w:rsid w:val="006E58F9"/>
    <w:rsid w:val="006E7EB1"/>
    <w:rsid w:val="006F3DF3"/>
    <w:rsid w:val="006F44B0"/>
    <w:rsid w:val="006F661F"/>
    <w:rsid w:val="006F7B3E"/>
    <w:rsid w:val="00701617"/>
    <w:rsid w:val="0070426F"/>
    <w:rsid w:val="00704D3A"/>
    <w:rsid w:val="00704EE4"/>
    <w:rsid w:val="00705C39"/>
    <w:rsid w:val="00705ED5"/>
    <w:rsid w:val="00706D7A"/>
    <w:rsid w:val="0071074B"/>
    <w:rsid w:val="00711426"/>
    <w:rsid w:val="00715BAB"/>
    <w:rsid w:val="0071689B"/>
    <w:rsid w:val="0071717D"/>
    <w:rsid w:val="00721647"/>
    <w:rsid w:val="007242C3"/>
    <w:rsid w:val="0072482F"/>
    <w:rsid w:val="0072499C"/>
    <w:rsid w:val="0072597F"/>
    <w:rsid w:val="00727EDD"/>
    <w:rsid w:val="0073073E"/>
    <w:rsid w:val="00732D41"/>
    <w:rsid w:val="00733817"/>
    <w:rsid w:val="00733859"/>
    <w:rsid w:val="00734F72"/>
    <w:rsid w:val="00736E29"/>
    <w:rsid w:val="00740FC5"/>
    <w:rsid w:val="00742478"/>
    <w:rsid w:val="0074277D"/>
    <w:rsid w:val="00742A77"/>
    <w:rsid w:val="00743C0E"/>
    <w:rsid w:val="00744856"/>
    <w:rsid w:val="00746B6D"/>
    <w:rsid w:val="007478F4"/>
    <w:rsid w:val="00747E18"/>
    <w:rsid w:val="007513DA"/>
    <w:rsid w:val="00752499"/>
    <w:rsid w:val="00754D4E"/>
    <w:rsid w:val="00755973"/>
    <w:rsid w:val="00756562"/>
    <w:rsid w:val="00756571"/>
    <w:rsid w:val="00763A76"/>
    <w:rsid w:val="007645D6"/>
    <w:rsid w:val="00764C73"/>
    <w:rsid w:val="00764CE3"/>
    <w:rsid w:val="00765FA7"/>
    <w:rsid w:val="00766EE1"/>
    <w:rsid w:val="00770C23"/>
    <w:rsid w:val="007756C4"/>
    <w:rsid w:val="00775859"/>
    <w:rsid w:val="00775AC9"/>
    <w:rsid w:val="007766F9"/>
    <w:rsid w:val="00776CAD"/>
    <w:rsid w:val="00777F1C"/>
    <w:rsid w:val="00780F7D"/>
    <w:rsid w:val="00781413"/>
    <w:rsid w:val="00781500"/>
    <w:rsid w:val="0078286D"/>
    <w:rsid w:val="00785394"/>
    <w:rsid w:val="0078640C"/>
    <w:rsid w:val="0079033F"/>
    <w:rsid w:val="00793B24"/>
    <w:rsid w:val="007940D6"/>
    <w:rsid w:val="0079538E"/>
    <w:rsid w:val="007A229D"/>
    <w:rsid w:val="007A2411"/>
    <w:rsid w:val="007A2DA8"/>
    <w:rsid w:val="007A3520"/>
    <w:rsid w:val="007A4397"/>
    <w:rsid w:val="007A54CA"/>
    <w:rsid w:val="007A5C48"/>
    <w:rsid w:val="007A71BF"/>
    <w:rsid w:val="007A7BB9"/>
    <w:rsid w:val="007B1596"/>
    <w:rsid w:val="007B1E07"/>
    <w:rsid w:val="007B34B4"/>
    <w:rsid w:val="007B472C"/>
    <w:rsid w:val="007B70B1"/>
    <w:rsid w:val="007C08EA"/>
    <w:rsid w:val="007C6BE6"/>
    <w:rsid w:val="007D1FF4"/>
    <w:rsid w:val="007D4325"/>
    <w:rsid w:val="007D4B2E"/>
    <w:rsid w:val="007E1DDE"/>
    <w:rsid w:val="007E27AD"/>
    <w:rsid w:val="007E3C5A"/>
    <w:rsid w:val="007F07CF"/>
    <w:rsid w:val="007F095A"/>
    <w:rsid w:val="007F0FF5"/>
    <w:rsid w:val="007F214D"/>
    <w:rsid w:val="007F3376"/>
    <w:rsid w:val="007F5D09"/>
    <w:rsid w:val="007F60DC"/>
    <w:rsid w:val="008014C8"/>
    <w:rsid w:val="00803129"/>
    <w:rsid w:val="008040B4"/>
    <w:rsid w:val="0080762E"/>
    <w:rsid w:val="00810EE2"/>
    <w:rsid w:val="00811AD8"/>
    <w:rsid w:val="00812A74"/>
    <w:rsid w:val="00812CBA"/>
    <w:rsid w:val="00812D69"/>
    <w:rsid w:val="00814B99"/>
    <w:rsid w:val="00816B94"/>
    <w:rsid w:val="00817295"/>
    <w:rsid w:val="00817A1A"/>
    <w:rsid w:val="00817AE6"/>
    <w:rsid w:val="00823980"/>
    <w:rsid w:val="008239EA"/>
    <w:rsid w:val="00825C28"/>
    <w:rsid w:val="00826436"/>
    <w:rsid w:val="00826995"/>
    <w:rsid w:val="008302C2"/>
    <w:rsid w:val="00830F2D"/>
    <w:rsid w:val="00832749"/>
    <w:rsid w:val="0083277E"/>
    <w:rsid w:val="00832FA0"/>
    <w:rsid w:val="00835521"/>
    <w:rsid w:val="00840BF7"/>
    <w:rsid w:val="00840CEB"/>
    <w:rsid w:val="00843544"/>
    <w:rsid w:val="00843DE9"/>
    <w:rsid w:val="00846C9F"/>
    <w:rsid w:val="0085030E"/>
    <w:rsid w:val="00850AFB"/>
    <w:rsid w:val="008519D8"/>
    <w:rsid w:val="00857D06"/>
    <w:rsid w:val="00860AC6"/>
    <w:rsid w:val="0086153C"/>
    <w:rsid w:val="0086344A"/>
    <w:rsid w:val="00864E49"/>
    <w:rsid w:val="00870541"/>
    <w:rsid w:val="00871180"/>
    <w:rsid w:val="00874BA2"/>
    <w:rsid w:val="00874BA4"/>
    <w:rsid w:val="008754A3"/>
    <w:rsid w:val="00876839"/>
    <w:rsid w:val="00880660"/>
    <w:rsid w:val="00880E3E"/>
    <w:rsid w:val="00881BF5"/>
    <w:rsid w:val="0088479D"/>
    <w:rsid w:val="00885B96"/>
    <w:rsid w:val="0088721F"/>
    <w:rsid w:val="00887AAA"/>
    <w:rsid w:val="00887B9C"/>
    <w:rsid w:val="00892B8E"/>
    <w:rsid w:val="00894BBF"/>
    <w:rsid w:val="00894F21"/>
    <w:rsid w:val="00897E3C"/>
    <w:rsid w:val="008A0586"/>
    <w:rsid w:val="008A0FDD"/>
    <w:rsid w:val="008A193F"/>
    <w:rsid w:val="008A4CF8"/>
    <w:rsid w:val="008B10B6"/>
    <w:rsid w:val="008B1E08"/>
    <w:rsid w:val="008B2AF5"/>
    <w:rsid w:val="008B370B"/>
    <w:rsid w:val="008B4CE5"/>
    <w:rsid w:val="008B56CC"/>
    <w:rsid w:val="008B5CA8"/>
    <w:rsid w:val="008C05EA"/>
    <w:rsid w:val="008C11A0"/>
    <w:rsid w:val="008C1DA5"/>
    <w:rsid w:val="008C2F3C"/>
    <w:rsid w:val="008C3237"/>
    <w:rsid w:val="008C3711"/>
    <w:rsid w:val="008C5DD9"/>
    <w:rsid w:val="008D5A81"/>
    <w:rsid w:val="008D5C2B"/>
    <w:rsid w:val="008E3596"/>
    <w:rsid w:val="008E36EB"/>
    <w:rsid w:val="008E506F"/>
    <w:rsid w:val="008F15BA"/>
    <w:rsid w:val="008F19D2"/>
    <w:rsid w:val="008F28D4"/>
    <w:rsid w:val="009001E8"/>
    <w:rsid w:val="00900327"/>
    <w:rsid w:val="00900A35"/>
    <w:rsid w:val="009024B4"/>
    <w:rsid w:val="00903759"/>
    <w:rsid w:val="00903A8C"/>
    <w:rsid w:val="00905045"/>
    <w:rsid w:val="00905E1E"/>
    <w:rsid w:val="00906934"/>
    <w:rsid w:val="00906B30"/>
    <w:rsid w:val="0091031D"/>
    <w:rsid w:val="00910B98"/>
    <w:rsid w:val="00910E9B"/>
    <w:rsid w:val="0091146F"/>
    <w:rsid w:val="00911BC9"/>
    <w:rsid w:val="009159C8"/>
    <w:rsid w:val="00915AE0"/>
    <w:rsid w:val="0091712B"/>
    <w:rsid w:val="00920490"/>
    <w:rsid w:val="00922882"/>
    <w:rsid w:val="00922C1A"/>
    <w:rsid w:val="00922FD4"/>
    <w:rsid w:val="009240C9"/>
    <w:rsid w:val="009244D9"/>
    <w:rsid w:val="00926832"/>
    <w:rsid w:val="00926C8D"/>
    <w:rsid w:val="00930C48"/>
    <w:rsid w:val="00931058"/>
    <w:rsid w:val="00931DD2"/>
    <w:rsid w:val="009401EE"/>
    <w:rsid w:val="00941DA8"/>
    <w:rsid w:val="0094290B"/>
    <w:rsid w:val="00946FA3"/>
    <w:rsid w:val="0094708C"/>
    <w:rsid w:val="0094734C"/>
    <w:rsid w:val="00947A26"/>
    <w:rsid w:val="00950709"/>
    <w:rsid w:val="009509EC"/>
    <w:rsid w:val="00950F6D"/>
    <w:rsid w:val="00952D5C"/>
    <w:rsid w:val="0095460B"/>
    <w:rsid w:val="00954E58"/>
    <w:rsid w:val="00956A38"/>
    <w:rsid w:val="009632CB"/>
    <w:rsid w:val="00963CBF"/>
    <w:rsid w:val="00964104"/>
    <w:rsid w:val="0096501C"/>
    <w:rsid w:val="00965262"/>
    <w:rsid w:val="009660F8"/>
    <w:rsid w:val="009662DD"/>
    <w:rsid w:val="00966575"/>
    <w:rsid w:val="00975740"/>
    <w:rsid w:val="00976613"/>
    <w:rsid w:val="009815FA"/>
    <w:rsid w:val="00981AFB"/>
    <w:rsid w:val="00981E59"/>
    <w:rsid w:val="0098355F"/>
    <w:rsid w:val="00984B02"/>
    <w:rsid w:val="00984BF6"/>
    <w:rsid w:val="0098590B"/>
    <w:rsid w:val="00985ECD"/>
    <w:rsid w:val="009861AF"/>
    <w:rsid w:val="00992159"/>
    <w:rsid w:val="009943EA"/>
    <w:rsid w:val="0099462B"/>
    <w:rsid w:val="00994792"/>
    <w:rsid w:val="00996D9B"/>
    <w:rsid w:val="009A05F9"/>
    <w:rsid w:val="009A13B3"/>
    <w:rsid w:val="009A1426"/>
    <w:rsid w:val="009A3D3F"/>
    <w:rsid w:val="009A7284"/>
    <w:rsid w:val="009A72A9"/>
    <w:rsid w:val="009B344F"/>
    <w:rsid w:val="009B58CA"/>
    <w:rsid w:val="009B5D19"/>
    <w:rsid w:val="009B68A5"/>
    <w:rsid w:val="009C15CF"/>
    <w:rsid w:val="009C1C1B"/>
    <w:rsid w:val="009C2E06"/>
    <w:rsid w:val="009C30CB"/>
    <w:rsid w:val="009C54B6"/>
    <w:rsid w:val="009C7562"/>
    <w:rsid w:val="009D4781"/>
    <w:rsid w:val="009D5EA2"/>
    <w:rsid w:val="009D6C38"/>
    <w:rsid w:val="009D6FA0"/>
    <w:rsid w:val="009D73D6"/>
    <w:rsid w:val="009D77F9"/>
    <w:rsid w:val="009E0724"/>
    <w:rsid w:val="009E0A0B"/>
    <w:rsid w:val="009E0F93"/>
    <w:rsid w:val="009E2053"/>
    <w:rsid w:val="009F27C0"/>
    <w:rsid w:val="009F2C3B"/>
    <w:rsid w:val="009F3AA5"/>
    <w:rsid w:val="009F43C1"/>
    <w:rsid w:val="009F50C4"/>
    <w:rsid w:val="009F5233"/>
    <w:rsid w:val="009F5888"/>
    <w:rsid w:val="009F5EF4"/>
    <w:rsid w:val="009F69C6"/>
    <w:rsid w:val="00A0001D"/>
    <w:rsid w:val="00A01407"/>
    <w:rsid w:val="00A04A1F"/>
    <w:rsid w:val="00A06750"/>
    <w:rsid w:val="00A077E6"/>
    <w:rsid w:val="00A12421"/>
    <w:rsid w:val="00A13230"/>
    <w:rsid w:val="00A15E82"/>
    <w:rsid w:val="00A16909"/>
    <w:rsid w:val="00A16977"/>
    <w:rsid w:val="00A16F98"/>
    <w:rsid w:val="00A2025C"/>
    <w:rsid w:val="00A22484"/>
    <w:rsid w:val="00A22C2E"/>
    <w:rsid w:val="00A269F2"/>
    <w:rsid w:val="00A276B8"/>
    <w:rsid w:val="00A3174B"/>
    <w:rsid w:val="00A31DC7"/>
    <w:rsid w:val="00A32271"/>
    <w:rsid w:val="00A324B8"/>
    <w:rsid w:val="00A3271A"/>
    <w:rsid w:val="00A33700"/>
    <w:rsid w:val="00A33C24"/>
    <w:rsid w:val="00A34879"/>
    <w:rsid w:val="00A364B9"/>
    <w:rsid w:val="00A377C5"/>
    <w:rsid w:val="00A37D11"/>
    <w:rsid w:val="00A40C69"/>
    <w:rsid w:val="00A42231"/>
    <w:rsid w:val="00A42F04"/>
    <w:rsid w:val="00A4679B"/>
    <w:rsid w:val="00A513D7"/>
    <w:rsid w:val="00A534A2"/>
    <w:rsid w:val="00A56519"/>
    <w:rsid w:val="00A5663A"/>
    <w:rsid w:val="00A60638"/>
    <w:rsid w:val="00A61721"/>
    <w:rsid w:val="00A6371A"/>
    <w:rsid w:val="00A67C35"/>
    <w:rsid w:val="00A70014"/>
    <w:rsid w:val="00A74854"/>
    <w:rsid w:val="00A75941"/>
    <w:rsid w:val="00A7790D"/>
    <w:rsid w:val="00A77CEB"/>
    <w:rsid w:val="00A80FC9"/>
    <w:rsid w:val="00A86349"/>
    <w:rsid w:val="00A868F9"/>
    <w:rsid w:val="00A86EB5"/>
    <w:rsid w:val="00A87D5C"/>
    <w:rsid w:val="00A91570"/>
    <w:rsid w:val="00A931B6"/>
    <w:rsid w:val="00A937F5"/>
    <w:rsid w:val="00A9561A"/>
    <w:rsid w:val="00A979BC"/>
    <w:rsid w:val="00AA36A2"/>
    <w:rsid w:val="00AA45CF"/>
    <w:rsid w:val="00AA6A70"/>
    <w:rsid w:val="00AB188F"/>
    <w:rsid w:val="00AB20FD"/>
    <w:rsid w:val="00AB2A41"/>
    <w:rsid w:val="00AB6A3B"/>
    <w:rsid w:val="00AC174D"/>
    <w:rsid w:val="00AC339B"/>
    <w:rsid w:val="00AC3483"/>
    <w:rsid w:val="00AC5F45"/>
    <w:rsid w:val="00AD1EB6"/>
    <w:rsid w:val="00AD2607"/>
    <w:rsid w:val="00AD32FB"/>
    <w:rsid w:val="00AD75F3"/>
    <w:rsid w:val="00AD7F85"/>
    <w:rsid w:val="00AE2765"/>
    <w:rsid w:val="00AE3FB2"/>
    <w:rsid w:val="00AE644B"/>
    <w:rsid w:val="00AE6CBC"/>
    <w:rsid w:val="00AE6FC6"/>
    <w:rsid w:val="00AF109E"/>
    <w:rsid w:val="00AF1792"/>
    <w:rsid w:val="00AF306D"/>
    <w:rsid w:val="00AF3672"/>
    <w:rsid w:val="00AF4C19"/>
    <w:rsid w:val="00AF4EB5"/>
    <w:rsid w:val="00AF5009"/>
    <w:rsid w:val="00AF5027"/>
    <w:rsid w:val="00AF52B1"/>
    <w:rsid w:val="00AF5621"/>
    <w:rsid w:val="00AF574C"/>
    <w:rsid w:val="00AF6C7B"/>
    <w:rsid w:val="00AF784E"/>
    <w:rsid w:val="00B00302"/>
    <w:rsid w:val="00B00CC9"/>
    <w:rsid w:val="00B00D78"/>
    <w:rsid w:val="00B0282E"/>
    <w:rsid w:val="00B033CD"/>
    <w:rsid w:val="00B049AE"/>
    <w:rsid w:val="00B05926"/>
    <w:rsid w:val="00B13C8B"/>
    <w:rsid w:val="00B15296"/>
    <w:rsid w:val="00B22BA0"/>
    <w:rsid w:val="00B22EC5"/>
    <w:rsid w:val="00B311B3"/>
    <w:rsid w:val="00B3161C"/>
    <w:rsid w:val="00B31EED"/>
    <w:rsid w:val="00B341E7"/>
    <w:rsid w:val="00B34383"/>
    <w:rsid w:val="00B348E2"/>
    <w:rsid w:val="00B351C2"/>
    <w:rsid w:val="00B3698A"/>
    <w:rsid w:val="00B369C1"/>
    <w:rsid w:val="00B374D5"/>
    <w:rsid w:val="00B37948"/>
    <w:rsid w:val="00B42E3E"/>
    <w:rsid w:val="00B43C52"/>
    <w:rsid w:val="00B43DEB"/>
    <w:rsid w:val="00B44998"/>
    <w:rsid w:val="00B44CE3"/>
    <w:rsid w:val="00B45972"/>
    <w:rsid w:val="00B46068"/>
    <w:rsid w:val="00B476DE"/>
    <w:rsid w:val="00B47A27"/>
    <w:rsid w:val="00B50C1A"/>
    <w:rsid w:val="00B512AA"/>
    <w:rsid w:val="00B515FB"/>
    <w:rsid w:val="00B52EE4"/>
    <w:rsid w:val="00B536C6"/>
    <w:rsid w:val="00B54F25"/>
    <w:rsid w:val="00B5655C"/>
    <w:rsid w:val="00B60B4D"/>
    <w:rsid w:val="00B61447"/>
    <w:rsid w:val="00B66C63"/>
    <w:rsid w:val="00B741F2"/>
    <w:rsid w:val="00B74F5E"/>
    <w:rsid w:val="00B75A90"/>
    <w:rsid w:val="00B76D7E"/>
    <w:rsid w:val="00B772D0"/>
    <w:rsid w:val="00B7732B"/>
    <w:rsid w:val="00B77BA6"/>
    <w:rsid w:val="00B81683"/>
    <w:rsid w:val="00B8650D"/>
    <w:rsid w:val="00B90FF3"/>
    <w:rsid w:val="00B9304E"/>
    <w:rsid w:val="00B930DC"/>
    <w:rsid w:val="00B94454"/>
    <w:rsid w:val="00B95EA7"/>
    <w:rsid w:val="00B97F26"/>
    <w:rsid w:val="00BA022A"/>
    <w:rsid w:val="00BA37A2"/>
    <w:rsid w:val="00BA3CD3"/>
    <w:rsid w:val="00BA5F79"/>
    <w:rsid w:val="00BB3196"/>
    <w:rsid w:val="00BB494C"/>
    <w:rsid w:val="00BB5D01"/>
    <w:rsid w:val="00BB69EA"/>
    <w:rsid w:val="00BB7582"/>
    <w:rsid w:val="00BC3409"/>
    <w:rsid w:val="00BC3455"/>
    <w:rsid w:val="00BC4703"/>
    <w:rsid w:val="00BC47D7"/>
    <w:rsid w:val="00BC5CBC"/>
    <w:rsid w:val="00BC6E7B"/>
    <w:rsid w:val="00BD02B6"/>
    <w:rsid w:val="00BD1192"/>
    <w:rsid w:val="00BD2192"/>
    <w:rsid w:val="00BD35CD"/>
    <w:rsid w:val="00BD393E"/>
    <w:rsid w:val="00BD3CE2"/>
    <w:rsid w:val="00BD4E05"/>
    <w:rsid w:val="00BD566E"/>
    <w:rsid w:val="00BD6F0B"/>
    <w:rsid w:val="00BE011C"/>
    <w:rsid w:val="00BE0793"/>
    <w:rsid w:val="00BE0960"/>
    <w:rsid w:val="00BE0ADC"/>
    <w:rsid w:val="00BE637A"/>
    <w:rsid w:val="00BF01E0"/>
    <w:rsid w:val="00BF3042"/>
    <w:rsid w:val="00BF51B0"/>
    <w:rsid w:val="00C00E19"/>
    <w:rsid w:val="00C02629"/>
    <w:rsid w:val="00C02C6F"/>
    <w:rsid w:val="00C0407C"/>
    <w:rsid w:val="00C05942"/>
    <w:rsid w:val="00C072BD"/>
    <w:rsid w:val="00C07850"/>
    <w:rsid w:val="00C13690"/>
    <w:rsid w:val="00C142EA"/>
    <w:rsid w:val="00C1448D"/>
    <w:rsid w:val="00C21AD2"/>
    <w:rsid w:val="00C223F6"/>
    <w:rsid w:val="00C26146"/>
    <w:rsid w:val="00C30A3C"/>
    <w:rsid w:val="00C31F3E"/>
    <w:rsid w:val="00C31FD0"/>
    <w:rsid w:val="00C345E7"/>
    <w:rsid w:val="00C34C2B"/>
    <w:rsid w:val="00C4133B"/>
    <w:rsid w:val="00C4149D"/>
    <w:rsid w:val="00C50489"/>
    <w:rsid w:val="00C51199"/>
    <w:rsid w:val="00C515C5"/>
    <w:rsid w:val="00C5563B"/>
    <w:rsid w:val="00C632A7"/>
    <w:rsid w:val="00C64CAD"/>
    <w:rsid w:val="00C65322"/>
    <w:rsid w:val="00C65E49"/>
    <w:rsid w:val="00C66D8C"/>
    <w:rsid w:val="00C67F05"/>
    <w:rsid w:val="00C700CF"/>
    <w:rsid w:val="00C70599"/>
    <w:rsid w:val="00C717D4"/>
    <w:rsid w:val="00C71C9F"/>
    <w:rsid w:val="00C73081"/>
    <w:rsid w:val="00C73F19"/>
    <w:rsid w:val="00C756ED"/>
    <w:rsid w:val="00C75D15"/>
    <w:rsid w:val="00C75E07"/>
    <w:rsid w:val="00C75E62"/>
    <w:rsid w:val="00C8140C"/>
    <w:rsid w:val="00C8185E"/>
    <w:rsid w:val="00C83A5B"/>
    <w:rsid w:val="00C83FBA"/>
    <w:rsid w:val="00C8500C"/>
    <w:rsid w:val="00C85723"/>
    <w:rsid w:val="00C860B9"/>
    <w:rsid w:val="00C9185C"/>
    <w:rsid w:val="00C91E4D"/>
    <w:rsid w:val="00C94417"/>
    <w:rsid w:val="00C946E8"/>
    <w:rsid w:val="00C95753"/>
    <w:rsid w:val="00CA2268"/>
    <w:rsid w:val="00CA5513"/>
    <w:rsid w:val="00CB1DFA"/>
    <w:rsid w:val="00CB54AD"/>
    <w:rsid w:val="00CB5706"/>
    <w:rsid w:val="00CB5DA7"/>
    <w:rsid w:val="00CB6B5C"/>
    <w:rsid w:val="00CB6DCE"/>
    <w:rsid w:val="00CC2F56"/>
    <w:rsid w:val="00CC44D2"/>
    <w:rsid w:val="00CC5CD5"/>
    <w:rsid w:val="00CD0A37"/>
    <w:rsid w:val="00CD258B"/>
    <w:rsid w:val="00CD34FB"/>
    <w:rsid w:val="00CD53E0"/>
    <w:rsid w:val="00CD6A9E"/>
    <w:rsid w:val="00CD7520"/>
    <w:rsid w:val="00CD784F"/>
    <w:rsid w:val="00CE0A7F"/>
    <w:rsid w:val="00CE0C16"/>
    <w:rsid w:val="00CE16AC"/>
    <w:rsid w:val="00CE179B"/>
    <w:rsid w:val="00CE1915"/>
    <w:rsid w:val="00CE1CE6"/>
    <w:rsid w:val="00CE4D3A"/>
    <w:rsid w:val="00CE5E55"/>
    <w:rsid w:val="00CE78C2"/>
    <w:rsid w:val="00CF053A"/>
    <w:rsid w:val="00CF0DCF"/>
    <w:rsid w:val="00CF17CC"/>
    <w:rsid w:val="00CF2076"/>
    <w:rsid w:val="00CF348E"/>
    <w:rsid w:val="00CF3DCB"/>
    <w:rsid w:val="00CF49A4"/>
    <w:rsid w:val="00CF4C3C"/>
    <w:rsid w:val="00CF5917"/>
    <w:rsid w:val="00CF64F4"/>
    <w:rsid w:val="00D02604"/>
    <w:rsid w:val="00D026AC"/>
    <w:rsid w:val="00D03ED5"/>
    <w:rsid w:val="00D06DDC"/>
    <w:rsid w:val="00D10336"/>
    <w:rsid w:val="00D11AF5"/>
    <w:rsid w:val="00D11DA7"/>
    <w:rsid w:val="00D12EC1"/>
    <w:rsid w:val="00D14114"/>
    <w:rsid w:val="00D14751"/>
    <w:rsid w:val="00D16972"/>
    <w:rsid w:val="00D17028"/>
    <w:rsid w:val="00D17EBB"/>
    <w:rsid w:val="00D216C6"/>
    <w:rsid w:val="00D21ED9"/>
    <w:rsid w:val="00D22E9F"/>
    <w:rsid w:val="00D239E8"/>
    <w:rsid w:val="00D27FE6"/>
    <w:rsid w:val="00D31304"/>
    <w:rsid w:val="00D320A5"/>
    <w:rsid w:val="00D33063"/>
    <w:rsid w:val="00D342F8"/>
    <w:rsid w:val="00D34740"/>
    <w:rsid w:val="00D35776"/>
    <w:rsid w:val="00D364A2"/>
    <w:rsid w:val="00D3671F"/>
    <w:rsid w:val="00D37735"/>
    <w:rsid w:val="00D40A31"/>
    <w:rsid w:val="00D41BD1"/>
    <w:rsid w:val="00D42B55"/>
    <w:rsid w:val="00D42DF1"/>
    <w:rsid w:val="00D50645"/>
    <w:rsid w:val="00D50EA8"/>
    <w:rsid w:val="00D5245E"/>
    <w:rsid w:val="00D52CCB"/>
    <w:rsid w:val="00D53463"/>
    <w:rsid w:val="00D53F01"/>
    <w:rsid w:val="00D569FC"/>
    <w:rsid w:val="00D60FF0"/>
    <w:rsid w:val="00D639BB"/>
    <w:rsid w:val="00D641BD"/>
    <w:rsid w:val="00D67B0C"/>
    <w:rsid w:val="00D67FA7"/>
    <w:rsid w:val="00D713EB"/>
    <w:rsid w:val="00D74398"/>
    <w:rsid w:val="00D74D79"/>
    <w:rsid w:val="00D75446"/>
    <w:rsid w:val="00D768D4"/>
    <w:rsid w:val="00D76AEF"/>
    <w:rsid w:val="00D80987"/>
    <w:rsid w:val="00D80AB8"/>
    <w:rsid w:val="00D81B7C"/>
    <w:rsid w:val="00D8262A"/>
    <w:rsid w:val="00D83033"/>
    <w:rsid w:val="00D8463C"/>
    <w:rsid w:val="00D861AF"/>
    <w:rsid w:val="00D87BBD"/>
    <w:rsid w:val="00D9124E"/>
    <w:rsid w:val="00D916FC"/>
    <w:rsid w:val="00D92D68"/>
    <w:rsid w:val="00DA0043"/>
    <w:rsid w:val="00DA166E"/>
    <w:rsid w:val="00DA48C6"/>
    <w:rsid w:val="00DA51AA"/>
    <w:rsid w:val="00DA596C"/>
    <w:rsid w:val="00DA653E"/>
    <w:rsid w:val="00DA78CA"/>
    <w:rsid w:val="00DB2392"/>
    <w:rsid w:val="00DB2395"/>
    <w:rsid w:val="00DB4310"/>
    <w:rsid w:val="00DB64DA"/>
    <w:rsid w:val="00DB7F5A"/>
    <w:rsid w:val="00DC0F39"/>
    <w:rsid w:val="00DC2246"/>
    <w:rsid w:val="00DC461F"/>
    <w:rsid w:val="00DC78C1"/>
    <w:rsid w:val="00DD0CC7"/>
    <w:rsid w:val="00DD1460"/>
    <w:rsid w:val="00DD1648"/>
    <w:rsid w:val="00DD37F7"/>
    <w:rsid w:val="00DD3DB8"/>
    <w:rsid w:val="00DD6EDE"/>
    <w:rsid w:val="00DD75E1"/>
    <w:rsid w:val="00DE0419"/>
    <w:rsid w:val="00DE1B68"/>
    <w:rsid w:val="00DE1EC2"/>
    <w:rsid w:val="00DE2084"/>
    <w:rsid w:val="00DE2316"/>
    <w:rsid w:val="00DE4E4D"/>
    <w:rsid w:val="00DE5110"/>
    <w:rsid w:val="00DE53B3"/>
    <w:rsid w:val="00DE63A5"/>
    <w:rsid w:val="00DE63CE"/>
    <w:rsid w:val="00DF2D35"/>
    <w:rsid w:val="00DF3BE9"/>
    <w:rsid w:val="00DF46BD"/>
    <w:rsid w:val="00DF4E6E"/>
    <w:rsid w:val="00DF5C0C"/>
    <w:rsid w:val="00DF5FF4"/>
    <w:rsid w:val="00DF7D28"/>
    <w:rsid w:val="00DF7FCB"/>
    <w:rsid w:val="00E03343"/>
    <w:rsid w:val="00E0387E"/>
    <w:rsid w:val="00E0657A"/>
    <w:rsid w:val="00E110A6"/>
    <w:rsid w:val="00E11BD6"/>
    <w:rsid w:val="00E149C3"/>
    <w:rsid w:val="00E15608"/>
    <w:rsid w:val="00E1769C"/>
    <w:rsid w:val="00E20B69"/>
    <w:rsid w:val="00E21321"/>
    <w:rsid w:val="00E215A9"/>
    <w:rsid w:val="00E234E8"/>
    <w:rsid w:val="00E252A7"/>
    <w:rsid w:val="00E25C5A"/>
    <w:rsid w:val="00E27BA3"/>
    <w:rsid w:val="00E27E21"/>
    <w:rsid w:val="00E31169"/>
    <w:rsid w:val="00E3116E"/>
    <w:rsid w:val="00E3236F"/>
    <w:rsid w:val="00E41EA1"/>
    <w:rsid w:val="00E41EB6"/>
    <w:rsid w:val="00E43A75"/>
    <w:rsid w:val="00E44D78"/>
    <w:rsid w:val="00E453E1"/>
    <w:rsid w:val="00E45C98"/>
    <w:rsid w:val="00E508BF"/>
    <w:rsid w:val="00E51596"/>
    <w:rsid w:val="00E5278C"/>
    <w:rsid w:val="00E529CE"/>
    <w:rsid w:val="00E5307C"/>
    <w:rsid w:val="00E56437"/>
    <w:rsid w:val="00E567DC"/>
    <w:rsid w:val="00E6059F"/>
    <w:rsid w:val="00E62BAF"/>
    <w:rsid w:val="00E63901"/>
    <w:rsid w:val="00E646E1"/>
    <w:rsid w:val="00E659CD"/>
    <w:rsid w:val="00E65D91"/>
    <w:rsid w:val="00E66FD8"/>
    <w:rsid w:val="00E70270"/>
    <w:rsid w:val="00E7426F"/>
    <w:rsid w:val="00E75378"/>
    <w:rsid w:val="00E75C1D"/>
    <w:rsid w:val="00E7613A"/>
    <w:rsid w:val="00E77BA3"/>
    <w:rsid w:val="00E8030C"/>
    <w:rsid w:val="00E822DD"/>
    <w:rsid w:val="00E835A2"/>
    <w:rsid w:val="00E849ED"/>
    <w:rsid w:val="00E857BC"/>
    <w:rsid w:val="00E85D52"/>
    <w:rsid w:val="00E87ED2"/>
    <w:rsid w:val="00E910BF"/>
    <w:rsid w:val="00E91184"/>
    <w:rsid w:val="00E95BC7"/>
    <w:rsid w:val="00E95C51"/>
    <w:rsid w:val="00E97124"/>
    <w:rsid w:val="00E97239"/>
    <w:rsid w:val="00E97F8B"/>
    <w:rsid w:val="00EA5F62"/>
    <w:rsid w:val="00EA673D"/>
    <w:rsid w:val="00EA6E5E"/>
    <w:rsid w:val="00EA79A3"/>
    <w:rsid w:val="00EA7A38"/>
    <w:rsid w:val="00EB03E3"/>
    <w:rsid w:val="00EB0583"/>
    <w:rsid w:val="00EB1613"/>
    <w:rsid w:val="00EB169E"/>
    <w:rsid w:val="00EB3267"/>
    <w:rsid w:val="00EB7A27"/>
    <w:rsid w:val="00EC074D"/>
    <w:rsid w:val="00EC4215"/>
    <w:rsid w:val="00EC6569"/>
    <w:rsid w:val="00EC71D3"/>
    <w:rsid w:val="00ED053E"/>
    <w:rsid w:val="00ED2BC5"/>
    <w:rsid w:val="00ED3E83"/>
    <w:rsid w:val="00ED4302"/>
    <w:rsid w:val="00EE04D2"/>
    <w:rsid w:val="00EE0CB1"/>
    <w:rsid w:val="00EE2C87"/>
    <w:rsid w:val="00EE3322"/>
    <w:rsid w:val="00EE4657"/>
    <w:rsid w:val="00EE4AE6"/>
    <w:rsid w:val="00EE7F07"/>
    <w:rsid w:val="00EF215B"/>
    <w:rsid w:val="00EF370B"/>
    <w:rsid w:val="00EF4F68"/>
    <w:rsid w:val="00EF5D31"/>
    <w:rsid w:val="00EF64AA"/>
    <w:rsid w:val="00EF6F4B"/>
    <w:rsid w:val="00F019D8"/>
    <w:rsid w:val="00F033E3"/>
    <w:rsid w:val="00F05C44"/>
    <w:rsid w:val="00F0659C"/>
    <w:rsid w:val="00F072B3"/>
    <w:rsid w:val="00F13071"/>
    <w:rsid w:val="00F13F3C"/>
    <w:rsid w:val="00F16549"/>
    <w:rsid w:val="00F16794"/>
    <w:rsid w:val="00F16A3B"/>
    <w:rsid w:val="00F2343F"/>
    <w:rsid w:val="00F26214"/>
    <w:rsid w:val="00F300D0"/>
    <w:rsid w:val="00F30408"/>
    <w:rsid w:val="00F31993"/>
    <w:rsid w:val="00F3609A"/>
    <w:rsid w:val="00F36144"/>
    <w:rsid w:val="00F40BE1"/>
    <w:rsid w:val="00F40CE9"/>
    <w:rsid w:val="00F4140E"/>
    <w:rsid w:val="00F47041"/>
    <w:rsid w:val="00F53E36"/>
    <w:rsid w:val="00F5450B"/>
    <w:rsid w:val="00F55695"/>
    <w:rsid w:val="00F60CD7"/>
    <w:rsid w:val="00F61E1A"/>
    <w:rsid w:val="00F632DF"/>
    <w:rsid w:val="00F63345"/>
    <w:rsid w:val="00F64D8A"/>
    <w:rsid w:val="00F6500A"/>
    <w:rsid w:val="00F6571E"/>
    <w:rsid w:val="00F65C06"/>
    <w:rsid w:val="00F71C05"/>
    <w:rsid w:val="00F7224C"/>
    <w:rsid w:val="00F746D2"/>
    <w:rsid w:val="00F74947"/>
    <w:rsid w:val="00F74B70"/>
    <w:rsid w:val="00F74BBE"/>
    <w:rsid w:val="00F7549F"/>
    <w:rsid w:val="00F756E3"/>
    <w:rsid w:val="00F7605C"/>
    <w:rsid w:val="00F76CA2"/>
    <w:rsid w:val="00F77163"/>
    <w:rsid w:val="00F80914"/>
    <w:rsid w:val="00F812A3"/>
    <w:rsid w:val="00F82D1B"/>
    <w:rsid w:val="00F8391F"/>
    <w:rsid w:val="00F90CB0"/>
    <w:rsid w:val="00F9112A"/>
    <w:rsid w:val="00F94114"/>
    <w:rsid w:val="00FA0138"/>
    <w:rsid w:val="00FA4710"/>
    <w:rsid w:val="00FA489B"/>
    <w:rsid w:val="00FB0924"/>
    <w:rsid w:val="00FB1142"/>
    <w:rsid w:val="00FB5A8A"/>
    <w:rsid w:val="00FB73FE"/>
    <w:rsid w:val="00FC140A"/>
    <w:rsid w:val="00FC206D"/>
    <w:rsid w:val="00FC27CB"/>
    <w:rsid w:val="00FC2FF9"/>
    <w:rsid w:val="00FC38CB"/>
    <w:rsid w:val="00FC4626"/>
    <w:rsid w:val="00FC5386"/>
    <w:rsid w:val="00FD0316"/>
    <w:rsid w:val="00FD38C4"/>
    <w:rsid w:val="00FD4771"/>
    <w:rsid w:val="00FD5296"/>
    <w:rsid w:val="00FD5CA2"/>
    <w:rsid w:val="00FD7595"/>
    <w:rsid w:val="00FE2C06"/>
    <w:rsid w:val="00FE382C"/>
    <w:rsid w:val="00FE479A"/>
    <w:rsid w:val="00FE5468"/>
    <w:rsid w:val="00FF22F6"/>
    <w:rsid w:val="00FF2FB3"/>
    <w:rsid w:val="00FF318F"/>
    <w:rsid w:val="00FF32CC"/>
    <w:rsid w:val="00FF5713"/>
    <w:rsid w:val="00FF6007"/>
    <w:rsid w:val="00FF7428"/>
    <w:rsid w:val="01057450"/>
    <w:rsid w:val="010827C0"/>
    <w:rsid w:val="0112797A"/>
    <w:rsid w:val="0119677B"/>
    <w:rsid w:val="012131A9"/>
    <w:rsid w:val="012A5AF5"/>
    <w:rsid w:val="01350991"/>
    <w:rsid w:val="013D7339"/>
    <w:rsid w:val="013F6FAF"/>
    <w:rsid w:val="01536978"/>
    <w:rsid w:val="016022F6"/>
    <w:rsid w:val="016142BD"/>
    <w:rsid w:val="0168700A"/>
    <w:rsid w:val="01730582"/>
    <w:rsid w:val="01740C24"/>
    <w:rsid w:val="01760108"/>
    <w:rsid w:val="017F2CAE"/>
    <w:rsid w:val="01822573"/>
    <w:rsid w:val="01863CD4"/>
    <w:rsid w:val="01881C49"/>
    <w:rsid w:val="018C218A"/>
    <w:rsid w:val="018F4C90"/>
    <w:rsid w:val="01934780"/>
    <w:rsid w:val="019670BD"/>
    <w:rsid w:val="01973F76"/>
    <w:rsid w:val="01993B60"/>
    <w:rsid w:val="01A050EF"/>
    <w:rsid w:val="01A07FF5"/>
    <w:rsid w:val="01A324E9"/>
    <w:rsid w:val="01A45113"/>
    <w:rsid w:val="01BB5A85"/>
    <w:rsid w:val="01C2563F"/>
    <w:rsid w:val="01C7520B"/>
    <w:rsid w:val="01CA7848"/>
    <w:rsid w:val="01CB4860"/>
    <w:rsid w:val="01CE432B"/>
    <w:rsid w:val="01D43862"/>
    <w:rsid w:val="01DA27F6"/>
    <w:rsid w:val="01DE1773"/>
    <w:rsid w:val="01E03F61"/>
    <w:rsid w:val="01E633BE"/>
    <w:rsid w:val="01E7687A"/>
    <w:rsid w:val="01EA636A"/>
    <w:rsid w:val="02040557"/>
    <w:rsid w:val="020C4532"/>
    <w:rsid w:val="021039B2"/>
    <w:rsid w:val="021D324E"/>
    <w:rsid w:val="022E0E1E"/>
    <w:rsid w:val="02317AF5"/>
    <w:rsid w:val="02355837"/>
    <w:rsid w:val="02385327"/>
    <w:rsid w:val="023D36DB"/>
    <w:rsid w:val="02443CCC"/>
    <w:rsid w:val="0244613A"/>
    <w:rsid w:val="024E3A89"/>
    <w:rsid w:val="02522030"/>
    <w:rsid w:val="02692995"/>
    <w:rsid w:val="027015AC"/>
    <w:rsid w:val="02720011"/>
    <w:rsid w:val="027F4249"/>
    <w:rsid w:val="02873001"/>
    <w:rsid w:val="028F2F3E"/>
    <w:rsid w:val="02911ECA"/>
    <w:rsid w:val="02972BF0"/>
    <w:rsid w:val="02990667"/>
    <w:rsid w:val="02A14B54"/>
    <w:rsid w:val="02BB5564"/>
    <w:rsid w:val="02C00C23"/>
    <w:rsid w:val="02C3484F"/>
    <w:rsid w:val="02EE0E95"/>
    <w:rsid w:val="02F156B6"/>
    <w:rsid w:val="02F76F90"/>
    <w:rsid w:val="03167E35"/>
    <w:rsid w:val="032F2286"/>
    <w:rsid w:val="03411FB9"/>
    <w:rsid w:val="034C0C69"/>
    <w:rsid w:val="03541CED"/>
    <w:rsid w:val="03546191"/>
    <w:rsid w:val="03563CB7"/>
    <w:rsid w:val="036D7D89"/>
    <w:rsid w:val="038325D2"/>
    <w:rsid w:val="03964FBF"/>
    <w:rsid w:val="039B5B6E"/>
    <w:rsid w:val="039B791C"/>
    <w:rsid w:val="03A5079A"/>
    <w:rsid w:val="03AC30BD"/>
    <w:rsid w:val="03BB7148"/>
    <w:rsid w:val="03CA6453"/>
    <w:rsid w:val="03CB0F34"/>
    <w:rsid w:val="03CD1071"/>
    <w:rsid w:val="03CE2FFD"/>
    <w:rsid w:val="03D91E8B"/>
    <w:rsid w:val="03E42D2F"/>
    <w:rsid w:val="03EA68C5"/>
    <w:rsid w:val="03F86B1C"/>
    <w:rsid w:val="04024626"/>
    <w:rsid w:val="040F13DC"/>
    <w:rsid w:val="04273D97"/>
    <w:rsid w:val="042D1708"/>
    <w:rsid w:val="0433224A"/>
    <w:rsid w:val="04375C00"/>
    <w:rsid w:val="043842A6"/>
    <w:rsid w:val="044029AC"/>
    <w:rsid w:val="044F0706"/>
    <w:rsid w:val="0456104E"/>
    <w:rsid w:val="045D28BA"/>
    <w:rsid w:val="045D72C7"/>
    <w:rsid w:val="04617105"/>
    <w:rsid w:val="0463567F"/>
    <w:rsid w:val="046571C3"/>
    <w:rsid w:val="04700DA8"/>
    <w:rsid w:val="04771B30"/>
    <w:rsid w:val="04784101"/>
    <w:rsid w:val="047F723D"/>
    <w:rsid w:val="048760F2"/>
    <w:rsid w:val="048B5BE2"/>
    <w:rsid w:val="04903F14"/>
    <w:rsid w:val="04BA0275"/>
    <w:rsid w:val="04BA1C64"/>
    <w:rsid w:val="04C335CE"/>
    <w:rsid w:val="04CE77BE"/>
    <w:rsid w:val="04D9244C"/>
    <w:rsid w:val="04DE0FCB"/>
    <w:rsid w:val="04E62F1A"/>
    <w:rsid w:val="04E94117"/>
    <w:rsid w:val="04FF7293"/>
    <w:rsid w:val="050A5698"/>
    <w:rsid w:val="05125DF6"/>
    <w:rsid w:val="051B0111"/>
    <w:rsid w:val="052B2F21"/>
    <w:rsid w:val="052D0A47"/>
    <w:rsid w:val="053B3BE3"/>
    <w:rsid w:val="05412DAB"/>
    <w:rsid w:val="054B649E"/>
    <w:rsid w:val="055C30DB"/>
    <w:rsid w:val="05656433"/>
    <w:rsid w:val="05793C8D"/>
    <w:rsid w:val="0579647A"/>
    <w:rsid w:val="057D4449"/>
    <w:rsid w:val="058B3E9A"/>
    <w:rsid w:val="059816C4"/>
    <w:rsid w:val="059C0E9E"/>
    <w:rsid w:val="05B750AD"/>
    <w:rsid w:val="05BB2ACD"/>
    <w:rsid w:val="05BE3D95"/>
    <w:rsid w:val="05C47E8D"/>
    <w:rsid w:val="05D411B5"/>
    <w:rsid w:val="05DB4947"/>
    <w:rsid w:val="05DF4D27"/>
    <w:rsid w:val="05EB7905"/>
    <w:rsid w:val="05F40697"/>
    <w:rsid w:val="05FB4B1F"/>
    <w:rsid w:val="05FE23E4"/>
    <w:rsid w:val="060A79F2"/>
    <w:rsid w:val="060B5DDD"/>
    <w:rsid w:val="060E37B4"/>
    <w:rsid w:val="06107716"/>
    <w:rsid w:val="061A7B87"/>
    <w:rsid w:val="06295BE6"/>
    <w:rsid w:val="06317000"/>
    <w:rsid w:val="063C5A69"/>
    <w:rsid w:val="064C13A1"/>
    <w:rsid w:val="065D009E"/>
    <w:rsid w:val="066761DB"/>
    <w:rsid w:val="066A7A79"/>
    <w:rsid w:val="067A5F0E"/>
    <w:rsid w:val="067A7CBC"/>
    <w:rsid w:val="067E17DE"/>
    <w:rsid w:val="068204AA"/>
    <w:rsid w:val="06837ED1"/>
    <w:rsid w:val="068D07A6"/>
    <w:rsid w:val="0696086E"/>
    <w:rsid w:val="069C49FD"/>
    <w:rsid w:val="069E7A79"/>
    <w:rsid w:val="06A70B07"/>
    <w:rsid w:val="06AB431A"/>
    <w:rsid w:val="06AB7A37"/>
    <w:rsid w:val="06AD5D23"/>
    <w:rsid w:val="06AE3E0A"/>
    <w:rsid w:val="06BA5131"/>
    <w:rsid w:val="06C135E1"/>
    <w:rsid w:val="06D373CC"/>
    <w:rsid w:val="06DC61D5"/>
    <w:rsid w:val="06E11AE9"/>
    <w:rsid w:val="06E464D6"/>
    <w:rsid w:val="06F75D79"/>
    <w:rsid w:val="06FD5623"/>
    <w:rsid w:val="06FF2A0E"/>
    <w:rsid w:val="070718C7"/>
    <w:rsid w:val="070747E7"/>
    <w:rsid w:val="070954E4"/>
    <w:rsid w:val="070F3333"/>
    <w:rsid w:val="07107525"/>
    <w:rsid w:val="07181283"/>
    <w:rsid w:val="072055A4"/>
    <w:rsid w:val="072132C6"/>
    <w:rsid w:val="072357CC"/>
    <w:rsid w:val="072735D6"/>
    <w:rsid w:val="0729263A"/>
    <w:rsid w:val="072F4F4B"/>
    <w:rsid w:val="0732737B"/>
    <w:rsid w:val="073E518E"/>
    <w:rsid w:val="073E5EB6"/>
    <w:rsid w:val="07415BD2"/>
    <w:rsid w:val="075D0F8D"/>
    <w:rsid w:val="07634BF4"/>
    <w:rsid w:val="07725351"/>
    <w:rsid w:val="077741FC"/>
    <w:rsid w:val="077E77B7"/>
    <w:rsid w:val="0780178E"/>
    <w:rsid w:val="078A2181"/>
    <w:rsid w:val="078B4E21"/>
    <w:rsid w:val="078B79B2"/>
    <w:rsid w:val="078B7B2C"/>
    <w:rsid w:val="07996868"/>
    <w:rsid w:val="07AF1BE8"/>
    <w:rsid w:val="07AF6C1D"/>
    <w:rsid w:val="07B46BA4"/>
    <w:rsid w:val="07CC09EB"/>
    <w:rsid w:val="07CE475F"/>
    <w:rsid w:val="07D13566"/>
    <w:rsid w:val="07D8797A"/>
    <w:rsid w:val="07DC2A8B"/>
    <w:rsid w:val="07E35D35"/>
    <w:rsid w:val="07E602CB"/>
    <w:rsid w:val="07EA0E72"/>
    <w:rsid w:val="07EE2F85"/>
    <w:rsid w:val="07F25F78"/>
    <w:rsid w:val="07FC2953"/>
    <w:rsid w:val="07FF37CD"/>
    <w:rsid w:val="08067C27"/>
    <w:rsid w:val="081305BA"/>
    <w:rsid w:val="082A6B65"/>
    <w:rsid w:val="083A2150"/>
    <w:rsid w:val="084234C2"/>
    <w:rsid w:val="08471E20"/>
    <w:rsid w:val="084C5688"/>
    <w:rsid w:val="084E22E7"/>
    <w:rsid w:val="08534C69"/>
    <w:rsid w:val="08566A8C"/>
    <w:rsid w:val="08601134"/>
    <w:rsid w:val="08634780"/>
    <w:rsid w:val="08741DF2"/>
    <w:rsid w:val="0878022B"/>
    <w:rsid w:val="08983696"/>
    <w:rsid w:val="08986B20"/>
    <w:rsid w:val="089A4646"/>
    <w:rsid w:val="089C0035"/>
    <w:rsid w:val="08CC573A"/>
    <w:rsid w:val="08DA3F17"/>
    <w:rsid w:val="08DF02AB"/>
    <w:rsid w:val="08E104C7"/>
    <w:rsid w:val="08E15D6B"/>
    <w:rsid w:val="08F263E3"/>
    <w:rsid w:val="09002255"/>
    <w:rsid w:val="09027AF6"/>
    <w:rsid w:val="09050DF8"/>
    <w:rsid w:val="090B72F2"/>
    <w:rsid w:val="091B505B"/>
    <w:rsid w:val="092C1016"/>
    <w:rsid w:val="09391E8B"/>
    <w:rsid w:val="093A66D9"/>
    <w:rsid w:val="093E6F77"/>
    <w:rsid w:val="093F5E4C"/>
    <w:rsid w:val="09424A95"/>
    <w:rsid w:val="09596444"/>
    <w:rsid w:val="096B5064"/>
    <w:rsid w:val="097965C4"/>
    <w:rsid w:val="098279C5"/>
    <w:rsid w:val="098350DA"/>
    <w:rsid w:val="098B1E76"/>
    <w:rsid w:val="09972538"/>
    <w:rsid w:val="099D0A35"/>
    <w:rsid w:val="09A13DFB"/>
    <w:rsid w:val="09A92667"/>
    <w:rsid w:val="09AB7566"/>
    <w:rsid w:val="09BE0CE2"/>
    <w:rsid w:val="09C91FD0"/>
    <w:rsid w:val="09D27EAB"/>
    <w:rsid w:val="09E3201C"/>
    <w:rsid w:val="09EA33AB"/>
    <w:rsid w:val="09F25E1E"/>
    <w:rsid w:val="09F41F94"/>
    <w:rsid w:val="09F47EEE"/>
    <w:rsid w:val="09F74304"/>
    <w:rsid w:val="09FB1114"/>
    <w:rsid w:val="0A07085D"/>
    <w:rsid w:val="0A0A4F40"/>
    <w:rsid w:val="0A0E5465"/>
    <w:rsid w:val="0A11685E"/>
    <w:rsid w:val="0A1C72DC"/>
    <w:rsid w:val="0A2001BE"/>
    <w:rsid w:val="0A2637DE"/>
    <w:rsid w:val="0A283C07"/>
    <w:rsid w:val="0A2A7C4B"/>
    <w:rsid w:val="0A2F7010"/>
    <w:rsid w:val="0A310F4E"/>
    <w:rsid w:val="0A3A6704"/>
    <w:rsid w:val="0A3B7ADC"/>
    <w:rsid w:val="0A4505E1"/>
    <w:rsid w:val="0A5B1BB3"/>
    <w:rsid w:val="0A613847"/>
    <w:rsid w:val="0A65325A"/>
    <w:rsid w:val="0A670C3E"/>
    <w:rsid w:val="0A717628"/>
    <w:rsid w:val="0A761166"/>
    <w:rsid w:val="0A856C30"/>
    <w:rsid w:val="0A880108"/>
    <w:rsid w:val="0A892BC4"/>
    <w:rsid w:val="0A9018DF"/>
    <w:rsid w:val="0A94141B"/>
    <w:rsid w:val="0A9E5F43"/>
    <w:rsid w:val="0AAC4946"/>
    <w:rsid w:val="0AB21F41"/>
    <w:rsid w:val="0ABC5BC4"/>
    <w:rsid w:val="0AC42014"/>
    <w:rsid w:val="0AC60E76"/>
    <w:rsid w:val="0AC8421B"/>
    <w:rsid w:val="0AD414BC"/>
    <w:rsid w:val="0AD55E09"/>
    <w:rsid w:val="0ADC03A7"/>
    <w:rsid w:val="0AE777C6"/>
    <w:rsid w:val="0AF67B2D"/>
    <w:rsid w:val="0AFD3256"/>
    <w:rsid w:val="0AFE4362"/>
    <w:rsid w:val="0B054E07"/>
    <w:rsid w:val="0B0E5054"/>
    <w:rsid w:val="0B0F68FC"/>
    <w:rsid w:val="0B1C6152"/>
    <w:rsid w:val="0B1F5168"/>
    <w:rsid w:val="0B2F4DEC"/>
    <w:rsid w:val="0B2F5F6E"/>
    <w:rsid w:val="0B36173F"/>
    <w:rsid w:val="0B3D2F20"/>
    <w:rsid w:val="0B460AB5"/>
    <w:rsid w:val="0B554854"/>
    <w:rsid w:val="0B5B0FCF"/>
    <w:rsid w:val="0B6064EB"/>
    <w:rsid w:val="0B6A1AF2"/>
    <w:rsid w:val="0B6F6317"/>
    <w:rsid w:val="0B7A6E5E"/>
    <w:rsid w:val="0B8031FB"/>
    <w:rsid w:val="0B9510F4"/>
    <w:rsid w:val="0B955598"/>
    <w:rsid w:val="0B9F2BA3"/>
    <w:rsid w:val="0BA216B9"/>
    <w:rsid w:val="0BA852CC"/>
    <w:rsid w:val="0BB023D2"/>
    <w:rsid w:val="0BB50B57"/>
    <w:rsid w:val="0BC656E9"/>
    <w:rsid w:val="0BC722A5"/>
    <w:rsid w:val="0BCE6B3B"/>
    <w:rsid w:val="0BEA58E4"/>
    <w:rsid w:val="0BEA5DC0"/>
    <w:rsid w:val="0BEF1E6A"/>
    <w:rsid w:val="0BF16C73"/>
    <w:rsid w:val="0C0412BD"/>
    <w:rsid w:val="0C04484A"/>
    <w:rsid w:val="0C0B25F5"/>
    <w:rsid w:val="0C141238"/>
    <w:rsid w:val="0C2041D4"/>
    <w:rsid w:val="0C2624E8"/>
    <w:rsid w:val="0C2D5832"/>
    <w:rsid w:val="0C3E358E"/>
    <w:rsid w:val="0C41415F"/>
    <w:rsid w:val="0C414F19"/>
    <w:rsid w:val="0C5524C7"/>
    <w:rsid w:val="0C552E6D"/>
    <w:rsid w:val="0C5E046B"/>
    <w:rsid w:val="0C5E1E2E"/>
    <w:rsid w:val="0C603438"/>
    <w:rsid w:val="0C662A91"/>
    <w:rsid w:val="0C665099"/>
    <w:rsid w:val="0C673839"/>
    <w:rsid w:val="0C762CD4"/>
    <w:rsid w:val="0C7F6DC5"/>
    <w:rsid w:val="0C811679"/>
    <w:rsid w:val="0C99751F"/>
    <w:rsid w:val="0C9D15AD"/>
    <w:rsid w:val="0CA35A93"/>
    <w:rsid w:val="0CA37273"/>
    <w:rsid w:val="0CA913CF"/>
    <w:rsid w:val="0CB16721"/>
    <w:rsid w:val="0CBC0C7B"/>
    <w:rsid w:val="0CBD0903"/>
    <w:rsid w:val="0CC46135"/>
    <w:rsid w:val="0CC634A7"/>
    <w:rsid w:val="0CC91F6E"/>
    <w:rsid w:val="0CD81BE1"/>
    <w:rsid w:val="0CDA1EF1"/>
    <w:rsid w:val="0CE22F61"/>
    <w:rsid w:val="0CEA4DAF"/>
    <w:rsid w:val="0CEE2868"/>
    <w:rsid w:val="0CF002C4"/>
    <w:rsid w:val="0CFA3905"/>
    <w:rsid w:val="0D006610"/>
    <w:rsid w:val="0D0B179C"/>
    <w:rsid w:val="0D0C04E2"/>
    <w:rsid w:val="0D0E73B0"/>
    <w:rsid w:val="0D0F4643"/>
    <w:rsid w:val="0D2261BB"/>
    <w:rsid w:val="0D250204"/>
    <w:rsid w:val="0D264448"/>
    <w:rsid w:val="0D4835D2"/>
    <w:rsid w:val="0D4A10E3"/>
    <w:rsid w:val="0D4E3C51"/>
    <w:rsid w:val="0D4E74BD"/>
    <w:rsid w:val="0D4F494A"/>
    <w:rsid w:val="0D5079C9"/>
    <w:rsid w:val="0D6473A3"/>
    <w:rsid w:val="0D671646"/>
    <w:rsid w:val="0D733191"/>
    <w:rsid w:val="0D767EA9"/>
    <w:rsid w:val="0D7D575E"/>
    <w:rsid w:val="0D966B1A"/>
    <w:rsid w:val="0D9E610A"/>
    <w:rsid w:val="0DA22F44"/>
    <w:rsid w:val="0DA303ED"/>
    <w:rsid w:val="0DAD6BD0"/>
    <w:rsid w:val="0DB878DD"/>
    <w:rsid w:val="0DB937C0"/>
    <w:rsid w:val="0DBA3251"/>
    <w:rsid w:val="0DCE748D"/>
    <w:rsid w:val="0DD00B0A"/>
    <w:rsid w:val="0DEF6094"/>
    <w:rsid w:val="0DF46805"/>
    <w:rsid w:val="0DFD0FF8"/>
    <w:rsid w:val="0DFE7425"/>
    <w:rsid w:val="0E015BAB"/>
    <w:rsid w:val="0E073C1E"/>
    <w:rsid w:val="0E0775EA"/>
    <w:rsid w:val="0E0A63B7"/>
    <w:rsid w:val="0E0F4FE1"/>
    <w:rsid w:val="0E1C78AB"/>
    <w:rsid w:val="0E1F0A4D"/>
    <w:rsid w:val="0E213113"/>
    <w:rsid w:val="0E3270CE"/>
    <w:rsid w:val="0E4B63E2"/>
    <w:rsid w:val="0E4F7C80"/>
    <w:rsid w:val="0E5139F9"/>
    <w:rsid w:val="0E603C3C"/>
    <w:rsid w:val="0E694728"/>
    <w:rsid w:val="0E777AAB"/>
    <w:rsid w:val="0E8042DE"/>
    <w:rsid w:val="0E811A30"/>
    <w:rsid w:val="0E912F81"/>
    <w:rsid w:val="0E924011"/>
    <w:rsid w:val="0E9B5983"/>
    <w:rsid w:val="0EA15903"/>
    <w:rsid w:val="0EC07B84"/>
    <w:rsid w:val="0EC428A0"/>
    <w:rsid w:val="0EDA0204"/>
    <w:rsid w:val="0EE15F5A"/>
    <w:rsid w:val="0EF042AD"/>
    <w:rsid w:val="0EF06BEE"/>
    <w:rsid w:val="0EF22136"/>
    <w:rsid w:val="0F087E2F"/>
    <w:rsid w:val="0F091BA4"/>
    <w:rsid w:val="0F09224E"/>
    <w:rsid w:val="0F0951D6"/>
    <w:rsid w:val="0F136BDA"/>
    <w:rsid w:val="0F1A028E"/>
    <w:rsid w:val="0F3375A2"/>
    <w:rsid w:val="0F3A26DF"/>
    <w:rsid w:val="0F3E2B3F"/>
    <w:rsid w:val="0F5557CC"/>
    <w:rsid w:val="0F6D5A04"/>
    <w:rsid w:val="0F706BF2"/>
    <w:rsid w:val="0F8044A9"/>
    <w:rsid w:val="0F8256BF"/>
    <w:rsid w:val="0F8B7C6A"/>
    <w:rsid w:val="0F8C280E"/>
    <w:rsid w:val="0F9464E9"/>
    <w:rsid w:val="0F9F2E20"/>
    <w:rsid w:val="0FC14BAE"/>
    <w:rsid w:val="0FD60930"/>
    <w:rsid w:val="0FD8251E"/>
    <w:rsid w:val="0FE37BFD"/>
    <w:rsid w:val="0FE7589C"/>
    <w:rsid w:val="0FF25C53"/>
    <w:rsid w:val="0FFD54BA"/>
    <w:rsid w:val="0FFF2388"/>
    <w:rsid w:val="100131FC"/>
    <w:rsid w:val="10046849"/>
    <w:rsid w:val="10053F70"/>
    <w:rsid w:val="10066A65"/>
    <w:rsid w:val="10137CE1"/>
    <w:rsid w:val="1014226A"/>
    <w:rsid w:val="101A6431"/>
    <w:rsid w:val="10214646"/>
    <w:rsid w:val="102B0499"/>
    <w:rsid w:val="10462F9B"/>
    <w:rsid w:val="1054687B"/>
    <w:rsid w:val="1060281A"/>
    <w:rsid w:val="1068327B"/>
    <w:rsid w:val="106E51DE"/>
    <w:rsid w:val="106F460A"/>
    <w:rsid w:val="10781B57"/>
    <w:rsid w:val="107B7454"/>
    <w:rsid w:val="10833BA2"/>
    <w:rsid w:val="108F0808"/>
    <w:rsid w:val="1090632E"/>
    <w:rsid w:val="109D1177"/>
    <w:rsid w:val="10A754AF"/>
    <w:rsid w:val="10B244F7"/>
    <w:rsid w:val="10B90E55"/>
    <w:rsid w:val="10C64B6E"/>
    <w:rsid w:val="10D73F5D"/>
    <w:rsid w:val="10EB5797"/>
    <w:rsid w:val="10F547FE"/>
    <w:rsid w:val="10F62635"/>
    <w:rsid w:val="10FD5A6C"/>
    <w:rsid w:val="11041AA0"/>
    <w:rsid w:val="11085182"/>
    <w:rsid w:val="110F3211"/>
    <w:rsid w:val="110F72EA"/>
    <w:rsid w:val="111B209C"/>
    <w:rsid w:val="111F2A33"/>
    <w:rsid w:val="11221383"/>
    <w:rsid w:val="11290C5D"/>
    <w:rsid w:val="112A7489"/>
    <w:rsid w:val="11307032"/>
    <w:rsid w:val="11316912"/>
    <w:rsid w:val="113600D3"/>
    <w:rsid w:val="113B1A87"/>
    <w:rsid w:val="1143257A"/>
    <w:rsid w:val="1154554F"/>
    <w:rsid w:val="11586E4C"/>
    <w:rsid w:val="115D341D"/>
    <w:rsid w:val="11641806"/>
    <w:rsid w:val="1172556F"/>
    <w:rsid w:val="1178696D"/>
    <w:rsid w:val="117E657E"/>
    <w:rsid w:val="118A0FD0"/>
    <w:rsid w:val="11A40A19"/>
    <w:rsid w:val="11B61DC5"/>
    <w:rsid w:val="11B927E3"/>
    <w:rsid w:val="11BD13A5"/>
    <w:rsid w:val="11C20769"/>
    <w:rsid w:val="11C60666"/>
    <w:rsid w:val="11D03235"/>
    <w:rsid w:val="11D80228"/>
    <w:rsid w:val="11E608FC"/>
    <w:rsid w:val="11E75489"/>
    <w:rsid w:val="11EB28D9"/>
    <w:rsid w:val="11EB4164"/>
    <w:rsid w:val="11F706DC"/>
    <w:rsid w:val="11F748B7"/>
    <w:rsid w:val="11FA0819"/>
    <w:rsid w:val="11FD6906"/>
    <w:rsid w:val="12017CFC"/>
    <w:rsid w:val="12020899"/>
    <w:rsid w:val="120B3EBE"/>
    <w:rsid w:val="121216F1"/>
    <w:rsid w:val="121576C0"/>
    <w:rsid w:val="12160136"/>
    <w:rsid w:val="12241DAC"/>
    <w:rsid w:val="122B630F"/>
    <w:rsid w:val="122D7415"/>
    <w:rsid w:val="123258EF"/>
    <w:rsid w:val="12352608"/>
    <w:rsid w:val="123E3A06"/>
    <w:rsid w:val="12502BA9"/>
    <w:rsid w:val="12675A01"/>
    <w:rsid w:val="126D2DCB"/>
    <w:rsid w:val="126E42E1"/>
    <w:rsid w:val="12744159"/>
    <w:rsid w:val="12757AC2"/>
    <w:rsid w:val="12783F12"/>
    <w:rsid w:val="127A5286"/>
    <w:rsid w:val="12802AFE"/>
    <w:rsid w:val="128C6A80"/>
    <w:rsid w:val="128E76CC"/>
    <w:rsid w:val="12907A1A"/>
    <w:rsid w:val="12947261"/>
    <w:rsid w:val="12A934D9"/>
    <w:rsid w:val="12B02CB8"/>
    <w:rsid w:val="12D41FD2"/>
    <w:rsid w:val="12DE501F"/>
    <w:rsid w:val="12E30817"/>
    <w:rsid w:val="12F71682"/>
    <w:rsid w:val="12F72695"/>
    <w:rsid w:val="12F74A35"/>
    <w:rsid w:val="13054DB2"/>
    <w:rsid w:val="130E5469"/>
    <w:rsid w:val="131173A9"/>
    <w:rsid w:val="1312127D"/>
    <w:rsid w:val="13122A9C"/>
    <w:rsid w:val="1323022D"/>
    <w:rsid w:val="132316DC"/>
    <w:rsid w:val="13256C20"/>
    <w:rsid w:val="132A2A6A"/>
    <w:rsid w:val="132A4FE3"/>
    <w:rsid w:val="132F62D2"/>
    <w:rsid w:val="134578A4"/>
    <w:rsid w:val="134814DB"/>
    <w:rsid w:val="134A0F33"/>
    <w:rsid w:val="13520205"/>
    <w:rsid w:val="135D4C67"/>
    <w:rsid w:val="13636078"/>
    <w:rsid w:val="136D3EEE"/>
    <w:rsid w:val="13794378"/>
    <w:rsid w:val="137B55BF"/>
    <w:rsid w:val="138C13F1"/>
    <w:rsid w:val="138C34D7"/>
    <w:rsid w:val="13917597"/>
    <w:rsid w:val="139525D9"/>
    <w:rsid w:val="139E2B2E"/>
    <w:rsid w:val="13A33417"/>
    <w:rsid w:val="13B07D0E"/>
    <w:rsid w:val="13B86E3D"/>
    <w:rsid w:val="13C438C4"/>
    <w:rsid w:val="13C470E7"/>
    <w:rsid w:val="13D331F7"/>
    <w:rsid w:val="13E1517C"/>
    <w:rsid w:val="13E52047"/>
    <w:rsid w:val="13F65598"/>
    <w:rsid w:val="140C0946"/>
    <w:rsid w:val="14141A99"/>
    <w:rsid w:val="14183A28"/>
    <w:rsid w:val="141E042A"/>
    <w:rsid w:val="14236722"/>
    <w:rsid w:val="14284909"/>
    <w:rsid w:val="14292D22"/>
    <w:rsid w:val="142B0848"/>
    <w:rsid w:val="14467430"/>
    <w:rsid w:val="144C07BE"/>
    <w:rsid w:val="144E2788"/>
    <w:rsid w:val="144F7614"/>
    <w:rsid w:val="1455586C"/>
    <w:rsid w:val="146464BB"/>
    <w:rsid w:val="14692F06"/>
    <w:rsid w:val="146D1135"/>
    <w:rsid w:val="147026FF"/>
    <w:rsid w:val="148870C7"/>
    <w:rsid w:val="14952165"/>
    <w:rsid w:val="149E7070"/>
    <w:rsid w:val="14A16D5C"/>
    <w:rsid w:val="14A32F7B"/>
    <w:rsid w:val="14A45A4F"/>
    <w:rsid w:val="14BE1209"/>
    <w:rsid w:val="14C87AA8"/>
    <w:rsid w:val="14CD18FF"/>
    <w:rsid w:val="14D23CFD"/>
    <w:rsid w:val="14DA1BDE"/>
    <w:rsid w:val="14DA74C7"/>
    <w:rsid w:val="14E32D9F"/>
    <w:rsid w:val="14EE66FB"/>
    <w:rsid w:val="14F25885"/>
    <w:rsid w:val="14F51BFA"/>
    <w:rsid w:val="14F9015B"/>
    <w:rsid w:val="15064D30"/>
    <w:rsid w:val="150A2F86"/>
    <w:rsid w:val="150C4E85"/>
    <w:rsid w:val="150D2E20"/>
    <w:rsid w:val="151652AF"/>
    <w:rsid w:val="151F2881"/>
    <w:rsid w:val="15205ED3"/>
    <w:rsid w:val="152C2AC9"/>
    <w:rsid w:val="154E2FCB"/>
    <w:rsid w:val="15540C22"/>
    <w:rsid w:val="15593237"/>
    <w:rsid w:val="155B33AF"/>
    <w:rsid w:val="155B3D4F"/>
    <w:rsid w:val="155E5761"/>
    <w:rsid w:val="15703655"/>
    <w:rsid w:val="15714980"/>
    <w:rsid w:val="157749A9"/>
    <w:rsid w:val="158973FA"/>
    <w:rsid w:val="158E505A"/>
    <w:rsid w:val="15A20FDE"/>
    <w:rsid w:val="15A670ED"/>
    <w:rsid w:val="15AD0685"/>
    <w:rsid w:val="15B12095"/>
    <w:rsid w:val="15B42ABF"/>
    <w:rsid w:val="15BD1BCA"/>
    <w:rsid w:val="15C770E8"/>
    <w:rsid w:val="15D51305"/>
    <w:rsid w:val="15D60C87"/>
    <w:rsid w:val="15E50ECA"/>
    <w:rsid w:val="15E62266"/>
    <w:rsid w:val="15EC04AB"/>
    <w:rsid w:val="15EC48AD"/>
    <w:rsid w:val="15F87899"/>
    <w:rsid w:val="15FB6025"/>
    <w:rsid w:val="16013F56"/>
    <w:rsid w:val="16070E41"/>
    <w:rsid w:val="160B0882"/>
    <w:rsid w:val="160F6333"/>
    <w:rsid w:val="16113A6D"/>
    <w:rsid w:val="162A6A30"/>
    <w:rsid w:val="163B6465"/>
    <w:rsid w:val="16443E43"/>
    <w:rsid w:val="16502C55"/>
    <w:rsid w:val="16504596"/>
    <w:rsid w:val="166D1E8E"/>
    <w:rsid w:val="167F131F"/>
    <w:rsid w:val="16823089"/>
    <w:rsid w:val="16832BBD"/>
    <w:rsid w:val="168341F8"/>
    <w:rsid w:val="16895CFA"/>
    <w:rsid w:val="16914368"/>
    <w:rsid w:val="16A067DF"/>
    <w:rsid w:val="16A9130C"/>
    <w:rsid w:val="16AA639C"/>
    <w:rsid w:val="16B32D77"/>
    <w:rsid w:val="16C30805"/>
    <w:rsid w:val="16CB1CE3"/>
    <w:rsid w:val="16D266B3"/>
    <w:rsid w:val="16D939C6"/>
    <w:rsid w:val="16DB3A2A"/>
    <w:rsid w:val="16E9234C"/>
    <w:rsid w:val="16EA0245"/>
    <w:rsid w:val="16EF2C42"/>
    <w:rsid w:val="1719468D"/>
    <w:rsid w:val="171A155F"/>
    <w:rsid w:val="171E30F0"/>
    <w:rsid w:val="171F21BA"/>
    <w:rsid w:val="171F71A2"/>
    <w:rsid w:val="1724674A"/>
    <w:rsid w:val="172A128B"/>
    <w:rsid w:val="1736357B"/>
    <w:rsid w:val="17396E67"/>
    <w:rsid w:val="17650515"/>
    <w:rsid w:val="1768505C"/>
    <w:rsid w:val="176C331D"/>
    <w:rsid w:val="176D7083"/>
    <w:rsid w:val="17710261"/>
    <w:rsid w:val="17821E98"/>
    <w:rsid w:val="17952E68"/>
    <w:rsid w:val="17982BF0"/>
    <w:rsid w:val="179B0905"/>
    <w:rsid w:val="179E7583"/>
    <w:rsid w:val="17BB3BFF"/>
    <w:rsid w:val="17C15382"/>
    <w:rsid w:val="17E26419"/>
    <w:rsid w:val="17EA0A1A"/>
    <w:rsid w:val="17EA0DC5"/>
    <w:rsid w:val="17FE314E"/>
    <w:rsid w:val="180715CC"/>
    <w:rsid w:val="180E2910"/>
    <w:rsid w:val="182A3350"/>
    <w:rsid w:val="182B52BA"/>
    <w:rsid w:val="182E0907"/>
    <w:rsid w:val="182F738E"/>
    <w:rsid w:val="183323C1"/>
    <w:rsid w:val="183A3768"/>
    <w:rsid w:val="183B3D57"/>
    <w:rsid w:val="18405069"/>
    <w:rsid w:val="18414ADE"/>
    <w:rsid w:val="1842103A"/>
    <w:rsid w:val="184364E7"/>
    <w:rsid w:val="18441ED8"/>
    <w:rsid w:val="18474F71"/>
    <w:rsid w:val="18476F19"/>
    <w:rsid w:val="185022A1"/>
    <w:rsid w:val="185145F5"/>
    <w:rsid w:val="1857415D"/>
    <w:rsid w:val="185D6550"/>
    <w:rsid w:val="18622CA6"/>
    <w:rsid w:val="18673E19"/>
    <w:rsid w:val="186E1101"/>
    <w:rsid w:val="186F0527"/>
    <w:rsid w:val="187C5B16"/>
    <w:rsid w:val="18846779"/>
    <w:rsid w:val="18891FE1"/>
    <w:rsid w:val="1890336F"/>
    <w:rsid w:val="18921212"/>
    <w:rsid w:val="18956BD8"/>
    <w:rsid w:val="189664AC"/>
    <w:rsid w:val="18B05379"/>
    <w:rsid w:val="18BA466F"/>
    <w:rsid w:val="18BC3EAF"/>
    <w:rsid w:val="18BF5A03"/>
    <w:rsid w:val="18C54257"/>
    <w:rsid w:val="18CE3E98"/>
    <w:rsid w:val="18E13BCB"/>
    <w:rsid w:val="18E83013"/>
    <w:rsid w:val="18FA2EDF"/>
    <w:rsid w:val="19002AD9"/>
    <w:rsid w:val="190667D2"/>
    <w:rsid w:val="190B1A4C"/>
    <w:rsid w:val="19145D4E"/>
    <w:rsid w:val="19176036"/>
    <w:rsid w:val="1919327D"/>
    <w:rsid w:val="191E4E1F"/>
    <w:rsid w:val="1921046B"/>
    <w:rsid w:val="19214933"/>
    <w:rsid w:val="19227160"/>
    <w:rsid w:val="19347032"/>
    <w:rsid w:val="19364917"/>
    <w:rsid w:val="194303E2"/>
    <w:rsid w:val="1947297F"/>
    <w:rsid w:val="194B03E9"/>
    <w:rsid w:val="194C326C"/>
    <w:rsid w:val="195D3EDD"/>
    <w:rsid w:val="1963464B"/>
    <w:rsid w:val="19647CC3"/>
    <w:rsid w:val="19724136"/>
    <w:rsid w:val="197B5DCD"/>
    <w:rsid w:val="197D3EA9"/>
    <w:rsid w:val="198702C4"/>
    <w:rsid w:val="198A6011"/>
    <w:rsid w:val="198C4DEF"/>
    <w:rsid w:val="198D008E"/>
    <w:rsid w:val="19947B93"/>
    <w:rsid w:val="19B7465C"/>
    <w:rsid w:val="19BC58D0"/>
    <w:rsid w:val="19BE3F0C"/>
    <w:rsid w:val="19CB1CFC"/>
    <w:rsid w:val="19CB21B4"/>
    <w:rsid w:val="19D00D40"/>
    <w:rsid w:val="19D80687"/>
    <w:rsid w:val="19D97901"/>
    <w:rsid w:val="19DD2683"/>
    <w:rsid w:val="19FE07AD"/>
    <w:rsid w:val="19FF60E4"/>
    <w:rsid w:val="1A004525"/>
    <w:rsid w:val="1A005697"/>
    <w:rsid w:val="1A0758B3"/>
    <w:rsid w:val="1A2D0631"/>
    <w:rsid w:val="1A2E7E4D"/>
    <w:rsid w:val="1A31469E"/>
    <w:rsid w:val="1A394A1F"/>
    <w:rsid w:val="1A3A4EB4"/>
    <w:rsid w:val="1A440AE5"/>
    <w:rsid w:val="1A494EBB"/>
    <w:rsid w:val="1A4C019C"/>
    <w:rsid w:val="1A6E3124"/>
    <w:rsid w:val="1A8769F4"/>
    <w:rsid w:val="1A8E1B30"/>
    <w:rsid w:val="1A930EF5"/>
    <w:rsid w:val="1A94246B"/>
    <w:rsid w:val="1A952EBF"/>
    <w:rsid w:val="1A9609E5"/>
    <w:rsid w:val="1AA34900"/>
    <w:rsid w:val="1AA46789"/>
    <w:rsid w:val="1AA91952"/>
    <w:rsid w:val="1AAB37A8"/>
    <w:rsid w:val="1AAE5D2F"/>
    <w:rsid w:val="1AC0282A"/>
    <w:rsid w:val="1AC673A5"/>
    <w:rsid w:val="1AD850EE"/>
    <w:rsid w:val="1AE769AF"/>
    <w:rsid w:val="1AE82F60"/>
    <w:rsid w:val="1AF20311"/>
    <w:rsid w:val="1AF56B46"/>
    <w:rsid w:val="1AFC2F3E"/>
    <w:rsid w:val="1B080A85"/>
    <w:rsid w:val="1B0A464B"/>
    <w:rsid w:val="1B0B3181"/>
    <w:rsid w:val="1B132036"/>
    <w:rsid w:val="1B216120"/>
    <w:rsid w:val="1B21668B"/>
    <w:rsid w:val="1B24251A"/>
    <w:rsid w:val="1B29152A"/>
    <w:rsid w:val="1B2B4D71"/>
    <w:rsid w:val="1B2C15A3"/>
    <w:rsid w:val="1B2D0683"/>
    <w:rsid w:val="1B36343D"/>
    <w:rsid w:val="1B3E3C04"/>
    <w:rsid w:val="1B3F5644"/>
    <w:rsid w:val="1B4254C8"/>
    <w:rsid w:val="1B437C6F"/>
    <w:rsid w:val="1B466BBD"/>
    <w:rsid w:val="1B4F41C2"/>
    <w:rsid w:val="1B5248D7"/>
    <w:rsid w:val="1B661559"/>
    <w:rsid w:val="1B703A02"/>
    <w:rsid w:val="1B825096"/>
    <w:rsid w:val="1B884E9E"/>
    <w:rsid w:val="1B8D73C2"/>
    <w:rsid w:val="1B91148A"/>
    <w:rsid w:val="1B925650"/>
    <w:rsid w:val="1B974A15"/>
    <w:rsid w:val="1B9938F9"/>
    <w:rsid w:val="1B9A464E"/>
    <w:rsid w:val="1BA81CD5"/>
    <w:rsid w:val="1BB80F72"/>
    <w:rsid w:val="1BB86A9F"/>
    <w:rsid w:val="1BBA329E"/>
    <w:rsid w:val="1BBB0FB3"/>
    <w:rsid w:val="1BC33A5C"/>
    <w:rsid w:val="1BC740DD"/>
    <w:rsid w:val="1BCA6B98"/>
    <w:rsid w:val="1BD143CB"/>
    <w:rsid w:val="1BE132E5"/>
    <w:rsid w:val="1BE1444E"/>
    <w:rsid w:val="1BE522E3"/>
    <w:rsid w:val="1BE73AAA"/>
    <w:rsid w:val="1BFB6EBD"/>
    <w:rsid w:val="1C0462A0"/>
    <w:rsid w:val="1C0941C4"/>
    <w:rsid w:val="1C136375"/>
    <w:rsid w:val="1C156F10"/>
    <w:rsid w:val="1C16002F"/>
    <w:rsid w:val="1C167B9F"/>
    <w:rsid w:val="1C1A5FB6"/>
    <w:rsid w:val="1C1F46CB"/>
    <w:rsid w:val="1C211A86"/>
    <w:rsid w:val="1C23238A"/>
    <w:rsid w:val="1C261057"/>
    <w:rsid w:val="1C304ECE"/>
    <w:rsid w:val="1C3E1269"/>
    <w:rsid w:val="1C465781"/>
    <w:rsid w:val="1C4701E9"/>
    <w:rsid w:val="1C4C0267"/>
    <w:rsid w:val="1C4F4A45"/>
    <w:rsid w:val="1C625023"/>
    <w:rsid w:val="1C672639"/>
    <w:rsid w:val="1C697945"/>
    <w:rsid w:val="1C6B53E3"/>
    <w:rsid w:val="1C8419F2"/>
    <w:rsid w:val="1C874147"/>
    <w:rsid w:val="1C8D71D3"/>
    <w:rsid w:val="1C964CCC"/>
    <w:rsid w:val="1CA25AF6"/>
    <w:rsid w:val="1CB02CF4"/>
    <w:rsid w:val="1CB132D3"/>
    <w:rsid w:val="1CB91CF3"/>
    <w:rsid w:val="1CC50D7D"/>
    <w:rsid w:val="1CC6391F"/>
    <w:rsid w:val="1CC96E50"/>
    <w:rsid w:val="1CCE0A82"/>
    <w:rsid w:val="1CD632F3"/>
    <w:rsid w:val="1CEC2B3E"/>
    <w:rsid w:val="1CF540E9"/>
    <w:rsid w:val="1CFA15E3"/>
    <w:rsid w:val="1CFC7225"/>
    <w:rsid w:val="1D00178E"/>
    <w:rsid w:val="1D057D11"/>
    <w:rsid w:val="1D131727"/>
    <w:rsid w:val="1D181F30"/>
    <w:rsid w:val="1D1C1676"/>
    <w:rsid w:val="1D1F1166"/>
    <w:rsid w:val="1D2C5EF2"/>
    <w:rsid w:val="1D2E03E6"/>
    <w:rsid w:val="1D3A7D4E"/>
    <w:rsid w:val="1D3B7DEE"/>
    <w:rsid w:val="1D4875D2"/>
    <w:rsid w:val="1D547061"/>
    <w:rsid w:val="1D721295"/>
    <w:rsid w:val="1D766BDC"/>
    <w:rsid w:val="1D80564A"/>
    <w:rsid w:val="1D927AF6"/>
    <w:rsid w:val="1D95454D"/>
    <w:rsid w:val="1D9A259A"/>
    <w:rsid w:val="1D9A4742"/>
    <w:rsid w:val="1DA24C73"/>
    <w:rsid w:val="1DAA73EE"/>
    <w:rsid w:val="1DAF188E"/>
    <w:rsid w:val="1DB95116"/>
    <w:rsid w:val="1DBC5CBB"/>
    <w:rsid w:val="1DC00C03"/>
    <w:rsid w:val="1DC0284F"/>
    <w:rsid w:val="1DC615E1"/>
    <w:rsid w:val="1DC704D2"/>
    <w:rsid w:val="1DCC10E0"/>
    <w:rsid w:val="1DD8524D"/>
    <w:rsid w:val="1DE1100A"/>
    <w:rsid w:val="1DE139AA"/>
    <w:rsid w:val="1DEC54EC"/>
    <w:rsid w:val="1DEF6D8A"/>
    <w:rsid w:val="1DF10D3D"/>
    <w:rsid w:val="1DF37276"/>
    <w:rsid w:val="1E2916B4"/>
    <w:rsid w:val="1E2B71DE"/>
    <w:rsid w:val="1E313575"/>
    <w:rsid w:val="1E322183"/>
    <w:rsid w:val="1E356576"/>
    <w:rsid w:val="1E3B0933"/>
    <w:rsid w:val="1E3B2AAD"/>
    <w:rsid w:val="1E3D60DD"/>
    <w:rsid w:val="1E4744D0"/>
    <w:rsid w:val="1E5464CD"/>
    <w:rsid w:val="1E782440"/>
    <w:rsid w:val="1E83393B"/>
    <w:rsid w:val="1E833AFD"/>
    <w:rsid w:val="1EAB6A04"/>
    <w:rsid w:val="1EB31B66"/>
    <w:rsid w:val="1EB4768C"/>
    <w:rsid w:val="1EBD6133"/>
    <w:rsid w:val="1EC77B86"/>
    <w:rsid w:val="1ECC2C27"/>
    <w:rsid w:val="1ECE2E43"/>
    <w:rsid w:val="1ED25EA4"/>
    <w:rsid w:val="1ED747B6"/>
    <w:rsid w:val="1EDB74D8"/>
    <w:rsid w:val="1EEE0DF0"/>
    <w:rsid w:val="1EEE2B9E"/>
    <w:rsid w:val="1EF3500D"/>
    <w:rsid w:val="1EF86D03"/>
    <w:rsid w:val="1F0B3750"/>
    <w:rsid w:val="1F1712DB"/>
    <w:rsid w:val="1F3272F7"/>
    <w:rsid w:val="1F38206B"/>
    <w:rsid w:val="1F4B4494"/>
    <w:rsid w:val="1F4D1FBA"/>
    <w:rsid w:val="1F533349"/>
    <w:rsid w:val="1F571809"/>
    <w:rsid w:val="1F59095F"/>
    <w:rsid w:val="1F5F3A9B"/>
    <w:rsid w:val="1F613A9F"/>
    <w:rsid w:val="1F6D61B8"/>
    <w:rsid w:val="1F6E4A4F"/>
    <w:rsid w:val="1F703EFB"/>
    <w:rsid w:val="1F707A5F"/>
    <w:rsid w:val="1F762944"/>
    <w:rsid w:val="1F7C63FB"/>
    <w:rsid w:val="1F7F4EE7"/>
    <w:rsid w:val="1F8205A4"/>
    <w:rsid w:val="1F8A225B"/>
    <w:rsid w:val="1F955E61"/>
    <w:rsid w:val="1FAD47D2"/>
    <w:rsid w:val="1FBE4C66"/>
    <w:rsid w:val="1FCD0C2D"/>
    <w:rsid w:val="1FCD4EA9"/>
    <w:rsid w:val="1FD70989"/>
    <w:rsid w:val="1FD92416"/>
    <w:rsid w:val="1FD955FC"/>
    <w:rsid w:val="1FE07084"/>
    <w:rsid w:val="20012DA5"/>
    <w:rsid w:val="20077E32"/>
    <w:rsid w:val="20144886"/>
    <w:rsid w:val="202F346E"/>
    <w:rsid w:val="20360CA0"/>
    <w:rsid w:val="203901FA"/>
    <w:rsid w:val="204169D4"/>
    <w:rsid w:val="2047772C"/>
    <w:rsid w:val="204A00D1"/>
    <w:rsid w:val="204F3B10"/>
    <w:rsid w:val="20546B44"/>
    <w:rsid w:val="20673E30"/>
    <w:rsid w:val="20673EB3"/>
    <w:rsid w:val="206822FC"/>
    <w:rsid w:val="20682360"/>
    <w:rsid w:val="20783067"/>
    <w:rsid w:val="208C1798"/>
    <w:rsid w:val="208C3A12"/>
    <w:rsid w:val="209122D7"/>
    <w:rsid w:val="209229EC"/>
    <w:rsid w:val="20A149D3"/>
    <w:rsid w:val="20A276FC"/>
    <w:rsid w:val="20C6229B"/>
    <w:rsid w:val="20D61B3B"/>
    <w:rsid w:val="20D626D7"/>
    <w:rsid w:val="20DD2ECA"/>
    <w:rsid w:val="20E25071"/>
    <w:rsid w:val="20E26E67"/>
    <w:rsid w:val="20E97AC1"/>
    <w:rsid w:val="20EF0E4F"/>
    <w:rsid w:val="20F46465"/>
    <w:rsid w:val="20F52909"/>
    <w:rsid w:val="20FB77F4"/>
    <w:rsid w:val="20FD6018"/>
    <w:rsid w:val="21021787"/>
    <w:rsid w:val="210C7C53"/>
    <w:rsid w:val="210E39D6"/>
    <w:rsid w:val="211F34E2"/>
    <w:rsid w:val="21253EF3"/>
    <w:rsid w:val="21276EE5"/>
    <w:rsid w:val="214B212B"/>
    <w:rsid w:val="214C4419"/>
    <w:rsid w:val="21515484"/>
    <w:rsid w:val="21550DCB"/>
    <w:rsid w:val="21570ECE"/>
    <w:rsid w:val="215C64E4"/>
    <w:rsid w:val="21645399"/>
    <w:rsid w:val="216B6728"/>
    <w:rsid w:val="217E42B1"/>
    <w:rsid w:val="219250FD"/>
    <w:rsid w:val="21A63705"/>
    <w:rsid w:val="21A7698E"/>
    <w:rsid w:val="21AB056A"/>
    <w:rsid w:val="21C271AF"/>
    <w:rsid w:val="21C4408A"/>
    <w:rsid w:val="21C90129"/>
    <w:rsid w:val="21CA5B44"/>
    <w:rsid w:val="21DE514B"/>
    <w:rsid w:val="21F4671D"/>
    <w:rsid w:val="21F95C0B"/>
    <w:rsid w:val="21FF6B6E"/>
    <w:rsid w:val="22036414"/>
    <w:rsid w:val="220E1664"/>
    <w:rsid w:val="221B63A0"/>
    <w:rsid w:val="221C735A"/>
    <w:rsid w:val="221E75BD"/>
    <w:rsid w:val="22250889"/>
    <w:rsid w:val="223B4467"/>
    <w:rsid w:val="2242047C"/>
    <w:rsid w:val="22485B9D"/>
    <w:rsid w:val="224F425D"/>
    <w:rsid w:val="22670576"/>
    <w:rsid w:val="22673393"/>
    <w:rsid w:val="226C09A9"/>
    <w:rsid w:val="226C7D3C"/>
    <w:rsid w:val="22724331"/>
    <w:rsid w:val="227B2E86"/>
    <w:rsid w:val="228B0CE8"/>
    <w:rsid w:val="228C2DF9"/>
    <w:rsid w:val="228E0A69"/>
    <w:rsid w:val="22945CB9"/>
    <w:rsid w:val="22966BAA"/>
    <w:rsid w:val="229A1347"/>
    <w:rsid w:val="22A45E24"/>
    <w:rsid w:val="22A70CF7"/>
    <w:rsid w:val="22A94701"/>
    <w:rsid w:val="22AC5624"/>
    <w:rsid w:val="22B849FC"/>
    <w:rsid w:val="22BE5BC9"/>
    <w:rsid w:val="22CA6E23"/>
    <w:rsid w:val="22CC1448"/>
    <w:rsid w:val="22D45EBB"/>
    <w:rsid w:val="22D5030E"/>
    <w:rsid w:val="22D6403F"/>
    <w:rsid w:val="22D95795"/>
    <w:rsid w:val="23052BAC"/>
    <w:rsid w:val="23084E6B"/>
    <w:rsid w:val="23157BA1"/>
    <w:rsid w:val="23290B9A"/>
    <w:rsid w:val="23345F4F"/>
    <w:rsid w:val="233F1C1A"/>
    <w:rsid w:val="23445482"/>
    <w:rsid w:val="234611FA"/>
    <w:rsid w:val="235F050E"/>
    <w:rsid w:val="23645B24"/>
    <w:rsid w:val="236B3D2C"/>
    <w:rsid w:val="238E0DF3"/>
    <w:rsid w:val="239A7798"/>
    <w:rsid w:val="239C52BE"/>
    <w:rsid w:val="239D2DE4"/>
    <w:rsid w:val="23B87C1E"/>
    <w:rsid w:val="23CA5F64"/>
    <w:rsid w:val="23D15095"/>
    <w:rsid w:val="23D711EF"/>
    <w:rsid w:val="23D80925"/>
    <w:rsid w:val="23D96FF1"/>
    <w:rsid w:val="23E43569"/>
    <w:rsid w:val="23E6160D"/>
    <w:rsid w:val="23E72969"/>
    <w:rsid w:val="23F52C20"/>
    <w:rsid w:val="23F532E4"/>
    <w:rsid w:val="241237D2"/>
    <w:rsid w:val="24213528"/>
    <w:rsid w:val="24262DDA"/>
    <w:rsid w:val="243130C2"/>
    <w:rsid w:val="24392B0D"/>
    <w:rsid w:val="24393C1B"/>
    <w:rsid w:val="243A7C38"/>
    <w:rsid w:val="244133D4"/>
    <w:rsid w:val="24454D52"/>
    <w:rsid w:val="244829CE"/>
    <w:rsid w:val="2450277F"/>
    <w:rsid w:val="24727BE5"/>
    <w:rsid w:val="24731B7A"/>
    <w:rsid w:val="24852943"/>
    <w:rsid w:val="24856A2E"/>
    <w:rsid w:val="24870DCD"/>
    <w:rsid w:val="2488000A"/>
    <w:rsid w:val="248A15BB"/>
    <w:rsid w:val="248E4319"/>
    <w:rsid w:val="24937B29"/>
    <w:rsid w:val="2496338B"/>
    <w:rsid w:val="24970470"/>
    <w:rsid w:val="249C7906"/>
    <w:rsid w:val="24A0493A"/>
    <w:rsid w:val="24A403AA"/>
    <w:rsid w:val="24A71C77"/>
    <w:rsid w:val="24AC106B"/>
    <w:rsid w:val="24B44B9D"/>
    <w:rsid w:val="24B76B0D"/>
    <w:rsid w:val="24E862E1"/>
    <w:rsid w:val="24E86A70"/>
    <w:rsid w:val="24FC01C3"/>
    <w:rsid w:val="251B66B7"/>
    <w:rsid w:val="251D242F"/>
    <w:rsid w:val="25214834"/>
    <w:rsid w:val="25251329"/>
    <w:rsid w:val="252A0580"/>
    <w:rsid w:val="25351310"/>
    <w:rsid w:val="25381017"/>
    <w:rsid w:val="25387E2E"/>
    <w:rsid w:val="253D487F"/>
    <w:rsid w:val="254B3F7B"/>
    <w:rsid w:val="25545725"/>
    <w:rsid w:val="255B7FD4"/>
    <w:rsid w:val="2565607C"/>
    <w:rsid w:val="256F65CD"/>
    <w:rsid w:val="25742DF1"/>
    <w:rsid w:val="257C6F29"/>
    <w:rsid w:val="2587780F"/>
    <w:rsid w:val="25887ED7"/>
    <w:rsid w:val="258C59A3"/>
    <w:rsid w:val="258D2F54"/>
    <w:rsid w:val="25932122"/>
    <w:rsid w:val="259B2DE6"/>
    <w:rsid w:val="259D0812"/>
    <w:rsid w:val="259D3DEC"/>
    <w:rsid w:val="25A1556E"/>
    <w:rsid w:val="25A17270"/>
    <w:rsid w:val="25B82157"/>
    <w:rsid w:val="25C26B32"/>
    <w:rsid w:val="25D017BA"/>
    <w:rsid w:val="25D109A2"/>
    <w:rsid w:val="25F660D7"/>
    <w:rsid w:val="25F74A2E"/>
    <w:rsid w:val="25FB2D4D"/>
    <w:rsid w:val="260B1252"/>
    <w:rsid w:val="26151C74"/>
    <w:rsid w:val="26221D8B"/>
    <w:rsid w:val="262B0B7B"/>
    <w:rsid w:val="262E41C8"/>
    <w:rsid w:val="26396DF4"/>
    <w:rsid w:val="264A5E59"/>
    <w:rsid w:val="2657066E"/>
    <w:rsid w:val="265A4FBD"/>
    <w:rsid w:val="265A6D6B"/>
    <w:rsid w:val="26661140"/>
    <w:rsid w:val="26673ABA"/>
    <w:rsid w:val="266876DA"/>
    <w:rsid w:val="266C207B"/>
    <w:rsid w:val="266F5003"/>
    <w:rsid w:val="26741DCB"/>
    <w:rsid w:val="267527B4"/>
    <w:rsid w:val="267D10C1"/>
    <w:rsid w:val="26B119D0"/>
    <w:rsid w:val="26BB7131"/>
    <w:rsid w:val="26BE19EF"/>
    <w:rsid w:val="26BF56A5"/>
    <w:rsid w:val="26C90F10"/>
    <w:rsid w:val="26CB0BCE"/>
    <w:rsid w:val="26D46B1D"/>
    <w:rsid w:val="26F32BC8"/>
    <w:rsid w:val="26F64251"/>
    <w:rsid w:val="26F7280B"/>
    <w:rsid w:val="26FB2B9C"/>
    <w:rsid w:val="270A389B"/>
    <w:rsid w:val="270A3FC1"/>
    <w:rsid w:val="270D43CE"/>
    <w:rsid w:val="270F1861"/>
    <w:rsid w:val="27192F38"/>
    <w:rsid w:val="27194E78"/>
    <w:rsid w:val="2725763D"/>
    <w:rsid w:val="272A0C84"/>
    <w:rsid w:val="272F01F7"/>
    <w:rsid w:val="273A0592"/>
    <w:rsid w:val="273B6804"/>
    <w:rsid w:val="273D6020"/>
    <w:rsid w:val="2743216B"/>
    <w:rsid w:val="275138B7"/>
    <w:rsid w:val="275D7909"/>
    <w:rsid w:val="27607F99"/>
    <w:rsid w:val="276316E1"/>
    <w:rsid w:val="27644345"/>
    <w:rsid w:val="277F0ACC"/>
    <w:rsid w:val="278220D4"/>
    <w:rsid w:val="27827A2C"/>
    <w:rsid w:val="27901D6C"/>
    <w:rsid w:val="27937070"/>
    <w:rsid w:val="27A74232"/>
    <w:rsid w:val="27C2106B"/>
    <w:rsid w:val="27CE7AC5"/>
    <w:rsid w:val="27D35027"/>
    <w:rsid w:val="27D54A4C"/>
    <w:rsid w:val="27E02036"/>
    <w:rsid w:val="27E1252C"/>
    <w:rsid w:val="27F32F9E"/>
    <w:rsid w:val="27F47BEA"/>
    <w:rsid w:val="27F526CE"/>
    <w:rsid w:val="27F91D49"/>
    <w:rsid w:val="27FF406E"/>
    <w:rsid w:val="28035D87"/>
    <w:rsid w:val="28065AFB"/>
    <w:rsid w:val="280A6836"/>
    <w:rsid w:val="28167048"/>
    <w:rsid w:val="281B59F6"/>
    <w:rsid w:val="281C69CE"/>
    <w:rsid w:val="28237D5C"/>
    <w:rsid w:val="284E54A8"/>
    <w:rsid w:val="28527787"/>
    <w:rsid w:val="28647887"/>
    <w:rsid w:val="286D7229"/>
    <w:rsid w:val="286F620C"/>
    <w:rsid w:val="288518C1"/>
    <w:rsid w:val="288E0F4E"/>
    <w:rsid w:val="288E455E"/>
    <w:rsid w:val="28924901"/>
    <w:rsid w:val="2895359B"/>
    <w:rsid w:val="2897500F"/>
    <w:rsid w:val="28991DCC"/>
    <w:rsid w:val="28A265E3"/>
    <w:rsid w:val="28A32C4B"/>
    <w:rsid w:val="28A95D87"/>
    <w:rsid w:val="28AB040E"/>
    <w:rsid w:val="28BE7A85"/>
    <w:rsid w:val="28C80903"/>
    <w:rsid w:val="28C87E31"/>
    <w:rsid w:val="28CA28CC"/>
    <w:rsid w:val="28DB0AFE"/>
    <w:rsid w:val="28DE3C83"/>
    <w:rsid w:val="28E4425E"/>
    <w:rsid w:val="28E55011"/>
    <w:rsid w:val="28FB4835"/>
    <w:rsid w:val="28FC05AD"/>
    <w:rsid w:val="28FE05DF"/>
    <w:rsid w:val="28FE4325"/>
    <w:rsid w:val="29003CB9"/>
    <w:rsid w:val="2906351B"/>
    <w:rsid w:val="29127DD1"/>
    <w:rsid w:val="291A3BE9"/>
    <w:rsid w:val="29316AB1"/>
    <w:rsid w:val="293867D9"/>
    <w:rsid w:val="29400951"/>
    <w:rsid w:val="294B4FFE"/>
    <w:rsid w:val="29755963"/>
    <w:rsid w:val="29766AC1"/>
    <w:rsid w:val="29907D15"/>
    <w:rsid w:val="29995C2B"/>
    <w:rsid w:val="299F2315"/>
    <w:rsid w:val="299F78B6"/>
    <w:rsid w:val="29A053DC"/>
    <w:rsid w:val="29A71B7B"/>
    <w:rsid w:val="29B35110"/>
    <w:rsid w:val="29B72A60"/>
    <w:rsid w:val="29B80978"/>
    <w:rsid w:val="29CE15E0"/>
    <w:rsid w:val="29D73087"/>
    <w:rsid w:val="29D86A9C"/>
    <w:rsid w:val="29E74DD0"/>
    <w:rsid w:val="29F02881"/>
    <w:rsid w:val="29F714A0"/>
    <w:rsid w:val="2A021BF3"/>
    <w:rsid w:val="2A052909"/>
    <w:rsid w:val="2A0E67EA"/>
    <w:rsid w:val="2A3321DE"/>
    <w:rsid w:val="2A36189D"/>
    <w:rsid w:val="2A375D41"/>
    <w:rsid w:val="2A37680C"/>
    <w:rsid w:val="2A381933"/>
    <w:rsid w:val="2A3D2C2B"/>
    <w:rsid w:val="2A57378F"/>
    <w:rsid w:val="2A5D55EF"/>
    <w:rsid w:val="2A613AB5"/>
    <w:rsid w:val="2A6759EA"/>
    <w:rsid w:val="2A73489F"/>
    <w:rsid w:val="2A73664D"/>
    <w:rsid w:val="2A81749E"/>
    <w:rsid w:val="2A8208D8"/>
    <w:rsid w:val="2A832BB7"/>
    <w:rsid w:val="2A841503"/>
    <w:rsid w:val="2A8A031C"/>
    <w:rsid w:val="2A8B0970"/>
    <w:rsid w:val="2A916718"/>
    <w:rsid w:val="2AA16750"/>
    <w:rsid w:val="2AAA6513"/>
    <w:rsid w:val="2AAD1B5F"/>
    <w:rsid w:val="2AAF593A"/>
    <w:rsid w:val="2AB00C3E"/>
    <w:rsid w:val="2AB2415C"/>
    <w:rsid w:val="2ABB5AE5"/>
    <w:rsid w:val="2ACA2D24"/>
    <w:rsid w:val="2AE05D91"/>
    <w:rsid w:val="2AE230B9"/>
    <w:rsid w:val="2AEB172C"/>
    <w:rsid w:val="2AF12101"/>
    <w:rsid w:val="2AF25BED"/>
    <w:rsid w:val="2AF973C0"/>
    <w:rsid w:val="2AFC10BC"/>
    <w:rsid w:val="2B002A1E"/>
    <w:rsid w:val="2B1B10B6"/>
    <w:rsid w:val="2B1E480B"/>
    <w:rsid w:val="2B1F5BAA"/>
    <w:rsid w:val="2B22542D"/>
    <w:rsid w:val="2B2B78CB"/>
    <w:rsid w:val="2B2C534C"/>
    <w:rsid w:val="2B384ADA"/>
    <w:rsid w:val="2B39200D"/>
    <w:rsid w:val="2B46212D"/>
    <w:rsid w:val="2B512E32"/>
    <w:rsid w:val="2B543F60"/>
    <w:rsid w:val="2B55735F"/>
    <w:rsid w:val="2B5E554F"/>
    <w:rsid w:val="2B6622A3"/>
    <w:rsid w:val="2B7733E2"/>
    <w:rsid w:val="2B7A006F"/>
    <w:rsid w:val="2B830B12"/>
    <w:rsid w:val="2B8A6344"/>
    <w:rsid w:val="2B8B304A"/>
    <w:rsid w:val="2B9539A4"/>
    <w:rsid w:val="2BA1664E"/>
    <w:rsid w:val="2BAF1907"/>
    <w:rsid w:val="2BB463CB"/>
    <w:rsid w:val="2BBB0EF1"/>
    <w:rsid w:val="2BCE6231"/>
    <w:rsid w:val="2BDE0D8C"/>
    <w:rsid w:val="2BE82B52"/>
    <w:rsid w:val="2BEC6390"/>
    <w:rsid w:val="2BEE0681"/>
    <w:rsid w:val="2BFC4E6B"/>
    <w:rsid w:val="2C020889"/>
    <w:rsid w:val="2C064811"/>
    <w:rsid w:val="2C223C0B"/>
    <w:rsid w:val="2C2422F5"/>
    <w:rsid w:val="2C3047F6"/>
    <w:rsid w:val="2C395116"/>
    <w:rsid w:val="2C3A1B18"/>
    <w:rsid w:val="2C4F3A01"/>
    <w:rsid w:val="2C621A85"/>
    <w:rsid w:val="2C634E58"/>
    <w:rsid w:val="2C7348CE"/>
    <w:rsid w:val="2C743589"/>
    <w:rsid w:val="2C7843EE"/>
    <w:rsid w:val="2C844B41"/>
    <w:rsid w:val="2C9121E4"/>
    <w:rsid w:val="2C9D4BC8"/>
    <w:rsid w:val="2C9D54F4"/>
    <w:rsid w:val="2C9E747E"/>
    <w:rsid w:val="2CA90A4C"/>
    <w:rsid w:val="2CB371D5"/>
    <w:rsid w:val="2CB53064"/>
    <w:rsid w:val="2CBA4A07"/>
    <w:rsid w:val="2CBD0053"/>
    <w:rsid w:val="2CBF188C"/>
    <w:rsid w:val="2CBF32DB"/>
    <w:rsid w:val="2CC55886"/>
    <w:rsid w:val="2CD26753"/>
    <w:rsid w:val="2CD52811"/>
    <w:rsid w:val="2CD74185"/>
    <w:rsid w:val="2CE73458"/>
    <w:rsid w:val="2CE86F98"/>
    <w:rsid w:val="2CE90146"/>
    <w:rsid w:val="2CEB0F3A"/>
    <w:rsid w:val="2CEC2829"/>
    <w:rsid w:val="2CED6D39"/>
    <w:rsid w:val="2CEE553D"/>
    <w:rsid w:val="2D151C3D"/>
    <w:rsid w:val="2D197BEF"/>
    <w:rsid w:val="2D1E4F96"/>
    <w:rsid w:val="2D2C7540"/>
    <w:rsid w:val="2D3677C6"/>
    <w:rsid w:val="2D417032"/>
    <w:rsid w:val="2D47690F"/>
    <w:rsid w:val="2D4D5F29"/>
    <w:rsid w:val="2D571726"/>
    <w:rsid w:val="2D654973"/>
    <w:rsid w:val="2D655DF8"/>
    <w:rsid w:val="2D687FBF"/>
    <w:rsid w:val="2D821DB9"/>
    <w:rsid w:val="2D9F2ADF"/>
    <w:rsid w:val="2DA21741"/>
    <w:rsid w:val="2DA42760"/>
    <w:rsid w:val="2DA90D03"/>
    <w:rsid w:val="2DAB7F9C"/>
    <w:rsid w:val="2DBF1A8E"/>
    <w:rsid w:val="2DC02D0B"/>
    <w:rsid w:val="2DC059AC"/>
    <w:rsid w:val="2DC36CF8"/>
    <w:rsid w:val="2DC70843"/>
    <w:rsid w:val="2DDB69E3"/>
    <w:rsid w:val="2DED0131"/>
    <w:rsid w:val="2DEE1027"/>
    <w:rsid w:val="2DF06932"/>
    <w:rsid w:val="2DF129A3"/>
    <w:rsid w:val="2DF4277E"/>
    <w:rsid w:val="2DF435A8"/>
    <w:rsid w:val="2E0E387B"/>
    <w:rsid w:val="2E1B52FE"/>
    <w:rsid w:val="2E1B5C55"/>
    <w:rsid w:val="2E1D6FFC"/>
    <w:rsid w:val="2E232138"/>
    <w:rsid w:val="2E331410"/>
    <w:rsid w:val="2E4A5917"/>
    <w:rsid w:val="2E594AC3"/>
    <w:rsid w:val="2E5D3BD9"/>
    <w:rsid w:val="2E5F7FC7"/>
    <w:rsid w:val="2E6609A2"/>
    <w:rsid w:val="2E7035CF"/>
    <w:rsid w:val="2E9279E9"/>
    <w:rsid w:val="2E9A77AF"/>
    <w:rsid w:val="2EA033DB"/>
    <w:rsid w:val="2EAA5806"/>
    <w:rsid w:val="2EBC1A81"/>
    <w:rsid w:val="2EBF70B1"/>
    <w:rsid w:val="2ED90DC8"/>
    <w:rsid w:val="2EDC6753"/>
    <w:rsid w:val="2EE06A45"/>
    <w:rsid w:val="2EE10029"/>
    <w:rsid w:val="2EE34B50"/>
    <w:rsid w:val="2EED4C20"/>
    <w:rsid w:val="2EF02962"/>
    <w:rsid w:val="2F03533D"/>
    <w:rsid w:val="2F0A3A24"/>
    <w:rsid w:val="2F117C5E"/>
    <w:rsid w:val="2F2240E6"/>
    <w:rsid w:val="2F3A09F2"/>
    <w:rsid w:val="2F416D1A"/>
    <w:rsid w:val="2F4677CB"/>
    <w:rsid w:val="2F6210AA"/>
    <w:rsid w:val="2F682952"/>
    <w:rsid w:val="2F68739C"/>
    <w:rsid w:val="2F6A001E"/>
    <w:rsid w:val="2F6C53F3"/>
    <w:rsid w:val="2F7075FF"/>
    <w:rsid w:val="2F795A3F"/>
    <w:rsid w:val="2F8F217B"/>
    <w:rsid w:val="2F977F57"/>
    <w:rsid w:val="2F9E5F1A"/>
    <w:rsid w:val="2FA06136"/>
    <w:rsid w:val="2FA561BF"/>
    <w:rsid w:val="2FB0357D"/>
    <w:rsid w:val="2FB64D4D"/>
    <w:rsid w:val="2FB96FA7"/>
    <w:rsid w:val="2FC54009"/>
    <w:rsid w:val="2FE34275"/>
    <w:rsid w:val="2FE37DD1"/>
    <w:rsid w:val="2FE81A75"/>
    <w:rsid w:val="2FEC2FF8"/>
    <w:rsid w:val="2FF12F3C"/>
    <w:rsid w:val="2FF7387C"/>
    <w:rsid w:val="3007711C"/>
    <w:rsid w:val="301338E7"/>
    <w:rsid w:val="301F3398"/>
    <w:rsid w:val="30220CB4"/>
    <w:rsid w:val="30360E95"/>
    <w:rsid w:val="3038636F"/>
    <w:rsid w:val="303F594F"/>
    <w:rsid w:val="304515FA"/>
    <w:rsid w:val="30457B31"/>
    <w:rsid w:val="30525EB5"/>
    <w:rsid w:val="30532CB6"/>
    <w:rsid w:val="30586971"/>
    <w:rsid w:val="305F7D9F"/>
    <w:rsid w:val="30730F80"/>
    <w:rsid w:val="307937BF"/>
    <w:rsid w:val="307D0225"/>
    <w:rsid w:val="308767CF"/>
    <w:rsid w:val="30923A82"/>
    <w:rsid w:val="3095341B"/>
    <w:rsid w:val="309F69C4"/>
    <w:rsid w:val="30A42E4B"/>
    <w:rsid w:val="30A6314F"/>
    <w:rsid w:val="30A9101A"/>
    <w:rsid w:val="30B05F05"/>
    <w:rsid w:val="30BF787F"/>
    <w:rsid w:val="30D878AD"/>
    <w:rsid w:val="30E6139D"/>
    <w:rsid w:val="30E738F1"/>
    <w:rsid w:val="30E97669"/>
    <w:rsid w:val="30EB0406"/>
    <w:rsid w:val="30EE76E6"/>
    <w:rsid w:val="30F47D10"/>
    <w:rsid w:val="30FD7C90"/>
    <w:rsid w:val="30FE28BC"/>
    <w:rsid w:val="31014644"/>
    <w:rsid w:val="311A7D55"/>
    <w:rsid w:val="311D7312"/>
    <w:rsid w:val="311F308B"/>
    <w:rsid w:val="311F3C5A"/>
    <w:rsid w:val="31251D34"/>
    <w:rsid w:val="312D57A8"/>
    <w:rsid w:val="313309D6"/>
    <w:rsid w:val="313B4368"/>
    <w:rsid w:val="313E02B7"/>
    <w:rsid w:val="3146039C"/>
    <w:rsid w:val="314F1BC2"/>
    <w:rsid w:val="31520066"/>
    <w:rsid w:val="31570A76"/>
    <w:rsid w:val="315C608D"/>
    <w:rsid w:val="31782D32"/>
    <w:rsid w:val="317A349B"/>
    <w:rsid w:val="317B1459"/>
    <w:rsid w:val="31816ABB"/>
    <w:rsid w:val="318178A1"/>
    <w:rsid w:val="319121DA"/>
    <w:rsid w:val="319553BB"/>
    <w:rsid w:val="319B0EE6"/>
    <w:rsid w:val="319C0B7F"/>
    <w:rsid w:val="31AA469D"/>
    <w:rsid w:val="31AC0DC2"/>
    <w:rsid w:val="31AE7CEF"/>
    <w:rsid w:val="31B318DD"/>
    <w:rsid w:val="31BF549E"/>
    <w:rsid w:val="31D34C53"/>
    <w:rsid w:val="31D41C9F"/>
    <w:rsid w:val="31DE6AA2"/>
    <w:rsid w:val="31E64908"/>
    <w:rsid w:val="31EB0061"/>
    <w:rsid w:val="32076304"/>
    <w:rsid w:val="320B677E"/>
    <w:rsid w:val="321670E9"/>
    <w:rsid w:val="32193C98"/>
    <w:rsid w:val="321A3082"/>
    <w:rsid w:val="321E3269"/>
    <w:rsid w:val="321F670B"/>
    <w:rsid w:val="322900D3"/>
    <w:rsid w:val="322C0B1F"/>
    <w:rsid w:val="322F3728"/>
    <w:rsid w:val="3234500E"/>
    <w:rsid w:val="323E4188"/>
    <w:rsid w:val="32472899"/>
    <w:rsid w:val="324E4988"/>
    <w:rsid w:val="32581095"/>
    <w:rsid w:val="3261752E"/>
    <w:rsid w:val="326A2A2B"/>
    <w:rsid w:val="32740893"/>
    <w:rsid w:val="327615E4"/>
    <w:rsid w:val="32771BDB"/>
    <w:rsid w:val="32A15A36"/>
    <w:rsid w:val="32A72BDB"/>
    <w:rsid w:val="32B22ACE"/>
    <w:rsid w:val="32B32D96"/>
    <w:rsid w:val="32B74BFF"/>
    <w:rsid w:val="32C1058F"/>
    <w:rsid w:val="32D04060"/>
    <w:rsid w:val="32D06D32"/>
    <w:rsid w:val="32DE18A3"/>
    <w:rsid w:val="32E054EB"/>
    <w:rsid w:val="32E14A9C"/>
    <w:rsid w:val="32E1585A"/>
    <w:rsid w:val="32F02F31"/>
    <w:rsid w:val="32F5656F"/>
    <w:rsid w:val="32FA148A"/>
    <w:rsid w:val="32FB3683"/>
    <w:rsid w:val="32FE5B04"/>
    <w:rsid w:val="32FE65B4"/>
    <w:rsid w:val="33003C65"/>
    <w:rsid w:val="3304664D"/>
    <w:rsid w:val="3307027A"/>
    <w:rsid w:val="330B1B18"/>
    <w:rsid w:val="3316226B"/>
    <w:rsid w:val="332633F4"/>
    <w:rsid w:val="33271290"/>
    <w:rsid w:val="33294694"/>
    <w:rsid w:val="332B5D17"/>
    <w:rsid w:val="3333106F"/>
    <w:rsid w:val="333B52CB"/>
    <w:rsid w:val="3343653D"/>
    <w:rsid w:val="33440EEB"/>
    <w:rsid w:val="33481842"/>
    <w:rsid w:val="33483300"/>
    <w:rsid w:val="334A341F"/>
    <w:rsid w:val="3353376D"/>
    <w:rsid w:val="33583499"/>
    <w:rsid w:val="335A2AA0"/>
    <w:rsid w:val="335C4122"/>
    <w:rsid w:val="33631954"/>
    <w:rsid w:val="3365300A"/>
    <w:rsid w:val="337432F8"/>
    <w:rsid w:val="33743D43"/>
    <w:rsid w:val="3374592F"/>
    <w:rsid w:val="33750FD2"/>
    <w:rsid w:val="337D58FA"/>
    <w:rsid w:val="338173A6"/>
    <w:rsid w:val="338C1BEF"/>
    <w:rsid w:val="338C3D33"/>
    <w:rsid w:val="33963E69"/>
    <w:rsid w:val="33A30B09"/>
    <w:rsid w:val="33B45EE8"/>
    <w:rsid w:val="33BB353F"/>
    <w:rsid w:val="33BE6B8B"/>
    <w:rsid w:val="33C03ABC"/>
    <w:rsid w:val="33C52173"/>
    <w:rsid w:val="33DB598F"/>
    <w:rsid w:val="33FB393B"/>
    <w:rsid w:val="340623D2"/>
    <w:rsid w:val="340B4349"/>
    <w:rsid w:val="3414102D"/>
    <w:rsid w:val="3415411D"/>
    <w:rsid w:val="34160775"/>
    <w:rsid w:val="341810F2"/>
    <w:rsid w:val="341923B9"/>
    <w:rsid w:val="3420319D"/>
    <w:rsid w:val="3421711A"/>
    <w:rsid w:val="34443AB5"/>
    <w:rsid w:val="344E43B3"/>
    <w:rsid w:val="344F05A5"/>
    <w:rsid w:val="3450125E"/>
    <w:rsid w:val="345B0089"/>
    <w:rsid w:val="345C5511"/>
    <w:rsid w:val="345F06BD"/>
    <w:rsid w:val="346B6801"/>
    <w:rsid w:val="347348F8"/>
    <w:rsid w:val="347938E2"/>
    <w:rsid w:val="348C4EDB"/>
    <w:rsid w:val="34950742"/>
    <w:rsid w:val="34A452DB"/>
    <w:rsid w:val="34AC2E87"/>
    <w:rsid w:val="34B257CA"/>
    <w:rsid w:val="34BC594F"/>
    <w:rsid w:val="34CC6681"/>
    <w:rsid w:val="34DD1F63"/>
    <w:rsid w:val="34E102A8"/>
    <w:rsid w:val="34E15227"/>
    <w:rsid w:val="34E824C9"/>
    <w:rsid w:val="34EA39B0"/>
    <w:rsid w:val="34F67693"/>
    <w:rsid w:val="3502292A"/>
    <w:rsid w:val="350440BF"/>
    <w:rsid w:val="35044A71"/>
    <w:rsid w:val="353676CF"/>
    <w:rsid w:val="3542559A"/>
    <w:rsid w:val="3554278E"/>
    <w:rsid w:val="355C48AD"/>
    <w:rsid w:val="355E4EEA"/>
    <w:rsid w:val="35642042"/>
    <w:rsid w:val="357763DC"/>
    <w:rsid w:val="35806A56"/>
    <w:rsid w:val="358B4C3D"/>
    <w:rsid w:val="359A7C0A"/>
    <w:rsid w:val="359C0DD7"/>
    <w:rsid w:val="35BF0085"/>
    <w:rsid w:val="35BF6140"/>
    <w:rsid w:val="35C42453"/>
    <w:rsid w:val="35CF507F"/>
    <w:rsid w:val="35E36D7D"/>
    <w:rsid w:val="35E5121D"/>
    <w:rsid w:val="35EC51F2"/>
    <w:rsid w:val="35F67FBC"/>
    <w:rsid w:val="35FF348B"/>
    <w:rsid w:val="36032F7B"/>
    <w:rsid w:val="36054D02"/>
    <w:rsid w:val="36055576"/>
    <w:rsid w:val="36090648"/>
    <w:rsid w:val="360C7035"/>
    <w:rsid w:val="36137E45"/>
    <w:rsid w:val="361422A7"/>
    <w:rsid w:val="36147CAD"/>
    <w:rsid w:val="36294DCE"/>
    <w:rsid w:val="362A6B20"/>
    <w:rsid w:val="36301896"/>
    <w:rsid w:val="3635559B"/>
    <w:rsid w:val="36455341"/>
    <w:rsid w:val="364A35EB"/>
    <w:rsid w:val="36504D23"/>
    <w:rsid w:val="36505117"/>
    <w:rsid w:val="36525CB0"/>
    <w:rsid w:val="36575075"/>
    <w:rsid w:val="3667175C"/>
    <w:rsid w:val="366D0C80"/>
    <w:rsid w:val="368D6CE8"/>
    <w:rsid w:val="368E7A59"/>
    <w:rsid w:val="36AB70F9"/>
    <w:rsid w:val="36C008DB"/>
    <w:rsid w:val="36CE3589"/>
    <w:rsid w:val="36D13079"/>
    <w:rsid w:val="37040FB9"/>
    <w:rsid w:val="373529DD"/>
    <w:rsid w:val="37357164"/>
    <w:rsid w:val="37495A03"/>
    <w:rsid w:val="376944E8"/>
    <w:rsid w:val="377604C2"/>
    <w:rsid w:val="377C1237"/>
    <w:rsid w:val="37955E55"/>
    <w:rsid w:val="37A74BB3"/>
    <w:rsid w:val="37B3277F"/>
    <w:rsid w:val="37C31160"/>
    <w:rsid w:val="37C857EF"/>
    <w:rsid w:val="37CB1876"/>
    <w:rsid w:val="37D16BE0"/>
    <w:rsid w:val="37D666CA"/>
    <w:rsid w:val="37DC2321"/>
    <w:rsid w:val="37DD7127"/>
    <w:rsid w:val="37EB3CC7"/>
    <w:rsid w:val="37ED4490"/>
    <w:rsid w:val="37ED5C91"/>
    <w:rsid w:val="37F80B77"/>
    <w:rsid w:val="37FC4126"/>
    <w:rsid w:val="38156F95"/>
    <w:rsid w:val="381E22EE"/>
    <w:rsid w:val="38202D1E"/>
    <w:rsid w:val="382928D5"/>
    <w:rsid w:val="382B0567"/>
    <w:rsid w:val="3834020D"/>
    <w:rsid w:val="38354F3E"/>
    <w:rsid w:val="383A3B2F"/>
    <w:rsid w:val="384C6E5B"/>
    <w:rsid w:val="384F171A"/>
    <w:rsid w:val="38537267"/>
    <w:rsid w:val="385B52F0"/>
    <w:rsid w:val="385C0D8F"/>
    <w:rsid w:val="386F2593"/>
    <w:rsid w:val="38985483"/>
    <w:rsid w:val="38A523D1"/>
    <w:rsid w:val="38B927E7"/>
    <w:rsid w:val="38D26C34"/>
    <w:rsid w:val="38D36593"/>
    <w:rsid w:val="38E402E7"/>
    <w:rsid w:val="38E87C31"/>
    <w:rsid w:val="38EB7BBE"/>
    <w:rsid w:val="38F6661E"/>
    <w:rsid w:val="38FF3451"/>
    <w:rsid w:val="39086C37"/>
    <w:rsid w:val="391A44E1"/>
    <w:rsid w:val="39203E44"/>
    <w:rsid w:val="39290F17"/>
    <w:rsid w:val="392C27E9"/>
    <w:rsid w:val="392C4597"/>
    <w:rsid w:val="3936631B"/>
    <w:rsid w:val="393B0C7E"/>
    <w:rsid w:val="394515AA"/>
    <w:rsid w:val="394F0EAC"/>
    <w:rsid w:val="39501E51"/>
    <w:rsid w:val="395A0B06"/>
    <w:rsid w:val="395F1B47"/>
    <w:rsid w:val="39673821"/>
    <w:rsid w:val="39677CC5"/>
    <w:rsid w:val="39723308"/>
    <w:rsid w:val="3987390D"/>
    <w:rsid w:val="39924D42"/>
    <w:rsid w:val="39972358"/>
    <w:rsid w:val="399F16B8"/>
    <w:rsid w:val="39B837F5"/>
    <w:rsid w:val="39B91053"/>
    <w:rsid w:val="39C15A9F"/>
    <w:rsid w:val="39CE35D3"/>
    <w:rsid w:val="39CF3A70"/>
    <w:rsid w:val="39D00CAB"/>
    <w:rsid w:val="39D66EF6"/>
    <w:rsid w:val="39DC5FBD"/>
    <w:rsid w:val="39E3514B"/>
    <w:rsid w:val="39E964EA"/>
    <w:rsid w:val="39EA06EE"/>
    <w:rsid w:val="39F57E9E"/>
    <w:rsid w:val="39FC1353"/>
    <w:rsid w:val="39FE2985"/>
    <w:rsid w:val="3A0B7AD8"/>
    <w:rsid w:val="3A2257D5"/>
    <w:rsid w:val="3A240DCE"/>
    <w:rsid w:val="3A2F79A6"/>
    <w:rsid w:val="3A316EDF"/>
    <w:rsid w:val="3A336643"/>
    <w:rsid w:val="3A4B7C08"/>
    <w:rsid w:val="3A52627F"/>
    <w:rsid w:val="3A52705B"/>
    <w:rsid w:val="3A552C7A"/>
    <w:rsid w:val="3A570E14"/>
    <w:rsid w:val="3A5F0EF9"/>
    <w:rsid w:val="3A617931"/>
    <w:rsid w:val="3A630A1B"/>
    <w:rsid w:val="3A6E58B7"/>
    <w:rsid w:val="3A7404FF"/>
    <w:rsid w:val="3A742699"/>
    <w:rsid w:val="3A7F211D"/>
    <w:rsid w:val="3A802DEC"/>
    <w:rsid w:val="3A8B53B9"/>
    <w:rsid w:val="3A9210D5"/>
    <w:rsid w:val="3A941E24"/>
    <w:rsid w:val="3A9824C5"/>
    <w:rsid w:val="3A9C6198"/>
    <w:rsid w:val="3AA06FEA"/>
    <w:rsid w:val="3AAF121F"/>
    <w:rsid w:val="3AB9753A"/>
    <w:rsid w:val="3ABE5217"/>
    <w:rsid w:val="3AC6749A"/>
    <w:rsid w:val="3AC84793"/>
    <w:rsid w:val="3ACC1A5F"/>
    <w:rsid w:val="3ADF4B97"/>
    <w:rsid w:val="3AEC66D3"/>
    <w:rsid w:val="3AF4694A"/>
    <w:rsid w:val="3AFB6916"/>
    <w:rsid w:val="3B017EE0"/>
    <w:rsid w:val="3B0357CB"/>
    <w:rsid w:val="3B1D153E"/>
    <w:rsid w:val="3B2947C4"/>
    <w:rsid w:val="3B2C1FBD"/>
    <w:rsid w:val="3B2C7CFD"/>
    <w:rsid w:val="3B2E0628"/>
    <w:rsid w:val="3B2E5D86"/>
    <w:rsid w:val="3B2F66A4"/>
    <w:rsid w:val="3B3023C0"/>
    <w:rsid w:val="3B353198"/>
    <w:rsid w:val="3B35354C"/>
    <w:rsid w:val="3B380EFD"/>
    <w:rsid w:val="3B3A3E3E"/>
    <w:rsid w:val="3B4007CD"/>
    <w:rsid w:val="3B410A5D"/>
    <w:rsid w:val="3B4756B8"/>
    <w:rsid w:val="3B513103"/>
    <w:rsid w:val="3B53579C"/>
    <w:rsid w:val="3B561D9F"/>
    <w:rsid w:val="3B6419CC"/>
    <w:rsid w:val="3B7A51D8"/>
    <w:rsid w:val="3B8561E0"/>
    <w:rsid w:val="3B897BDA"/>
    <w:rsid w:val="3B8D36FC"/>
    <w:rsid w:val="3B953F18"/>
    <w:rsid w:val="3B965801"/>
    <w:rsid w:val="3BAD5AE9"/>
    <w:rsid w:val="3BB83EF6"/>
    <w:rsid w:val="3BB97B51"/>
    <w:rsid w:val="3BBD5F1A"/>
    <w:rsid w:val="3BC209E7"/>
    <w:rsid w:val="3BC9431F"/>
    <w:rsid w:val="3BD44E3C"/>
    <w:rsid w:val="3BDA7121"/>
    <w:rsid w:val="3BE32EA3"/>
    <w:rsid w:val="3BE3457B"/>
    <w:rsid w:val="3BE61F50"/>
    <w:rsid w:val="3BE75E67"/>
    <w:rsid w:val="3BEE0061"/>
    <w:rsid w:val="3BF148CA"/>
    <w:rsid w:val="3C047A4D"/>
    <w:rsid w:val="3C0812EB"/>
    <w:rsid w:val="3C11422C"/>
    <w:rsid w:val="3C1C6C37"/>
    <w:rsid w:val="3C242530"/>
    <w:rsid w:val="3C277297"/>
    <w:rsid w:val="3C3B12DC"/>
    <w:rsid w:val="3C3B20CC"/>
    <w:rsid w:val="3C4426CC"/>
    <w:rsid w:val="3C450511"/>
    <w:rsid w:val="3C5A141B"/>
    <w:rsid w:val="3C654DB3"/>
    <w:rsid w:val="3C845063"/>
    <w:rsid w:val="3C9B371A"/>
    <w:rsid w:val="3CAA450F"/>
    <w:rsid w:val="3CB011D4"/>
    <w:rsid w:val="3CB71A1E"/>
    <w:rsid w:val="3CBA53A4"/>
    <w:rsid w:val="3CBE25E8"/>
    <w:rsid w:val="3CDB4FEE"/>
    <w:rsid w:val="3CE47104"/>
    <w:rsid w:val="3CF134EC"/>
    <w:rsid w:val="3CF4186F"/>
    <w:rsid w:val="3D0A2653"/>
    <w:rsid w:val="3D0E0B83"/>
    <w:rsid w:val="3D1B66CA"/>
    <w:rsid w:val="3D1B6DFC"/>
    <w:rsid w:val="3D1C28FE"/>
    <w:rsid w:val="3D256E7C"/>
    <w:rsid w:val="3D2C2DB7"/>
    <w:rsid w:val="3D2F4655"/>
    <w:rsid w:val="3D3D1424"/>
    <w:rsid w:val="3D3F19E9"/>
    <w:rsid w:val="3D4039DC"/>
    <w:rsid w:val="3D422171"/>
    <w:rsid w:val="3D4A45CC"/>
    <w:rsid w:val="3D4E71D1"/>
    <w:rsid w:val="3D5A2442"/>
    <w:rsid w:val="3D664EAE"/>
    <w:rsid w:val="3D6A1B31"/>
    <w:rsid w:val="3D755146"/>
    <w:rsid w:val="3D7E119D"/>
    <w:rsid w:val="3D803103"/>
    <w:rsid w:val="3D81272F"/>
    <w:rsid w:val="3D825B1E"/>
    <w:rsid w:val="3D835782"/>
    <w:rsid w:val="3D857AF4"/>
    <w:rsid w:val="3D8C5DA8"/>
    <w:rsid w:val="3D8C7CFA"/>
    <w:rsid w:val="3DAF3533"/>
    <w:rsid w:val="3DB334D8"/>
    <w:rsid w:val="3DBD0C12"/>
    <w:rsid w:val="3DBD25A7"/>
    <w:rsid w:val="3DC23D2F"/>
    <w:rsid w:val="3DD319DB"/>
    <w:rsid w:val="3DD4014F"/>
    <w:rsid w:val="3DE01DB0"/>
    <w:rsid w:val="3DEB039D"/>
    <w:rsid w:val="3DF209A1"/>
    <w:rsid w:val="3DF44DC2"/>
    <w:rsid w:val="3DF53EC5"/>
    <w:rsid w:val="3DF5589F"/>
    <w:rsid w:val="3DF930F4"/>
    <w:rsid w:val="3DFA3744"/>
    <w:rsid w:val="3E015FF2"/>
    <w:rsid w:val="3E043394"/>
    <w:rsid w:val="3E084D64"/>
    <w:rsid w:val="3E104487"/>
    <w:rsid w:val="3E280ACB"/>
    <w:rsid w:val="3E295C61"/>
    <w:rsid w:val="3E2D5DEA"/>
    <w:rsid w:val="3E31172C"/>
    <w:rsid w:val="3E361234"/>
    <w:rsid w:val="3E3C34CE"/>
    <w:rsid w:val="3E546A69"/>
    <w:rsid w:val="3E602DD4"/>
    <w:rsid w:val="3E694CB3"/>
    <w:rsid w:val="3E6B3070"/>
    <w:rsid w:val="3E6B623F"/>
    <w:rsid w:val="3E714B40"/>
    <w:rsid w:val="3E755EFD"/>
    <w:rsid w:val="3E80523B"/>
    <w:rsid w:val="3E8243FA"/>
    <w:rsid w:val="3E876A24"/>
    <w:rsid w:val="3E88226F"/>
    <w:rsid w:val="3E8D5AD7"/>
    <w:rsid w:val="3EA56EE3"/>
    <w:rsid w:val="3EAF44FF"/>
    <w:rsid w:val="3EB76FF8"/>
    <w:rsid w:val="3EC20ACC"/>
    <w:rsid w:val="3ED03C16"/>
    <w:rsid w:val="3ED17B44"/>
    <w:rsid w:val="3ED467D9"/>
    <w:rsid w:val="3ED74A58"/>
    <w:rsid w:val="3ED81B03"/>
    <w:rsid w:val="3EDE6ECA"/>
    <w:rsid w:val="3EE95F28"/>
    <w:rsid w:val="3EF43DA9"/>
    <w:rsid w:val="3EFE49D1"/>
    <w:rsid w:val="3EFF472F"/>
    <w:rsid w:val="3F001C90"/>
    <w:rsid w:val="3F010273"/>
    <w:rsid w:val="3F0364E4"/>
    <w:rsid w:val="3F083CC0"/>
    <w:rsid w:val="3F0D20EB"/>
    <w:rsid w:val="3F0F2FFE"/>
    <w:rsid w:val="3F104578"/>
    <w:rsid w:val="3F1C4259"/>
    <w:rsid w:val="3F1F5DA1"/>
    <w:rsid w:val="3F285800"/>
    <w:rsid w:val="3F2C73C5"/>
    <w:rsid w:val="3F317BBD"/>
    <w:rsid w:val="3F3B19D7"/>
    <w:rsid w:val="3F3B7BA8"/>
    <w:rsid w:val="3F50134B"/>
    <w:rsid w:val="3F502AF3"/>
    <w:rsid w:val="3F5605BF"/>
    <w:rsid w:val="3F5E664A"/>
    <w:rsid w:val="3F5F0C6C"/>
    <w:rsid w:val="3F6525B0"/>
    <w:rsid w:val="3F652CD2"/>
    <w:rsid w:val="3F665B2F"/>
    <w:rsid w:val="3F746C97"/>
    <w:rsid w:val="3F771AE6"/>
    <w:rsid w:val="3F7A2219"/>
    <w:rsid w:val="3F7B396F"/>
    <w:rsid w:val="3F854705"/>
    <w:rsid w:val="3F8642B8"/>
    <w:rsid w:val="3FA07A8C"/>
    <w:rsid w:val="3FA957F7"/>
    <w:rsid w:val="3FC217B1"/>
    <w:rsid w:val="3FD41B82"/>
    <w:rsid w:val="3FD86E37"/>
    <w:rsid w:val="3FDD4514"/>
    <w:rsid w:val="3FDF08DC"/>
    <w:rsid w:val="3FDF2363"/>
    <w:rsid w:val="3FE1257F"/>
    <w:rsid w:val="3FEC058D"/>
    <w:rsid w:val="3FFA719D"/>
    <w:rsid w:val="3FFE09C0"/>
    <w:rsid w:val="400511F4"/>
    <w:rsid w:val="40162009"/>
    <w:rsid w:val="40170381"/>
    <w:rsid w:val="40174B9A"/>
    <w:rsid w:val="401A19BA"/>
    <w:rsid w:val="40271F5C"/>
    <w:rsid w:val="4028049C"/>
    <w:rsid w:val="40341A9D"/>
    <w:rsid w:val="404A2495"/>
    <w:rsid w:val="404B022E"/>
    <w:rsid w:val="405C3EE7"/>
    <w:rsid w:val="406B6EB3"/>
    <w:rsid w:val="406D3E12"/>
    <w:rsid w:val="406E1DDA"/>
    <w:rsid w:val="40895B4D"/>
    <w:rsid w:val="40921D36"/>
    <w:rsid w:val="4093591D"/>
    <w:rsid w:val="40A35A86"/>
    <w:rsid w:val="40A37F79"/>
    <w:rsid w:val="40AD2461"/>
    <w:rsid w:val="40B47154"/>
    <w:rsid w:val="40B5100A"/>
    <w:rsid w:val="40BC26A4"/>
    <w:rsid w:val="40C43C17"/>
    <w:rsid w:val="40CC362E"/>
    <w:rsid w:val="40E14CE8"/>
    <w:rsid w:val="40E26D19"/>
    <w:rsid w:val="40EB4D37"/>
    <w:rsid w:val="40FB06D3"/>
    <w:rsid w:val="40FE4A6B"/>
    <w:rsid w:val="41111D82"/>
    <w:rsid w:val="41210759"/>
    <w:rsid w:val="412C2626"/>
    <w:rsid w:val="412C5A81"/>
    <w:rsid w:val="41330DD6"/>
    <w:rsid w:val="413524B1"/>
    <w:rsid w:val="41387635"/>
    <w:rsid w:val="413F5897"/>
    <w:rsid w:val="414E5AA4"/>
    <w:rsid w:val="414F33CA"/>
    <w:rsid w:val="41566655"/>
    <w:rsid w:val="41594832"/>
    <w:rsid w:val="416136A3"/>
    <w:rsid w:val="41652DCD"/>
    <w:rsid w:val="41696778"/>
    <w:rsid w:val="416C40CA"/>
    <w:rsid w:val="41742F7F"/>
    <w:rsid w:val="417E175E"/>
    <w:rsid w:val="417E3192"/>
    <w:rsid w:val="41AD48D6"/>
    <w:rsid w:val="41B22235"/>
    <w:rsid w:val="41B617E9"/>
    <w:rsid w:val="41B66905"/>
    <w:rsid w:val="41B96BE3"/>
    <w:rsid w:val="41C51A2C"/>
    <w:rsid w:val="41C538B4"/>
    <w:rsid w:val="41C70B5F"/>
    <w:rsid w:val="41ED6AE4"/>
    <w:rsid w:val="41F55F03"/>
    <w:rsid w:val="41F97371"/>
    <w:rsid w:val="42062CFB"/>
    <w:rsid w:val="42205F04"/>
    <w:rsid w:val="4224568F"/>
    <w:rsid w:val="42277FF1"/>
    <w:rsid w:val="422E5823"/>
    <w:rsid w:val="423F1A32"/>
    <w:rsid w:val="424526A5"/>
    <w:rsid w:val="42477EE2"/>
    <w:rsid w:val="4249733F"/>
    <w:rsid w:val="424A47ED"/>
    <w:rsid w:val="42530879"/>
    <w:rsid w:val="42541B6E"/>
    <w:rsid w:val="425719F3"/>
    <w:rsid w:val="42604A5B"/>
    <w:rsid w:val="42663F43"/>
    <w:rsid w:val="4269060A"/>
    <w:rsid w:val="426B25D4"/>
    <w:rsid w:val="427174BE"/>
    <w:rsid w:val="42744963"/>
    <w:rsid w:val="42784CF1"/>
    <w:rsid w:val="427C4401"/>
    <w:rsid w:val="428B0580"/>
    <w:rsid w:val="428B1739"/>
    <w:rsid w:val="428D045B"/>
    <w:rsid w:val="4296467D"/>
    <w:rsid w:val="429701BD"/>
    <w:rsid w:val="429834EA"/>
    <w:rsid w:val="429C62B4"/>
    <w:rsid w:val="42AB5E9B"/>
    <w:rsid w:val="42AC41EC"/>
    <w:rsid w:val="42B51AA1"/>
    <w:rsid w:val="42B75819"/>
    <w:rsid w:val="42CB4E20"/>
    <w:rsid w:val="42D049A6"/>
    <w:rsid w:val="42D17F20"/>
    <w:rsid w:val="42D83272"/>
    <w:rsid w:val="42DE4B54"/>
    <w:rsid w:val="42F73E67"/>
    <w:rsid w:val="430A3B9B"/>
    <w:rsid w:val="430F0471"/>
    <w:rsid w:val="432637C0"/>
    <w:rsid w:val="432644BC"/>
    <w:rsid w:val="432D1C68"/>
    <w:rsid w:val="4335673E"/>
    <w:rsid w:val="433C41A2"/>
    <w:rsid w:val="433D756E"/>
    <w:rsid w:val="43445360"/>
    <w:rsid w:val="43465A4C"/>
    <w:rsid w:val="434A713B"/>
    <w:rsid w:val="434B5C0A"/>
    <w:rsid w:val="434B5F61"/>
    <w:rsid w:val="43550C9F"/>
    <w:rsid w:val="4356105B"/>
    <w:rsid w:val="43571574"/>
    <w:rsid w:val="43601DF4"/>
    <w:rsid w:val="43610702"/>
    <w:rsid w:val="4379487C"/>
    <w:rsid w:val="43827BD5"/>
    <w:rsid w:val="43872F7D"/>
    <w:rsid w:val="43932053"/>
    <w:rsid w:val="43955809"/>
    <w:rsid w:val="4396542E"/>
    <w:rsid w:val="439B47F3"/>
    <w:rsid w:val="43A01107"/>
    <w:rsid w:val="43A719EA"/>
    <w:rsid w:val="43B21382"/>
    <w:rsid w:val="43B35FE0"/>
    <w:rsid w:val="43BA2B9E"/>
    <w:rsid w:val="43BD7078"/>
    <w:rsid w:val="43C0139C"/>
    <w:rsid w:val="43C24475"/>
    <w:rsid w:val="43CF26EE"/>
    <w:rsid w:val="43D84BA0"/>
    <w:rsid w:val="44000AFA"/>
    <w:rsid w:val="44006D4C"/>
    <w:rsid w:val="440C749E"/>
    <w:rsid w:val="44124DD3"/>
    <w:rsid w:val="4423468F"/>
    <w:rsid w:val="44317B20"/>
    <w:rsid w:val="44330ECF"/>
    <w:rsid w:val="443B3E08"/>
    <w:rsid w:val="443E022D"/>
    <w:rsid w:val="444848AF"/>
    <w:rsid w:val="445045EE"/>
    <w:rsid w:val="445175A7"/>
    <w:rsid w:val="445B4CE5"/>
    <w:rsid w:val="445F3A3D"/>
    <w:rsid w:val="44611C74"/>
    <w:rsid w:val="44692B43"/>
    <w:rsid w:val="446961BB"/>
    <w:rsid w:val="446D66E7"/>
    <w:rsid w:val="447C45B3"/>
    <w:rsid w:val="447D46C9"/>
    <w:rsid w:val="44870CBE"/>
    <w:rsid w:val="4488653A"/>
    <w:rsid w:val="44945701"/>
    <w:rsid w:val="449F5DD3"/>
    <w:rsid w:val="44A21178"/>
    <w:rsid w:val="44BC7116"/>
    <w:rsid w:val="44C95A60"/>
    <w:rsid w:val="44E01544"/>
    <w:rsid w:val="450308A1"/>
    <w:rsid w:val="45060392"/>
    <w:rsid w:val="45101210"/>
    <w:rsid w:val="4513564B"/>
    <w:rsid w:val="45144CF6"/>
    <w:rsid w:val="452102EF"/>
    <w:rsid w:val="4526151E"/>
    <w:rsid w:val="452627E2"/>
    <w:rsid w:val="45321E09"/>
    <w:rsid w:val="45413E35"/>
    <w:rsid w:val="45470D73"/>
    <w:rsid w:val="454E4999"/>
    <w:rsid w:val="4551125F"/>
    <w:rsid w:val="45524604"/>
    <w:rsid w:val="45725A27"/>
    <w:rsid w:val="45736708"/>
    <w:rsid w:val="45760588"/>
    <w:rsid w:val="457A48DC"/>
    <w:rsid w:val="457A4C39"/>
    <w:rsid w:val="457B23D4"/>
    <w:rsid w:val="457B66C5"/>
    <w:rsid w:val="45896E61"/>
    <w:rsid w:val="458A555F"/>
    <w:rsid w:val="458C4D3B"/>
    <w:rsid w:val="45921DBB"/>
    <w:rsid w:val="4596420E"/>
    <w:rsid w:val="45987372"/>
    <w:rsid w:val="45A241D3"/>
    <w:rsid w:val="45AA3EE1"/>
    <w:rsid w:val="45B64A8E"/>
    <w:rsid w:val="45B70527"/>
    <w:rsid w:val="45B7168C"/>
    <w:rsid w:val="45BE0C6C"/>
    <w:rsid w:val="45C0630B"/>
    <w:rsid w:val="45CE08C1"/>
    <w:rsid w:val="45D1274E"/>
    <w:rsid w:val="45D3789D"/>
    <w:rsid w:val="45E53101"/>
    <w:rsid w:val="45F20916"/>
    <w:rsid w:val="45F269CE"/>
    <w:rsid w:val="460A3EB2"/>
    <w:rsid w:val="46214A5A"/>
    <w:rsid w:val="462815E1"/>
    <w:rsid w:val="4629258A"/>
    <w:rsid w:val="462B6F7C"/>
    <w:rsid w:val="46356EFB"/>
    <w:rsid w:val="4638241D"/>
    <w:rsid w:val="463E6762"/>
    <w:rsid w:val="46445D8D"/>
    <w:rsid w:val="46476DF3"/>
    <w:rsid w:val="46487090"/>
    <w:rsid w:val="464A2B3B"/>
    <w:rsid w:val="465504C9"/>
    <w:rsid w:val="4657593E"/>
    <w:rsid w:val="466A5504"/>
    <w:rsid w:val="46706AA2"/>
    <w:rsid w:val="467871F4"/>
    <w:rsid w:val="468458A6"/>
    <w:rsid w:val="468C640B"/>
    <w:rsid w:val="469768B4"/>
    <w:rsid w:val="469A6E0E"/>
    <w:rsid w:val="469C1173"/>
    <w:rsid w:val="46A47E62"/>
    <w:rsid w:val="46BB1594"/>
    <w:rsid w:val="46BF4F94"/>
    <w:rsid w:val="46C25214"/>
    <w:rsid w:val="46C769A2"/>
    <w:rsid w:val="46CA2070"/>
    <w:rsid w:val="46CB76DD"/>
    <w:rsid w:val="46CE4EDF"/>
    <w:rsid w:val="46D22C21"/>
    <w:rsid w:val="46DE3DA2"/>
    <w:rsid w:val="46DF1C8E"/>
    <w:rsid w:val="46EB0AA7"/>
    <w:rsid w:val="46FD0CBB"/>
    <w:rsid w:val="46FE195E"/>
    <w:rsid w:val="46FE38E3"/>
    <w:rsid w:val="47016DEE"/>
    <w:rsid w:val="470C0F7E"/>
    <w:rsid w:val="4712301E"/>
    <w:rsid w:val="47141154"/>
    <w:rsid w:val="473531B0"/>
    <w:rsid w:val="473F5B9D"/>
    <w:rsid w:val="47501D98"/>
    <w:rsid w:val="47530562"/>
    <w:rsid w:val="476F1EFC"/>
    <w:rsid w:val="47727B91"/>
    <w:rsid w:val="477A6E15"/>
    <w:rsid w:val="479241AF"/>
    <w:rsid w:val="47950AFD"/>
    <w:rsid w:val="47A24F17"/>
    <w:rsid w:val="47A2575F"/>
    <w:rsid w:val="47AB5A06"/>
    <w:rsid w:val="47B0388B"/>
    <w:rsid w:val="47B916EB"/>
    <w:rsid w:val="47BE6FD3"/>
    <w:rsid w:val="47CA3978"/>
    <w:rsid w:val="47CF0F0F"/>
    <w:rsid w:val="47D90D14"/>
    <w:rsid w:val="47EA34F4"/>
    <w:rsid w:val="47F96EFC"/>
    <w:rsid w:val="47FC0088"/>
    <w:rsid w:val="480C78C8"/>
    <w:rsid w:val="480E5EDB"/>
    <w:rsid w:val="48110F8E"/>
    <w:rsid w:val="48114224"/>
    <w:rsid w:val="481D7ECC"/>
    <w:rsid w:val="482F0E31"/>
    <w:rsid w:val="4832149E"/>
    <w:rsid w:val="483A6022"/>
    <w:rsid w:val="48407323"/>
    <w:rsid w:val="484A4A39"/>
    <w:rsid w:val="485338EE"/>
    <w:rsid w:val="485A7DFA"/>
    <w:rsid w:val="48663F90"/>
    <w:rsid w:val="48693111"/>
    <w:rsid w:val="486938FF"/>
    <w:rsid w:val="487001D5"/>
    <w:rsid w:val="48741AB6"/>
    <w:rsid w:val="487B1A21"/>
    <w:rsid w:val="48914416"/>
    <w:rsid w:val="48A32AFD"/>
    <w:rsid w:val="48AA54D8"/>
    <w:rsid w:val="48B325DE"/>
    <w:rsid w:val="48B85E47"/>
    <w:rsid w:val="48BB1493"/>
    <w:rsid w:val="48BD520B"/>
    <w:rsid w:val="48BE7700"/>
    <w:rsid w:val="48C4659A"/>
    <w:rsid w:val="48C56EF0"/>
    <w:rsid w:val="48CC18F2"/>
    <w:rsid w:val="48D147C6"/>
    <w:rsid w:val="48D662CD"/>
    <w:rsid w:val="48E4124E"/>
    <w:rsid w:val="48E93026"/>
    <w:rsid w:val="48EA5260"/>
    <w:rsid w:val="48F23839"/>
    <w:rsid w:val="48F50C7A"/>
    <w:rsid w:val="48F549A5"/>
    <w:rsid w:val="48FA1F86"/>
    <w:rsid w:val="49075F38"/>
    <w:rsid w:val="49164C48"/>
    <w:rsid w:val="49172A61"/>
    <w:rsid w:val="49185D1A"/>
    <w:rsid w:val="492A3E82"/>
    <w:rsid w:val="492C090B"/>
    <w:rsid w:val="493059DD"/>
    <w:rsid w:val="49377833"/>
    <w:rsid w:val="493A2A3B"/>
    <w:rsid w:val="49557B3A"/>
    <w:rsid w:val="49695748"/>
    <w:rsid w:val="497B4F14"/>
    <w:rsid w:val="498148B4"/>
    <w:rsid w:val="4988018E"/>
    <w:rsid w:val="498E6791"/>
    <w:rsid w:val="499222AC"/>
    <w:rsid w:val="49970B50"/>
    <w:rsid w:val="49973CAE"/>
    <w:rsid w:val="499C44E2"/>
    <w:rsid w:val="49B9760D"/>
    <w:rsid w:val="49BD1F73"/>
    <w:rsid w:val="49BE748D"/>
    <w:rsid w:val="49C35DBA"/>
    <w:rsid w:val="49C96672"/>
    <w:rsid w:val="49D337A0"/>
    <w:rsid w:val="49D72F01"/>
    <w:rsid w:val="49D8064B"/>
    <w:rsid w:val="49DE5945"/>
    <w:rsid w:val="49E221C6"/>
    <w:rsid w:val="49E63970"/>
    <w:rsid w:val="49F24B13"/>
    <w:rsid w:val="4A054B02"/>
    <w:rsid w:val="4A062BE2"/>
    <w:rsid w:val="4A0706B8"/>
    <w:rsid w:val="4A1D3A78"/>
    <w:rsid w:val="4A2F1F19"/>
    <w:rsid w:val="4A3321D7"/>
    <w:rsid w:val="4A335201"/>
    <w:rsid w:val="4A3A3DFD"/>
    <w:rsid w:val="4A423CA1"/>
    <w:rsid w:val="4A4529D9"/>
    <w:rsid w:val="4A484BB9"/>
    <w:rsid w:val="4A595408"/>
    <w:rsid w:val="4A5B11D5"/>
    <w:rsid w:val="4A633B90"/>
    <w:rsid w:val="4A69564B"/>
    <w:rsid w:val="4A6A13C3"/>
    <w:rsid w:val="4A6F21D0"/>
    <w:rsid w:val="4A6F4C2B"/>
    <w:rsid w:val="4A7323FA"/>
    <w:rsid w:val="4A811B0E"/>
    <w:rsid w:val="4A8823EA"/>
    <w:rsid w:val="4A8A0D65"/>
    <w:rsid w:val="4A971891"/>
    <w:rsid w:val="4A987CDE"/>
    <w:rsid w:val="4AAB5F74"/>
    <w:rsid w:val="4AAE114D"/>
    <w:rsid w:val="4AB024C8"/>
    <w:rsid w:val="4AB535E3"/>
    <w:rsid w:val="4AB56AE2"/>
    <w:rsid w:val="4AB7176D"/>
    <w:rsid w:val="4AB926A2"/>
    <w:rsid w:val="4AC443AD"/>
    <w:rsid w:val="4AC661C4"/>
    <w:rsid w:val="4AD056CA"/>
    <w:rsid w:val="4AD4340D"/>
    <w:rsid w:val="4ADD4F0C"/>
    <w:rsid w:val="4AE243AD"/>
    <w:rsid w:val="4AED4542"/>
    <w:rsid w:val="4AF0412A"/>
    <w:rsid w:val="4B007631"/>
    <w:rsid w:val="4B052F6A"/>
    <w:rsid w:val="4B0D44D9"/>
    <w:rsid w:val="4B132DC9"/>
    <w:rsid w:val="4B19615F"/>
    <w:rsid w:val="4B1A78D1"/>
    <w:rsid w:val="4B1E2F91"/>
    <w:rsid w:val="4B2B4105"/>
    <w:rsid w:val="4B4B6AFE"/>
    <w:rsid w:val="4B4E65EF"/>
    <w:rsid w:val="4B502367"/>
    <w:rsid w:val="4B5C6FB6"/>
    <w:rsid w:val="4B687D63"/>
    <w:rsid w:val="4B756271"/>
    <w:rsid w:val="4B7C7FD7"/>
    <w:rsid w:val="4B942AC7"/>
    <w:rsid w:val="4B9528F6"/>
    <w:rsid w:val="4B9E10D9"/>
    <w:rsid w:val="4B9F268C"/>
    <w:rsid w:val="4BA3384E"/>
    <w:rsid w:val="4BC6593B"/>
    <w:rsid w:val="4BCA470F"/>
    <w:rsid w:val="4BCD2409"/>
    <w:rsid w:val="4BD23FD6"/>
    <w:rsid w:val="4BD905AE"/>
    <w:rsid w:val="4BDA405B"/>
    <w:rsid w:val="4BE64A79"/>
    <w:rsid w:val="4BF11B57"/>
    <w:rsid w:val="4BF929FE"/>
    <w:rsid w:val="4C080C61"/>
    <w:rsid w:val="4C0F2B1F"/>
    <w:rsid w:val="4C131E5C"/>
    <w:rsid w:val="4C1B741A"/>
    <w:rsid w:val="4C2B3558"/>
    <w:rsid w:val="4C2C518C"/>
    <w:rsid w:val="4C390605"/>
    <w:rsid w:val="4C583BC9"/>
    <w:rsid w:val="4C5C0DC1"/>
    <w:rsid w:val="4C6668ED"/>
    <w:rsid w:val="4C6A7458"/>
    <w:rsid w:val="4C7E0D8F"/>
    <w:rsid w:val="4C844C01"/>
    <w:rsid w:val="4C870529"/>
    <w:rsid w:val="4C9726ED"/>
    <w:rsid w:val="4C9A5BA8"/>
    <w:rsid w:val="4C9E6824"/>
    <w:rsid w:val="4CA0731E"/>
    <w:rsid w:val="4CA27DCB"/>
    <w:rsid w:val="4CA81261"/>
    <w:rsid w:val="4CB93B0D"/>
    <w:rsid w:val="4CC34DBA"/>
    <w:rsid w:val="4CC642AB"/>
    <w:rsid w:val="4CC77581"/>
    <w:rsid w:val="4CC823D1"/>
    <w:rsid w:val="4CDF4CF0"/>
    <w:rsid w:val="4CE47CC3"/>
    <w:rsid w:val="4CE52F83"/>
    <w:rsid w:val="4CE833AA"/>
    <w:rsid w:val="4CEC0088"/>
    <w:rsid w:val="4D04165B"/>
    <w:rsid w:val="4D090A1F"/>
    <w:rsid w:val="4D1C3AC2"/>
    <w:rsid w:val="4D2770F7"/>
    <w:rsid w:val="4D2C6D8D"/>
    <w:rsid w:val="4D2F0059"/>
    <w:rsid w:val="4D3D3EF3"/>
    <w:rsid w:val="4D434FD2"/>
    <w:rsid w:val="4D4B5E7B"/>
    <w:rsid w:val="4D5115E9"/>
    <w:rsid w:val="4D5819A6"/>
    <w:rsid w:val="4D64034B"/>
    <w:rsid w:val="4D682A44"/>
    <w:rsid w:val="4D8F587F"/>
    <w:rsid w:val="4D8F72DA"/>
    <w:rsid w:val="4D906CAF"/>
    <w:rsid w:val="4DA076AF"/>
    <w:rsid w:val="4DA46784"/>
    <w:rsid w:val="4DB02C62"/>
    <w:rsid w:val="4DBA440F"/>
    <w:rsid w:val="4DC22664"/>
    <w:rsid w:val="4DCB7475"/>
    <w:rsid w:val="4DD52FF7"/>
    <w:rsid w:val="4DD565AE"/>
    <w:rsid w:val="4E10402F"/>
    <w:rsid w:val="4E137027"/>
    <w:rsid w:val="4E186FED"/>
    <w:rsid w:val="4E1F55B3"/>
    <w:rsid w:val="4E2633B6"/>
    <w:rsid w:val="4E2E5461"/>
    <w:rsid w:val="4E367A42"/>
    <w:rsid w:val="4E3E579B"/>
    <w:rsid w:val="4E49696E"/>
    <w:rsid w:val="4E4B5067"/>
    <w:rsid w:val="4E4E01AA"/>
    <w:rsid w:val="4E51694D"/>
    <w:rsid w:val="4E5F4541"/>
    <w:rsid w:val="4E680F2E"/>
    <w:rsid w:val="4E6F0B4C"/>
    <w:rsid w:val="4E774086"/>
    <w:rsid w:val="4E783ADD"/>
    <w:rsid w:val="4E915170"/>
    <w:rsid w:val="4E9B1B4B"/>
    <w:rsid w:val="4E9B236A"/>
    <w:rsid w:val="4E9B7D9D"/>
    <w:rsid w:val="4E9E6B5C"/>
    <w:rsid w:val="4EA64006"/>
    <w:rsid w:val="4EC05A55"/>
    <w:rsid w:val="4EC70B92"/>
    <w:rsid w:val="4ECF64EF"/>
    <w:rsid w:val="4ED15823"/>
    <w:rsid w:val="4ED2381A"/>
    <w:rsid w:val="4ED84B4D"/>
    <w:rsid w:val="4EEA0D24"/>
    <w:rsid w:val="4EF61477"/>
    <w:rsid w:val="4EF73CCC"/>
    <w:rsid w:val="4F0C47F7"/>
    <w:rsid w:val="4F0C6078"/>
    <w:rsid w:val="4F1638C7"/>
    <w:rsid w:val="4F172456"/>
    <w:rsid w:val="4F1B2D36"/>
    <w:rsid w:val="4F2558B8"/>
    <w:rsid w:val="4F314E9A"/>
    <w:rsid w:val="4F3156F2"/>
    <w:rsid w:val="4F3556E9"/>
    <w:rsid w:val="4F390D1C"/>
    <w:rsid w:val="4F42670C"/>
    <w:rsid w:val="4F5A6175"/>
    <w:rsid w:val="4F714FA1"/>
    <w:rsid w:val="4F7336A7"/>
    <w:rsid w:val="4F73567D"/>
    <w:rsid w:val="4F75345F"/>
    <w:rsid w:val="4F755070"/>
    <w:rsid w:val="4F7B60EA"/>
    <w:rsid w:val="4F7C17C4"/>
    <w:rsid w:val="4F7F76BE"/>
    <w:rsid w:val="4F8012D7"/>
    <w:rsid w:val="4F8151E4"/>
    <w:rsid w:val="4F856177"/>
    <w:rsid w:val="4F8E380C"/>
    <w:rsid w:val="4F9033B6"/>
    <w:rsid w:val="4F9E3301"/>
    <w:rsid w:val="4FBB51AB"/>
    <w:rsid w:val="4FCA4106"/>
    <w:rsid w:val="4FD71777"/>
    <w:rsid w:val="4FD93143"/>
    <w:rsid w:val="4FDC5EE8"/>
    <w:rsid w:val="4FE63299"/>
    <w:rsid w:val="4FE8410A"/>
    <w:rsid w:val="4FE93132"/>
    <w:rsid w:val="50020262"/>
    <w:rsid w:val="50096F88"/>
    <w:rsid w:val="500A3750"/>
    <w:rsid w:val="5019366F"/>
    <w:rsid w:val="501F17AD"/>
    <w:rsid w:val="502C0361"/>
    <w:rsid w:val="5039786D"/>
    <w:rsid w:val="503A0778"/>
    <w:rsid w:val="50461F8A"/>
    <w:rsid w:val="50485D02"/>
    <w:rsid w:val="505E1082"/>
    <w:rsid w:val="50706370"/>
    <w:rsid w:val="50895600"/>
    <w:rsid w:val="508B0711"/>
    <w:rsid w:val="50906221"/>
    <w:rsid w:val="509725DA"/>
    <w:rsid w:val="50973E2A"/>
    <w:rsid w:val="50A136F6"/>
    <w:rsid w:val="50A849F3"/>
    <w:rsid w:val="50A94662"/>
    <w:rsid w:val="50A95FBA"/>
    <w:rsid w:val="50BB0282"/>
    <w:rsid w:val="50BC224C"/>
    <w:rsid w:val="50C80BF1"/>
    <w:rsid w:val="50DE21C3"/>
    <w:rsid w:val="50E61077"/>
    <w:rsid w:val="50F51AC4"/>
    <w:rsid w:val="50FB2D75"/>
    <w:rsid w:val="510C0730"/>
    <w:rsid w:val="510C08F5"/>
    <w:rsid w:val="510D03B5"/>
    <w:rsid w:val="510D4856"/>
    <w:rsid w:val="51152CEA"/>
    <w:rsid w:val="511D3476"/>
    <w:rsid w:val="511F545E"/>
    <w:rsid w:val="51330859"/>
    <w:rsid w:val="51475FBA"/>
    <w:rsid w:val="51492B03"/>
    <w:rsid w:val="515801C7"/>
    <w:rsid w:val="515B1A65"/>
    <w:rsid w:val="515B6556"/>
    <w:rsid w:val="51641475"/>
    <w:rsid w:val="51645C82"/>
    <w:rsid w:val="517C722D"/>
    <w:rsid w:val="51984A67"/>
    <w:rsid w:val="519A0521"/>
    <w:rsid w:val="51A4340C"/>
    <w:rsid w:val="51A64784"/>
    <w:rsid w:val="51AA3CE1"/>
    <w:rsid w:val="51AB25FA"/>
    <w:rsid w:val="51B1646C"/>
    <w:rsid w:val="51C33A16"/>
    <w:rsid w:val="51DA0BDC"/>
    <w:rsid w:val="51DA6E2E"/>
    <w:rsid w:val="51EB77F5"/>
    <w:rsid w:val="51ED7BDF"/>
    <w:rsid w:val="51F55A16"/>
    <w:rsid w:val="51F7198B"/>
    <w:rsid w:val="51F83FEB"/>
    <w:rsid w:val="520C7E69"/>
    <w:rsid w:val="5214692A"/>
    <w:rsid w:val="5216160E"/>
    <w:rsid w:val="521B316E"/>
    <w:rsid w:val="522956BF"/>
    <w:rsid w:val="522C3C23"/>
    <w:rsid w:val="522C4904"/>
    <w:rsid w:val="52352974"/>
    <w:rsid w:val="5237602E"/>
    <w:rsid w:val="52494D96"/>
    <w:rsid w:val="524E5126"/>
    <w:rsid w:val="5253273C"/>
    <w:rsid w:val="52533DAB"/>
    <w:rsid w:val="52614E59"/>
    <w:rsid w:val="52657EA4"/>
    <w:rsid w:val="527C1C93"/>
    <w:rsid w:val="527E5A0B"/>
    <w:rsid w:val="528A1057"/>
    <w:rsid w:val="52AA7CBB"/>
    <w:rsid w:val="52AD575C"/>
    <w:rsid w:val="52B2562B"/>
    <w:rsid w:val="52B53A10"/>
    <w:rsid w:val="52BB2567"/>
    <w:rsid w:val="52BE04FE"/>
    <w:rsid w:val="52C5363A"/>
    <w:rsid w:val="52C8312A"/>
    <w:rsid w:val="52CD66B6"/>
    <w:rsid w:val="52D01FDF"/>
    <w:rsid w:val="52D229F0"/>
    <w:rsid w:val="52D23FA9"/>
    <w:rsid w:val="52DB4C0C"/>
    <w:rsid w:val="52E25837"/>
    <w:rsid w:val="52E80861"/>
    <w:rsid w:val="52ED0DE3"/>
    <w:rsid w:val="52EF191C"/>
    <w:rsid w:val="530C3910"/>
    <w:rsid w:val="530F0D59"/>
    <w:rsid w:val="531B76FE"/>
    <w:rsid w:val="531C15F9"/>
    <w:rsid w:val="532C36B9"/>
    <w:rsid w:val="532D7F56"/>
    <w:rsid w:val="53327A7C"/>
    <w:rsid w:val="533B6E8F"/>
    <w:rsid w:val="534327B1"/>
    <w:rsid w:val="53473945"/>
    <w:rsid w:val="534B2475"/>
    <w:rsid w:val="534D3630"/>
    <w:rsid w:val="53607807"/>
    <w:rsid w:val="536162B6"/>
    <w:rsid w:val="53703BA5"/>
    <w:rsid w:val="53713C69"/>
    <w:rsid w:val="537966C1"/>
    <w:rsid w:val="5382152B"/>
    <w:rsid w:val="53835223"/>
    <w:rsid w:val="53A9723E"/>
    <w:rsid w:val="53AF2D6B"/>
    <w:rsid w:val="53B4545D"/>
    <w:rsid w:val="53B50713"/>
    <w:rsid w:val="53C22355"/>
    <w:rsid w:val="53C71634"/>
    <w:rsid w:val="53C82986"/>
    <w:rsid w:val="53CF55DB"/>
    <w:rsid w:val="53CF7B5B"/>
    <w:rsid w:val="53CF7C7E"/>
    <w:rsid w:val="53D1600F"/>
    <w:rsid w:val="53D7650A"/>
    <w:rsid w:val="53E06252"/>
    <w:rsid w:val="53E61ABA"/>
    <w:rsid w:val="53EC2E48"/>
    <w:rsid w:val="53FA7313"/>
    <w:rsid w:val="54091C4C"/>
    <w:rsid w:val="540957A8"/>
    <w:rsid w:val="54121E2E"/>
    <w:rsid w:val="541A41C6"/>
    <w:rsid w:val="541A79B6"/>
    <w:rsid w:val="541B169B"/>
    <w:rsid w:val="541C1980"/>
    <w:rsid w:val="54206127"/>
    <w:rsid w:val="542813F0"/>
    <w:rsid w:val="54422711"/>
    <w:rsid w:val="5444628A"/>
    <w:rsid w:val="544C473C"/>
    <w:rsid w:val="54613836"/>
    <w:rsid w:val="54614253"/>
    <w:rsid w:val="5463135D"/>
    <w:rsid w:val="546B366D"/>
    <w:rsid w:val="546D471F"/>
    <w:rsid w:val="548B2661"/>
    <w:rsid w:val="54960222"/>
    <w:rsid w:val="549647A7"/>
    <w:rsid w:val="54977C09"/>
    <w:rsid w:val="549B50B3"/>
    <w:rsid w:val="54A668CA"/>
    <w:rsid w:val="54B00F29"/>
    <w:rsid w:val="54BC62B6"/>
    <w:rsid w:val="54C343AC"/>
    <w:rsid w:val="54EA0A60"/>
    <w:rsid w:val="54ED50CA"/>
    <w:rsid w:val="54F013C6"/>
    <w:rsid w:val="54F3154C"/>
    <w:rsid w:val="54F45ACD"/>
    <w:rsid w:val="54FA2DEE"/>
    <w:rsid w:val="54FF095A"/>
    <w:rsid w:val="55137316"/>
    <w:rsid w:val="55164495"/>
    <w:rsid w:val="552E7C91"/>
    <w:rsid w:val="553920BD"/>
    <w:rsid w:val="5540344C"/>
    <w:rsid w:val="55441881"/>
    <w:rsid w:val="55524F2D"/>
    <w:rsid w:val="555F6451"/>
    <w:rsid w:val="556E2E67"/>
    <w:rsid w:val="55725E70"/>
    <w:rsid w:val="55787CB8"/>
    <w:rsid w:val="557A5B5E"/>
    <w:rsid w:val="557C6D43"/>
    <w:rsid w:val="558061DD"/>
    <w:rsid w:val="558477DD"/>
    <w:rsid w:val="55910974"/>
    <w:rsid w:val="55975ADC"/>
    <w:rsid w:val="55992F16"/>
    <w:rsid w:val="559A60E8"/>
    <w:rsid w:val="55BB6936"/>
    <w:rsid w:val="55BD3078"/>
    <w:rsid w:val="55D65B5E"/>
    <w:rsid w:val="55D83507"/>
    <w:rsid w:val="55E55D7C"/>
    <w:rsid w:val="55F7664B"/>
    <w:rsid w:val="55FA4615"/>
    <w:rsid w:val="56097CE2"/>
    <w:rsid w:val="560D3277"/>
    <w:rsid w:val="56182852"/>
    <w:rsid w:val="56226294"/>
    <w:rsid w:val="56227189"/>
    <w:rsid w:val="56265D55"/>
    <w:rsid w:val="563B3D20"/>
    <w:rsid w:val="563E0DDF"/>
    <w:rsid w:val="5640393A"/>
    <w:rsid w:val="564D6793"/>
    <w:rsid w:val="564D6984"/>
    <w:rsid w:val="564F4BCF"/>
    <w:rsid w:val="564F73E9"/>
    <w:rsid w:val="565110EF"/>
    <w:rsid w:val="565C2507"/>
    <w:rsid w:val="565E6694"/>
    <w:rsid w:val="56625664"/>
    <w:rsid w:val="566C351B"/>
    <w:rsid w:val="56737851"/>
    <w:rsid w:val="56766006"/>
    <w:rsid w:val="56772E9D"/>
    <w:rsid w:val="567C3952"/>
    <w:rsid w:val="5684637F"/>
    <w:rsid w:val="56955A19"/>
    <w:rsid w:val="56B2428D"/>
    <w:rsid w:val="56B33CB1"/>
    <w:rsid w:val="56B463E4"/>
    <w:rsid w:val="56BF2CF4"/>
    <w:rsid w:val="56CE4A87"/>
    <w:rsid w:val="56DF68E8"/>
    <w:rsid w:val="56E12A0D"/>
    <w:rsid w:val="56E137FD"/>
    <w:rsid w:val="56ED03A3"/>
    <w:rsid w:val="56F95FA8"/>
    <w:rsid w:val="56FB1176"/>
    <w:rsid w:val="57085E8D"/>
    <w:rsid w:val="570951EE"/>
    <w:rsid w:val="57102161"/>
    <w:rsid w:val="572B3C88"/>
    <w:rsid w:val="572F2E82"/>
    <w:rsid w:val="572F5C74"/>
    <w:rsid w:val="574627A7"/>
    <w:rsid w:val="574A74DD"/>
    <w:rsid w:val="574F3E1A"/>
    <w:rsid w:val="57542FCC"/>
    <w:rsid w:val="57560D05"/>
    <w:rsid w:val="575E00D2"/>
    <w:rsid w:val="57655A52"/>
    <w:rsid w:val="576B6907"/>
    <w:rsid w:val="57733A5D"/>
    <w:rsid w:val="5773465D"/>
    <w:rsid w:val="577675F9"/>
    <w:rsid w:val="577B6698"/>
    <w:rsid w:val="577D5EA0"/>
    <w:rsid w:val="578828C0"/>
    <w:rsid w:val="579D02DE"/>
    <w:rsid w:val="57A008EC"/>
    <w:rsid w:val="57A23F22"/>
    <w:rsid w:val="57A44166"/>
    <w:rsid w:val="57B679F5"/>
    <w:rsid w:val="57B73430"/>
    <w:rsid w:val="57C5281E"/>
    <w:rsid w:val="57CB2DA4"/>
    <w:rsid w:val="57D933D8"/>
    <w:rsid w:val="57DC32D5"/>
    <w:rsid w:val="57E22E68"/>
    <w:rsid w:val="57EF4CB5"/>
    <w:rsid w:val="57F20C2A"/>
    <w:rsid w:val="57F80E79"/>
    <w:rsid w:val="57FB2F35"/>
    <w:rsid w:val="57FC6308"/>
    <w:rsid w:val="57FD2BBF"/>
    <w:rsid w:val="57FF2771"/>
    <w:rsid w:val="5800507C"/>
    <w:rsid w:val="580575F6"/>
    <w:rsid w:val="58075A05"/>
    <w:rsid w:val="58086D95"/>
    <w:rsid w:val="580C40E2"/>
    <w:rsid w:val="580F7106"/>
    <w:rsid w:val="582A3514"/>
    <w:rsid w:val="5832583F"/>
    <w:rsid w:val="58331046"/>
    <w:rsid w:val="5835187B"/>
    <w:rsid w:val="583C439E"/>
    <w:rsid w:val="586F2808"/>
    <w:rsid w:val="58875E9F"/>
    <w:rsid w:val="588B2C30"/>
    <w:rsid w:val="588B70D4"/>
    <w:rsid w:val="588F5AD1"/>
    <w:rsid w:val="5895768F"/>
    <w:rsid w:val="5896147C"/>
    <w:rsid w:val="58975E80"/>
    <w:rsid w:val="589870FB"/>
    <w:rsid w:val="589966DD"/>
    <w:rsid w:val="589B5FF0"/>
    <w:rsid w:val="58A26F4D"/>
    <w:rsid w:val="58A40FC2"/>
    <w:rsid w:val="58AB306B"/>
    <w:rsid w:val="58AE2A55"/>
    <w:rsid w:val="58AF007D"/>
    <w:rsid w:val="58AF0F4E"/>
    <w:rsid w:val="58B437A0"/>
    <w:rsid w:val="58BD6B62"/>
    <w:rsid w:val="58BD7D83"/>
    <w:rsid w:val="58C400B6"/>
    <w:rsid w:val="58C40D51"/>
    <w:rsid w:val="58C61EBA"/>
    <w:rsid w:val="58CE6FC1"/>
    <w:rsid w:val="58DD0FB2"/>
    <w:rsid w:val="58E14F46"/>
    <w:rsid w:val="58F42175"/>
    <w:rsid w:val="59080725"/>
    <w:rsid w:val="590B277C"/>
    <w:rsid w:val="591E70ED"/>
    <w:rsid w:val="592A5FEB"/>
    <w:rsid w:val="593215E0"/>
    <w:rsid w:val="5933709C"/>
    <w:rsid w:val="5947003B"/>
    <w:rsid w:val="59480B21"/>
    <w:rsid w:val="595142A7"/>
    <w:rsid w:val="5952570D"/>
    <w:rsid w:val="59616BAD"/>
    <w:rsid w:val="596D67DA"/>
    <w:rsid w:val="597257F7"/>
    <w:rsid w:val="59842C8D"/>
    <w:rsid w:val="598558D1"/>
    <w:rsid w:val="599124C8"/>
    <w:rsid w:val="59912F7C"/>
    <w:rsid w:val="599227DC"/>
    <w:rsid w:val="599F2066"/>
    <w:rsid w:val="59B937CD"/>
    <w:rsid w:val="59BC2339"/>
    <w:rsid w:val="59C53D44"/>
    <w:rsid w:val="59C844BD"/>
    <w:rsid w:val="59CA3E7B"/>
    <w:rsid w:val="59CB13A7"/>
    <w:rsid w:val="59CC624F"/>
    <w:rsid w:val="59CD137D"/>
    <w:rsid w:val="59D306CD"/>
    <w:rsid w:val="59D525E5"/>
    <w:rsid w:val="59DE4C2F"/>
    <w:rsid w:val="59EB253F"/>
    <w:rsid w:val="59F111B9"/>
    <w:rsid w:val="59F57E43"/>
    <w:rsid w:val="5A1C7887"/>
    <w:rsid w:val="5A266C85"/>
    <w:rsid w:val="5A3F6C1E"/>
    <w:rsid w:val="5A4B5106"/>
    <w:rsid w:val="5A4E03B9"/>
    <w:rsid w:val="5A581238"/>
    <w:rsid w:val="5A583BC8"/>
    <w:rsid w:val="5A5879B2"/>
    <w:rsid w:val="5A5B3F68"/>
    <w:rsid w:val="5A616637"/>
    <w:rsid w:val="5A6537CB"/>
    <w:rsid w:val="5A671272"/>
    <w:rsid w:val="5A7110D8"/>
    <w:rsid w:val="5A76346C"/>
    <w:rsid w:val="5A785A03"/>
    <w:rsid w:val="5A814CA9"/>
    <w:rsid w:val="5A8B5169"/>
    <w:rsid w:val="5A9304C2"/>
    <w:rsid w:val="5AAE1593"/>
    <w:rsid w:val="5AB10345"/>
    <w:rsid w:val="5ABC3BC0"/>
    <w:rsid w:val="5AC16DDD"/>
    <w:rsid w:val="5AC42EAF"/>
    <w:rsid w:val="5ACE0440"/>
    <w:rsid w:val="5ACF3815"/>
    <w:rsid w:val="5AD563E4"/>
    <w:rsid w:val="5AD86008"/>
    <w:rsid w:val="5AD967B4"/>
    <w:rsid w:val="5ADD173D"/>
    <w:rsid w:val="5ADE1CCB"/>
    <w:rsid w:val="5AE83225"/>
    <w:rsid w:val="5AFB4A4F"/>
    <w:rsid w:val="5B0942E0"/>
    <w:rsid w:val="5B0B44FC"/>
    <w:rsid w:val="5B1B5A03"/>
    <w:rsid w:val="5B2A0E9B"/>
    <w:rsid w:val="5B2D31E6"/>
    <w:rsid w:val="5B357FDB"/>
    <w:rsid w:val="5B4D68C3"/>
    <w:rsid w:val="5B4E37F5"/>
    <w:rsid w:val="5B51539A"/>
    <w:rsid w:val="5B5C3143"/>
    <w:rsid w:val="5B5E7370"/>
    <w:rsid w:val="5B603F18"/>
    <w:rsid w:val="5B647768"/>
    <w:rsid w:val="5B6559BA"/>
    <w:rsid w:val="5B6630CE"/>
    <w:rsid w:val="5B684F72"/>
    <w:rsid w:val="5B6A63A1"/>
    <w:rsid w:val="5B7025B1"/>
    <w:rsid w:val="5B7420A1"/>
    <w:rsid w:val="5B762D29"/>
    <w:rsid w:val="5B7C71A8"/>
    <w:rsid w:val="5B873225"/>
    <w:rsid w:val="5B877052"/>
    <w:rsid w:val="5B8E047D"/>
    <w:rsid w:val="5B9068CF"/>
    <w:rsid w:val="5B9142AD"/>
    <w:rsid w:val="5B9444F1"/>
    <w:rsid w:val="5B9C6F02"/>
    <w:rsid w:val="5B9D4BD2"/>
    <w:rsid w:val="5BA04553"/>
    <w:rsid w:val="5BA101A6"/>
    <w:rsid w:val="5BC2442C"/>
    <w:rsid w:val="5BCC3C8B"/>
    <w:rsid w:val="5BD13E1D"/>
    <w:rsid w:val="5BD827BB"/>
    <w:rsid w:val="5BDB5653"/>
    <w:rsid w:val="5BF94355"/>
    <w:rsid w:val="5BFA4DF5"/>
    <w:rsid w:val="5BFC6FEC"/>
    <w:rsid w:val="5BFE7562"/>
    <w:rsid w:val="5C0621A3"/>
    <w:rsid w:val="5C0631BB"/>
    <w:rsid w:val="5C14118E"/>
    <w:rsid w:val="5C143087"/>
    <w:rsid w:val="5C1D6295"/>
    <w:rsid w:val="5C223977"/>
    <w:rsid w:val="5C48368A"/>
    <w:rsid w:val="5C58551F"/>
    <w:rsid w:val="5C61784A"/>
    <w:rsid w:val="5C675762"/>
    <w:rsid w:val="5C741C2D"/>
    <w:rsid w:val="5C7B120D"/>
    <w:rsid w:val="5C836830"/>
    <w:rsid w:val="5C880A10"/>
    <w:rsid w:val="5C9F6CAA"/>
    <w:rsid w:val="5CA244A8"/>
    <w:rsid w:val="5CA25359"/>
    <w:rsid w:val="5CA25787"/>
    <w:rsid w:val="5CA9765E"/>
    <w:rsid w:val="5CC52489"/>
    <w:rsid w:val="5CC91F79"/>
    <w:rsid w:val="5CCB59BE"/>
    <w:rsid w:val="5CD36FC3"/>
    <w:rsid w:val="5CE521E8"/>
    <w:rsid w:val="5CE600A7"/>
    <w:rsid w:val="5CEB1EEF"/>
    <w:rsid w:val="5CFA0384"/>
    <w:rsid w:val="5CFA13A1"/>
    <w:rsid w:val="5D047A7B"/>
    <w:rsid w:val="5D13260A"/>
    <w:rsid w:val="5D19408F"/>
    <w:rsid w:val="5D1B3588"/>
    <w:rsid w:val="5D1D4700"/>
    <w:rsid w:val="5D252794"/>
    <w:rsid w:val="5D2814E8"/>
    <w:rsid w:val="5D2D7432"/>
    <w:rsid w:val="5D310209"/>
    <w:rsid w:val="5D347D3A"/>
    <w:rsid w:val="5D353032"/>
    <w:rsid w:val="5D4D2529"/>
    <w:rsid w:val="5D5553A3"/>
    <w:rsid w:val="5D5E0913"/>
    <w:rsid w:val="5D6C260A"/>
    <w:rsid w:val="5D6F0987"/>
    <w:rsid w:val="5D716BFF"/>
    <w:rsid w:val="5D7B25E4"/>
    <w:rsid w:val="5D7B7514"/>
    <w:rsid w:val="5D8C6CB5"/>
    <w:rsid w:val="5D92680F"/>
    <w:rsid w:val="5D930EB1"/>
    <w:rsid w:val="5D942587"/>
    <w:rsid w:val="5D94492C"/>
    <w:rsid w:val="5D971F7C"/>
    <w:rsid w:val="5D9732D3"/>
    <w:rsid w:val="5D9C58DF"/>
    <w:rsid w:val="5DAA1A5B"/>
    <w:rsid w:val="5DAB5B22"/>
    <w:rsid w:val="5DB03139"/>
    <w:rsid w:val="5DC56BE4"/>
    <w:rsid w:val="5DCD1D01"/>
    <w:rsid w:val="5DCE0213"/>
    <w:rsid w:val="5DE02850"/>
    <w:rsid w:val="5DE55076"/>
    <w:rsid w:val="5DF722CF"/>
    <w:rsid w:val="5DFD0425"/>
    <w:rsid w:val="5DFE3EA4"/>
    <w:rsid w:val="5E044A90"/>
    <w:rsid w:val="5E06617C"/>
    <w:rsid w:val="5E115985"/>
    <w:rsid w:val="5E234272"/>
    <w:rsid w:val="5E2F22B0"/>
    <w:rsid w:val="5E3028C1"/>
    <w:rsid w:val="5E371164"/>
    <w:rsid w:val="5E382E27"/>
    <w:rsid w:val="5E3A77BB"/>
    <w:rsid w:val="5E402EA6"/>
    <w:rsid w:val="5E5317F3"/>
    <w:rsid w:val="5E534744"/>
    <w:rsid w:val="5E6261E1"/>
    <w:rsid w:val="5E6920B2"/>
    <w:rsid w:val="5E696518"/>
    <w:rsid w:val="5E802B0B"/>
    <w:rsid w:val="5E854027"/>
    <w:rsid w:val="5E9852E2"/>
    <w:rsid w:val="5EAE58CA"/>
    <w:rsid w:val="5EB427B5"/>
    <w:rsid w:val="5EC23124"/>
    <w:rsid w:val="5EC46DD6"/>
    <w:rsid w:val="5ECC4F60"/>
    <w:rsid w:val="5ECC5D50"/>
    <w:rsid w:val="5EE92875"/>
    <w:rsid w:val="5EED2BAF"/>
    <w:rsid w:val="5F011A30"/>
    <w:rsid w:val="5F02039C"/>
    <w:rsid w:val="5F0864AB"/>
    <w:rsid w:val="5F096FA4"/>
    <w:rsid w:val="5F0C6520"/>
    <w:rsid w:val="5F0D3DD3"/>
    <w:rsid w:val="5F1C0060"/>
    <w:rsid w:val="5F313812"/>
    <w:rsid w:val="5F370BF6"/>
    <w:rsid w:val="5F396973"/>
    <w:rsid w:val="5F472ACC"/>
    <w:rsid w:val="5F4D4C2A"/>
    <w:rsid w:val="5F644D8E"/>
    <w:rsid w:val="5F7679F0"/>
    <w:rsid w:val="5F7C597C"/>
    <w:rsid w:val="5F7E09EF"/>
    <w:rsid w:val="5F843CAA"/>
    <w:rsid w:val="5F8857D2"/>
    <w:rsid w:val="5F8D54E0"/>
    <w:rsid w:val="5F904FD0"/>
    <w:rsid w:val="5F945617"/>
    <w:rsid w:val="5F9A1E62"/>
    <w:rsid w:val="5F9A44C0"/>
    <w:rsid w:val="5F9D7713"/>
    <w:rsid w:val="5FB00790"/>
    <w:rsid w:val="5FC2209F"/>
    <w:rsid w:val="5FC92290"/>
    <w:rsid w:val="5FD46F39"/>
    <w:rsid w:val="5FEF0FFD"/>
    <w:rsid w:val="5FF91EEE"/>
    <w:rsid w:val="5FFB581D"/>
    <w:rsid w:val="600B4656"/>
    <w:rsid w:val="601620D0"/>
    <w:rsid w:val="60175837"/>
    <w:rsid w:val="60217D6C"/>
    <w:rsid w:val="603B13E0"/>
    <w:rsid w:val="603B1A8B"/>
    <w:rsid w:val="603E2630"/>
    <w:rsid w:val="603E27C8"/>
    <w:rsid w:val="60436B89"/>
    <w:rsid w:val="604D0DD3"/>
    <w:rsid w:val="6054424F"/>
    <w:rsid w:val="60583393"/>
    <w:rsid w:val="60600A11"/>
    <w:rsid w:val="60680D67"/>
    <w:rsid w:val="60744F97"/>
    <w:rsid w:val="607C0A8D"/>
    <w:rsid w:val="608505F3"/>
    <w:rsid w:val="60B16C0A"/>
    <w:rsid w:val="60B251D2"/>
    <w:rsid w:val="60B4372F"/>
    <w:rsid w:val="60B62930"/>
    <w:rsid w:val="60BB42CE"/>
    <w:rsid w:val="60BF7356"/>
    <w:rsid w:val="60C330C6"/>
    <w:rsid w:val="60D20387"/>
    <w:rsid w:val="60D4583C"/>
    <w:rsid w:val="60DA0BF8"/>
    <w:rsid w:val="60DB091B"/>
    <w:rsid w:val="60E53291"/>
    <w:rsid w:val="60E86E53"/>
    <w:rsid w:val="60EE5C2C"/>
    <w:rsid w:val="60EF637C"/>
    <w:rsid w:val="610572F8"/>
    <w:rsid w:val="6106379C"/>
    <w:rsid w:val="61177AC2"/>
    <w:rsid w:val="61181F1A"/>
    <w:rsid w:val="61202383"/>
    <w:rsid w:val="61280141"/>
    <w:rsid w:val="61307992"/>
    <w:rsid w:val="61493767"/>
    <w:rsid w:val="614B1378"/>
    <w:rsid w:val="61575781"/>
    <w:rsid w:val="615B67C7"/>
    <w:rsid w:val="61652290"/>
    <w:rsid w:val="61662BDB"/>
    <w:rsid w:val="61834639"/>
    <w:rsid w:val="61864930"/>
    <w:rsid w:val="618801E8"/>
    <w:rsid w:val="618F28F1"/>
    <w:rsid w:val="61B13C78"/>
    <w:rsid w:val="61B305E3"/>
    <w:rsid w:val="61B84CCE"/>
    <w:rsid w:val="61BB2C3A"/>
    <w:rsid w:val="61BC103E"/>
    <w:rsid w:val="61BF6EDB"/>
    <w:rsid w:val="61C80A51"/>
    <w:rsid w:val="61CE1DDF"/>
    <w:rsid w:val="61D03DA9"/>
    <w:rsid w:val="61E41D00"/>
    <w:rsid w:val="61E727BE"/>
    <w:rsid w:val="61EA7522"/>
    <w:rsid w:val="61EB0BE3"/>
    <w:rsid w:val="61EE237D"/>
    <w:rsid w:val="61F33A2B"/>
    <w:rsid w:val="620E7C1D"/>
    <w:rsid w:val="62150B7D"/>
    <w:rsid w:val="62192DE5"/>
    <w:rsid w:val="621A6DD3"/>
    <w:rsid w:val="623E6563"/>
    <w:rsid w:val="62497559"/>
    <w:rsid w:val="62582D53"/>
    <w:rsid w:val="625F5080"/>
    <w:rsid w:val="62730769"/>
    <w:rsid w:val="627969BB"/>
    <w:rsid w:val="627B5AC3"/>
    <w:rsid w:val="6282710E"/>
    <w:rsid w:val="628B27B0"/>
    <w:rsid w:val="628F5A13"/>
    <w:rsid w:val="62900232"/>
    <w:rsid w:val="62927E37"/>
    <w:rsid w:val="62931431"/>
    <w:rsid w:val="62A93391"/>
    <w:rsid w:val="62AC32A4"/>
    <w:rsid w:val="62B45479"/>
    <w:rsid w:val="62C77DA0"/>
    <w:rsid w:val="62CE4FB1"/>
    <w:rsid w:val="62DF7960"/>
    <w:rsid w:val="62E42611"/>
    <w:rsid w:val="62EC69C1"/>
    <w:rsid w:val="62F87114"/>
    <w:rsid w:val="62F97A87"/>
    <w:rsid w:val="63015583"/>
    <w:rsid w:val="6302093C"/>
    <w:rsid w:val="63027431"/>
    <w:rsid w:val="6307159B"/>
    <w:rsid w:val="630A5DDF"/>
    <w:rsid w:val="630D0C38"/>
    <w:rsid w:val="63180D5C"/>
    <w:rsid w:val="631F2F37"/>
    <w:rsid w:val="632324F3"/>
    <w:rsid w:val="63276720"/>
    <w:rsid w:val="632E3BDB"/>
    <w:rsid w:val="633914DA"/>
    <w:rsid w:val="634709D4"/>
    <w:rsid w:val="636176EE"/>
    <w:rsid w:val="63656FD0"/>
    <w:rsid w:val="63772861"/>
    <w:rsid w:val="637864A7"/>
    <w:rsid w:val="63861098"/>
    <w:rsid w:val="638F3F26"/>
    <w:rsid w:val="639217C2"/>
    <w:rsid w:val="639332E1"/>
    <w:rsid w:val="63A63014"/>
    <w:rsid w:val="63A92349"/>
    <w:rsid w:val="63AB062A"/>
    <w:rsid w:val="63C4148C"/>
    <w:rsid w:val="63D7438F"/>
    <w:rsid w:val="63E12A1A"/>
    <w:rsid w:val="63E15FD5"/>
    <w:rsid w:val="63E91B90"/>
    <w:rsid w:val="63EE0517"/>
    <w:rsid w:val="63FC70D8"/>
    <w:rsid w:val="64065861"/>
    <w:rsid w:val="6416249B"/>
    <w:rsid w:val="641874D0"/>
    <w:rsid w:val="641E33EC"/>
    <w:rsid w:val="64292F48"/>
    <w:rsid w:val="642C3D06"/>
    <w:rsid w:val="642F2EB8"/>
    <w:rsid w:val="6433273A"/>
    <w:rsid w:val="643A4575"/>
    <w:rsid w:val="643C7ACA"/>
    <w:rsid w:val="64406980"/>
    <w:rsid w:val="644D4224"/>
    <w:rsid w:val="644F567A"/>
    <w:rsid w:val="64523B65"/>
    <w:rsid w:val="645A05CF"/>
    <w:rsid w:val="645E744B"/>
    <w:rsid w:val="64622625"/>
    <w:rsid w:val="6464325F"/>
    <w:rsid w:val="64693F90"/>
    <w:rsid w:val="647F2ED4"/>
    <w:rsid w:val="64837D1F"/>
    <w:rsid w:val="64850E7B"/>
    <w:rsid w:val="64862B7C"/>
    <w:rsid w:val="649C609B"/>
    <w:rsid w:val="649E6BD8"/>
    <w:rsid w:val="64AC30A7"/>
    <w:rsid w:val="64B114A3"/>
    <w:rsid w:val="64C179D9"/>
    <w:rsid w:val="64CE2822"/>
    <w:rsid w:val="64D67C47"/>
    <w:rsid w:val="64E367ED"/>
    <w:rsid w:val="64EC3BED"/>
    <w:rsid w:val="64F34037"/>
    <w:rsid w:val="65037FF2"/>
    <w:rsid w:val="650629C1"/>
    <w:rsid w:val="65067046"/>
    <w:rsid w:val="650A312E"/>
    <w:rsid w:val="650C0310"/>
    <w:rsid w:val="65102A76"/>
    <w:rsid w:val="651330CE"/>
    <w:rsid w:val="65145FAC"/>
    <w:rsid w:val="6522491C"/>
    <w:rsid w:val="65420B1A"/>
    <w:rsid w:val="654946BA"/>
    <w:rsid w:val="654A57AC"/>
    <w:rsid w:val="654E3963"/>
    <w:rsid w:val="654F3237"/>
    <w:rsid w:val="65640162"/>
    <w:rsid w:val="656942F9"/>
    <w:rsid w:val="65695B4E"/>
    <w:rsid w:val="657028DF"/>
    <w:rsid w:val="65705687"/>
    <w:rsid w:val="65750EF0"/>
    <w:rsid w:val="657D38CB"/>
    <w:rsid w:val="65813D24"/>
    <w:rsid w:val="65870C23"/>
    <w:rsid w:val="658C6239"/>
    <w:rsid w:val="65913850"/>
    <w:rsid w:val="6598338B"/>
    <w:rsid w:val="659B206D"/>
    <w:rsid w:val="659C1F4E"/>
    <w:rsid w:val="65A96C55"/>
    <w:rsid w:val="65AF7DD7"/>
    <w:rsid w:val="65C6649D"/>
    <w:rsid w:val="65C71020"/>
    <w:rsid w:val="65CC63FA"/>
    <w:rsid w:val="65D32A4F"/>
    <w:rsid w:val="65D5373C"/>
    <w:rsid w:val="65E2598A"/>
    <w:rsid w:val="65F7085A"/>
    <w:rsid w:val="660019ED"/>
    <w:rsid w:val="66065FEC"/>
    <w:rsid w:val="66093394"/>
    <w:rsid w:val="660C3AEB"/>
    <w:rsid w:val="66150460"/>
    <w:rsid w:val="661A73EE"/>
    <w:rsid w:val="66245A6A"/>
    <w:rsid w:val="663645BA"/>
    <w:rsid w:val="66436B65"/>
    <w:rsid w:val="665A2C30"/>
    <w:rsid w:val="66604D08"/>
    <w:rsid w:val="66623201"/>
    <w:rsid w:val="6663567D"/>
    <w:rsid w:val="666E0546"/>
    <w:rsid w:val="66782351"/>
    <w:rsid w:val="667E1F15"/>
    <w:rsid w:val="6681025D"/>
    <w:rsid w:val="66854007"/>
    <w:rsid w:val="669F3BDF"/>
    <w:rsid w:val="66B37EEE"/>
    <w:rsid w:val="66BC30C2"/>
    <w:rsid w:val="66C101BA"/>
    <w:rsid w:val="66C12C2A"/>
    <w:rsid w:val="66C97765"/>
    <w:rsid w:val="66CC2CCF"/>
    <w:rsid w:val="66CD7B05"/>
    <w:rsid w:val="66DC3F6C"/>
    <w:rsid w:val="66DF2FF8"/>
    <w:rsid w:val="66E04084"/>
    <w:rsid w:val="66F44096"/>
    <w:rsid w:val="66F95B50"/>
    <w:rsid w:val="670E2D2E"/>
    <w:rsid w:val="671901AD"/>
    <w:rsid w:val="671B5305"/>
    <w:rsid w:val="671E3C78"/>
    <w:rsid w:val="67220C03"/>
    <w:rsid w:val="67226E55"/>
    <w:rsid w:val="6722795F"/>
    <w:rsid w:val="67384B93"/>
    <w:rsid w:val="673D10E3"/>
    <w:rsid w:val="673D17EC"/>
    <w:rsid w:val="673D5C7E"/>
    <w:rsid w:val="673E2C05"/>
    <w:rsid w:val="67430C1E"/>
    <w:rsid w:val="67605234"/>
    <w:rsid w:val="67654F94"/>
    <w:rsid w:val="6768047C"/>
    <w:rsid w:val="67696AE0"/>
    <w:rsid w:val="67873920"/>
    <w:rsid w:val="67922B4D"/>
    <w:rsid w:val="67954113"/>
    <w:rsid w:val="67982C3E"/>
    <w:rsid w:val="6798542A"/>
    <w:rsid w:val="679F4002"/>
    <w:rsid w:val="679F54E2"/>
    <w:rsid w:val="67A744CC"/>
    <w:rsid w:val="67B6134C"/>
    <w:rsid w:val="67BD26DA"/>
    <w:rsid w:val="67C00568"/>
    <w:rsid w:val="67C75AB1"/>
    <w:rsid w:val="67D245D3"/>
    <w:rsid w:val="67D550D4"/>
    <w:rsid w:val="67FC1454"/>
    <w:rsid w:val="68032877"/>
    <w:rsid w:val="68082074"/>
    <w:rsid w:val="680A5F81"/>
    <w:rsid w:val="680A62EC"/>
    <w:rsid w:val="680C17A4"/>
    <w:rsid w:val="683A3D2B"/>
    <w:rsid w:val="683D7C81"/>
    <w:rsid w:val="684706A4"/>
    <w:rsid w:val="684B5F38"/>
    <w:rsid w:val="685226D3"/>
    <w:rsid w:val="68550B65"/>
    <w:rsid w:val="68633281"/>
    <w:rsid w:val="687731D1"/>
    <w:rsid w:val="68790CF7"/>
    <w:rsid w:val="687C2595"/>
    <w:rsid w:val="687C49B2"/>
    <w:rsid w:val="688B4586"/>
    <w:rsid w:val="689B391E"/>
    <w:rsid w:val="68B64F8D"/>
    <w:rsid w:val="68BF6F46"/>
    <w:rsid w:val="68C05C3A"/>
    <w:rsid w:val="68D9273C"/>
    <w:rsid w:val="68DC3034"/>
    <w:rsid w:val="68DD74D8"/>
    <w:rsid w:val="68E647D4"/>
    <w:rsid w:val="68E66553"/>
    <w:rsid w:val="68FE2FAA"/>
    <w:rsid w:val="68FE744E"/>
    <w:rsid w:val="69061428"/>
    <w:rsid w:val="690A194F"/>
    <w:rsid w:val="69146C72"/>
    <w:rsid w:val="691E3FB1"/>
    <w:rsid w:val="693B79ED"/>
    <w:rsid w:val="693D1673"/>
    <w:rsid w:val="694806C9"/>
    <w:rsid w:val="69573806"/>
    <w:rsid w:val="695B4F9A"/>
    <w:rsid w:val="69676DA1"/>
    <w:rsid w:val="696A4040"/>
    <w:rsid w:val="69811339"/>
    <w:rsid w:val="69831092"/>
    <w:rsid w:val="698931BC"/>
    <w:rsid w:val="6989424A"/>
    <w:rsid w:val="699346E7"/>
    <w:rsid w:val="699658D9"/>
    <w:rsid w:val="699952B9"/>
    <w:rsid w:val="699E76A4"/>
    <w:rsid w:val="69A51678"/>
    <w:rsid w:val="69A5557F"/>
    <w:rsid w:val="69A636D4"/>
    <w:rsid w:val="69A842DD"/>
    <w:rsid w:val="69D876E1"/>
    <w:rsid w:val="69E3267B"/>
    <w:rsid w:val="69EB7E5F"/>
    <w:rsid w:val="69F820EF"/>
    <w:rsid w:val="69FC163D"/>
    <w:rsid w:val="6A003F77"/>
    <w:rsid w:val="6A112559"/>
    <w:rsid w:val="6A2E5B11"/>
    <w:rsid w:val="6A371B36"/>
    <w:rsid w:val="6A3E16E9"/>
    <w:rsid w:val="6A3F49E9"/>
    <w:rsid w:val="6A4627DC"/>
    <w:rsid w:val="6A485A52"/>
    <w:rsid w:val="6A553BF7"/>
    <w:rsid w:val="6A556A06"/>
    <w:rsid w:val="6A6800F1"/>
    <w:rsid w:val="6A6B2ED7"/>
    <w:rsid w:val="6A731A96"/>
    <w:rsid w:val="6A7A6FA8"/>
    <w:rsid w:val="6A7D6DF2"/>
    <w:rsid w:val="6A8D10C2"/>
    <w:rsid w:val="6AA539E8"/>
    <w:rsid w:val="6AA858C3"/>
    <w:rsid w:val="6AAD0A2C"/>
    <w:rsid w:val="6AC17AAD"/>
    <w:rsid w:val="6AC83870"/>
    <w:rsid w:val="6ACA3A8C"/>
    <w:rsid w:val="6ACB15B2"/>
    <w:rsid w:val="6ACE7694"/>
    <w:rsid w:val="6ADF46BF"/>
    <w:rsid w:val="6AE10DD5"/>
    <w:rsid w:val="6AE12B83"/>
    <w:rsid w:val="6AE855C0"/>
    <w:rsid w:val="6AE92B48"/>
    <w:rsid w:val="6AED777A"/>
    <w:rsid w:val="6AEF34F2"/>
    <w:rsid w:val="6AF02563"/>
    <w:rsid w:val="6AF06DE3"/>
    <w:rsid w:val="6AF2255D"/>
    <w:rsid w:val="6B086362"/>
    <w:rsid w:val="6B130CB1"/>
    <w:rsid w:val="6B152A01"/>
    <w:rsid w:val="6B192E75"/>
    <w:rsid w:val="6B1940CB"/>
    <w:rsid w:val="6B1C11E9"/>
    <w:rsid w:val="6B2111D2"/>
    <w:rsid w:val="6B257F0F"/>
    <w:rsid w:val="6B41346A"/>
    <w:rsid w:val="6B432346"/>
    <w:rsid w:val="6B482C03"/>
    <w:rsid w:val="6B4D1FC7"/>
    <w:rsid w:val="6B533E75"/>
    <w:rsid w:val="6B556078"/>
    <w:rsid w:val="6B5B0AEC"/>
    <w:rsid w:val="6B6813C7"/>
    <w:rsid w:val="6B6B179C"/>
    <w:rsid w:val="6B6F250B"/>
    <w:rsid w:val="6B705559"/>
    <w:rsid w:val="6B83541A"/>
    <w:rsid w:val="6B855157"/>
    <w:rsid w:val="6B864EE6"/>
    <w:rsid w:val="6B8D6867"/>
    <w:rsid w:val="6B9B3CD4"/>
    <w:rsid w:val="6BA35A2B"/>
    <w:rsid w:val="6BA36294"/>
    <w:rsid w:val="6BB169B2"/>
    <w:rsid w:val="6BB93CE6"/>
    <w:rsid w:val="6BCB7ABB"/>
    <w:rsid w:val="6BD06015"/>
    <w:rsid w:val="6BD80569"/>
    <w:rsid w:val="6BE36B0F"/>
    <w:rsid w:val="6BF55157"/>
    <w:rsid w:val="6BF67767"/>
    <w:rsid w:val="6BFD17B8"/>
    <w:rsid w:val="6C04283C"/>
    <w:rsid w:val="6C0703C8"/>
    <w:rsid w:val="6C1539E3"/>
    <w:rsid w:val="6C1773B5"/>
    <w:rsid w:val="6C1B3E24"/>
    <w:rsid w:val="6C1E29D0"/>
    <w:rsid w:val="6C1F6CCA"/>
    <w:rsid w:val="6C2641E5"/>
    <w:rsid w:val="6C305C63"/>
    <w:rsid w:val="6C337FD4"/>
    <w:rsid w:val="6C413868"/>
    <w:rsid w:val="6C41754A"/>
    <w:rsid w:val="6C4433CA"/>
    <w:rsid w:val="6C456511"/>
    <w:rsid w:val="6C487058"/>
    <w:rsid w:val="6C4B29AA"/>
    <w:rsid w:val="6C5A244F"/>
    <w:rsid w:val="6C5F729D"/>
    <w:rsid w:val="6C69243C"/>
    <w:rsid w:val="6C757A27"/>
    <w:rsid w:val="6C871315"/>
    <w:rsid w:val="6C91148F"/>
    <w:rsid w:val="6C944351"/>
    <w:rsid w:val="6CAE6A95"/>
    <w:rsid w:val="6CAF76BE"/>
    <w:rsid w:val="6CC02164"/>
    <w:rsid w:val="6CC637A8"/>
    <w:rsid w:val="6CCA1F0B"/>
    <w:rsid w:val="6CD54A1A"/>
    <w:rsid w:val="6CD858BA"/>
    <w:rsid w:val="6CD96208"/>
    <w:rsid w:val="6CDF7511"/>
    <w:rsid w:val="6CF474FB"/>
    <w:rsid w:val="6CF57FFB"/>
    <w:rsid w:val="6D006018"/>
    <w:rsid w:val="6D0C7F69"/>
    <w:rsid w:val="6D145781"/>
    <w:rsid w:val="6D192AA9"/>
    <w:rsid w:val="6D196605"/>
    <w:rsid w:val="6D21195D"/>
    <w:rsid w:val="6D2E09A8"/>
    <w:rsid w:val="6D3C3B33"/>
    <w:rsid w:val="6D420E42"/>
    <w:rsid w:val="6D470C0D"/>
    <w:rsid w:val="6D507FE1"/>
    <w:rsid w:val="6D6B7E5D"/>
    <w:rsid w:val="6D763A57"/>
    <w:rsid w:val="6D821E63"/>
    <w:rsid w:val="6D980F9D"/>
    <w:rsid w:val="6D9D7850"/>
    <w:rsid w:val="6DB44178"/>
    <w:rsid w:val="6DB64422"/>
    <w:rsid w:val="6DB94C1F"/>
    <w:rsid w:val="6DB963C9"/>
    <w:rsid w:val="6DBE2DB7"/>
    <w:rsid w:val="6DC12CAC"/>
    <w:rsid w:val="6DD4775E"/>
    <w:rsid w:val="6DDA583B"/>
    <w:rsid w:val="6DE27492"/>
    <w:rsid w:val="6DF26CCA"/>
    <w:rsid w:val="6DFB2481"/>
    <w:rsid w:val="6DFB6247"/>
    <w:rsid w:val="6E070B53"/>
    <w:rsid w:val="6E15403A"/>
    <w:rsid w:val="6E1D3E88"/>
    <w:rsid w:val="6E331948"/>
    <w:rsid w:val="6E3F6492"/>
    <w:rsid w:val="6E453572"/>
    <w:rsid w:val="6E4C6C13"/>
    <w:rsid w:val="6E5024FA"/>
    <w:rsid w:val="6E5B14A6"/>
    <w:rsid w:val="6E5D5A1E"/>
    <w:rsid w:val="6E656CE4"/>
    <w:rsid w:val="6E694523"/>
    <w:rsid w:val="6E765EC9"/>
    <w:rsid w:val="6E7E004E"/>
    <w:rsid w:val="6E8C2401"/>
    <w:rsid w:val="6E9D5013"/>
    <w:rsid w:val="6EBC36EB"/>
    <w:rsid w:val="6ED928AD"/>
    <w:rsid w:val="6EDC23F2"/>
    <w:rsid w:val="6EE74284"/>
    <w:rsid w:val="6EF709A8"/>
    <w:rsid w:val="6EFA06B8"/>
    <w:rsid w:val="6F0772A4"/>
    <w:rsid w:val="6F127D16"/>
    <w:rsid w:val="6F173018"/>
    <w:rsid w:val="6F196D27"/>
    <w:rsid w:val="6F26101D"/>
    <w:rsid w:val="6F2E4A5D"/>
    <w:rsid w:val="6F3516FC"/>
    <w:rsid w:val="6F3C65DA"/>
    <w:rsid w:val="6F4D1486"/>
    <w:rsid w:val="6F4F2DFA"/>
    <w:rsid w:val="6F5002D8"/>
    <w:rsid w:val="6F697E58"/>
    <w:rsid w:val="6F702498"/>
    <w:rsid w:val="6F756127"/>
    <w:rsid w:val="6F7C2046"/>
    <w:rsid w:val="6F830281"/>
    <w:rsid w:val="6F897FAA"/>
    <w:rsid w:val="6F967AF5"/>
    <w:rsid w:val="6FA21775"/>
    <w:rsid w:val="6FA46680"/>
    <w:rsid w:val="6FA6614D"/>
    <w:rsid w:val="6FB72E5F"/>
    <w:rsid w:val="6FBB7E47"/>
    <w:rsid w:val="6FC0720B"/>
    <w:rsid w:val="6FC11A8D"/>
    <w:rsid w:val="6FC62348"/>
    <w:rsid w:val="6FC900B0"/>
    <w:rsid w:val="6FD809F9"/>
    <w:rsid w:val="6FDA3BB7"/>
    <w:rsid w:val="6FE44A4D"/>
    <w:rsid w:val="6FF43811"/>
    <w:rsid w:val="70151EDF"/>
    <w:rsid w:val="701B08E6"/>
    <w:rsid w:val="701D465E"/>
    <w:rsid w:val="701E08BE"/>
    <w:rsid w:val="7048338F"/>
    <w:rsid w:val="704D10EC"/>
    <w:rsid w:val="70631E66"/>
    <w:rsid w:val="7064403B"/>
    <w:rsid w:val="70657DB3"/>
    <w:rsid w:val="70687DA0"/>
    <w:rsid w:val="70694748"/>
    <w:rsid w:val="70754213"/>
    <w:rsid w:val="707A439D"/>
    <w:rsid w:val="708261DF"/>
    <w:rsid w:val="70850249"/>
    <w:rsid w:val="70893AA1"/>
    <w:rsid w:val="709541F4"/>
    <w:rsid w:val="709A7CB7"/>
    <w:rsid w:val="709E1D2E"/>
    <w:rsid w:val="70B110C3"/>
    <w:rsid w:val="70BA1EAD"/>
    <w:rsid w:val="70C344D2"/>
    <w:rsid w:val="70C742EB"/>
    <w:rsid w:val="70C943F9"/>
    <w:rsid w:val="70D016D0"/>
    <w:rsid w:val="70E35C37"/>
    <w:rsid w:val="70E60397"/>
    <w:rsid w:val="70E61CF9"/>
    <w:rsid w:val="70EE7519"/>
    <w:rsid w:val="70FE623C"/>
    <w:rsid w:val="710B55D2"/>
    <w:rsid w:val="71140EC6"/>
    <w:rsid w:val="711E427D"/>
    <w:rsid w:val="712D6E27"/>
    <w:rsid w:val="7133591A"/>
    <w:rsid w:val="71374244"/>
    <w:rsid w:val="713D663A"/>
    <w:rsid w:val="71463740"/>
    <w:rsid w:val="715916C6"/>
    <w:rsid w:val="716621FD"/>
    <w:rsid w:val="71685DAD"/>
    <w:rsid w:val="716B13F9"/>
    <w:rsid w:val="716D3701"/>
    <w:rsid w:val="716D5171"/>
    <w:rsid w:val="717A4273"/>
    <w:rsid w:val="717C53B4"/>
    <w:rsid w:val="71810CA0"/>
    <w:rsid w:val="718908C6"/>
    <w:rsid w:val="718C272C"/>
    <w:rsid w:val="718D5813"/>
    <w:rsid w:val="719244E1"/>
    <w:rsid w:val="719503C0"/>
    <w:rsid w:val="71995CBD"/>
    <w:rsid w:val="719A234F"/>
    <w:rsid w:val="71A010A2"/>
    <w:rsid w:val="71A86F32"/>
    <w:rsid w:val="71AE02AD"/>
    <w:rsid w:val="71B27028"/>
    <w:rsid w:val="71BD3F6E"/>
    <w:rsid w:val="71C4417B"/>
    <w:rsid w:val="71C476AE"/>
    <w:rsid w:val="71CC0B2D"/>
    <w:rsid w:val="71CC1BD3"/>
    <w:rsid w:val="71D92806"/>
    <w:rsid w:val="71DF18D5"/>
    <w:rsid w:val="71DF2D72"/>
    <w:rsid w:val="71ED452B"/>
    <w:rsid w:val="71EF7F36"/>
    <w:rsid w:val="71F1073A"/>
    <w:rsid w:val="71F31B1A"/>
    <w:rsid w:val="71FA42C4"/>
    <w:rsid w:val="720535FB"/>
    <w:rsid w:val="72077E68"/>
    <w:rsid w:val="7208712A"/>
    <w:rsid w:val="720A0815"/>
    <w:rsid w:val="7218403E"/>
    <w:rsid w:val="72200435"/>
    <w:rsid w:val="72231CD3"/>
    <w:rsid w:val="72373CFC"/>
    <w:rsid w:val="723A71F6"/>
    <w:rsid w:val="723C6AB3"/>
    <w:rsid w:val="723D44D0"/>
    <w:rsid w:val="72435ED2"/>
    <w:rsid w:val="725922F1"/>
    <w:rsid w:val="726A345E"/>
    <w:rsid w:val="72710C91"/>
    <w:rsid w:val="727147ED"/>
    <w:rsid w:val="72735AA3"/>
    <w:rsid w:val="72735F06"/>
    <w:rsid w:val="727B1B10"/>
    <w:rsid w:val="728D6515"/>
    <w:rsid w:val="728E5CF0"/>
    <w:rsid w:val="729606B0"/>
    <w:rsid w:val="729F57FE"/>
    <w:rsid w:val="72A526E9"/>
    <w:rsid w:val="72C356A5"/>
    <w:rsid w:val="72C614F3"/>
    <w:rsid w:val="72D1172F"/>
    <w:rsid w:val="72D810CD"/>
    <w:rsid w:val="72D849A6"/>
    <w:rsid w:val="72DC6FB5"/>
    <w:rsid w:val="72E651DB"/>
    <w:rsid w:val="72E824FD"/>
    <w:rsid w:val="72FD2525"/>
    <w:rsid w:val="731255FA"/>
    <w:rsid w:val="731F7A8E"/>
    <w:rsid w:val="732350AB"/>
    <w:rsid w:val="73261F61"/>
    <w:rsid w:val="73310977"/>
    <w:rsid w:val="73375A36"/>
    <w:rsid w:val="733C129F"/>
    <w:rsid w:val="733D6046"/>
    <w:rsid w:val="73441F01"/>
    <w:rsid w:val="736425A4"/>
    <w:rsid w:val="737427E7"/>
    <w:rsid w:val="737F73DD"/>
    <w:rsid w:val="738A482E"/>
    <w:rsid w:val="73AE1B1D"/>
    <w:rsid w:val="73B05D63"/>
    <w:rsid w:val="73C44343"/>
    <w:rsid w:val="73C53042"/>
    <w:rsid w:val="73EB25D1"/>
    <w:rsid w:val="73EF52C0"/>
    <w:rsid w:val="73F67519"/>
    <w:rsid w:val="74035919"/>
    <w:rsid w:val="74097510"/>
    <w:rsid w:val="74115904"/>
    <w:rsid w:val="74161AF0"/>
    <w:rsid w:val="741873DE"/>
    <w:rsid w:val="7423420D"/>
    <w:rsid w:val="74345252"/>
    <w:rsid w:val="743F511F"/>
    <w:rsid w:val="74470C8A"/>
    <w:rsid w:val="744B09D2"/>
    <w:rsid w:val="7454741A"/>
    <w:rsid w:val="74566390"/>
    <w:rsid w:val="74680A4A"/>
    <w:rsid w:val="746C1710"/>
    <w:rsid w:val="74713FD7"/>
    <w:rsid w:val="747C4102"/>
    <w:rsid w:val="747E1A73"/>
    <w:rsid w:val="747F58E7"/>
    <w:rsid w:val="7485407D"/>
    <w:rsid w:val="748842BE"/>
    <w:rsid w:val="74886046"/>
    <w:rsid w:val="748D21ED"/>
    <w:rsid w:val="749018A2"/>
    <w:rsid w:val="749263A7"/>
    <w:rsid w:val="74942E21"/>
    <w:rsid w:val="749F57AF"/>
    <w:rsid w:val="74A6265E"/>
    <w:rsid w:val="74B135C7"/>
    <w:rsid w:val="74BB0CFF"/>
    <w:rsid w:val="74C35E7F"/>
    <w:rsid w:val="74C7103C"/>
    <w:rsid w:val="74D177C5"/>
    <w:rsid w:val="74D7154E"/>
    <w:rsid w:val="74DF2827"/>
    <w:rsid w:val="74EB6AD9"/>
    <w:rsid w:val="74ED0BA3"/>
    <w:rsid w:val="74FA4F6E"/>
    <w:rsid w:val="74FA7311"/>
    <w:rsid w:val="74FE7E99"/>
    <w:rsid w:val="75216320"/>
    <w:rsid w:val="75287D2D"/>
    <w:rsid w:val="752D274F"/>
    <w:rsid w:val="7535698D"/>
    <w:rsid w:val="75402C0D"/>
    <w:rsid w:val="75440D42"/>
    <w:rsid w:val="75470C3D"/>
    <w:rsid w:val="754F63D1"/>
    <w:rsid w:val="75512E98"/>
    <w:rsid w:val="7565687E"/>
    <w:rsid w:val="756857D9"/>
    <w:rsid w:val="756B5E6B"/>
    <w:rsid w:val="75731889"/>
    <w:rsid w:val="75913BF6"/>
    <w:rsid w:val="759507BD"/>
    <w:rsid w:val="759957FF"/>
    <w:rsid w:val="759E2911"/>
    <w:rsid w:val="75A405E1"/>
    <w:rsid w:val="75AB36A0"/>
    <w:rsid w:val="75CF1D92"/>
    <w:rsid w:val="75CF392B"/>
    <w:rsid w:val="75D05CCE"/>
    <w:rsid w:val="75DE0253"/>
    <w:rsid w:val="75F7725A"/>
    <w:rsid w:val="75FE67E1"/>
    <w:rsid w:val="76037302"/>
    <w:rsid w:val="760A5996"/>
    <w:rsid w:val="76115A0D"/>
    <w:rsid w:val="761756AB"/>
    <w:rsid w:val="761B163F"/>
    <w:rsid w:val="76261D92"/>
    <w:rsid w:val="762F4F8A"/>
    <w:rsid w:val="76302A2C"/>
    <w:rsid w:val="76350A90"/>
    <w:rsid w:val="763515A8"/>
    <w:rsid w:val="763A3C3B"/>
    <w:rsid w:val="763B583E"/>
    <w:rsid w:val="764901F5"/>
    <w:rsid w:val="764B72C4"/>
    <w:rsid w:val="7650235F"/>
    <w:rsid w:val="7652429F"/>
    <w:rsid w:val="765803BA"/>
    <w:rsid w:val="765E777E"/>
    <w:rsid w:val="766528BB"/>
    <w:rsid w:val="767123D3"/>
    <w:rsid w:val="76732694"/>
    <w:rsid w:val="76870A83"/>
    <w:rsid w:val="768C4877"/>
    <w:rsid w:val="76962498"/>
    <w:rsid w:val="76A464B8"/>
    <w:rsid w:val="76A8361B"/>
    <w:rsid w:val="76A8744D"/>
    <w:rsid w:val="76AB19E8"/>
    <w:rsid w:val="76B455F0"/>
    <w:rsid w:val="76B63116"/>
    <w:rsid w:val="76BB14B6"/>
    <w:rsid w:val="76BB5D40"/>
    <w:rsid w:val="76CA514C"/>
    <w:rsid w:val="76CB6C9E"/>
    <w:rsid w:val="76CF41D8"/>
    <w:rsid w:val="76DF08BF"/>
    <w:rsid w:val="76E61C4D"/>
    <w:rsid w:val="76F851C3"/>
    <w:rsid w:val="76FF686B"/>
    <w:rsid w:val="77020109"/>
    <w:rsid w:val="771C7278"/>
    <w:rsid w:val="772C02B1"/>
    <w:rsid w:val="772C2463"/>
    <w:rsid w:val="772C434C"/>
    <w:rsid w:val="773243CF"/>
    <w:rsid w:val="77356731"/>
    <w:rsid w:val="77360113"/>
    <w:rsid w:val="774E15A1"/>
    <w:rsid w:val="776022D0"/>
    <w:rsid w:val="77666F35"/>
    <w:rsid w:val="776C53F4"/>
    <w:rsid w:val="776C6143"/>
    <w:rsid w:val="777260F5"/>
    <w:rsid w:val="77786CF4"/>
    <w:rsid w:val="77895153"/>
    <w:rsid w:val="77A95B85"/>
    <w:rsid w:val="77AA0F2B"/>
    <w:rsid w:val="77B06276"/>
    <w:rsid w:val="77B17EF2"/>
    <w:rsid w:val="77B315A5"/>
    <w:rsid w:val="77B77146"/>
    <w:rsid w:val="77C8615C"/>
    <w:rsid w:val="77CD080E"/>
    <w:rsid w:val="77D25D2E"/>
    <w:rsid w:val="77D5581E"/>
    <w:rsid w:val="77D71180"/>
    <w:rsid w:val="77DC6BAC"/>
    <w:rsid w:val="77E04CC9"/>
    <w:rsid w:val="780A55BF"/>
    <w:rsid w:val="780F0D30"/>
    <w:rsid w:val="780F7CDA"/>
    <w:rsid w:val="78216CB5"/>
    <w:rsid w:val="78320EC2"/>
    <w:rsid w:val="78372035"/>
    <w:rsid w:val="783B2B41"/>
    <w:rsid w:val="78407DA4"/>
    <w:rsid w:val="784B75C2"/>
    <w:rsid w:val="78603564"/>
    <w:rsid w:val="78607F0A"/>
    <w:rsid w:val="786646C8"/>
    <w:rsid w:val="786729AD"/>
    <w:rsid w:val="7892370F"/>
    <w:rsid w:val="78926BE6"/>
    <w:rsid w:val="789631FF"/>
    <w:rsid w:val="789B54E8"/>
    <w:rsid w:val="78B0681C"/>
    <w:rsid w:val="78B638A1"/>
    <w:rsid w:val="78B92217"/>
    <w:rsid w:val="78BD2111"/>
    <w:rsid w:val="78C17E6A"/>
    <w:rsid w:val="78C9689B"/>
    <w:rsid w:val="78D011A8"/>
    <w:rsid w:val="78D701B7"/>
    <w:rsid w:val="78E17EBE"/>
    <w:rsid w:val="78E45F73"/>
    <w:rsid w:val="78EC2B98"/>
    <w:rsid w:val="78EE4DE9"/>
    <w:rsid w:val="78F9351B"/>
    <w:rsid w:val="78FF3A43"/>
    <w:rsid w:val="790C34C1"/>
    <w:rsid w:val="79140448"/>
    <w:rsid w:val="791A5BDE"/>
    <w:rsid w:val="791C2FEA"/>
    <w:rsid w:val="792A25DA"/>
    <w:rsid w:val="792B056D"/>
    <w:rsid w:val="793E667B"/>
    <w:rsid w:val="794144CA"/>
    <w:rsid w:val="795F1843"/>
    <w:rsid w:val="7961593B"/>
    <w:rsid w:val="796965A4"/>
    <w:rsid w:val="79763273"/>
    <w:rsid w:val="7976710A"/>
    <w:rsid w:val="797D616D"/>
    <w:rsid w:val="79800542"/>
    <w:rsid w:val="79841C63"/>
    <w:rsid w:val="798A3661"/>
    <w:rsid w:val="798D23FD"/>
    <w:rsid w:val="79955265"/>
    <w:rsid w:val="7995549D"/>
    <w:rsid w:val="79986827"/>
    <w:rsid w:val="799E20C3"/>
    <w:rsid w:val="79A17DEE"/>
    <w:rsid w:val="79A33E26"/>
    <w:rsid w:val="79B31ACC"/>
    <w:rsid w:val="79B6025F"/>
    <w:rsid w:val="79C17F12"/>
    <w:rsid w:val="79C43D9C"/>
    <w:rsid w:val="79C476C1"/>
    <w:rsid w:val="79C70B90"/>
    <w:rsid w:val="79C765B4"/>
    <w:rsid w:val="79D33FDF"/>
    <w:rsid w:val="79D5724C"/>
    <w:rsid w:val="79D72945"/>
    <w:rsid w:val="79DA2E1F"/>
    <w:rsid w:val="79E55D34"/>
    <w:rsid w:val="79E9246D"/>
    <w:rsid w:val="79EA42F5"/>
    <w:rsid w:val="79F53727"/>
    <w:rsid w:val="79FA3846"/>
    <w:rsid w:val="79FD5087"/>
    <w:rsid w:val="7A165A81"/>
    <w:rsid w:val="7A1F0FD2"/>
    <w:rsid w:val="7A244B54"/>
    <w:rsid w:val="7A26146B"/>
    <w:rsid w:val="7A262EF2"/>
    <w:rsid w:val="7A26693C"/>
    <w:rsid w:val="7A271649"/>
    <w:rsid w:val="7A28257D"/>
    <w:rsid w:val="7A356A48"/>
    <w:rsid w:val="7A5A57A3"/>
    <w:rsid w:val="7A636F25"/>
    <w:rsid w:val="7A7D3051"/>
    <w:rsid w:val="7A877913"/>
    <w:rsid w:val="7A9024F9"/>
    <w:rsid w:val="7AA03EC1"/>
    <w:rsid w:val="7AAC3417"/>
    <w:rsid w:val="7ABF7639"/>
    <w:rsid w:val="7AC819CA"/>
    <w:rsid w:val="7ACA53E2"/>
    <w:rsid w:val="7ACE4ED2"/>
    <w:rsid w:val="7ACE689A"/>
    <w:rsid w:val="7AD4026E"/>
    <w:rsid w:val="7AD41DBD"/>
    <w:rsid w:val="7AD84764"/>
    <w:rsid w:val="7ADB314B"/>
    <w:rsid w:val="7ADE49EA"/>
    <w:rsid w:val="7ADF72B5"/>
    <w:rsid w:val="7AEE0676"/>
    <w:rsid w:val="7AFD64B2"/>
    <w:rsid w:val="7AFE6E3A"/>
    <w:rsid w:val="7B0326A2"/>
    <w:rsid w:val="7B0459B3"/>
    <w:rsid w:val="7B052CC3"/>
    <w:rsid w:val="7B086D22"/>
    <w:rsid w:val="7B093700"/>
    <w:rsid w:val="7B237FA4"/>
    <w:rsid w:val="7B2965AD"/>
    <w:rsid w:val="7B2B2B15"/>
    <w:rsid w:val="7B2E3F6A"/>
    <w:rsid w:val="7B3B63FA"/>
    <w:rsid w:val="7B42046A"/>
    <w:rsid w:val="7B4A0F8A"/>
    <w:rsid w:val="7B4D0B73"/>
    <w:rsid w:val="7B671139"/>
    <w:rsid w:val="7B6967ED"/>
    <w:rsid w:val="7B6C46EB"/>
    <w:rsid w:val="7B7473F5"/>
    <w:rsid w:val="7B80361F"/>
    <w:rsid w:val="7B86755B"/>
    <w:rsid w:val="7B9560BC"/>
    <w:rsid w:val="7B9C370E"/>
    <w:rsid w:val="7BB265A2"/>
    <w:rsid w:val="7BBA5EF4"/>
    <w:rsid w:val="7BBD4F47"/>
    <w:rsid w:val="7BBE0066"/>
    <w:rsid w:val="7BCC6160"/>
    <w:rsid w:val="7BD865C1"/>
    <w:rsid w:val="7BDA04DC"/>
    <w:rsid w:val="7BDF310F"/>
    <w:rsid w:val="7BFA5853"/>
    <w:rsid w:val="7BFF730D"/>
    <w:rsid w:val="7C021D60"/>
    <w:rsid w:val="7C0A30FF"/>
    <w:rsid w:val="7C19078D"/>
    <w:rsid w:val="7C204BC6"/>
    <w:rsid w:val="7C274045"/>
    <w:rsid w:val="7C286864"/>
    <w:rsid w:val="7C32323F"/>
    <w:rsid w:val="7C3264FA"/>
    <w:rsid w:val="7C36313F"/>
    <w:rsid w:val="7C3931CA"/>
    <w:rsid w:val="7C4028A5"/>
    <w:rsid w:val="7C484073"/>
    <w:rsid w:val="7C501917"/>
    <w:rsid w:val="7C5E3D0D"/>
    <w:rsid w:val="7C6331E9"/>
    <w:rsid w:val="7C7027D0"/>
    <w:rsid w:val="7C715C24"/>
    <w:rsid w:val="7C7D48CE"/>
    <w:rsid w:val="7C88395E"/>
    <w:rsid w:val="7C884F08"/>
    <w:rsid w:val="7C9E2682"/>
    <w:rsid w:val="7CA05E9B"/>
    <w:rsid w:val="7CA349F4"/>
    <w:rsid w:val="7CA41577"/>
    <w:rsid w:val="7CA646A3"/>
    <w:rsid w:val="7CA91CC9"/>
    <w:rsid w:val="7CB1685A"/>
    <w:rsid w:val="7CB87620"/>
    <w:rsid w:val="7CBD51DC"/>
    <w:rsid w:val="7CCB5AD1"/>
    <w:rsid w:val="7CD013CE"/>
    <w:rsid w:val="7CDB4C5A"/>
    <w:rsid w:val="7CE110C8"/>
    <w:rsid w:val="7CE7789F"/>
    <w:rsid w:val="7CEF7382"/>
    <w:rsid w:val="7CFD5CF5"/>
    <w:rsid w:val="7D050953"/>
    <w:rsid w:val="7D056FEA"/>
    <w:rsid w:val="7D062B88"/>
    <w:rsid w:val="7D0F6B89"/>
    <w:rsid w:val="7D133387"/>
    <w:rsid w:val="7D19368C"/>
    <w:rsid w:val="7D197D60"/>
    <w:rsid w:val="7D1D4E05"/>
    <w:rsid w:val="7D221166"/>
    <w:rsid w:val="7D2A660C"/>
    <w:rsid w:val="7D2F0661"/>
    <w:rsid w:val="7D2F3C22"/>
    <w:rsid w:val="7D302749"/>
    <w:rsid w:val="7D5D741E"/>
    <w:rsid w:val="7D6513F2"/>
    <w:rsid w:val="7D6A772E"/>
    <w:rsid w:val="7D6D3522"/>
    <w:rsid w:val="7D6E28DD"/>
    <w:rsid w:val="7D7B6E68"/>
    <w:rsid w:val="7D910439"/>
    <w:rsid w:val="7DA22F08"/>
    <w:rsid w:val="7DA243F4"/>
    <w:rsid w:val="7DAF2BB3"/>
    <w:rsid w:val="7DBF31EF"/>
    <w:rsid w:val="7DC40167"/>
    <w:rsid w:val="7DC9372F"/>
    <w:rsid w:val="7DCB68CE"/>
    <w:rsid w:val="7DCE6F97"/>
    <w:rsid w:val="7DDD542C"/>
    <w:rsid w:val="7DE052D0"/>
    <w:rsid w:val="7DED3966"/>
    <w:rsid w:val="7DF52776"/>
    <w:rsid w:val="7DF85637"/>
    <w:rsid w:val="7E043C0D"/>
    <w:rsid w:val="7E050D27"/>
    <w:rsid w:val="7E0F7639"/>
    <w:rsid w:val="7E112478"/>
    <w:rsid w:val="7E186464"/>
    <w:rsid w:val="7E226BB4"/>
    <w:rsid w:val="7E24305B"/>
    <w:rsid w:val="7E262FC6"/>
    <w:rsid w:val="7E28533B"/>
    <w:rsid w:val="7E2D0162"/>
    <w:rsid w:val="7E2E358E"/>
    <w:rsid w:val="7E34791B"/>
    <w:rsid w:val="7E355268"/>
    <w:rsid w:val="7E45112F"/>
    <w:rsid w:val="7E460695"/>
    <w:rsid w:val="7E482253"/>
    <w:rsid w:val="7E50372B"/>
    <w:rsid w:val="7E521976"/>
    <w:rsid w:val="7E5356EF"/>
    <w:rsid w:val="7E5971A9"/>
    <w:rsid w:val="7E5E7998"/>
    <w:rsid w:val="7E64075F"/>
    <w:rsid w:val="7E75443A"/>
    <w:rsid w:val="7E9C0E44"/>
    <w:rsid w:val="7E9E46A1"/>
    <w:rsid w:val="7E9F7BA7"/>
    <w:rsid w:val="7EAC129F"/>
    <w:rsid w:val="7EB02B41"/>
    <w:rsid w:val="7EB4618D"/>
    <w:rsid w:val="7EB95DA0"/>
    <w:rsid w:val="7ECA3C03"/>
    <w:rsid w:val="7ECE17E8"/>
    <w:rsid w:val="7ECE61A6"/>
    <w:rsid w:val="7ED84CD3"/>
    <w:rsid w:val="7EDE48F6"/>
    <w:rsid w:val="7EE50941"/>
    <w:rsid w:val="7EE5150B"/>
    <w:rsid w:val="7EE606D4"/>
    <w:rsid w:val="7EE7599C"/>
    <w:rsid w:val="7EED3343"/>
    <w:rsid w:val="7EEE75E6"/>
    <w:rsid w:val="7EF211C4"/>
    <w:rsid w:val="7EFE7AED"/>
    <w:rsid w:val="7F0B3ECA"/>
    <w:rsid w:val="7F0E5402"/>
    <w:rsid w:val="7F1042DC"/>
    <w:rsid w:val="7F120303"/>
    <w:rsid w:val="7F1D01D6"/>
    <w:rsid w:val="7F2210CB"/>
    <w:rsid w:val="7F272E03"/>
    <w:rsid w:val="7F284918"/>
    <w:rsid w:val="7F2D6FFA"/>
    <w:rsid w:val="7F2F34FC"/>
    <w:rsid w:val="7F2F7C01"/>
    <w:rsid w:val="7F431716"/>
    <w:rsid w:val="7F441BD8"/>
    <w:rsid w:val="7F517A82"/>
    <w:rsid w:val="7F5259A6"/>
    <w:rsid w:val="7F596D35"/>
    <w:rsid w:val="7F5976F1"/>
    <w:rsid w:val="7F5E346C"/>
    <w:rsid w:val="7F64263C"/>
    <w:rsid w:val="7F69341C"/>
    <w:rsid w:val="7F6C6A68"/>
    <w:rsid w:val="7F72200C"/>
    <w:rsid w:val="7F740EFB"/>
    <w:rsid w:val="7F7E432F"/>
    <w:rsid w:val="7F871AF4"/>
    <w:rsid w:val="7F884DEC"/>
    <w:rsid w:val="7F961332"/>
    <w:rsid w:val="7F967F89"/>
    <w:rsid w:val="7F9D1317"/>
    <w:rsid w:val="7F9D30C5"/>
    <w:rsid w:val="7F9D3B84"/>
    <w:rsid w:val="7FA135F0"/>
    <w:rsid w:val="7FAF1275"/>
    <w:rsid w:val="7FB16B71"/>
    <w:rsid w:val="7FB801B1"/>
    <w:rsid w:val="7FB83A5B"/>
    <w:rsid w:val="7FBD5515"/>
    <w:rsid w:val="7FC9210C"/>
    <w:rsid w:val="7FC95C68"/>
    <w:rsid w:val="7FD129C1"/>
    <w:rsid w:val="7FD86CCE"/>
    <w:rsid w:val="7FD9562E"/>
    <w:rsid w:val="7FDE6CC6"/>
    <w:rsid w:val="7FE96271"/>
    <w:rsid w:val="7FEA6F1C"/>
    <w:rsid w:val="7FEC7BA9"/>
    <w:rsid w:val="7FF46C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qFormat="1" w:unhideWhenUsed="0" w:uiPriority="0" w:semiHidden="0" w:name="Table Simple 1"/>
    <w:lsdException w:uiPriority="0" w:name="Table Simple 2"/>
    <w:lsdException w:uiPriority="0" w:name="Table Simple 3"/>
    <w:lsdException w:qFormat="1" w:unhideWhenUsed="0" w:uiPriority="0" w:semiHidden="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qFormat="1" w:unhideWhenUsed="0" w:uiPriority="0" w:semiHidden="0" w:name="Table Professional"/>
    <w:lsdException w:qFormat="1" w:unhideWhenUsed="0" w:uiPriority="0" w:semiHidden="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qFormat="1" w:unhideWhenUsed="0" w:uiPriority="0" w:semiHidden="0" w:name="Table Theme"/>
    <w:lsdException w:qFormat="1" w:unhideWhenUsed="0" w:uiPriority="0"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autoRedefine/>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278"/>
    <w:autoRedefine/>
    <w:qFormat/>
    <w:uiPriority w:val="0"/>
    <w:pPr>
      <w:keepNext/>
      <w:keepLines/>
      <w:spacing w:before="260" w:after="260" w:line="360" w:lineRule="auto"/>
      <w:outlineLvl w:val="1"/>
    </w:pPr>
    <w:rPr>
      <w:rFonts w:ascii="Arial" w:hAnsi="Arial" w:eastAsia="黑体"/>
      <w:b/>
      <w:bCs/>
      <w:sz w:val="32"/>
      <w:szCs w:val="32"/>
    </w:rPr>
  </w:style>
  <w:style w:type="paragraph" w:styleId="5">
    <w:name w:val="heading 3"/>
    <w:basedOn w:val="1"/>
    <w:next w:val="1"/>
    <w:link w:val="258"/>
    <w:autoRedefine/>
    <w:qFormat/>
    <w:uiPriority w:val="0"/>
    <w:pPr>
      <w:keepNext/>
      <w:keepLines/>
      <w:spacing w:before="260" w:after="260" w:line="360" w:lineRule="auto"/>
      <w:outlineLvl w:val="2"/>
    </w:pPr>
    <w:rPr>
      <w:b/>
      <w:bCs/>
      <w:sz w:val="32"/>
      <w:szCs w:val="32"/>
    </w:rPr>
  </w:style>
  <w:style w:type="paragraph" w:styleId="6">
    <w:name w:val="heading 4"/>
    <w:basedOn w:val="1"/>
    <w:link w:val="266"/>
    <w:autoRedefine/>
    <w:qFormat/>
    <w:uiPriority w:val="0"/>
    <w:pPr>
      <w:keepNext/>
      <w:keepLines/>
      <w:spacing w:before="280" w:after="290" w:line="377" w:lineRule="auto"/>
      <w:outlineLvl w:val="3"/>
    </w:pPr>
    <w:rPr>
      <w:rFonts w:ascii="Arial" w:hAnsi="Arial" w:eastAsia="黑体"/>
      <w:b/>
      <w:bCs/>
      <w:sz w:val="28"/>
      <w:szCs w:val="28"/>
    </w:rPr>
  </w:style>
  <w:style w:type="paragraph" w:styleId="7">
    <w:name w:val="heading 5"/>
    <w:basedOn w:val="1"/>
    <w:link w:val="282"/>
    <w:autoRedefine/>
    <w:qFormat/>
    <w:uiPriority w:val="0"/>
    <w:pPr>
      <w:keepNext/>
      <w:keepLines/>
      <w:spacing w:before="280" w:after="290" w:line="360" w:lineRule="auto"/>
      <w:outlineLvl w:val="4"/>
    </w:pPr>
    <w:rPr>
      <w:b/>
      <w:bCs/>
      <w:sz w:val="28"/>
      <w:szCs w:val="28"/>
    </w:rPr>
  </w:style>
  <w:style w:type="paragraph" w:styleId="8">
    <w:name w:val="heading 6"/>
    <w:basedOn w:val="1"/>
    <w:link w:val="249"/>
    <w:autoRedefine/>
    <w:qFormat/>
    <w:uiPriority w:val="0"/>
    <w:pPr>
      <w:widowControl/>
      <w:spacing w:before="240" w:after="60"/>
      <w:jc w:val="left"/>
      <w:outlineLvl w:val="5"/>
    </w:pPr>
    <w:rPr>
      <w:b/>
      <w:bCs/>
      <w:kern w:val="0"/>
      <w:sz w:val="22"/>
      <w:szCs w:val="22"/>
    </w:rPr>
  </w:style>
  <w:style w:type="paragraph" w:styleId="9">
    <w:name w:val="heading 7"/>
    <w:basedOn w:val="1"/>
    <w:link w:val="250"/>
    <w:autoRedefine/>
    <w:qFormat/>
    <w:uiPriority w:val="0"/>
    <w:pPr>
      <w:widowControl/>
      <w:spacing w:before="240" w:after="60"/>
      <w:jc w:val="left"/>
      <w:outlineLvl w:val="6"/>
    </w:pPr>
    <w:rPr>
      <w:kern w:val="0"/>
      <w:sz w:val="24"/>
    </w:rPr>
  </w:style>
  <w:style w:type="paragraph" w:styleId="10">
    <w:name w:val="heading 8"/>
    <w:basedOn w:val="1"/>
    <w:link w:val="251"/>
    <w:autoRedefine/>
    <w:qFormat/>
    <w:uiPriority w:val="0"/>
    <w:pPr>
      <w:widowControl/>
      <w:spacing w:before="240" w:after="60"/>
      <w:jc w:val="left"/>
      <w:outlineLvl w:val="7"/>
    </w:pPr>
    <w:rPr>
      <w:i/>
      <w:iCs/>
      <w:kern w:val="0"/>
      <w:sz w:val="24"/>
    </w:rPr>
  </w:style>
  <w:style w:type="paragraph" w:styleId="11">
    <w:name w:val="heading 9"/>
    <w:basedOn w:val="1"/>
    <w:link w:val="260"/>
    <w:autoRedefine/>
    <w:qFormat/>
    <w:uiPriority w:val="0"/>
    <w:pPr>
      <w:keepNext/>
      <w:keepLines/>
      <w:spacing w:before="240" w:after="64" w:line="317" w:lineRule="auto"/>
      <w:outlineLvl w:val="8"/>
    </w:pPr>
    <w:rPr>
      <w:rFonts w:ascii="Arial" w:hAnsi="Arial" w:eastAsia="黑体"/>
      <w:kern w:val="0"/>
      <w:szCs w:val="20"/>
    </w:rPr>
  </w:style>
  <w:style w:type="character" w:default="1" w:styleId="83">
    <w:name w:val="Default Paragraph Font"/>
    <w:autoRedefine/>
    <w:semiHidden/>
    <w:unhideWhenUsed/>
    <w:qFormat/>
    <w:uiPriority w:val="1"/>
  </w:style>
  <w:style w:type="table" w:default="1" w:styleId="75">
    <w:name w:val="Normal Table"/>
    <w:autoRedefine/>
    <w:semiHidden/>
    <w:unhideWhenUsed/>
    <w:qFormat/>
    <w:uiPriority w:val="99"/>
    <w:tblPr>
      <w:tblCellMar>
        <w:top w:w="0" w:type="dxa"/>
        <w:left w:w="108" w:type="dxa"/>
        <w:bottom w:w="0" w:type="dxa"/>
        <w:right w:w="108" w:type="dxa"/>
      </w:tblCellMar>
    </w:tblPr>
  </w:style>
  <w:style w:type="paragraph" w:styleId="2">
    <w:name w:val="macro"/>
    <w:link w:val="645"/>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sz w:val="24"/>
      <w:szCs w:val="24"/>
      <w:lang w:val="en-US" w:eastAsia="zh-CN" w:bidi="ar-SA"/>
    </w:rPr>
  </w:style>
  <w:style w:type="paragraph" w:styleId="12">
    <w:name w:val="List 3"/>
    <w:basedOn w:val="1"/>
    <w:autoRedefine/>
    <w:qFormat/>
    <w:uiPriority w:val="0"/>
    <w:pPr>
      <w:widowControl/>
      <w:ind w:left="100" w:leftChars="400" w:hanging="200" w:hangingChars="200"/>
      <w:jc w:val="left"/>
    </w:pPr>
    <w:rPr>
      <w:kern w:val="0"/>
      <w:sz w:val="24"/>
    </w:rPr>
  </w:style>
  <w:style w:type="paragraph" w:styleId="13">
    <w:name w:val="toc 7"/>
    <w:basedOn w:val="1"/>
    <w:autoRedefine/>
    <w:qFormat/>
    <w:uiPriority w:val="39"/>
    <w:pPr>
      <w:ind w:left="1260"/>
      <w:jc w:val="left"/>
    </w:pPr>
    <w:rPr>
      <w:sz w:val="18"/>
      <w:szCs w:val="18"/>
    </w:rPr>
  </w:style>
  <w:style w:type="paragraph" w:styleId="14">
    <w:name w:val="table of authorities"/>
    <w:basedOn w:val="1"/>
    <w:autoRedefine/>
    <w:qFormat/>
    <w:uiPriority w:val="0"/>
    <w:pPr>
      <w:widowControl/>
      <w:spacing w:line="529" w:lineRule="exact"/>
      <w:ind w:left="420" w:leftChars="200"/>
      <w:jc w:val="left"/>
    </w:pPr>
    <w:rPr>
      <w:kern w:val="0"/>
      <w:sz w:val="24"/>
    </w:rPr>
  </w:style>
  <w:style w:type="paragraph" w:styleId="15">
    <w:name w:val="Note Heading"/>
    <w:basedOn w:val="1"/>
    <w:next w:val="1"/>
    <w:link w:val="253"/>
    <w:autoRedefine/>
    <w:qFormat/>
    <w:uiPriority w:val="0"/>
    <w:pPr>
      <w:jc w:val="center"/>
    </w:pPr>
    <w:rPr>
      <w:szCs w:val="20"/>
    </w:rPr>
  </w:style>
  <w:style w:type="paragraph" w:styleId="16">
    <w:name w:val="index 8"/>
    <w:basedOn w:val="1"/>
    <w:autoRedefine/>
    <w:qFormat/>
    <w:uiPriority w:val="0"/>
    <w:pPr>
      <w:widowControl/>
      <w:ind w:left="1680" w:hanging="210"/>
      <w:jc w:val="left"/>
    </w:pPr>
    <w:rPr>
      <w:kern w:val="0"/>
      <w:sz w:val="20"/>
      <w:szCs w:val="20"/>
    </w:rPr>
  </w:style>
  <w:style w:type="paragraph" w:styleId="17">
    <w:name w:val="E-mail Signature"/>
    <w:basedOn w:val="1"/>
    <w:next w:val="18"/>
    <w:qFormat/>
    <w:uiPriority w:val="99"/>
    <w:pPr>
      <w:spacing w:line="460" w:lineRule="exact"/>
      <w:ind w:firstLine="200"/>
    </w:pPr>
  </w:style>
  <w:style w:type="paragraph" w:customStyle="1" w:styleId="18">
    <w:name w:val="文章"/>
    <w:next w:val="19"/>
    <w:autoRedefine/>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9">
    <w:name w:val="List"/>
    <w:basedOn w:val="1"/>
    <w:autoRedefine/>
    <w:qFormat/>
    <w:uiPriority w:val="0"/>
    <w:pPr>
      <w:spacing w:line="320" w:lineRule="exact"/>
      <w:jc w:val="center"/>
    </w:pPr>
    <w:rPr>
      <w:sz w:val="20"/>
    </w:rPr>
  </w:style>
  <w:style w:type="paragraph" w:styleId="20">
    <w:name w:val="List Number"/>
    <w:basedOn w:val="1"/>
    <w:qFormat/>
    <w:uiPriority w:val="0"/>
    <w:pPr>
      <w:widowControl/>
      <w:ind w:left="567" w:hanging="567"/>
      <w:jc w:val="left"/>
    </w:pPr>
    <w:rPr>
      <w:rFonts w:ascii="宋体"/>
      <w:kern w:val="0"/>
      <w:sz w:val="24"/>
      <w:szCs w:val="20"/>
    </w:rPr>
  </w:style>
  <w:style w:type="paragraph" w:styleId="21">
    <w:name w:val="Normal Indent"/>
    <w:basedOn w:val="1"/>
    <w:next w:val="1"/>
    <w:link w:val="243"/>
    <w:autoRedefine/>
    <w:qFormat/>
    <w:uiPriority w:val="0"/>
    <w:pPr>
      <w:ind w:firstLine="200" w:firstLineChars="200"/>
    </w:pPr>
  </w:style>
  <w:style w:type="paragraph" w:styleId="22">
    <w:name w:val="caption"/>
    <w:basedOn w:val="1"/>
    <w:next w:val="1"/>
    <w:link w:val="407"/>
    <w:autoRedefine/>
    <w:qFormat/>
    <w:uiPriority w:val="0"/>
    <w:pPr>
      <w:spacing w:before="120"/>
      <w:jc w:val="center"/>
    </w:pPr>
    <w:rPr>
      <w:b/>
    </w:rPr>
  </w:style>
  <w:style w:type="paragraph" w:styleId="23">
    <w:name w:val="index 5"/>
    <w:basedOn w:val="1"/>
    <w:autoRedefine/>
    <w:qFormat/>
    <w:uiPriority w:val="0"/>
    <w:pPr>
      <w:widowControl/>
      <w:ind w:left="1050" w:hanging="210"/>
      <w:jc w:val="left"/>
    </w:pPr>
    <w:rPr>
      <w:kern w:val="0"/>
      <w:sz w:val="20"/>
      <w:szCs w:val="20"/>
    </w:rPr>
  </w:style>
  <w:style w:type="paragraph" w:styleId="24">
    <w:name w:val="List Bullet"/>
    <w:basedOn w:val="19"/>
    <w:autoRedefine/>
    <w:qFormat/>
    <w:uiPriority w:val="0"/>
    <w:pPr>
      <w:widowControl/>
      <w:spacing w:line="529" w:lineRule="exact"/>
      <w:ind w:left="1800" w:right="720" w:hanging="360"/>
      <w:jc w:val="left"/>
    </w:pPr>
    <w:rPr>
      <w:rFonts w:ascii="Verdana" w:hAnsi="Verdana" w:eastAsia="汉鼎简书宋"/>
      <w:kern w:val="0"/>
      <w:sz w:val="24"/>
      <w:szCs w:val="20"/>
    </w:rPr>
  </w:style>
  <w:style w:type="paragraph" w:styleId="25">
    <w:name w:val="Document Map"/>
    <w:basedOn w:val="1"/>
    <w:link w:val="289"/>
    <w:autoRedefine/>
    <w:qFormat/>
    <w:uiPriority w:val="0"/>
    <w:pPr>
      <w:shd w:val="clear" w:color="auto" w:fill="000080"/>
    </w:pPr>
  </w:style>
  <w:style w:type="paragraph" w:styleId="26">
    <w:name w:val="toa heading"/>
    <w:basedOn w:val="1"/>
    <w:autoRedefine/>
    <w:unhideWhenUsed/>
    <w:qFormat/>
    <w:uiPriority w:val="0"/>
    <w:pPr>
      <w:widowControl/>
      <w:spacing w:before="120"/>
      <w:jc w:val="left"/>
    </w:pPr>
    <w:rPr>
      <w:rFonts w:ascii="Cambria" w:hAnsi="Cambria"/>
      <w:kern w:val="0"/>
      <w:sz w:val="24"/>
    </w:rPr>
  </w:style>
  <w:style w:type="paragraph" w:styleId="27">
    <w:name w:val="annotation text"/>
    <w:basedOn w:val="1"/>
    <w:link w:val="287"/>
    <w:qFormat/>
    <w:uiPriority w:val="0"/>
    <w:pPr>
      <w:jc w:val="left"/>
    </w:pPr>
  </w:style>
  <w:style w:type="paragraph" w:styleId="28">
    <w:name w:val="index 6"/>
    <w:basedOn w:val="1"/>
    <w:autoRedefine/>
    <w:qFormat/>
    <w:uiPriority w:val="0"/>
    <w:pPr>
      <w:widowControl/>
      <w:ind w:left="1000" w:leftChars="1000"/>
      <w:jc w:val="left"/>
    </w:pPr>
    <w:rPr>
      <w:kern w:val="0"/>
      <w:sz w:val="24"/>
    </w:rPr>
  </w:style>
  <w:style w:type="paragraph" w:styleId="29">
    <w:name w:val="Salutation"/>
    <w:basedOn w:val="1"/>
    <w:link w:val="391"/>
    <w:autoRedefine/>
    <w:qFormat/>
    <w:uiPriority w:val="0"/>
    <w:pPr>
      <w:widowControl/>
      <w:spacing w:before="100" w:beforeAutospacing="1" w:after="100" w:afterAutospacing="1"/>
      <w:jc w:val="left"/>
    </w:pPr>
    <w:rPr>
      <w:rFonts w:ascii="宋体" w:hAnsi="宋体" w:cs="宋体"/>
      <w:kern w:val="0"/>
      <w:sz w:val="24"/>
    </w:rPr>
  </w:style>
  <w:style w:type="paragraph" w:styleId="30">
    <w:name w:val="Body Text 3"/>
    <w:basedOn w:val="1"/>
    <w:link w:val="290"/>
    <w:autoRedefine/>
    <w:qFormat/>
    <w:uiPriority w:val="0"/>
    <w:pPr>
      <w:spacing w:after="120"/>
    </w:pPr>
    <w:rPr>
      <w:sz w:val="16"/>
      <w:szCs w:val="16"/>
    </w:rPr>
  </w:style>
  <w:style w:type="paragraph" w:styleId="31">
    <w:name w:val="Body Text"/>
    <w:basedOn w:val="1"/>
    <w:link w:val="285"/>
    <w:qFormat/>
    <w:uiPriority w:val="0"/>
    <w:pPr>
      <w:spacing w:after="120"/>
    </w:pPr>
  </w:style>
  <w:style w:type="paragraph" w:styleId="32">
    <w:name w:val="Body Text Indent"/>
    <w:basedOn w:val="1"/>
    <w:next w:val="33"/>
    <w:link w:val="815"/>
    <w:autoRedefine/>
    <w:qFormat/>
    <w:uiPriority w:val="0"/>
    <w:pPr>
      <w:spacing w:after="120"/>
      <w:ind w:left="200" w:leftChars="200"/>
    </w:pPr>
  </w:style>
  <w:style w:type="paragraph" w:styleId="33">
    <w:name w:val="header"/>
    <w:basedOn w:val="1"/>
    <w:next w:val="34"/>
    <w:link w:val="264"/>
    <w:autoRedefine/>
    <w:qFormat/>
    <w:uiPriority w:val="0"/>
    <w:pPr>
      <w:pBdr>
        <w:bottom w:val="single" w:color="auto" w:sz="6" w:space="1"/>
      </w:pBdr>
      <w:tabs>
        <w:tab w:val="center" w:pos="4153"/>
        <w:tab w:val="right" w:pos="8306"/>
      </w:tabs>
      <w:snapToGrid w:val="0"/>
      <w:jc w:val="center"/>
    </w:pPr>
    <w:rPr>
      <w:sz w:val="18"/>
      <w:szCs w:val="18"/>
    </w:rPr>
  </w:style>
  <w:style w:type="paragraph" w:customStyle="1" w:styleId="34">
    <w:name w:val="样式5"/>
    <w:basedOn w:val="21"/>
    <w:link w:val="786"/>
    <w:autoRedefine/>
    <w:qFormat/>
    <w:uiPriority w:val="0"/>
    <w:pPr>
      <w:snapToGrid w:val="0"/>
      <w:spacing w:line="360" w:lineRule="auto"/>
      <w:ind w:firstLine="510"/>
    </w:pPr>
    <w:rPr>
      <w:sz w:val="24"/>
    </w:rPr>
  </w:style>
  <w:style w:type="paragraph" w:styleId="35">
    <w:name w:val="List 2"/>
    <w:basedOn w:val="1"/>
    <w:autoRedefine/>
    <w:qFormat/>
    <w:uiPriority w:val="0"/>
    <w:pPr>
      <w:widowControl/>
      <w:ind w:left="100" w:leftChars="200" w:hanging="200" w:hangingChars="200"/>
      <w:jc w:val="left"/>
    </w:pPr>
    <w:rPr>
      <w:kern w:val="0"/>
      <w:sz w:val="24"/>
      <w:szCs w:val="21"/>
    </w:rPr>
  </w:style>
  <w:style w:type="paragraph" w:styleId="36">
    <w:name w:val="List Continue"/>
    <w:basedOn w:val="1"/>
    <w:autoRedefine/>
    <w:qFormat/>
    <w:uiPriority w:val="0"/>
    <w:pPr>
      <w:widowControl/>
      <w:spacing w:after="120"/>
      <w:ind w:left="420" w:leftChars="200"/>
      <w:jc w:val="left"/>
    </w:pPr>
    <w:rPr>
      <w:kern w:val="0"/>
      <w:sz w:val="24"/>
      <w:szCs w:val="21"/>
    </w:rPr>
  </w:style>
  <w:style w:type="paragraph" w:styleId="37">
    <w:name w:val="Block Text"/>
    <w:basedOn w:val="1"/>
    <w:autoRedefine/>
    <w:qFormat/>
    <w:uiPriority w:val="0"/>
    <w:pPr>
      <w:widowControl/>
      <w:topLinePunct/>
      <w:snapToGrid w:val="0"/>
      <w:spacing w:line="408" w:lineRule="auto"/>
      <w:ind w:left="-113" w:right="-510" w:firstLine="510" w:firstLineChars="200"/>
      <w:jc w:val="left"/>
    </w:pPr>
    <w:rPr>
      <w:rFonts w:eastAsia="汉鼎简书宋"/>
      <w:kern w:val="0"/>
      <w:sz w:val="24"/>
      <w:szCs w:val="20"/>
    </w:rPr>
  </w:style>
  <w:style w:type="paragraph" w:styleId="38">
    <w:name w:val="List Bullet 2"/>
    <w:basedOn w:val="1"/>
    <w:autoRedefine/>
    <w:qFormat/>
    <w:uiPriority w:val="0"/>
    <w:pPr>
      <w:widowControl/>
      <w:tabs>
        <w:tab w:val="left" w:pos="570"/>
      </w:tabs>
      <w:ind w:left="570" w:hanging="570" w:firstLineChars="200"/>
      <w:jc w:val="left"/>
    </w:pPr>
    <w:rPr>
      <w:rFonts w:eastAsia="汉鼎简书宋"/>
      <w:kern w:val="0"/>
      <w:sz w:val="24"/>
      <w:szCs w:val="21"/>
    </w:rPr>
  </w:style>
  <w:style w:type="paragraph" w:styleId="39">
    <w:name w:val="index 4"/>
    <w:basedOn w:val="1"/>
    <w:autoRedefine/>
    <w:qFormat/>
    <w:uiPriority w:val="0"/>
    <w:pPr>
      <w:widowControl/>
      <w:ind w:left="840" w:hanging="210"/>
      <w:jc w:val="left"/>
    </w:pPr>
    <w:rPr>
      <w:kern w:val="0"/>
      <w:sz w:val="20"/>
      <w:szCs w:val="20"/>
    </w:rPr>
  </w:style>
  <w:style w:type="paragraph" w:styleId="40">
    <w:name w:val="toc 5"/>
    <w:basedOn w:val="1"/>
    <w:autoRedefine/>
    <w:qFormat/>
    <w:uiPriority w:val="39"/>
    <w:pPr>
      <w:ind w:left="840"/>
      <w:jc w:val="left"/>
    </w:pPr>
    <w:rPr>
      <w:sz w:val="18"/>
      <w:szCs w:val="18"/>
    </w:rPr>
  </w:style>
  <w:style w:type="paragraph" w:styleId="41">
    <w:name w:val="toc 3"/>
    <w:basedOn w:val="1"/>
    <w:autoRedefine/>
    <w:qFormat/>
    <w:uiPriority w:val="39"/>
    <w:pPr>
      <w:ind w:left="420"/>
      <w:jc w:val="left"/>
    </w:pPr>
    <w:rPr>
      <w:i/>
      <w:iCs/>
      <w:sz w:val="20"/>
      <w:szCs w:val="20"/>
    </w:rPr>
  </w:style>
  <w:style w:type="paragraph" w:styleId="42">
    <w:name w:val="Plain Text"/>
    <w:basedOn w:val="1"/>
    <w:link w:val="256"/>
    <w:autoRedefine/>
    <w:qFormat/>
    <w:uiPriority w:val="0"/>
    <w:rPr>
      <w:rFonts w:ascii="宋体"/>
      <w:szCs w:val="21"/>
    </w:rPr>
  </w:style>
  <w:style w:type="paragraph" w:styleId="43">
    <w:name w:val="List Bullet 5"/>
    <w:basedOn w:val="1"/>
    <w:autoRedefine/>
    <w:qFormat/>
    <w:uiPriority w:val="0"/>
    <w:pPr>
      <w:widowControl/>
      <w:tabs>
        <w:tab w:val="left" w:pos="2040"/>
      </w:tabs>
      <w:ind w:left="2040" w:leftChars="800" w:hanging="360" w:hangingChars="200"/>
      <w:jc w:val="left"/>
    </w:pPr>
    <w:rPr>
      <w:rFonts w:hint="eastAsia" w:ascii="宋体" w:hAnsi="宋体"/>
      <w:kern w:val="0"/>
      <w:sz w:val="24"/>
    </w:rPr>
  </w:style>
  <w:style w:type="paragraph" w:styleId="44">
    <w:name w:val="toc 8"/>
    <w:basedOn w:val="1"/>
    <w:autoRedefine/>
    <w:qFormat/>
    <w:uiPriority w:val="39"/>
    <w:pPr>
      <w:ind w:left="1470"/>
      <w:jc w:val="left"/>
    </w:pPr>
    <w:rPr>
      <w:sz w:val="18"/>
      <w:szCs w:val="18"/>
    </w:rPr>
  </w:style>
  <w:style w:type="paragraph" w:styleId="45">
    <w:name w:val="index 3"/>
    <w:basedOn w:val="1"/>
    <w:autoRedefine/>
    <w:qFormat/>
    <w:uiPriority w:val="0"/>
    <w:pPr>
      <w:widowControl/>
      <w:ind w:left="630" w:hanging="210"/>
      <w:jc w:val="left"/>
    </w:pPr>
    <w:rPr>
      <w:kern w:val="0"/>
      <w:sz w:val="20"/>
      <w:szCs w:val="20"/>
    </w:rPr>
  </w:style>
  <w:style w:type="paragraph" w:styleId="46">
    <w:name w:val="Date"/>
    <w:basedOn w:val="1"/>
    <w:link w:val="291"/>
    <w:autoRedefine/>
    <w:qFormat/>
    <w:uiPriority w:val="0"/>
    <w:rPr>
      <w:sz w:val="32"/>
      <w:szCs w:val="20"/>
    </w:rPr>
  </w:style>
  <w:style w:type="paragraph" w:styleId="47">
    <w:name w:val="Body Text Indent 2"/>
    <w:basedOn w:val="1"/>
    <w:next w:val="1"/>
    <w:link w:val="292"/>
    <w:autoRedefine/>
    <w:qFormat/>
    <w:uiPriority w:val="0"/>
    <w:pPr>
      <w:spacing w:after="120" w:line="480" w:lineRule="auto"/>
      <w:ind w:left="200" w:leftChars="200"/>
    </w:pPr>
  </w:style>
  <w:style w:type="paragraph" w:styleId="48">
    <w:name w:val="endnote text"/>
    <w:basedOn w:val="1"/>
    <w:link w:val="807"/>
    <w:autoRedefine/>
    <w:qFormat/>
    <w:uiPriority w:val="0"/>
    <w:pPr>
      <w:widowControl/>
      <w:snapToGrid w:val="0"/>
      <w:jc w:val="left"/>
    </w:pPr>
    <w:rPr>
      <w:rFonts w:ascii="Calibri" w:hAnsi="Calibri"/>
      <w:kern w:val="0"/>
      <w:sz w:val="20"/>
      <w:szCs w:val="20"/>
    </w:rPr>
  </w:style>
  <w:style w:type="paragraph" w:styleId="49">
    <w:name w:val="Balloon Text"/>
    <w:basedOn w:val="1"/>
    <w:link w:val="293"/>
    <w:autoRedefine/>
    <w:qFormat/>
    <w:uiPriority w:val="0"/>
    <w:rPr>
      <w:sz w:val="18"/>
      <w:szCs w:val="18"/>
    </w:rPr>
  </w:style>
  <w:style w:type="paragraph" w:styleId="50">
    <w:name w:val="footer"/>
    <w:basedOn w:val="1"/>
    <w:next w:val="1"/>
    <w:link w:val="265"/>
    <w:autoRedefine/>
    <w:qFormat/>
    <w:uiPriority w:val="0"/>
    <w:pPr>
      <w:tabs>
        <w:tab w:val="center" w:pos="4153"/>
        <w:tab w:val="right" w:pos="8306"/>
      </w:tabs>
      <w:snapToGrid w:val="0"/>
      <w:jc w:val="left"/>
    </w:pPr>
    <w:rPr>
      <w:sz w:val="18"/>
      <w:szCs w:val="18"/>
    </w:rPr>
  </w:style>
  <w:style w:type="paragraph" w:styleId="51">
    <w:name w:val="envelope return"/>
    <w:basedOn w:val="1"/>
    <w:autoRedefine/>
    <w:qFormat/>
    <w:uiPriority w:val="0"/>
    <w:pPr>
      <w:widowControl/>
      <w:snapToGrid w:val="0"/>
      <w:spacing w:line="529" w:lineRule="exact"/>
      <w:ind w:firstLine="482"/>
      <w:jc w:val="left"/>
    </w:pPr>
    <w:rPr>
      <w:rFonts w:ascii="Arial" w:hAnsi="Arial" w:cs="Arial"/>
      <w:kern w:val="0"/>
      <w:sz w:val="24"/>
    </w:rPr>
  </w:style>
  <w:style w:type="paragraph" w:styleId="52">
    <w:name w:val="Signature"/>
    <w:basedOn w:val="1"/>
    <w:link w:val="658"/>
    <w:autoRedefine/>
    <w:qFormat/>
    <w:uiPriority w:val="0"/>
    <w:pPr>
      <w:widowControl/>
      <w:ind w:left="100" w:leftChars="2100"/>
      <w:jc w:val="left"/>
    </w:pPr>
    <w:rPr>
      <w:rFonts w:ascii="Calibri" w:hAnsi="Calibri" w:eastAsia="仿宋_GB2312"/>
      <w:spacing w:val="-2"/>
      <w:kern w:val="0"/>
      <w:sz w:val="20"/>
    </w:rPr>
  </w:style>
  <w:style w:type="paragraph" w:styleId="53">
    <w:name w:val="toc 1"/>
    <w:basedOn w:val="1"/>
    <w:autoRedefine/>
    <w:qFormat/>
    <w:uiPriority w:val="39"/>
    <w:pPr>
      <w:spacing w:before="120" w:after="120"/>
      <w:jc w:val="left"/>
    </w:pPr>
    <w:rPr>
      <w:b/>
      <w:bCs/>
      <w:caps/>
      <w:sz w:val="20"/>
      <w:szCs w:val="20"/>
    </w:rPr>
  </w:style>
  <w:style w:type="paragraph" w:styleId="54">
    <w:name w:val="toc 4"/>
    <w:basedOn w:val="1"/>
    <w:autoRedefine/>
    <w:qFormat/>
    <w:uiPriority w:val="39"/>
    <w:pPr>
      <w:ind w:left="630"/>
      <w:jc w:val="left"/>
    </w:pPr>
    <w:rPr>
      <w:sz w:val="18"/>
      <w:szCs w:val="18"/>
    </w:rPr>
  </w:style>
  <w:style w:type="paragraph" w:styleId="55">
    <w:name w:val="index heading"/>
    <w:basedOn w:val="1"/>
    <w:autoRedefine/>
    <w:qFormat/>
    <w:uiPriority w:val="0"/>
    <w:pPr>
      <w:widowControl/>
      <w:jc w:val="left"/>
    </w:pPr>
    <w:rPr>
      <w:kern w:val="0"/>
      <w:sz w:val="24"/>
      <w:szCs w:val="20"/>
    </w:rPr>
  </w:style>
  <w:style w:type="paragraph" w:styleId="56">
    <w:name w:val="Subtitle"/>
    <w:basedOn w:val="1"/>
    <w:link w:val="522"/>
    <w:autoRedefine/>
    <w:qFormat/>
    <w:uiPriority w:val="0"/>
    <w:pPr>
      <w:widowControl/>
      <w:spacing w:after="60"/>
      <w:jc w:val="center"/>
      <w:outlineLvl w:val="1"/>
    </w:pPr>
    <w:rPr>
      <w:rFonts w:ascii="Cambria" w:hAnsi="Cambria"/>
      <w:kern w:val="0"/>
      <w:sz w:val="24"/>
    </w:rPr>
  </w:style>
  <w:style w:type="paragraph" w:styleId="57">
    <w:name w:val="footnote text"/>
    <w:basedOn w:val="1"/>
    <w:link w:val="575"/>
    <w:autoRedefine/>
    <w:qFormat/>
    <w:uiPriority w:val="0"/>
    <w:pPr>
      <w:widowControl/>
      <w:autoSpaceDE w:val="0"/>
      <w:autoSpaceDN w:val="0"/>
      <w:adjustRightInd w:val="0"/>
      <w:jc w:val="left"/>
    </w:pPr>
    <w:rPr>
      <w:rFonts w:ascii="Calibri" w:hAnsi="Calibri"/>
      <w:kern w:val="0"/>
      <w:sz w:val="24"/>
    </w:rPr>
  </w:style>
  <w:style w:type="paragraph" w:styleId="58">
    <w:name w:val="toc 6"/>
    <w:basedOn w:val="1"/>
    <w:autoRedefine/>
    <w:qFormat/>
    <w:uiPriority w:val="39"/>
    <w:pPr>
      <w:ind w:left="1050"/>
      <w:jc w:val="left"/>
    </w:pPr>
    <w:rPr>
      <w:sz w:val="18"/>
      <w:szCs w:val="18"/>
    </w:rPr>
  </w:style>
  <w:style w:type="paragraph" w:styleId="59">
    <w:name w:val="Body Text Indent 3"/>
    <w:basedOn w:val="1"/>
    <w:link w:val="294"/>
    <w:autoRedefine/>
    <w:qFormat/>
    <w:uiPriority w:val="0"/>
    <w:pPr>
      <w:spacing w:after="120"/>
      <w:ind w:left="200" w:leftChars="200"/>
    </w:pPr>
    <w:rPr>
      <w:sz w:val="16"/>
      <w:szCs w:val="16"/>
    </w:rPr>
  </w:style>
  <w:style w:type="paragraph" w:styleId="60">
    <w:name w:val="index 7"/>
    <w:basedOn w:val="1"/>
    <w:autoRedefine/>
    <w:qFormat/>
    <w:uiPriority w:val="0"/>
    <w:pPr>
      <w:widowControl/>
      <w:ind w:left="1470" w:hanging="210"/>
      <w:jc w:val="left"/>
    </w:pPr>
    <w:rPr>
      <w:kern w:val="0"/>
      <w:sz w:val="20"/>
      <w:szCs w:val="20"/>
    </w:rPr>
  </w:style>
  <w:style w:type="paragraph" w:styleId="61">
    <w:name w:val="index 9"/>
    <w:basedOn w:val="1"/>
    <w:autoRedefine/>
    <w:qFormat/>
    <w:uiPriority w:val="0"/>
    <w:pPr>
      <w:widowControl/>
      <w:ind w:left="1600" w:leftChars="1600"/>
      <w:jc w:val="left"/>
    </w:pPr>
    <w:rPr>
      <w:kern w:val="0"/>
      <w:sz w:val="24"/>
    </w:rPr>
  </w:style>
  <w:style w:type="paragraph" w:styleId="62">
    <w:name w:val="table of figures"/>
    <w:basedOn w:val="1"/>
    <w:autoRedefine/>
    <w:qFormat/>
    <w:uiPriority w:val="0"/>
    <w:pPr>
      <w:widowControl/>
      <w:adjustRightInd w:val="0"/>
      <w:snapToGrid w:val="0"/>
      <w:spacing w:line="360" w:lineRule="auto"/>
      <w:ind w:left="200" w:leftChars="200" w:hanging="200" w:hangingChars="200"/>
      <w:jc w:val="left"/>
    </w:pPr>
    <w:rPr>
      <w:rFonts w:ascii="宋体" w:hAnsi="宋体" w:cs="宋体"/>
      <w:kern w:val="0"/>
      <w:sz w:val="28"/>
      <w:szCs w:val="28"/>
    </w:rPr>
  </w:style>
  <w:style w:type="paragraph" w:styleId="63">
    <w:name w:val="toc 2"/>
    <w:basedOn w:val="1"/>
    <w:next w:val="17"/>
    <w:autoRedefine/>
    <w:qFormat/>
    <w:uiPriority w:val="39"/>
    <w:pPr>
      <w:ind w:left="210"/>
      <w:jc w:val="left"/>
    </w:pPr>
    <w:rPr>
      <w:sz w:val="20"/>
      <w:szCs w:val="20"/>
    </w:rPr>
  </w:style>
  <w:style w:type="paragraph" w:styleId="64">
    <w:name w:val="toc 9"/>
    <w:basedOn w:val="1"/>
    <w:autoRedefine/>
    <w:qFormat/>
    <w:uiPriority w:val="39"/>
    <w:pPr>
      <w:ind w:left="1680"/>
      <w:jc w:val="left"/>
    </w:pPr>
    <w:rPr>
      <w:sz w:val="18"/>
      <w:szCs w:val="18"/>
    </w:rPr>
  </w:style>
  <w:style w:type="paragraph" w:styleId="65">
    <w:name w:val="Body Text 2"/>
    <w:basedOn w:val="1"/>
    <w:link w:val="373"/>
    <w:autoRedefine/>
    <w:unhideWhenUsed/>
    <w:qFormat/>
    <w:uiPriority w:val="0"/>
    <w:pPr>
      <w:widowControl/>
      <w:spacing w:after="120" w:line="480" w:lineRule="auto"/>
      <w:jc w:val="left"/>
    </w:pPr>
    <w:rPr>
      <w:rFonts w:ascii="Calibri" w:hAnsi="Calibri"/>
      <w:szCs w:val="22"/>
    </w:rPr>
  </w:style>
  <w:style w:type="paragraph" w:styleId="66">
    <w:name w:val="List Continue 2"/>
    <w:basedOn w:val="1"/>
    <w:autoRedefine/>
    <w:qFormat/>
    <w:uiPriority w:val="0"/>
    <w:pPr>
      <w:widowControl/>
      <w:spacing w:after="120"/>
      <w:ind w:left="840" w:leftChars="400"/>
      <w:jc w:val="left"/>
    </w:pPr>
    <w:rPr>
      <w:kern w:val="0"/>
      <w:sz w:val="24"/>
    </w:rPr>
  </w:style>
  <w:style w:type="paragraph" w:styleId="67">
    <w:name w:val="HTML Preformatted"/>
    <w:basedOn w:val="1"/>
    <w:link w:val="29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68">
    <w:name w:val="Normal (Web)"/>
    <w:basedOn w:val="1"/>
    <w:autoRedefine/>
    <w:qFormat/>
    <w:uiPriority w:val="99"/>
    <w:pPr>
      <w:widowControl/>
      <w:spacing w:before="100" w:beforeAutospacing="1" w:after="100" w:afterAutospacing="1"/>
      <w:jc w:val="left"/>
    </w:pPr>
    <w:rPr>
      <w:rFonts w:ascii="宋体" w:cs="宋体"/>
      <w:kern w:val="0"/>
      <w:sz w:val="24"/>
    </w:rPr>
  </w:style>
  <w:style w:type="paragraph" w:styleId="69">
    <w:name w:val="index 1"/>
    <w:basedOn w:val="1"/>
    <w:autoRedefine/>
    <w:unhideWhenUsed/>
    <w:qFormat/>
    <w:uiPriority w:val="0"/>
    <w:pPr>
      <w:widowControl/>
    </w:pPr>
  </w:style>
  <w:style w:type="paragraph" w:styleId="70">
    <w:name w:val="index 2"/>
    <w:basedOn w:val="1"/>
    <w:autoRedefine/>
    <w:qFormat/>
    <w:uiPriority w:val="0"/>
    <w:pPr>
      <w:tabs>
        <w:tab w:val="right" w:pos="3940"/>
      </w:tabs>
      <w:adjustRightInd w:val="0"/>
      <w:spacing w:line="360" w:lineRule="atLeast"/>
      <w:ind w:left="420" w:hanging="210"/>
      <w:jc w:val="left"/>
    </w:pPr>
    <w:rPr>
      <w:kern w:val="0"/>
      <w:sz w:val="18"/>
      <w:szCs w:val="20"/>
    </w:rPr>
  </w:style>
  <w:style w:type="paragraph" w:styleId="71">
    <w:name w:val="Title"/>
    <w:basedOn w:val="1"/>
    <w:next w:val="1"/>
    <w:link w:val="277"/>
    <w:autoRedefine/>
    <w:qFormat/>
    <w:uiPriority w:val="0"/>
    <w:pPr>
      <w:spacing w:before="240" w:after="60"/>
      <w:jc w:val="center"/>
      <w:outlineLvl w:val="0"/>
    </w:pPr>
    <w:rPr>
      <w:rFonts w:ascii="Cambria" w:hAnsi="Cambria"/>
      <w:b/>
      <w:bCs/>
      <w:sz w:val="32"/>
      <w:szCs w:val="32"/>
    </w:rPr>
  </w:style>
  <w:style w:type="paragraph" w:styleId="72">
    <w:name w:val="annotation subject"/>
    <w:basedOn w:val="27"/>
    <w:next w:val="27"/>
    <w:link w:val="288"/>
    <w:autoRedefine/>
    <w:qFormat/>
    <w:uiPriority w:val="0"/>
    <w:rPr>
      <w:b/>
      <w:bCs/>
    </w:rPr>
  </w:style>
  <w:style w:type="paragraph" w:styleId="73">
    <w:name w:val="Body Text First Indent"/>
    <w:basedOn w:val="31"/>
    <w:link w:val="286"/>
    <w:autoRedefine/>
    <w:qFormat/>
    <w:uiPriority w:val="0"/>
    <w:pPr>
      <w:overflowPunct w:val="0"/>
      <w:autoSpaceDE w:val="0"/>
      <w:autoSpaceDN w:val="0"/>
      <w:adjustRightInd w:val="0"/>
      <w:spacing w:line="360" w:lineRule="auto"/>
      <w:ind w:firstLine="539"/>
    </w:pPr>
    <w:rPr>
      <w:kern w:val="0"/>
      <w:sz w:val="28"/>
      <w:szCs w:val="20"/>
    </w:rPr>
  </w:style>
  <w:style w:type="paragraph" w:styleId="74">
    <w:name w:val="Body Text First Indent 2"/>
    <w:basedOn w:val="32"/>
    <w:next w:val="1"/>
    <w:link w:val="595"/>
    <w:autoRedefine/>
    <w:qFormat/>
    <w:uiPriority w:val="0"/>
    <w:pPr>
      <w:widowControl/>
      <w:spacing w:line="529" w:lineRule="exact"/>
      <w:ind w:firstLine="420" w:firstLineChars="200"/>
      <w:jc w:val="left"/>
    </w:pPr>
    <w:rPr>
      <w:rFonts w:ascii="Calibri" w:hAnsi="Calibri"/>
      <w:kern w:val="0"/>
      <w:sz w:val="24"/>
    </w:rPr>
  </w:style>
  <w:style w:type="table" w:styleId="76">
    <w:name w:val="Table Grid"/>
    <w:basedOn w:val="75"/>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77">
    <w:name w:val="Table Theme"/>
    <w:basedOn w:val="75"/>
    <w:autoRedefine/>
    <w:qFormat/>
    <w:uiPriority w:val="0"/>
    <w:pPr>
      <w:widowControl w:val="0"/>
      <w:spacing w:line="240" w:lineRule="exact"/>
      <w:jc w:val="both"/>
    </w:p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
    <w:trPr>
      <w:jc w:val="center"/>
    </w:trPr>
  </w:style>
  <w:style w:type="table" w:styleId="78">
    <w:name w:val="Table Classic 1"/>
    <w:basedOn w:val="75"/>
    <w:autoRedefine/>
    <w:qFormat/>
    <w:uiPriority w:val="0"/>
    <w:pPr>
      <w:widowControl w:val="0"/>
      <w:jc w:val="both"/>
    </w:p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79">
    <w:name w:val="Table Simple 1"/>
    <w:basedOn w:val="75"/>
    <w:autoRedefine/>
    <w:qFormat/>
    <w:uiPriority w:val="0"/>
    <w:pPr>
      <w:widowControl w:val="0"/>
      <w:jc w:val="both"/>
    </w:p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80">
    <w:name w:val="Table Subtle 1"/>
    <w:basedOn w:val="75"/>
    <w:autoRedefine/>
    <w:qFormat/>
    <w:uiPriority w:val="0"/>
    <w:pPr>
      <w:widowControl w:val="0"/>
      <w:topLinePunct/>
      <w:spacing w:line="529" w:lineRule="exact"/>
      <w:ind w:firstLine="480" w:firstLineChars="200"/>
      <w:jc w:val="both"/>
    </w:p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1">
    <w:name w:val="Table Grid 1"/>
    <w:basedOn w:val="7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2">
    <w:name w:val="Table Professional"/>
    <w:basedOn w:val="75"/>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84">
    <w:name w:val="Strong"/>
    <w:basedOn w:val="83"/>
    <w:autoRedefine/>
    <w:qFormat/>
    <w:uiPriority w:val="22"/>
    <w:rPr>
      <w:b/>
      <w:bCs/>
    </w:rPr>
  </w:style>
  <w:style w:type="character" w:styleId="85">
    <w:name w:val="page number"/>
    <w:basedOn w:val="83"/>
    <w:autoRedefine/>
    <w:qFormat/>
    <w:uiPriority w:val="0"/>
  </w:style>
  <w:style w:type="character" w:styleId="86">
    <w:name w:val="FollowedHyperlink"/>
    <w:autoRedefine/>
    <w:qFormat/>
    <w:uiPriority w:val="0"/>
    <w:rPr>
      <w:color w:val="800080"/>
      <w:u w:val="single"/>
    </w:rPr>
  </w:style>
  <w:style w:type="character" w:styleId="87">
    <w:name w:val="Emphasis"/>
    <w:basedOn w:val="83"/>
    <w:autoRedefine/>
    <w:qFormat/>
    <w:uiPriority w:val="20"/>
    <w:rPr>
      <w:i/>
      <w:iCs/>
    </w:rPr>
  </w:style>
  <w:style w:type="character" w:styleId="88">
    <w:name w:val="line number"/>
    <w:autoRedefine/>
    <w:qFormat/>
    <w:uiPriority w:val="0"/>
  </w:style>
  <w:style w:type="character" w:styleId="89">
    <w:name w:val="HTML Variable"/>
    <w:autoRedefine/>
    <w:qFormat/>
    <w:uiPriority w:val="0"/>
    <w:rPr>
      <w:i/>
      <w:iCs/>
    </w:rPr>
  </w:style>
  <w:style w:type="character" w:styleId="90">
    <w:name w:val="Hyperlink"/>
    <w:basedOn w:val="83"/>
    <w:autoRedefine/>
    <w:qFormat/>
    <w:uiPriority w:val="99"/>
    <w:rPr>
      <w:color w:val="136EC2"/>
      <w:u w:val="single"/>
    </w:rPr>
  </w:style>
  <w:style w:type="character" w:styleId="91">
    <w:name w:val="annotation reference"/>
    <w:basedOn w:val="83"/>
    <w:autoRedefine/>
    <w:qFormat/>
    <w:uiPriority w:val="0"/>
    <w:rPr>
      <w:sz w:val="21"/>
      <w:szCs w:val="21"/>
    </w:rPr>
  </w:style>
  <w:style w:type="character" w:styleId="92">
    <w:name w:val="footnote reference"/>
    <w:autoRedefine/>
    <w:qFormat/>
    <w:uiPriority w:val="0"/>
    <w:rPr>
      <w:vertAlign w:val="superscript"/>
    </w:rPr>
  </w:style>
  <w:style w:type="paragraph" w:customStyle="1" w:styleId="93">
    <w:name w:val="_Style 4"/>
    <w:next w:val="1"/>
    <w:autoRedefine/>
    <w:qFormat/>
    <w:uiPriority w:val="1"/>
    <w:pPr>
      <w:widowControl w:val="0"/>
      <w:jc w:val="both"/>
    </w:pPr>
    <w:rPr>
      <w:rFonts w:eastAsia="仿宋_GB2312" w:asciiTheme="minorHAnsi" w:hAnsiTheme="minorHAnsi" w:cstheme="minorBidi"/>
      <w:kern w:val="2"/>
      <w:sz w:val="24"/>
      <w:szCs w:val="22"/>
      <w:lang w:val="en-US" w:eastAsia="zh-CN" w:bidi="ar-SA"/>
    </w:rPr>
  </w:style>
  <w:style w:type="paragraph" w:customStyle="1" w:styleId="94">
    <w:name w:val="0正文"/>
    <w:basedOn w:val="32"/>
    <w:link w:val="754"/>
    <w:autoRedefine/>
    <w:qFormat/>
    <w:uiPriority w:val="0"/>
    <w:pPr>
      <w:spacing w:line="360" w:lineRule="auto"/>
      <w:ind w:firstLine="200" w:firstLineChars="200"/>
    </w:pPr>
    <w:rPr>
      <w:sz w:val="24"/>
      <w:szCs w:val="22"/>
    </w:rPr>
  </w:style>
  <w:style w:type="paragraph" w:customStyle="1" w:styleId="95">
    <w:name w:val="toc 75"/>
    <w:autoRedefine/>
    <w:qFormat/>
    <w:uiPriority w:val="0"/>
    <w:pPr>
      <w:wordWrap w:val="0"/>
      <w:ind w:left="2550"/>
      <w:jc w:val="both"/>
    </w:pPr>
    <w:rPr>
      <w:rFonts w:ascii="Times New Roman" w:hAnsi="Times New Roman" w:eastAsia="宋体" w:cs="Times New Roman"/>
      <w:sz w:val="21"/>
      <w:lang w:val="en-US" w:eastAsia="zh-CN" w:bidi="ar-SA"/>
    </w:rPr>
  </w:style>
  <w:style w:type="paragraph" w:customStyle="1" w:styleId="96">
    <w:name w:val="toc 65"/>
    <w:autoRedefine/>
    <w:qFormat/>
    <w:uiPriority w:val="99"/>
    <w:pPr>
      <w:wordWrap w:val="0"/>
      <w:ind w:left="2125"/>
      <w:jc w:val="both"/>
    </w:pPr>
    <w:rPr>
      <w:rFonts w:ascii="Times New Roman" w:hAnsi="Times New Roman" w:eastAsia="宋体" w:cs="Times New Roman"/>
      <w:sz w:val="21"/>
      <w:lang w:val="en-US" w:eastAsia="zh-CN" w:bidi="ar-SA"/>
    </w:rPr>
  </w:style>
  <w:style w:type="paragraph" w:customStyle="1" w:styleId="97">
    <w:name w:val="表内字"/>
    <w:link w:val="252"/>
    <w:autoRedefine/>
    <w:qFormat/>
    <w:uiPriority w:val="0"/>
    <w:pPr>
      <w:spacing w:line="312" w:lineRule="auto"/>
      <w:jc w:val="center"/>
    </w:pPr>
    <w:rPr>
      <w:rFonts w:ascii="Times New Roman" w:hAnsi="Times New Roman" w:eastAsia="宋体" w:cs="Times New Roman"/>
      <w:color w:val="000000"/>
      <w:sz w:val="21"/>
      <w:lang w:val="en-US" w:eastAsia="zh-CN" w:bidi="ar-SA"/>
    </w:rPr>
  </w:style>
  <w:style w:type="character" w:customStyle="1" w:styleId="98">
    <w:name w:val="ca-13"/>
    <w:basedOn w:val="83"/>
    <w:autoRedefine/>
    <w:qFormat/>
    <w:uiPriority w:val="0"/>
  </w:style>
  <w:style w:type="character" w:customStyle="1" w:styleId="99">
    <w:name w:val="ca-2"/>
    <w:basedOn w:val="83"/>
    <w:autoRedefine/>
    <w:qFormat/>
    <w:uiPriority w:val="0"/>
  </w:style>
  <w:style w:type="character" w:customStyle="1" w:styleId="100">
    <w:name w:val="style41"/>
    <w:basedOn w:val="83"/>
    <w:autoRedefine/>
    <w:qFormat/>
    <w:uiPriority w:val="0"/>
  </w:style>
  <w:style w:type="character" w:customStyle="1" w:styleId="101">
    <w:name w:val="样式 四号"/>
    <w:basedOn w:val="83"/>
    <w:autoRedefine/>
    <w:qFormat/>
    <w:uiPriority w:val="0"/>
    <w:rPr>
      <w:sz w:val="24"/>
    </w:rPr>
  </w:style>
  <w:style w:type="character" w:customStyle="1" w:styleId="102">
    <w:name w:val="grame"/>
    <w:basedOn w:val="83"/>
    <w:autoRedefine/>
    <w:qFormat/>
    <w:uiPriority w:val="0"/>
  </w:style>
  <w:style w:type="character" w:customStyle="1" w:styleId="103">
    <w:name w:val="ca-3"/>
    <w:basedOn w:val="83"/>
    <w:qFormat/>
    <w:uiPriority w:val="0"/>
  </w:style>
  <w:style w:type="character" w:customStyle="1" w:styleId="104">
    <w:name w:val="Style (Complex) 小三"/>
    <w:basedOn w:val="83"/>
    <w:qFormat/>
    <w:uiPriority w:val="0"/>
    <w:rPr>
      <w:sz w:val="24"/>
      <w:szCs w:val="30"/>
    </w:rPr>
  </w:style>
  <w:style w:type="paragraph" w:customStyle="1" w:styleId="105">
    <w:name w:val="正文内容"/>
    <w:basedOn w:val="1"/>
    <w:link w:val="254"/>
    <w:qFormat/>
    <w:uiPriority w:val="0"/>
    <w:pPr>
      <w:overflowPunct w:val="0"/>
      <w:topLinePunct/>
      <w:spacing w:beforeLines="50" w:line="360" w:lineRule="auto"/>
      <w:ind w:firstLine="200" w:firstLineChars="200"/>
    </w:pPr>
    <w:rPr>
      <w:bCs/>
      <w:color w:val="333333"/>
      <w:sz w:val="24"/>
    </w:rPr>
  </w:style>
  <w:style w:type="paragraph" w:customStyle="1" w:styleId="106">
    <w:name w:val="CEE正文"/>
    <w:basedOn w:val="1"/>
    <w:link w:val="255"/>
    <w:qFormat/>
    <w:uiPriority w:val="0"/>
    <w:pPr>
      <w:spacing w:line="312" w:lineRule="auto"/>
      <w:ind w:firstLine="200" w:firstLineChars="200"/>
    </w:pPr>
    <w:rPr>
      <w:kern w:val="0"/>
      <w:sz w:val="24"/>
    </w:rPr>
  </w:style>
  <w:style w:type="paragraph" w:customStyle="1" w:styleId="107">
    <w:name w:val="报告"/>
    <w:basedOn w:val="1"/>
    <w:link w:val="257"/>
    <w:autoRedefine/>
    <w:qFormat/>
    <w:uiPriority w:val="0"/>
    <w:pPr>
      <w:adjustRightInd w:val="0"/>
      <w:spacing w:line="360" w:lineRule="auto"/>
      <w:ind w:firstLine="505"/>
    </w:pPr>
    <w:rPr>
      <w:rFonts w:ascii="TimesNewRoman" w:hAnsi="TimesNewRoman"/>
      <w:sz w:val="24"/>
    </w:rPr>
  </w:style>
  <w:style w:type="character" w:customStyle="1" w:styleId="108">
    <w:name w:val="Style Black"/>
    <w:basedOn w:val="83"/>
    <w:qFormat/>
    <w:uiPriority w:val="0"/>
    <w:rPr>
      <w:color w:val="000000"/>
      <w:sz w:val="24"/>
    </w:rPr>
  </w:style>
  <w:style w:type="paragraph" w:customStyle="1" w:styleId="109">
    <w:name w:val="报告正文"/>
    <w:basedOn w:val="1"/>
    <w:link w:val="259"/>
    <w:autoRedefine/>
    <w:qFormat/>
    <w:uiPriority w:val="0"/>
    <w:pPr>
      <w:spacing w:line="360" w:lineRule="auto"/>
      <w:ind w:firstLine="482"/>
    </w:pPr>
    <w:rPr>
      <w:sz w:val="24"/>
      <w:szCs w:val="21"/>
    </w:rPr>
  </w:style>
  <w:style w:type="character" w:customStyle="1" w:styleId="110">
    <w:name w:val="ca-1"/>
    <w:basedOn w:val="83"/>
    <w:autoRedefine/>
    <w:qFormat/>
    <w:uiPriority w:val="0"/>
  </w:style>
  <w:style w:type="character" w:customStyle="1" w:styleId="111">
    <w:name w:val="Style (Complex) Bold Black"/>
    <w:basedOn w:val="83"/>
    <w:qFormat/>
    <w:uiPriority w:val="0"/>
    <w:rPr>
      <w:bCs/>
      <w:color w:val="000000"/>
      <w:sz w:val="24"/>
    </w:rPr>
  </w:style>
  <w:style w:type="character" w:customStyle="1" w:styleId="112">
    <w:name w:val="纯文本 Char Char Char Char Char Char"/>
    <w:basedOn w:val="83"/>
    <w:autoRedefine/>
    <w:qFormat/>
    <w:uiPriority w:val="0"/>
    <w:rPr>
      <w:rFonts w:ascii="宋体" w:eastAsia="宋体" w:cs="Courier New"/>
      <w:kern w:val="2"/>
      <w:sz w:val="21"/>
      <w:szCs w:val="21"/>
      <w:lang w:val="en-US" w:eastAsia="zh-CN" w:bidi="ar-SA"/>
    </w:rPr>
  </w:style>
  <w:style w:type="character" w:customStyle="1" w:styleId="113">
    <w:name w:val="hidden cinfo"/>
    <w:basedOn w:val="83"/>
    <w:qFormat/>
    <w:uiPriority w:val="0"/>
  </w:style>
  <w:style w:type="paragraph" w:customStyle="1" w:styleId="114">
    <w:name w:val="一级正文"/>
    <w:basedOn w:val="1"/>
    <w:link w:val="261"/>
    <w:autoRedefine/>
    <w:qFormat/>
    <w:uiPriority w:val="0"/>
    <w:pPr>
      <w:tabs>
        <w:tab w:val="left" w:pos="900"/>
      </w:tabs>
      <w:ind w:left="-35" w:leftChars="-100" w:right="210" w:hanging="65" w:hangingChars="65"/>
    </w:pPr>
    <w:rPr>
      <w:rFonts w:ascii="仿宋_GB2312" w:eastAsia="仿宋_GB2312"/>
      <w:sz w:val="32"/>
      <w:szCs w:val="32"/>
    </w:rPr>
  </w:style>
  <w:style w:type="character" w:customStyle="1" w:styleId="115">
    <w:name w:val="正文（首行缩进两字） Char"/>
    <w:qFormat/>
    <w:uiPriority w:val="0"/>
    <w:rPr>
      <w:rFonts w:eastAsia="宋体"/>
      <w:kern w:val="2"/>
      <w:sz w:val="21"/>
      <w:lang w:val="en-US" w:eastAsia="zh-CN" w:bidi="ar-SA"/>
    </w:rPr>
  </w:style>
  <w:style w:type="character" w:customStyle="1" w:styleId="116">
    <w:name w:val="a121"/>
    <w:basedOn w:val="83"/>
    <w:autoRedefine/>
    <w:qFormat/>
    <w:uiPriority w:val="0"/>
    <w:rPr>
      <w:rFonts w:ascii="ˎ̥" w:hAnsi="ˎ̥"/>
      <w:color w:val="004891"/>
      <w:sz w:val="18"/>
      <w:szCs w:val="18"/>
      <w:u w:val="none"/>
    </w:rPr>
  </w:style>
  <w:style w:type="paragraph" w:customStyle="1" w:styleId="117">
    <w:name w:val="表格内容"/>
    <w:basedOn w:val="1"/>
    <w:link w:val="262"/>
    <w:autoRedefine/>
    <w:qFormat/>
    <w:uiPriority w:val="0"/>
    <w:pPr>
      <w:overflowPunct w:val="0"/>
      <w:adjustRightInd w:val="0"/>
      <w:snapToGrid w:val="0"/>
      <w:spacing w:line="400" w:lineRule="atLeast"/>
      <w:jc w:val="center"/>
    </w:pPr>
    <w:rPr>
      <w:rFonts w:ascii="Arial" w:hAnsi="Arial" w:eastAsia="楷体_GB2312"/>
      <w:kern w:val="0"/>
      <w:sz w:val="26"/>
      <w:szCs w:val="20"/>
    </w:rPr>
  </w:style>
  <w:style w:type="paragraph" w:customStyle="1" w:styleId="118">
    <w:name w:val="表头"/>
    <w:basedOn w:val="109"/>
    <w:link w:val="263"/>
    <w:autoRedefine/>
    <w:qFormat/>
    <w:uiPriority w:val="0"/>
    <w:pPr>
      <w:adjustRightInd w:val="0"/>
      <w:snapToGrid w:val="0"/>
      <w:spacing w:line="480" w:lineRule="exact"/>
      <w:ind w:firstLine="0"/>
      <w:jc w:val="center"/>
    </w:pPr>
    <w:rPr>
      <w:rFonts w:ascii="黑体" w:eastAsia="黑体"/>
      <w:szCs w:val="20"/>
    </w:rPr>
  </w:style>
  <w:style w:type="character" w:customStyle="1" w:styleId="119">
    <w:name w:val="标题 3 Char Char"/>
    <w:autoRedefine/>
    <w:qFormat/>
    <w:uiPriority w:val="0"/>
    <w:rPr>
      <w:rFonts w:eastAsia="宋体"/>
      <w:b/>
      <w:sz w:val="32"/>
      <w:lang w:val="en-US" w:eastAsia="zh-CN" w:bidi="ar-SA"/>
    </w:rPr>
  </w:style>
  <w:style w:type="character" w:customStyle="1" w:styleId="120">
    <w:name w:val="style8"/>
    <w:basedOn w:val="83"/>
    <w:qFormat/>
    <w:uiPriority w:val="0"/>
  </w:style>
  <w:style w:type="character" w:customStyle="1" w:styleId="121">
    <w:name w:val="apple-style-span"/>
    <w:basedOn w:val="83"/>
    <w:qFormat/>
    <w:uiPriority w:val="0"/>
  </w:style>
  <w:style w:type="paragraph" w:customStyle="1" w:styleId="122">
    <w:name w:val="kk"/>
    <w:basedOn w:val="31"/>
    <w:qFormat/>
    <w:uiPriority w:val="0"/>
    <w:pPr>
      <w:autoSpaceDE w:val="0"/>
      <w:autoSpaceDN w:val="0"/>
      <w:adjustRightInd w:val="0"/>
      <w:spacing w:after="0" w:line="360" w:lineRule="auto"/>
    </w:pPr>
    <w:rPr>
      <w:spacing w:val="10"/>
      <w:kern w:val="0"/>
      <w:sz w:val="24"/>
      <w:szCs w:val="20"/>
    </w:rPr>
  </w:style>
  <w:style w:type="paragraph" w:customStyle="1" w:styleId="123">
    <w:name w:val="表内容"/>
    <w:basedOn w:val="1"/>
    <w:autoRedefine/>
    <w:qFormat/>
    <w:uiPriority w:val="0"/>
    <w:pPr>
      <w:jc w:val="center"/>
    </w:pPr>
  </w:style>
  <w:style w:type="paragraph" w:customStyle="1" w:styleId="124">
    <w:name w:val="Style First line:  2 ch"/>
    <w:basedOn w:val="1"/>
    <w:autoRedefine/>
    <w:qFormat/>
    <w:uiPriority w:val="0"/>
    <w:pPr>
      <w:spacing w:beforeLines="50" w:line="360" w:lineRule="auto"/>
      <w:ind w:firstLine="200" w:firstLineChars="200"/>
    </w:pPr>
    <w:rPr>
      <w:sz w:val="24"/>
      <w:szCs w:val="21"/>
    </w:rPr>
  </w:style>
  <w:style w:type="paragraph" w:customStyle="1" w:styleId="125">
    <w:name w:val="默认段落字体 Para Char"/>
    <w:basedOn w:val="1"/>
    <w:autoRedefine/>
    <w:qFormat/>
    <w:uiPriority w:val="0"/>
    <w:pPr>
      <w:spacing w:line="360" w:lineRule="auto"/>
      <w:ind w:firstLine="200" w:firstLineChars="200"/>
    </w:pPr>
    <w:rPr>
      <w:rFonts w:ascii="宋体" w:cs="宋体"/>
      <w:sz w:val="24"/>
    </w:rPr>
  </w:style>
  <w:style w:type="paragraph" w:customStyle="1" w:styleId="126">
    <w:name w:val="reader-word-layer reader-word-s1-11"/>
    <w:basedOn w:val="1"/>
    <w:autoRedefine/>
    <w:qFormat/>
    <w:uiPriority w:val="0"/>
    <w:pPr>
      <w:widowControl/>
      <w:spacing w:before="100" w:beforeAutospacing="1" w:after="100" w:afterAutospacing="1"/>
      <w:jc w:val="left"/>
    </w:pPr>
    <w:rPr>
      <w:rFonts w:ascii="宋体" w:cs="宋体"/>
      <w:kern w:val="0"/>
      <w:sz w:val="24"/>
    </w:rPr>
  </w:style>
  <w:style w:type="paragraph" w:customStyle="1" w:styleId="127">
    <w:name w:val="p0"/>
    <w:basedOn w:val="1"/>
    <w:qFormat/>
    <w:uiPriority w:val="0"/>
    <w:pPr>
      <w:widowControl/>
      <w:spacing w:line="400" w:lineRule="atLeast"/>
      <w:ind w:firstLine="420"/>
    </w:pPr>
    <w:rPr>
      <w:kern w:val="0"/>
      <w:sz w:val="24"/>
    </w:rPr>
  </w:style>
  <w:style w:type="paragraph" w:customStyle="1" w:styleId="128">
    <w:name w:val="样式 正文首行缩进 + 首行缩进:  2 字符1"/>
    <w:basedOn w:val="73"/>
    <w:link w:val="591"/>
    <w:autoRedefine/>
    <w:qFormat/>
    <w:uiPriority w:val="0"/>
    <w:pPr>
      <w:overflowPunct/>
      <w:autoSpaceDE/>
      <w:autoSpaceDN/>
      <w:adjustRightInd/>
      <w:ind w:firstLine="200" w:firstLineChars="200"/>
    </w:pPr>
    <w:rPr>
      <w:kern w:val="2"/>
      <w:sz w:val="24"/>
      <w:szCs w:val="24"/>
    </w:rPr>
  </w:style>
  <w:style w:type="paragraph" w:customStyle="1" w:styleId="129">
    <w:name w:val="章标题"/>
    <w:qFormat/>
    <w:uiPriority w:val="0"/>
    <w:pPr>
      <w:numPr>
        <w:ilvl w:val="1"/>
        <w:numId w:val="1"/>
      </w:num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customStyle="1" w:styleId="130">
    <w:name w:val="一级条标题"/>
    <w:basedOn w:val="129"/>
    <w:autoRedefine/>
    <w:qFormat/>
    <w:uiPriority w:val="0"/>
    <w:pPr>
      <w:numPr>
        <w:ilvl w:val="2"/>
        <w:numId w:val="0"/>
      </w:numPr>
      <w:tabs>
        <w:tab w:val="left" w:pos="360"/>
      </w:tabs>
      <w:spacing w:before="0" w:after="0"/>
      <w:outlineLvl w:val="2"/>
    </w:pPr>
  </w:style>
  <w:style w:type="paragraph" w:customStyle="1" w:styleId="131">
    <w:name w:val="二级条标题"/>
    <w:basedOn w:val="130"/>
    <w:qFormat/>
    <w:uiPriority w:val="0"/>
    <w:pPr>
      <w:numPr>
        <w:ilvl w:val="3"/>
        <w:numId w:val="0"/>
      </w:numPr>
      <w:outlineLvl w:val="3"/>
    </w:pPr>
  </w:style>
  <w:style w:type="paragraph" w:customStyle="1" w:styleId="132">
    <w:name w:val="pa-10"/>
    <w:basedOn w:val="1"/>
    <w:autoRedefine/>
    <w:qFormat/>
    <w:uiPriority w:val="0"/>
    <w:pPr>
      <w:widowControl/>
      <w:spacing w:before="100" w:beforeAutospacing="1" w:after="100" w:afterAutospacing="1"/>
      <w:jc w:val="left"/>
    </w:pPr>
    <w:rPr>
      <w:rFonts w:ascii="宋体" w:cs="宋体"/>
      <w:kern w:val="0"/>
      <w:sz w:val="24"/>
    </w:rPr>
  </w:style>
  <w:style w:type="paragraph" w:customStyle="1" w:styleId="133">
    <w:name w:val="样式 标题 3 + (西文) Times New Roman (中文) 宋体 小四 加粗"/>
    <w:basedOn w:val="1"/>
    <w:autoRedefine/>
    <w:qFormat/>
    <w:uiPriority w:val="0"/>
  </w:style>
  <w:style w:type="paragraph" w:customStyle="1" w:styleId="134">
    <w:name w:val="reader-word-layer reader-word-s1-5"/>
    <w:basedOn w:val="1"/>
    <w:qFormat/>
    <w:uiPriority w:val="0"/>
    <w:pPr>
      <w:widowControl/>
      <w:spacing w:before="100" w:beforeAutospacing="1" w:after="100" w:afterAutospacing="1"/>
      <w:jc w:val="left"/>
    </w:pPr>
    <w:rPr>
      <w:rFonts w:ascii="宋体" w:cs="宋体"/>
      <w:kern w:val="0"/>
      <w:sz w:val="24"/>
    </w:rPr>
  </w:style>
  <w:style w:type="paragraph" w:customStyle="1" w:styleId="135">
    <w:name w:val="三级条标题"/>
    <w:basedOn w:val="131"/>
    <w:qFormat/>
    <w:uiPriority w:val="0"/>
    <w:pPr>
      <w:numPr>
        <w:ilvl w:val="4"/>
        <w:numId w:val="0"/>
      </w:numPr>
      <w:outlineLvl w:val="4"/>
    </w:pPr>
  </w:style>
  <w:style w:type="paragraph" w:customStyle="1" w:styleId="136">
    <w:name w:val="四级条标题"/>
    <w:basedOn w:val="135"/>
    <w:autoRedefine/>
    <w:qFormat/>
    <w:uiPriority w:val="0"/>
    <w:pPr>
      <w:numPr>
        <w:ilvl w:val="5"/>
        <w:numId w:val="0"/>
      </w:numPr>
      <w:outlineLvl w:val="5"/>
    </w:pPr>
  </w:style>
  <w:style w:type="paragraph" w:customStyle="1" w:styleId="137">
    <w:name w:val="五级条标题"/>
    <w:basedOn w:val="136"/>
    <w:autoRedefine/>
    <w:qFormat/>
    <w:uiPriority w:val="0"/>
    <w:pPr>
      <w:numPr>
        <w:ilvl w:val="6"/>
        <w:numId w:val="0"/>
      </w:numPr>
      <w:outlineLvl w:val="6"/>
    </w:pPr>
  </w:style>
  <w:style w:type="paragraph" w:customStyle="1" w:styleId="138">
    <w:name w:val="列出段落1"/>
    <w:basedOn w:val="1"/>
    <w:autoRedefine/>
    <w:qFormat/>
    <w:uiPriority w:val="0"/>
    <w:pPr>
      <w:ind w:firstLine="200" w:firstLineChars="200"/>
    </w:pPr>
    <w:rPr>
      <w:rFonts w:ascii="Calibri" w:hAnsi="Calibri"/>
      <w:szCs w:val="22"/>
    </w:rPr>
  </w:style>
  <w:style w:type="paragraph" w:customStyle="1" w:styleId="139">
    <w:name w:val="Style First line:  2 ch2"/>
    <w:basedOn w:val="1"/>
    <w:autoRedefine/>
    <w:qFormat/>
    <w:uiPriority w:val="0"/>
    <w:pPr>
      <w:tabs>
        <w:tab w:val="left" w:pos="3705"/>
      </w:tabs>
      <w:spacing w:beforeLines="50" w:line="360" w:lineRule="auto"/>
      <w:ind w:firstLine="200" w:firstLineChars="200"/>
    </w:pPr>
    <w:rPr>
      <w:sz w:val="24"/>
      <w:szCs w:val="21"/>
    </w:rPr>
  </w:style>
  <w:style w:type="paragraph" w:customStyle="1" w:styleId="140">
    <w:name w:val="表中正文"/>
    <w:basedOn w:val="1"/>
    <w:qFormat/>
    <w:uiPriority w:val="0"/>
    <w:pPr>
      <w:tabs>
        <w:tab w:val="left" w:pos="958"/>
        <w:tab w:val="left" w:pos="7320"/>
        <w:tab w:val="left" w:pos="8160"/>
      </w:tabs>
      <w:adjustRightInd w:val="0"/>
      <w:spacing w:line="360" w:lineRule="atLeast"/>
      <w:ind w:right="113"/>
      <w:jc w:val="center"/>
    </w:pPr>
    <w:rPr>
      <w:rFonts w:ascii="宋体"/>
      <w:spacing w:val="6"/>
      <w:kern w:val="20"/>
    </w:rPr>
  </w:style>
  <w:style w:type="paragraph" w:customStyle="1" w:styleId="141">
    <w:name w:val="Char"/>
    <w:basedOn w:val="1"/>
    <w:autoRedefine/>
    <w:qFormat/>
    <w:uiPriority w:val="0"/>
  </w:style>
  <w:style w:type="paragraph" w:customStyle="1" w:styleId="142">
    <w:name w:val="正文样式11"/>
    <w:basedOn w:val="1"/>
    <w:autoRedefine/>
    <w:qFormat/>
    <w:uiPriority w:val="0"/>
    <w:pPr>
      <w:spacing w:beforeLines="50" w:line="360" w:lineRule="auto"/>
      <w:ind w:firstLine="200" w:firstLineChars="200"/>
    </w:pPr>
    <w:rPr>
      <w:bCs/>
      <w:color w:val="FF0000"/>
      <w:kern w:val="10"/>
      <w:sz w:val="24"/>
    </w:rPr>
  </w:style>
  <w:style w:type="paragraph" w:customStyle="1" w:styleId="143">
    <w:name w:val="默认段落字体 Para Char Char Char Char Char Char Char"/>
    <w:basedOn w:val="25"/>
    <w:qFormat/>
    <w:uiPriority w:val="0"/>
    <w:pPr>
      <w:spacing w:beforeLines="100" w:afterLines="100" w:line="360" w:lineRule="auto"/>
    </w:pPr>
    <w:rPr>
      <w:rFonts w:ascii="Tahoma" w:hAnsi="Tahoma"/>
      <w:sz w:val="24"/>
    </w:rPr>
  </w:style>
  <w:style w:type="paragraph" w:customStyle="1" w:styleId="144">
    <w:name w:val="reader-word-layer reader-word-s1-6"/>
    <w:basedOn w:val="1"/>
    <w:autoRedefine/>
    <w:qFormat/>
    <w:uiPriority w:val="0"/>
    <w:pPr>
      <w:widowControl/>
      <w:spacing w:before="100" w:beforeAutospacing="1" w:after="100" w:afterAutospacing="1"/>
      <w:jc w:val="left"/>
    </w:pPr>
    <w:rPr>
      <w:rFonts w:ascii="宋体" w:cs="宋体"/>
      <w:kern w:val="0"/>
      <w:sz w:val="24"/>
    </w:rPr>
  </w:style>
  <w:style w:type="paragraph" w:customStyle="1" w:styleId="145">
    <w:name w:val="Body Text 22"/>
    <w:basedOn w:val="1"/>
    <w:autoRedefine/>
    <w:qFormat/>
    <w:uiPriority w:val="0"/>
    <w:pPr>
      <w:adjustRightInd w:val="0"/>
      <w:spacing w:line="440" w:lineRule="atLeast"/>
      <w:ind w:firstLine="480"/>
    </w:pPr>
    <w:rPr>
      <w:rFonts w:eastAsia="仿宋_GB2312"/>
      <w:sz w:val="24"/>
      <w:szCs w:val="20"/>
    </w:rPr>
  </w:style>
  <w:style w:type="paragraph" w:customStyle="1" w:styleId="146">
    <w:name w:val="前言、引言标题"/>
    <w:qFormat/>
    <w:uiPriority w:val="0"/>
    <w:pPr>
      <w:numPr>
        <w:ilvl w:val="0"/>
        <w:numId w:val="1"/>
      </w:num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147">
    <w:name w:val="table"/>
    <w:basedOn w:val="1"/>
    <w:qFormat/>
    <w:uiPriority w:val="0"/>
    <w:pPr>
      <w:spacing w:before="156"/>
      <w:jc w:val="center"/>
    </w:pPr>
    <w:rPr>
      <w:rFonts w:ascii="宋体" w:cs="宋体"/>
      <w:b/>
      <w:iCs/>
      <w:szCs w:val="21"/>
    </w:rPr>
  </w:style>
  <w:style w:type="paragraph" w:customStyle="1" w:styleId="148">
    <w:name w:val="正文1"/>
    <w:link w:val="298"/>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149">
    <w:name w:val="reader-word-layer reader-word-s1-1"/>
    <w:basedOn w:val="1"/>
    <w:qFormat/>
    <w:uiPriority w:val="0"/>
    <w:pPr>
      <w:widowControl/>
      <w:spacing w:before="100" w:beforeAutospacing="1" w:after="100" w:afterAutospacing="1"/>
      <w:jc w:val="left"/>
    </w:pPr>
    <w:rPr>
      <w:rFonts w:ascii="宋体" w:cs="宋体"/>
      <w:kern w:val="0"/>
      <w:sz w:val="24"/>
    </w:rPr>
  </w:style>
  <w:style w:type="paragraph" w:customStyle="1" w:styleId="150">
    <w:name w:val="正文首行缩进＋湿地"/>
    <w:basedOn w:val="1"/>
    <w:autoRedefine/>
    <w:qFormat/>
    <w:uiPriority w:val="0"/>
    <w:pPr>
      <w:spacing w:line="440" w:lineRule="exact"/>
      <w:ind w:firstLine="225" w:firstLineChars="225"/>
    </w:pPr>
    <w:rPr>
      <w:rFonts w:ascii="仿宋_GB2312" w:eastAsia="仿宋_GB2312"/>
      <w:kern w:val="0"/>
      <w:sz w:val="28"/>
      <w:szCs w:val="20"/>
    </w:rPr>
  </w:style>
  <w:style w:type="paragraph" w:customStyle="1" w:styleId="151">
    <w:name w:val="Char Char1"/>
    <w:basedOn w:val="1"/>
    <w:qFormat/>
    <w:uiPriority w:val="0"/>
    <w:pPr>
      <w:spacing w:line="560" w:lineRule="exact"/>
      <w:ind w:firstLine="200" w:firstLineChars="200"/>
    </w:pPr>
    <w:rPr>
      <w:rFonts w:ascii="宋体" w:cs="宋体"/>
      <w:sz w:val="28"/>
      <w:szCs w:val="28"/>
    </w:rPr>
  </w:style>
  <w:style w:type="paragraph" w:customStyle="1" w:styleId="152">
    <w:name w:val="_Style 36"/>
    <w:basedOn w:val="1"/>
    <w:autoRedefine/>
    <w:qFormat/>
    <w:uiPriority w:val="0"/>
    <w:pPr>
      <w:widowControl/>
      <w:jc w:val="left"/>
    </w:pPr>
    <w:rPr>
      <w:kern w:val="0"/>
      <w:sz w:val="28"/>
      <w:szCs w:val="20"/>
    </w:rPr>
  </w:style>
  <w:style w:type="paragraph" w:customStyle="1" w:styleId="153">
    <w:name w:val="reader-word-layer reader-word-s1-4"/>
    <w:basedOn w:val="1"/>
    <w:autoRedefine/>
    <w:qFormat/>
    <w:uiPriority w:val="0"/>
    <w:pPr>
      <w:widowControl/>
      <w:spacing w:before="100" w:beforeAutospacing="1" w:after="100" w:afterAutospacing="1"/>
      <w:jc w:val="left"/>
    </w:pPr>
    <w:rPr>
      <w:rFonts w:ascii="宋体" w:cs="宋体"/>
      <w:kern w:val="0"/>
      <w:sz w:val="24"/>
    </w:rPr>
  </w:style>
  <w:style w:type="paragraph" w:customStyle="1" w:styleId="154">
    <w:name w:val="reader-word-layer reader-word-s1-7"/>
    <w:basedOn w:val="1"/>
    <w:qFormat/>
    <w:uiPriority w:val="0"/>
    <w:pPr>
      <w:widowControl/>
      <w:spacing w:before="100" w:beforeAutospacing="1" w:after="100" w:afterAutospacing="1"/>
      <w:jc w:val="left"/>
    </w:pPr>
    <w:rPr>
      <w:rFonts w:ascii="宋体" w:cs="宋体"/>
      <w:kern w:val="0"/>
      <w:sz w:val="24"/>
    </w:rPr>
  </w:style>
  <w:style w:type="paragraph" w:customStyle="1" w:styleId="155">
    <w:name w:val="Style Black First line:  2 ch"/>
    <w:basedOn w:val="1"/>
    <w:autoRedefine/>
    <w:qFormat/>
    <w:uiPriority w:val="0"/>
    <w:pPr>
      <w:spacing w:beforeLines="50" w:line="360" w:lineRule="auto"/>
      <w:ind w:firstLine="200" w:firstLineChars="200"/>
    </w:pPr>
    <w:rPr>
      <w:color w:val="000000"/>
      <w:sz w:val="24"/>
      <w:szCs w:val="21"/>
    </w:rPr>
  </w:style>
  <w:style w:type="paragraph" w:customStyle="1" w:styleId="156">
    <w:name w:val="Style First line:  0.85 cm"/>
    <w:basedOn w:val="1"/>
    <w:qFormat/>
    <w:uiPriority w:val="0"/>
    <w:pPr>
      <w:spacing w:line="360" w:lineRule="auto"/>
      <w:ind w:firstLine="480"/>
    </w:pPr>
    <w:rPr>
      <w:sz w:val="24"/>
      <w:szCs w:val="21"/>
    </w:rPr>
  </w:style>
  <w:style w:type="paragraph" w:customStyle="1" w:styleId="157">
    <w:name w:val="pa-8"/>
    <w:basedOn w:val="1"/>
    <w:autoRedefine/>
    <w:qFormat/>
    <w:uiPriority w:val="0"/>
    <w:pPr>
      <w:widowControl/>
      <w:spacing w:before="100" w:beforeAutospacing="1" w:after="100" w:afterAutospacing="1"/>
      <w:jc w:val="left"/>
    </w:pPr>
    <w:rPr>
      <w:rFonts w:ascii="宋体" w:cs="宋体"/>
      <w:kern w:val="0"/>
      <w:sz w:val="24"/>
    </w:rPr>
  </w:style>
  <w:style w:type="paragraph" w:customStyle="1" w:styleId="158">
    <w:name w:val="编号文字"/>
    <w:basedOn w:val="1"/>
    <w:qFormat/>
    <w:uiPriority w:val="0"/>
    <w:pPr>
      <w:numPr>
        <w:ilvl w:val="0"/>
        <w:numId w:val="2"/>
      </w:numPr>
      <w:snapToGrid w:val="0"/>
      <w:spacing w:line="440" w:lineRule="exact"/>
    </w:pPr>
    <w:rPr>
      <w:kern w:val="0"/>
      <w:sz w:val="24"/>
      <w:szCs w:val="20"/>
    </w:rPr>
  </w:style>
  <w:style w:type="paragraph" w:customStyle="1" w:styleId="159">
    <w:name w:val="Char4 Char Char Char Char Char Char1"/>
    <w:basedOn w:val="1"/>
    <w:autoRedefine/>
    <w:qFormat/>
    <w:uiPriority w:val="0"/>
    <w:pPr>
      <w:spacing w:line="360" w:lineRule="auto"/>
      <w:ind w:firstLine="200" w:firstLineChars="200"/>
    </w:pPr>
    <w:rPr>
      <w:rFonts w:ascii="宋体" w:cs="宋体"/>
      <w:sz w:val="24"/>
    </w:rPr>
  </w:style>
  <w:style w:type="paragraph" w:customStyle="1" w:styleId="160">
    <w:name w:val="Char Char Char Char Char2 Char"/>
    <w:basedOn w:val="1"/>
    <w:autoRedefine/>
    <w:qFormat/>
    <w:uiPriority w:val="0"/>
    <w:pPr>
      <w:adjustRightInd w:val="0"/>
      <w:snapToGrid w:val="0"/>
      <w:spacing w:line="360" w:lineRule="auto"/>
      <w:ind w:firstLine="200" w:firstLineChars="200"/>
    </w:pPr>
    <w:rPr>
      <w:rFonts w:ascii="宋体" w:cs="宋体"/>
      <w:sz w:val="24"/>
      <w:szCs w:val="26"/>
    </w:rPr>
  </w:style>
  <w:style w:type="paragraph" w:customStyle="1" w:styleId="161">
    <w:name w:val="Char Char Char Char Char Char1 Char Char Char Char"/>
    <w:basedOn w:val="1"/>
    <w:autoRedefine/>
    <w:qFormat/>
    <w:uiPriority w:val="0"/>
    <w:rPr>
      <w:szCs w:val="20"/>
    </w:rPr>
  </w:style>
  <w:style w:type="paragraph" w:customStyle="1" w:styleId="162">
    <w:name w:val="工艺统一正文"/>
    <w:basedOn w:val="1"/>
    <w:autoRedefine/>
    <w:qFormat/>
    <w:uiPriority w:val="0"/>
    <w:pPr>
      <w:adjustRightInd w:val="0"/>
      <w:snapToGrid w:val="0"/>
      <w:spacing w:line="360" w:lineRule="auto"/>
      <w:ind w:firstLine="578"/>
    </w:pPr>
    <w:rPr>
      <w:rFonts w:ascii="宋体"/>
      <w:sz w:val="28"/>
      <w:szCs w:val="20"/>
    </w:rPr>
  </w:style>
  <w:style w:type="paragraph" w:customStyle="1" w:styleId="163">
    <w:name w:val="默认段落字体 Para Char Char Char Char"/>
    <w:basedOn w:val="1"/>
    <w:qFormat/>
    <w:uiPriority w:val="0"/>
    <w:rPr>
      <w:sz w:val="24"/>
    </w:rPr>
  </w:style>
  <w:style w:type="paragraph" w:customStyle="1" w:styleId="164">
    <w:name w:val="正文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5">
    <w:name w:val="正文 New New New New New New New New New New New New New New New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66">
    <w:name w:val="样式1"/>
    <w:basedOn w:val="1"/>
    <w:link w:val="518"/>
    <w:autoRedefine/>
    <w:qFormat/>
    <w:uiPriority w:val="0"/>
    <w:pPr>
      <w:numPr>
        <w:ilvl w:val="0"/>
        <w:numId w:val="3"/>
      </w:numPr>
      <w:tabs>
        <w:tab w:val="left" w:pos="1021"/>
      </w:tabs>
      <w:snapToGrid w:val="0"/>
      <w:spacing w:line="560" w:lineRule="atLeast"/>
      <w:ind w:left="0" w:firstLine="567"/>
    </w:pPr>
    <w:rPr>
      <w:rFonts w:ascii="仿宋_GB2312" w:eastAsia="仿宋_GB2312"/>
      <w:sz w:val="28"/>
      <w:szCs w:val="20"/>
    </w:rPr>
  </w:style>
  <w:style w:type="paragraph" w:customStyle="1" w:styleId="167">
    <w:name w:val="xl24"/>
    <w:basedOn w:val="1"/>
    <w:autoRedefine/>
    <w:qFormat/>
    <w:uiPriority w:val="0"/>
    <w:pPr>
      <w:widowControl/>
      <w:spacing w:before="100" w:beforeAutospacing="1" w:after="100" w:afterAutospacing="1"/>
      <w:jc w:val="center"/>
    </w:pPr>
    <w:rPr>
      <w:rFonts w:ascii="宋体"/>
      <w:kern w:val="0"/>
      <w:sz w:val="24"/>
    </w:rPr>
  </w:style>
  <w:style w:type="paragraph" w:customStyle="1" w:styleId="168">
    <w:name w:val="表格正文"/>
    <w:basedOn w:val="1"/>
    <w:autoRedefine/>
    <w:qFormat/>
    <w:uiPriority w:val="0"/>
    <w:pPr>
      <w:adjustRightInd w:val="0"/>
      <w:snapToGrid w:val="0"/>
      <w:jc w:val="center"/>
    </w:pPr>
    <w:rPr>
      <w:rFonts w:ascii="宋体"/>
      <w:spacing w:val="4"/>
      <w:w w:val="90"/>
      <w:kern w:val="0"/>
    </w:rPr>
  </w:style>
  <w:style w:type="paragraph" w:customStyle="1" w:styleId="169">
    <w:name w:val="09.12.10"/>
    <w:basedOn w:val="1"/>
    <w:link w:val="267"/>
    <w:autoRedefine/>
    <w:qFormat/>
    <w:uiPriority w:val="0"/>
    <w:pPr>
      <w:adjustRightInd w:val="0"/>
      <w:snapToGrid w:val="0"/>
      <w:spacing w:line="336" w:lineRule="auto"/>
      <w:ind w:firstLine="200" w:firstLineChars="200"/>
    </w:pPr>
    <w:rPr>
      <w:rFonts w:ascii="宋体"/>
      <w:bCs/>
      <w:kern w:val="0"/>
      <w:sz w:val="28"/>
      <w:szCs w:val="20"/>
    </w:rPr>
  </w:style>
  <w:style w:type="paragraph" w:customStyle="1" w:styleId="170">
    <w:name w:val="7"/>
    <w:basedOn w:val="1"/>
    <w:link w:val="268"/>
    <w:qFormat/>
    <w:uiPriority w:val="0"/>
    <w:pPr>
      <w:autoSpaceDE w:val="0"/>
      <w:autoSpaceDN w:val="0"/>
      <w:adjustRightInd w:val="0"/>
      <w:snapToGrid w:val="0"/>
      <w:spacing w:line="360" w:lineRule="auto"/>
      <w:ind w:firstLine="200" w:firstLineChars="200"/>
    </w:pPr>
    <w:rPr>
      <w:sz w:val="28"/>
      <w:szCs w:val="28"/>
    </w:rPr>
  </w:style>
  <w:style w:type="paragraph" w:customStyle="1" w:styleId="171">
    <w:name w:val="表格文字"/>
    <w:basedOn w:val="63"/>
    <w:link w:val="269"/>
    <w:autoRedefine/>
    <w:qFormat/>
    <w:uiPriority w:val="0"/>
    <w:pPr>
      <w:autoSpaceDE w:val="0"/>
      <w:autoSpaceDN w:val="0"/>
      <w:adjustRightInd w:val="0"/>
      <w:snapToGrid w:val="0"/>
      <w:spacing w:before="40" w:after="40" w:line="400" w:lineRule="exact"/>
      <w:jc w:val="center"/>
    </w:pPr>
    <w:rPr>
      <w:kern w:val="24"/>
    </w:rPr>
  </w:style>
  <w:style w:type="paragraph" w:customStyle="1" w:styleId="172">
    <w:name w:val="Char Char Char Char"/>
    <w:basedOn w:val="1"/>
    <w:autoRedefine/>
    <w:qFormat/>
    <w:uiPriority w:val="0"/>
    <w:pPr>
      <w:spacing w:line="360" w:lineRule="auto"/>
      <w:ind w:firstLine="200" w:firstLineChars="200"/>
    </w:pPr>
    <w:rPr>
      <w:sz w:val="28"/>
    </w:rPr>
  </w:style>
  <w:style w:type="paragraph" w:customStyle="1" w:styleId="173">
    <w:name w:val="Char Char Char"/>
    <w:basedOn w:val="1"/>
    <w:autoRedefine/>
    <w:qFormat/>
    <w:uiPriority w:val="0"/>
    <w:pPr>
      <w:spacing w:line="360" w:lineRule="auto"/>
      <w:ind w:firstLine="200" w:firstLineChars="200"/>
    </w:pPr>
    <w:rPr>
      <w:rFonts w:ascii="宋体" w:cs="宋体"/>
      <w:sz w:val="24"/>
    </w:rPr>
  </w:style>
  <w:style w:type="paragraph" w:customStyle="1" w:styleId="174">
    <w:name w:val="正文(首行缩进)"/>
    <w:basedOn w:val="1"/>
    <w:link w:val="244"/>
    <w:qFormat/>
    <w:uiPriority w:val="0"/>
    <w:pPr>
      <w:spacing w:line="360" w:lineRule="auto"/>
    </w:pPr>
    <w:rPr>
      <w:rFonts w:ascii="宋体"/>
      <w:bCs/>
      <w:spacing w:val="2"/>
      <w:kern w:val="0"/>
      <w:sz w:val="24"/>
    </w:rPr>
  </w:style>
  <w:style w:type="paragraph" w:customStyle="1" w:styleId="175">
    <w:name w:val="表格（窄）"/>
    <w:basedOn w:val="1"/>
    <w:autoRedefine/>
    <w:qFormat/>
    <w:uiPriority w:val="0"/>
    <w:pPr>
      <w:jc w:val="center"/>
    </w:pPr>
    <w:rPr>
      <w:kern w:val="0"/>
    </w:rPr>
  </w:style>
  <w:style w:type="paragraph" w:customStyle="1" w:styleId="176">
    <w:name w:val="段落"/>
    <w:basedOn w:val="1"/>
    <w:qFormat/>
    <w:uiPriority w:val="0"/>
    <w:pPr>
      <w:adjustRightInd w:val="0"/>
      <w:spacing w:line="400" w:lineRule="atLeast"/>
      <w:ind w:firstLine="482"/>
    </w:pPr>
    <w:rPr>
      <w:kern w:val="0"/>
      <w:sz w:val="24"/>
      <w:szCs w:val="20"/>
    </w:rPr>
  </w:style>
  <w:style w:type="paragraph" w:customStyle="1" w:styleId="177">
    <w:name w:val="正文（首行缩进）"/>
    <w:basedOn w:val="1"/>
    <w:link w:val="301"/>
    <w:autoRedefine/>
    <w:qFormat/>
    <w:uiPriority w:val="0"/>
    <w:pPr>
      <w:widowControl/>
      <w:spacing w:line="360" w:lineRule="auto"/>
      <w:ind w:firstLine="200" w:firstLineChars="200"/>
      <w:jc w:val="left"/>
    </w:pPr>
    <w:rPr>
      <w:rFonts w:ascii="宋体"/>
      <w:color w:val="000000"/>
      <w:sz w:val="24"/>
      <w:szCs w:val="20"/>
    </w:rPr>
  </w:style>
  <w:style w:type="paragraph" w:customStyle="1" w:styleId="178">
    <w:name w:val="正文11"/>
    <w:basedOn w:val="1"/>
    <w:link w:val="270"/>
    <w:autoRedefine/>
    <w:qFormat/>
    <w:uiPriority w:val="0"/>
    <w:pPr>
      <w:autoSpaceDE w:val="0"/>
      <w:autoSpaceDN w:val="0"/>
      <w:adjustRightInd w:val="0"/>
      <w:spacing w:line="360" w:lineRule="auto"/>
      <w:ind w:firstLine="200" w:firstLineChars="200"/>
    </w:pPr>
    <w:rPr>
      <w:rFonts w:ascii="宋体" w:cs="宋体"/>
      <w:sz w:val="24"/>
    </w:rPr>
  </w:style>
  <w:style w:type="paragraph" w:customStyle="1" w:styleId="179">
    <w:name w:val="表格"/>
    <w:basedOn w:val="1"/>
    <w:link w:val="271"/>
    <w:qFormat/>
    <w:uiPriority w:val="0"/>
    <w:pPr>
      <w:spacing w:beforeLines="20" w:afterLines="20"/>
      <w:jc w:val="center"/>
    </w:pPr>
    <w:rPr>
      <w:szCs w:val="21"/>
    </w:rPr>
  </w:style>
  <w:style w:type="paragraph" w:customStyle="1" w:styleId="180">
    <w:name w:val="正文3"/>
    <w:basedOn w:val="1"/>
    <w:link w:val="272"/>
    <w:qFormat/>
    <w:uiPriority w:val="0"/>
    <w:pPr>
      <w:spacing w:line="529" w:lineRule="exact"/>
      <w:ind w:firstLine="200" w:firstLineChars="200"/>
    </w:pPr>
    <w:rPr>
      <w:rFonts w:ascii="宋体"/>
      <w:sz w:val="24"/>
    </w:rPr>
  </w:style>
  <w:style w:type="paragraph" w:customStyle="1" w:styleId="181">
    <w:name w:val="Char Char Char Char Char Char Char Char Char Char"/>
    <w:basedOn w:val="1"/>
    <w:autoRedefine/>
    <w:qFormat/>
    <w:uiPriority w:val="0"/>
    <w:pPr>
      <w:jc w:val="left"/>
    </w:pPr>
    <w:rPr>
      <w:szCs w:val="21"/>
    </w:rPr>
  </w:style>
  <w:style w:type="paragraph" w:customStyle="1" w:styleId="182">
    <w:name w:val="B3"/>
    <w:basedOn w:val="1"/>
    <w:link w:val="273"/>
    <w:autoRedefine/>
    <w:qFormat/>
    <w:uiPriority w:val="0"/>
    <w:pPr>
      <w:adjustRightInd w:val="0"/>
      <w:ind w:firstLine="192" w:firstLineChars="192"/>
    </w:pPr>
    <w:rPr>
      <w:b/>
      <w:sz w:val="28"/>
      <w:szCs w:val="28"/>
    </w:rPr>
  </w:style>
  <w:style w:type="character" w:customStyle="1" w:styleId="183">
    <w:name w:val="正文缩进 Char1"/>
    <w:autoRedefine/>
    <w:qFormat/>
    <w:uiPriority w:val="0"/>
    <w:rPr>
      <w:color w:val="000000"/>
      <w:sz w:val="24"/>
      <w:szCs w:val="18"/>
    </w:rPr>
  </w:style>
  <w:style w:type="paragraph" w:customStyle="1" w:styleId="184">
    <w:name w:val="表文字"/>
    <w:basedOn w:val="1"/>
    <w:link w:val="248"/>
    <w:autoRedefine/>
    <w:qFormat/>
    <w:uiPriority w:val="0"/>
    <w:pPr>
      <w:spacing w:line="240" w:lineRule="exact"/>
      <w:jc w:val="center"/>
    </w:pPr>
    <w:rPr>
      <w:sz w:val="24"/>
    </w:rPr>
  </w:style>
  <w:style w:type="character" w:customStyle="1" w:styleId="185">
    <w:name w:val="7 Char Char"/>
    <w:basedOn w:val="83"/>
    <w:qFormat/>
    <w:uiPriority w:val="0"/>
    <w:rPr>
      <w:rFonts w:eastAsia="宋体"/>
      <w:spacing w:val="0"/>
      <w:kern w:val="2"/>
      <w:sz w:val="28"/>
      <w:szCs w:val="28"/>
      <w:lang w:val="en-US" w:eastAsia="zh-CN" w:bidi="ar-SA"/>
    </w:rPr>
  </w:style>
  <w:style w:type="paragraph" w:customStyle="1" w:styleId="186">
    <w:name w:val="表、图名"/>
    <w:basedOn w:val="1"/>
    <w:link w:val="274"/>
    <w:autoRedefine/>
    <w:qFormat/>
    <w:uiPriority w:val="0"/>
    <w:pPr>
      <w:adjustRightInd w:val="0"/>
      <w:snapToGrid w:val="0"/>
      <w:jc w:val="center"/>
    </w:pPr>
    <w:rPr>
      <w:rFonts w:ascii="黑体" w:eastAsia="黑体"/>
      <w:color w:val="000000"/>
      <w:kern w:val="0"/>
      <w:sz w:val="24"/>
    </w:rPr>
  </w:style>
  <w:style w:type="paragraph" w:customStyle="1" w:styleId="187">
    <w:name w:val="表体"/>
    <w:basedOn w:val="31"/>
    <w:link w:val="624"/>
    <w:autoRedefine/>
    <w:qFormat/>
    <w:uiPriority w:val="0"/>
    <w:pPr>
      <w:spacing w:after="0" w:line="280" w:lineRule="exact"/>
      <w:jc w:val="center"/>
    </w:pPr>
    <w:rPr>
      <w:rFonts w:ascii="宋体"/>
      <w:sz w:val="18"/>
    </w:rPr>
  </w:style>
  <w:style w:type="paragraph" w:customStyle="1" w:styleId="188">
    <w:name w:val="11"/>
    <w:basedOn w:val="33"/>
    <w:link w:val="275"/>
    <w:autoRedefine/>
    <w:qFormat/>
    <w:uiPriority w:val="0"/>
    <w:pPr>
      <w:pBdr>
        <w:bottom w:val="none" w:color="auto" w:sz="0" w:space="0"/>
      </w:pBdr>
      <w:tabs>
        <w:tab w:val="clear" w:pos="4153"/>
        <w:tab w:val="clear" w:pos="8306"/>
      </w:tabs>
      <w:autoSpaceDE w:val="0"/>
      <w:autoSpaceDN w:val="0"/>
      <w:adjustRightInd w:val="0"/>
      <w:snapToGrid/>
      <w:spacing w:line="360" w:lineRule="auto"/>
      <w:ind w:firstLine="200" w:firstLineChars="200"/>
      <w:jc w:val="left"/>
    </w:pPr>
    <w:rPr>
      <w:rFonts w:ascii="宋体"/>
      <w:kern w:val="0"/>
      <w:sz w:val="28"/>
      <w:szCs w:val="28"/>
    </w:rPr>
  </w:style>
  <w:style w:type="paragraph" w:customStyle="1" w:styleId="189">
    <w:name w:val="样式经"/>
    <w:basedOn w:val="1"/>
    <w:autoRedefine/>
    <w:qFormat/>
    <w:uiPriority w:val="0"/>
    <w:pPr>
      <w:adjustRightInd w:val="0"/>
      <w:snapToGrid w:val="0"/>
      <w:spacing w:line="360" w:lineRule="auto"/>
      <w:ind w:firstLine="200" w:firstLineChars="200"/>
      <w:jc w:val="center"/>
    </w:pPr>
    <w:rPr>
      <w:rFonts w:ascii="宋体" w:cs="宋体"/>
      <w:spacing w:val="14"/>
      <w:kern w:val="28"/>
      <w:sz w:val="24"/>
    </w:rPr>
  </w:style>
  <w:style w:type="paragraph" w:customStyle="1" w:styleId="190">
    <w:name w:val="正文文本最新 Char Char Char Char1 Char Char Char Char Char Char1 New New New New"/>
    <w:basedOn w:val="1"/>
    <w:autoRedefine/>
    <w:qFormat/>
    <w:uiPriority w:val="0"/>
    <w:pPr>
      <w:spacing w:line="360" w:lineRule="auto"/>
      <w:ind w:firstLine="200" w:firstLineChars="200"/>
    </w:pPr>
    <w:rPr>
      <w:sz w:val="24"/>
    </w:rPr>
  </w:style>
  <w:style w:type="paragraph" w:customStyle="1" w:styleId="191">
    <w:name w:val="表题"/>
    <w:basedOn w:val="42"/>
    <w:autoRedefine/>
    <w:qFormat/>
    <w:uiPriority w:val="0"/>
    <w:pPr>
      <w:adjustRightInd w:val="0"/>
      <w:spacing w:beforeLines="50" w:afterLines="50" w:line="240" w:lineRule="exact"/>
      <w:jc w:val="center"/>
    </w:pPr>
    <w:rPr>
      <w:rFonts w:ascii="黑体" w:eastAsia="黑体"/>
      <w:b/>
      <w:sz w:val="24"/>
      <w:szCs w:val="20"/>
    </w:rPr>
  </w:style>
  <w:style w:type="paragraph" w:customStyle="1" w:styleId="192">
    <w:name w:val="标题3"/>
    <w:basedOn w:val="3"/>
    <w:autoRedefine/>
    <w:qFormat/>
    <w:uiPriority w:val="0"/>
    <w:pPr>
      <w:keepNext w:val="0"/>
      <w:keepLines w:val="0"/>
      <w:spacing w:beforeLines="50" w:afterLines="50" w:line="360" w:lineRule="auto"/>
      <w:outlineLvl w:val="2"/>
    </w:pPr>
    <w:rPr>
      <w:bCs w:val="0"/>
      <w:color w:val="000000"/>
      <w:sz w:val="28"/>
      <w:szCs w:val="20"/>
    </w:rPr>
  </w:style>
  <w:style w:type="paragraph" w:customStyle="1" w:styleId="193">
    <w:name w:val="表头1"/>
    <w:basedOn w:val="118"/>
    <w:link w:val="276"/>
    <w:autoRedefine/>
    <w:qFormat/>
    <w:uiPriority w:val="0"/>
    <w:pPr>
      <w:tabs>
        <w:tab w:val="left" w:pos="6840"/>
      </w:tabs>
      <w:topLinePunct/>
      <w:spacing w:before="50" w:line="529" w:lineRule="exact"/>
    </w:pPr>
    <w:rPr>
      <w:rFonts w:ascii="宋体" w:eastAsia="宋体"/>
      <w:b/>
      <w:kern w:val="24"/>
      <w:szCs w:val="21"/>
    </w:rPr>
  </w:style>
  <w:style w:type="character" w:customStyle="1" w:styleId="194">
    <w:name w:val="标题 Char1"/>
    <w:basedOn w:val="83"/>
    <w:autoRedefine/>
    <w:qFormat/>
    <w:uiPriority w:val="0"/>
    <w:rPr>
      <w:rFonts w:ascii="Cambria" w:hAnsi="Cambria"/>
      <w:b/>
      <w:bCs/>
      <w:kern w:val="2"/>
      <w:sz w:val="32"/>
      <w:szCs w:val="32"/>
    </w:rPr>
  </w:style>
  <w:style w:type="paragraph" w:customStyle="1" w:styleId="195">
    <w:name w:val="样式 13 磅 行距: 固定值 26 磅"/>
    <w:basedOn w:val="1"/>
    <w:autoRedefine/>
    <w:qFormat/>
    <w:uiPriority w:val="0"/>
    <w:pPr>
      <w:spacing w:line="520" w:lineRule="exact"/>
      <w:ind w:firstLine="200" w:firstLineChars="200"/>
    </w:pPr>
    <w:rPr>
      <w:rFonts w:ascii="宋体" w:cs="宋体"/>
      <w:sz w:val="26"/>
      <w:szCs w:val="20"/>
    </w:rPr>
  </w:style>
  <w:style w:type="paragraph" w:customStyle="1" w:styleId="196">
    <w:name w:val="标题b"/>
    <w:basedOn w:val="1"/>
    <w:link w:val="760"/>
    <w:autoRedefine/>
    <w:qFormat/>
    <w:uiPriority w:val="0"/>
    <w:pPr>
      <w:autoSpaceDE w:val="0"/>
      <w:autoSpaceDN w:val="0"/>
      <w:adjustRightInd w:val="0"/>
      <w:spacing w:beforeLines="50" w:afterLines="50" w:line="360" w:lineRule="auto"/>
      <w:outlineLvl w:val="1"/>
    </w:pPr>
    <w:rPr>
      <w:rFonts w:ascii="宋体" w:hAnsi="宋体" w:eastAsia="黑体" w:cs="仿宋_GB2312"/>
      <w:b/>
      <w:color w:val="000000"/>
      <w:kern w:val="0"/>
      <w:sz w:val="32"/>
    </w:rPr>
  </w:style>
  <w:style w:type="paragraph" w:customStyle="1" w:styleId="197">
    <w:name w:val="标题c"/>
    <w:basedOn w:val="196"/>
    <w:autoRedefine/>
    <w:qFormat/>
    <w:uiPriority w:val="0"/>
    <w:pPr>
      <w:outlineLvl w:val="2"/>
    </w:pPr>
    <w:rPr>
      <w:rFonts w:ascii="Times New Roman" w:hAnsi="Times New Roman"/>
      <w:sz w:val="28"/>
    </w:rPr>
  </w:style>
  <w:style w:type="paragraph" w:customStyle="1" w:styleId="198">
    <w:name w:val="Char Char Char Char Char Char Char Char Char1"/>
    <w:basedOn w:val="1"/>
    <w:autoRedefine/>
    <w:qFormat/>
    <w:uiPriority w:val="0"/>
    <w:pPr>
      <w:widowControl/>
      <w:spacing w:after="160" w:line="240" w:lineRule="exact"/>
      <w:jc w:val="left"/>
    </w:pPr>
    <w:rPr>
      <w:rFonts w:ascii="宋体"/>
      <w:kern w:val="0"/>
      <w:sz w:val="28"/>
      <w:szCs w:val="20"/>
    </w:rPr>
  </w:style>
  <w:style w:type="character" w:customStyle="1" w:styleId="199">
    <w:name w:val="页眉 Char1"/>
    <w:autoRedefine/>
    <w:qFormat/>
    <w:uiPriority w:val="99"/>
    <w:rPr>
      <w:rFonts w:eastAsia="宋体"/>
      <w:kern w:val="2"/>
      <w:sz w:val="18"/>
      <w:szCs w:val="18"/>
      <w:lang w:val="en-US" w:eastAsia="zh-CN" w:bidi="ar-SA"/>
    </w:rPr>
  </w:style>
  <w:style w:type="paragraph" w:customStyle="1" w:styleId="200">
    <w:name w:val="2级标题2"/>
    <w:basedOn w:val="1"/>
    <w:link w:val="279"/>
    <w:autoRedefine/>
    <w:qFormat/>
    <w:uiPriority w:val="0"/>
    <w:pPr>
      <w:autoSpaceDE w:val="0"/>
      <w:autoSpaceDN w:val="0"/>
      <w:adjustRightInd w:val="0"/>
      <w:spacing w:line="360" w:lineRule="auto"/>
      <w:jc w:val="left"/>
      <w:outlineLvl w:val="1"/>
    </w:pPr>
    <w:rPr>
      <w:rFonts w:ascii="宋体" w:hAnsi="宋体" w:eastAsia="仿宋_GB2312"/>
      <w:b/>
      <w:color w:val="000000"/>
      <w:kern w:val="0"/>
      <w:sz w:val="30"/>
      <w:szCs w:val="30"/>
    </w:rPr>
  </w:style>
  <w:style w:type="paragraph" w:customStyle="1" w:styleId="201">
    <w:name w:val="3级标题3"/>
    <w:basedOn w:val="1"/>
    <w:link w:val="280"/>
    <w:autoRedefine/>
    <w:qFormat/>
    <w:uiPriority w:val="0"/>
    <w:pPr>
      <w:autoSpaceDE w:val="0"/>
      <w:autoSpaceDN w:val="0"/>
      <w:adjustRightInd w:val="0"/>
      <w:spacing w:line="360" w:lineRule="auto"/>
      <w:jc w:val="left"/>
      <w:outlineLvl w:val="2"/>
    </w:pPr>
    <w:rPr>
      <w:rFonts w:ascii="宋体" w:hAnsi="宋体" w:eastAsia="仿宋_GB2312"/>
      <w:b/>
      <w:color w:val="000000"/>
      <w:kern w:val="0"/>
      <w:sz w:val="28"/>
      <w:szCs w:val="28"/>
    </w:rPr>
  </w:style>
  <w:style w:type="paragraph" w:customStyle="1" w:styleId="202">
    <w:name w:val="Char Char Char Char Char Char Char Char Char11"/>
    <w:basedOn w:val="1"/>
    <w:autoRedefine/>
    <w:qFormat/>
    <w:uiPriority w:val="0"/>
    <w:pPr>
      <w:widowControl/>
      <w:spacing w:after="160" w:line="240" w:lineRule="exact"/>
      <w:jc w:val="left"/>
    </w:pPr>
    <w:rPr>
      <w:rFonts w:ascii="宋体"/>
      <w:kern w:val="0"/>
      <w:sz w:val="28"/>
      <w:szCs w:val="20"/>
    </w:rPr>
  </w:style>
  <w:style w:type="paragraph" w:customStyle="1" w:styleId="203">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4">
    <w:name w:val="无间隔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5">
    <w:name w:val="无间隔2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6">
    <w:name w:val="报告正文-连续目录"/>
    <w:basedOn w:val="1"/>
    <w:autoRedefine/>
    <w:qFormat/>
    <w:uiPriority w:val="0"/>
    <w:pPr>
      <w:spacing w:line="440" w:lineRule="exact"/>
      <w:ind w:firstLine="200" w:firstLineChars="200"/>
    </w:pPr>
    <w:rPr>
      <w:rFonts w:ascii="Arial" w:hAnsi="Arial"/>
      <w:szCs w:val="21"/>
    </w:rPr>
  </w:style>
  <w:style w:type="paragraph" w:customStyle="1" w:styleId="207">
    <w:name w:val="【正文】"/>
    <w:basedOn w:val="1"/>
    <w:link w:val="283"/>
    <w:autoRedefine/>
    <w:qFormat/>
    <w:uiPriority w:val="0"/>
    <w:pPr>
      <w:spacing w:line="440" w:lineRule="exact"/>
      <w:ind w:firstLine="200" w:firstLineChars="200"/>
    </w:pPr>
    <w:rPr>
      <w:rFonts w:cs="宋体"/>
      <w:sz w:val="24"/>
      <w:szCs w:val="20"/>
    </w:rPr>
  </w:style>
  <w:style w:type="paragraph" w:customStyle="1" w:styleId="208">
    <w:name w:val="1正文"/>
    <w:basedOn w:val="1"/>
    <w:autoRedefine/>
    <w:qFormat/>
    <w:uiPriority w:val="0"/>
    <w:pPr>
      <w:spacing w:line="360" w:lineRule="auto"/>
      <w:ind w:firstLine="200" w:firstLineChars="200"/>
    </w:pPr>
    <w:rPr>
      <w:sz w:val="24"/>
      <w:szCs w:val="20"/>
    </w:rPr>
  </w:style>
  <w:style w:type="paragraph" w:customStyle="1" w:styleId="209">
    <w:name w:val="阿正文"/>
    <w:basedOn w:val="1"/>
    <w:autoRedefine/>
    <w:qFormat/>
    <w:uiPriority w:val="0"/>
    <w:pPr>
      <w:spacing w:line="500" w:lineRule="exact"/>
      <w:ind w:firstLine="200" w:firstLineChars="200"/>
    </w:pPr>
    <w:rPr>
      <w:sz w:val="24"/>
    </w:rPr>
  </w:style>
  <w:style w:type="character" w:customStyle="1" w:styleId="210">
    <w:name w:val="注释标题 Char1"/>
    <w:basedOn w:val="83"/>
    <w:autoRedefine/>
    <w:qFormat/>
    <w:uiPriority w:val="99"/>
    <w:rPr>
      <w:rFonts w:ascii="Times New Roman" w:hAnsi="Times New Roman" w:eastAsia="宋体" w:cs="Times New Roman"/>
      <w:szCs w:val="24"/>
    </w:rPr>
  </w:style>
  <w:style w:type="character" w:customStyle="1" w:styleId="211">
    <w:name w:val="纯文本 Char1"/>
    <w:basedOn w:val="83"/>
    <w:autoRedefine/>
    <w:qFormat/>
    <w:uiPriority w:val="0"/>
    <w:rPr>
      <w:rFonts w:ascii="宋体" w:eastAsia="宋体" w:cs="Courier New"/>
      <w:szCs w:val="21"/>
    </w:rPr>
  </w:style>
  <w:style w:type="character" w:customStyle="1" w:styleId="212">
    <w:name w:val="表内字 Char"/>
    <w:autoRedefine/>
    <w:qFormat/>
    <w:uiPriority w:val="0"/>
    <w:rPr>
      <w:rFonts w:ascii="Times New Roman" w:hAnsi="Times New Roman" w:eastAsia="宋体" w:cs="Times New Roman"/>
      <w:iCs/>
      <w:color w:val="000000"/>
      <w:kern w:val="0"/>
      <w:sz w:val="18"/>
      <w:szCs w:val="18"/>
    </w:rPr>
  </w:style>
  <w:style w:type="paragraph" w:customStyle="1" w:styleId="213">
    <w:name w:val="Char Char Char Char Char1 Char Char Char Char"/>
    <w:basedOn w:val="1"/>
    <w:autoRedefine/>
    <w:qFormat/>
    <w:uiPriority w:val="0"/>
    <w:pPr>
      <w:tabs>
        <w:tab w:val="left" w:pos="1360"/>
      </w:tabs>
      <w:ind w:left="1360" w:hanging="720"/>
    </w:pPr>
    <w:rPr>
      <w:sz w:val="24"/>
    </w:rPr>
  </w:style>
  <w:style w:type="paragraph" w:customStyle="1" w:styleId="214">
    <w:name w:val="Char2"/>
    <w:basedOn w:val="1"/>
    <w:qFormat/>
    <w:uiPriority w:val="0"/>
    <w:pPr>
      <w:adjustRightInd w:val="0"/>
      <w:snapToGrid w:val="0"/>
      <w:spacing w:line="360" w:lineRule="auto"/>
      <w:ind w:firstLine="200" w:firstLineChars="200"/>
    </w:pPr>
    <w:rPr>
      <w:sz w:val="28"/>
      <w:szCs w:val="20"/>
    </w:rPr>
  </w:style>
  <w:style w:type="paragraph" w:customStyle="1" w:styleId="215">
    <w:name w:val="font14"/>
    <w:basedOn w:val="1"/>
    <w:autoRedefine/>
    <w:qFormat/>
    <w:uiPriority w:val="0"/>
    <w:pPr>
      <w:widowControl/>
      <w:spacing w:before="100" w:beforeAutospacing="1" w:after="100" w:afterAutospacing="1"/>
      <w:jc w:val="left"/>
    </w:pPr>
    <w:rPr>
      <w:rFonts w:eastAsia="Arial Unicode MS"/>
      <w:kern w:val="0"/>
      <w:sz w:val="24"/>
      <w:u w:val="single"/>
    </w:rPr>
  </w:style>
  <w:style w:type="character" w:customStyle="1" w:styleId="216">
    <w:name w:val="样式 正文 +"/>
    <w:autoRedefine/>
    <w:qFormat/>
    <w:uiPriority w:val="0"/>
    <w:rPr>
      <w:kern w:val="0"/>
      <w:sz w:val="24"/>
    </w:rPr>
  </w:style>
  <w:style w:type="paragraph" w:customStyle="1" w:styleId="217">
    <w:name w:val="Default"/>
    <w:basedOn w:val="218"/>
    <w:next w:val="219"/>
    <w:autoRedefine/>
    <w:qFormat/>
    <w:uiPriority w:val="0"/>
    <w:pPr>
      <w:widowControl w:val="0"/>
      <w:autoSpaceDE w:val="0"/>
      <w:autoSpaceDN w:val="0"/>
      <w:adjustRightInd w:val="0"/>
    </w:pPr>
    <w:rPr>
      <w:rFonts w:ascii="宋体" w:hAnsi="Times New Roman" w:eastAsia="宋体" w:cs="宋体"/>
      <w:lang w:val="en-US" w:eastAsia="zh-CN" w:bidi="ar-SA"/>
    </w:rPr>
  </w:style>
  <w:style w:type="paragraph" w:customStyle="1" w:styleId="218">
    <w:name w:val="纯文本1"/>
    <w:basedOn w:val="1"/>
    <w:autoRedefine/>
    <w:qFormat/>
    <w:uiPriority w:val="0"/>
    <w:pPr>
      <w:adjustRightInd w:val="0"/>
    </w:pPr>
    <w:rPr>
      <w:rFonts w:hint="eastAsia" w:ascii="宋体"/>
      <w:kern w:val="0"/>
      <w:szCs w:val="20"/>
    </w:rPr>
  </w:style>
  <w:style w:type="paragraph" w:customStyle="1" w:styleId="219">
    <w:name w:val="样式35"/>
    <w:basedOn w:val="1"/>
    <w:next w:val="220"/>
    <w:autoRedefine/>
    <w:qFormat/>
    <w:uiPriority w:val="0"/>
    <w:pPr>
      <w:adjustRightInd w:val="0"/>
      <w:spacing w:line="312" w:lineRule="auto"/>
      <w:ind w:firstLine="567"/>
    </w:pPr>
    <w:rPr>
      <w:rFonts w:ascii="宋体"/>
      <w:kern w:val="0"/>
      <w:sz w:val="28"/>
    </w:rPr>
  </w:style>
  <w:style w:type="paragraph" w:customStyle="1" w:styleId="220">
    <w:name w:val="font6"/>
    <w:basedOn w:val="1"/>
    <w:next w:val="63"/>
    <w:qFormat/>
    <w:uiPriority w:val="0"/>
    <w:pPr>
      <w:widowControl/>
      <w:spacing w:before="100" w:beforeAutospacing="1" w:after="100" w:afterAutospacing="1"/>
      <w:ind w:firstLine="200" w:firstLineChars="200"/>
      <w:jc w:val="left"/>
    </w:pPr>
    <w:rPr>
      <w:rFonts w:eastAsia="汉鼎简书宋"/>
      <w:kern w:val="0"/>
      <w:sz w:val="20"/>
      <w:szCs w:val="20"/>
    </w:rPr>
  </w:style>
  <w:style w:type="paragraph" w:customStyle="1" w:styleId="221">
    <w:name w:val="文本正文"/>
    <w:basedOn w:val="1"/>
    <w:autoRedefine/>
    <w:qFormat/>
    <w:uiPriority w:val="0"/>
    <w:pPr>
      <w:spacing w:before="80" w:line="420" w:lineRule="exact"/>
      <w:ind w:left="540" w:leftChars="540"/>
    </w:pPr>
    <w:rPr>
      <w:rFonts w:ascii="宋体"/>
      <w:color w:val="000000"/>
      <w:kern w:val="0"/>
      <w:sz w:val="24"/>
      <w:szCs w:val="20"/>
    </w:rPr>
  </w:style>
  <w:style w:type="paragraph" w:customStyle="1" w:styleId="222">
    <w:name w:val="Table Paragraph"/>
    <w:basedOn w:val="1"/>
    <w:qFormat/>
    <w:uiPriority w:val="1"/>
    <w:pPr>
      <w:jc w:val="center"/>
    </w:pPr>
    <w:rPr>
      <w:rFonts w:ascii="宋体" w:cs="宋体"/>
    </w:rPr>
  </w:style>
  <w:style w:type="character" w:customStyle="1" w:styleId="223">
    <w:name w:val="unnamed21"/>
    <w:autoRedefine/>
    <w:qFormat/>
    <w:uiPriority w:val="0"/>
    <w:rPr>
      <w:rFonts w:ascii="宋体" w:eastAsia="宋体"/>
      <w:color w:val="000000"/>
      <w:sz w:val="20"/>
      <w:szCs w:val="20"/>
      <w:u w:val="none"/>
    </w:rPr>
  </w:style>
  <w:style w:type="paragraph" w:customStyle="1" w:styleId="224">
    <w:name w:val="正文样式"/>
    <w:basedOn w:val="1"/>
    <w:link w:val="296"/>
    <w:autoRedefine/>
    <w:qFormat/>
    <w:uiPriority w:val="0"/>
    <w:pPr>
      <w:spacing w:line="360" w:lineRule="auto"/>
      <w:ind w:firstLine="200" w:firstLineChars="200"/>
    </w:pPr>
    <w:rPr>
      <w:rFonts w:ascii="宋体"/>
      <w:sz w:val="24"/>
    </w:rPr>
  </w:style>
  <w:style w:type="paragraph" w:customStyle="1" w:styleId="225">
    <w:name w:val="封面项目名称EPAJW120926"/>
    <w:basedOn w:val="1"/>
    <w:autoRedefine/>
    <w:qFormat/>
    <w:uiPriority w:val="0"/>
    <w:pPr>
      <w:spacing w:before="156" w:after="156"/>
      <w:jc w:val="center"/>
    </w:pPr>
    <w:rPr>
      <w:rFonts w:cs="宋体"/>
      <w:b/>
      <w:bCs/>
      <w:sz w:val="44"/>
      <w:szCs w:val="20"/>
    </w:rPr>
  </w:style>
  <w:style w:type="paragraph" w:customStyle="1" w:styleId="226">
    <w:name w:val="表内5"/>
    <w:basedOn w:val="191"/>
    <w:autoRedefine/>
    <w:qFormat/>
    <w:uiPriority w:val="0"/>
    <w:pPr>
      <w:tabs>
        <w:tab w:val="left" w:pos="4305"/>
      </w:tabs>
    </w:pPr>
    <w:rPr>
      <w:sz w:val="21"/>
      <w:szCs w:val="21"/>
    </w:rPr>
  </w:style>
  <w:style w:type="paragraph" w:customStyle="1" w:styleId="227">
    <w:name w:val="样式 表内5 + 首行缩进:  2 字符"/>
    <w:basedOn w:val="226"/>
    <w:autoRedefine/>
    <w:qFormat/>
    <w:uiPriority w:val="0"/>
    <w:pPr>
      <w:ind w:firstLine="420"/>
    </w:pPr>
    <w:rPr>
      <w:szCs w:val="20"/>
    </w:rPr>
  </w:style>
  <w:style w:type="paragraph" w:customStyle="1" w:styleId="228">
    <w:name w:val="样式 正文 +1"/>
    <w:basedOn w:val="1"/>
    <w:autoRedefine/>
    <w:qFormat/>
    <w:uiPriority w:val="0"/>
    <w:pPr>
      <w:spacing w:line="360" w:lineRule="auto"/>
      <w:ind w:firstLine="200" w:firstLineChars="200"/>
      <w:jc w:val="left"/>
    </w:pPr>
    <w:rPr>
      <w:rFonts w:cs="宋体"/>
      <w:sz w:val="24"/>
      <w:szCs w:val="20"/>
    </w:rPr>
  </w:style>
  <w:style w:type="paragraph" w:customStyle="1" w:styleId="229">
    <w:name w:val="hb3"/>
    <w:link w:val="415"/>
    <w:autoRedefine/>
    <w:qFormat/>
    <w:uiPriority w:val="0"/>
    <w:pPr>
      <w:spacing w:beforeLines="100" w:afterLines="50" w:line="360" w:lineRule="auto"/>
      <w:outlineLvl w:val="2"/>
    </w:pPr>
    <w:rPr>
      <w:rFonts w:ascii="Times New Roman" w:hAnsi="Times New Roman" w:eastAsia="宋体" w:cs="Times New Roman"/>
      <w:b/>
      <w:kern w:val="2"/>
      <w:sz w:val="24"/>
      <w:szCs w:val="24"/>
      <w:lang w:val="en-US" w:eastAsia="zh-CN" w:bidi="ar-SA"/>
    </w:rPr>
  </w:style>
  <w:style w:type="paragraph" w:customStyle="1" w:styleId="230">
    <w:name w:val="样式 首行缩进:  2 字符"/>
    <w:basedOn w:val="1"/>
    <w:autoRedefine/>
    <w:qFormat/>
    <w:uiPriority w:val="0"/>
    <w:pPr>
      <w:spacing w:line="360" w:lineRule="auto"/>
      <w:ind w:firstLine="200" w:firstLineChars="200"/>
    </w:pPr>
    <w:rPr>
      <w:rFonts w:eastAsia="仿宋_GB2312" w:cs="宋体"/>
      <w:sz w:val="24"/>
      <w:szCs w:val="20"/>
    </w:rPr>
  </w:style>
  <w:style w:type="paragraph" w:customStyle="1" w:styleId="231">
    <w:name w:val="表头-样式"/>
    <w:basedOn w:val="1"/>
    <w:link w:val="731"/>
    <w:autoRedefine/>
    <w:qFormat/>
    <w:uiPriority w:val="0"/>
    <w:pPr>
      <w:autoSpaceDE w:val="0"/>
      <w:autoSpaceDN w:val="0"/>
      <w:jc w:val="center"/>
    </w:pPr>
    <w:rPr>
      <w:rFonts w:eastAsia="黑体" w:cs="仿宋_GB2312"/>
      <w:b/>
      <w:bCs/>
      <w:sz w:val="24"/>
      <w:lang w:val="zh-CN"/>
    </w:rPr>
  </w:style>
  <w:style w:type="paragraph" w:customStyle="1" w:styleId="232">
    <w:name w:val="1表内容"/>
    <w:basedOn w:val="1"/>
    <w:link w:val="632"/>
    <w:autoRedefine/>
    <w:qFormat/>
    <w:uiPriority w:val="0"/>
    <w:pPr>
      <w:tabs>
        <w:tab w:val="left" w:pos="0"/>
        <w:tab w:val="left" w:pos="7012"/>
      </w:tabs>
      <w:autoSpaceDE w:val="0"/>
      <w:autoSpaceDN w:val="0"/>
      <w:jc w:val="center"/>
    </w:pPr>
  </w:style>
  <w:style w:type="paragraph" w:customStyle="1" w:styleId="233">
    <w:name w:val="规划院正文"/>
    <w:basedOn w:val="1"/>
    <w:autoRedefine/>
    <w:qFormat/>
    <w:uiPriority w:val="0"/>
    <w:pPr>
      <w:adjustRightInd w:val="0"/>
      <w:snapToGrid w:val="0"/>
      <w:spacing w:beforeLines="30" w:afterLines="30" w:line="360" w:lineRule="auto"/>
      <w:ind w:firstLine="200" w:firstLineChars="200"/>
    </w:pPr>
    <w:rPr>
      <w:rFonts w:ascii="宋体"/>
      <w:color w:val="000000"/>
      <w:kern w:val="0"/>
      <w:sz w:val="24"/>
      <w:szCs w:val="20"/>
    </w:rPr>
  </w:style>
  <w:style w:type="paragraph" w:styleId="234">
    <w:name w:val="List Paragraph"/>
    <w:basedOn w:val="1"/>
    <w:link w:val="1478"/>
    <w:autoRedefine/>
    <w:qFormat/>
    <w:uiPriority w:val="0"/>
    <w:pPr>
      <w:ind w:left="660" w:hanging="540"/>
    </w:pPr>
  </w:style>
  <w:style w:type="paragraph" w:customStyle="1" w:styleId="235">
    <w:name w:val="环保表头"/>
    <w:link w:val="247"/>
    <w:autoRedefine/>
    <w:qFormat/>
    <w:uiPriority w:val="0"/>
    <w:pPr>
      <w:jc w:val="center"/>
    </w:pPr>
    <w:rPr>
      <w:rFonts w:ascii="Times New Roman" w:hAnsi="Times New Roman" w:eastAsia="黑体" w:cs="Times New Roman"/>
      <w:b/>
      <w:bCs/>
      <w:kern w:val="44"/>
      <w:sz w:val="24"/>
      <w:szCs w:val="30"/>
      <w:lang w:val="en-US" w:eastAsia="zh-CN" w:bidi="ar-SA"/>
    </w:rPr>
  </w:style>
  <w:style w:type="character" w:customStyle="1" w:styleId="236">
    <w:name w:val="正文缩进 Char2"/>
    <w:autoRedefine/>
    <w:qFormat/>
    <w:uiPriority w:val="0"/>
    <w:rPr>
      <w:rFonts w:eastAsia="宋体"/>
      <w:kern w:val="2"/>
      <w:sz w:val="28"/>
      <w:szCs w:val="24"/>
      <w:lang w:val="en-US" w:eastAsia="zh-CN" w:bidi="ar-SA"/>
    </w:rPr>
  </w:style>
  <w:style w:type="paragraph" w:customStyle="1" w:styleId="237">
    <w:name w:val="正文修改"/>
    <w:basedOn w:val="1"/>
    <w:autoRedefine/>
    <w:qFormat/>
    <w:uiPriority w:val="0"/>
    <w:pPr>
      <w:spacing w:line="360" w:lineRule="auto"/>
      <w:ind w:firstLine="200" w:firstLineChars="200"/>
    </w:pPr>
    <w:rPr>
      <w:rFonts w:cs="宋体"/>
      <w:sz w:val="24"/>
      <w:szCs w:val="20"/>
    </w:rPr>
  </w:style>
  <w:style w:type="character" w:customStyle="1" w:styleId="238">
    <w:name w:val="正文样式 Char1"/>
    <w:autoRedefine/>
    <w:qFormat/>
    <w:uiPriority w:val="0"/>
    <w:rPr>
      <w:rFonts w:ascii="宋体" w:eastAsia="宋体"/>
      <w:kern w:val="2"/>
      <w:sz w:val="24"/>
      <w:szCs w:val="24"/>
      <w:lang w:val="en-US" w:eastAsia="zh-CN" w:bidi="ar-SA"/>
    </w:rPr>
  </w:style>
  <w:style w:type="paragraph" w:customStyle="1" w:styleId="239">
    <w:name w:val="样式 两端对齐 首行缩进:  2 字符"/>
    <w:basedOn w:val="1"/>
    <w:autoRedefine/>
    <w:qFormat/>
    <w:uiPriority w:val="0"/>
    <w:pPr>
      <w:widowControl/>
      <w:ind w:firstLine="200" w:firstLineChars="200"/>
    </w:pPr>
    <w:rPr>
      <w:rFonts w:cs="宋体"/>
      <w:kern w:val="0"/>
      <w:sz w:val="28"/>
      <w:szCs w:val="28"/>
    </w:rPr>
  </w:style>
  <w:style w:type="character" w:customStyle="1" w:styleId="240">
    <w:name w:val="表文字 Char"/>
    <w:autoRedefine/>
    <w:qFormat/>
    <w:uiPriority w:val="0"/>
    <w:rPr>
      <w:rFonts w:ascii="Times New Roman" w:hAnsi="Times New Roman"/>
      <w:sz w:val="21"/>
      <w:szCs w:val="21"/>
      <w:lang w:val="en-US" w:eastAsia="zh-CN" w:bidi="ar-SA"/>
    </w:rPr>
  </w:style>
  <w:style w:type="paragraph" w:customStyle="1" w:styleId="241">
    <w:name w:val="样式 表头 + 左1"/>
    <w:basedOn w:val="118"/>
    <w:autoRedefine/>
    <w:qFormat/>
    <w:uiPriority w:val="0"/>
    <w:pPr>
      <w:adjustRightInd/>
      <w:snapToGrid/>
      <w:spacing w:line="240" w:lineRule="auto"/>
    </w:pPr>
    <w:rPr>
      <w:rFonts w:ascii="Times New Roman" w:eastAsia="宋体" w:cs="宋体"/>
      <w:b/>
      <w:bCs/>
      <w:kern w:val="0"/>
    </w:rPr>
  </w:style>
  <w:style w:type="paragraph" w:customStyle="1" w:styleId="242">
    <w:name w:val="样式 表头 + 左"/>
    <w:basedOn w:val="118"/>
    <w:autoRedefine/>
    <w:qFormat/>
    <w:uiPriority w:val="0"/>
    <w:pPr>
      <w:adjustRightInd/>
      <w:snapToGrid/>
      <w:spacing w:line="240" w:lineRule="auto"/>
    </w:pPr>
    <w:rPr>
      <w:rFonts w:ascii="Times New Roman" w:eastAsia="宋体" w:cs="宋体"/>
      <w:b/>
      <w:bCs/>
      <w:kern w:val="0"/>
    </w:rPr>
  </w:style>
  <w:style w:type="character" w:customStyle="1" w:styleId="243">
    <w:name w:val="正文缩进 Char"/>
    <w:link w:val="21"/>
    <w:autoRedefine/>
    <w:qFormat/>
    <w:uiPriority w:val="0"/>
    <w:rPr>
      <w:rFonts w:ascii="Times New Roman" w:hAnsi="Times New Roman"/>
      <w:kern w:val="2"/>
      <w:sz w:val="21"/>
      <w:szCs w:val="24"/>
    </w:rPr>
  </w:style>
  <w:style w:type="character" w:customStyle="1" w:styleId="244">
    <w:name w:val="正文(首行缩进) Char1"/>
    <w:link w:val="174"/>
    <w:autoRedefine/>
    <w:qFormat/>
    <w:uiPriority w:val="0"/>
    <w:rPr>
      <w:rFonts w:ascii="宋体" w:hAnsi="Times New Roman"/>
      <w:bCs/>
      <w:spacing w:val="2"/>
      <w:sz w:val="24"/>
      <w:szCs w:val="24"/>
    </w:rPr>
  </w:style>
  <w:style w:type="paragraph" w:customStyle="1" w:styleId="245">
    <w:name w:val="正文-南方"/>
    <w:basedOn w:val="1"/>
    <w:link w:val="1446"/>
    <w:autoRedefine/>
    <w:qFormat/>
    <w:uiPriority w:val="0"/>
    <w:pPr>
      <w:adjustRightInd w:val="0"/>
      <w:snapToGrid w:val="0"/>
      <w:spacing w:line="360" w:lineRule="auto"/>
      <w:ind w:firstLine="200" w:firstLineChars="200"/>
    </w:pPr>
    <w:rPr>
      <w:kern w:val="0"/>
      <w:sz w:val="24"/>
      <w:szCs w:val="28"/>
      <w:lang w:val="zh-CN"/>
    </w:rPr>
  </w:style>
  <w:style w:type="paragraph" w:customStyle="1" w:styleId="246">
    <w:name w:val="3级标题"/>
    <w:basedOn w:val="71"/>
    <w:link w:val="319"/>
    <w:autoRedefine/>
    <w:qFormat/>
    <w:uiPriority w:val="0"/>
    <w:pPr>
      <w:overflowPunct w:val="0"/>
      <w:autoSpaceDE w:val="0"/>
      <w:autoSpaceDN w:val="0"/>
      <w:spacing w:before="120" w:after="120" w:line="360" w:lineRule="auto"/>
      <w:jc w:val="left"/>
      <w:outlineLvl w:val="2"/>
    </w:pPr>
    <w:rPr>
      <w:rFonts w:ascii="Times New Roman" w:hAnsi="Times New Roman"/>
      <w:color w:val="000000"/>
      <w:sz w:val="28"/>
      <w:szCs w:val="28"/>
    </w:rPr>
  </w:style>
  <w:style w:type="character" w:customStyle="1" w:styleId="247">
    <w:name w:val="环保表头 Char"/>
    <w:link w:val="235"/>
    <w:autoRedefine/>
    <w:qFormat/>
    <w:uiPriority w:val="0"/>
    <w:rPr>
      <w:rFonts w:ascii="Times New Roman" w:hAnsi="Times New Roman" w:eastAsia="黑体"/>
      <w:b/>
      <w:bCs/>
      <w:kern w:val="44"/>
      <w:sz w:val="24"/>
      <w:szCs w:val="30"/>
    </w:rPr>
  </w:style>
  <w:style w:type="character" w:customStyle="1" w:styleId="248">
    <w:name w:val="表文字 Char1"/>
    <w:basedOn w:val="83"/>
    <w:link w:val="184"/>
    <w:autoRedefine/>
    <w:qFormat/>
    <w:uiPriority w:val="0"/>
    <w:rPr>
      <w:rFonts w:ascii="Times New Roman" w:hAnsi="Times New Roman"/>
      <w:kern w:val="2"/>
      <w:sz w:val="24"/>
      <w:szCs w:val="24"/>
    </w:rPr>
  </w:style>
  <w:style w:type="character" w:customStyle="1" w:styleId="249">
    <w:name w:val="标题 6 Char"/>
    <w:basedOn w:val="83"/>
    <w:link w:val="8"/>
    <w:autoRedefine/>
    <w:qFormat/>
    <w:uiPriority w:val="0"/>
    <w:rPr>
      <w:rFonts w:ascii="Times New Roman" w:hAnsi="Times New Roman"/>
      <w:b/>
      <w:bCs/>
      <w:sz w:val="22"/>
      <w:szCs w:val="22"/>
    </w:rPr>
  </w:style>
  <w:style w:type="character" w:customStyle="1" w:styleId="250">
    <w:name w:val="标题 7 Char"/>
    <w:basedOn w:val="83"/>
    <w:link w:val="9"/>
    <w:autoRedefine/>
    <w:qFormat/>
    <w:uiPriority w:val="0"/>
    <w:rPr>
      <w:rFonts w:ascii="Times New Roman" w:hAnsi="Times New Roman"/>
      <w:sz w:val="24"/>
      <w:szCs w:val="24"/>
    </w:rPr>
  </w:style>
  <w:style w:type="character" w:customStyle="1" w:styleId="251">
    <w:name w:val="标题 8 Char"/>
    <w:basedOn w:val="83"/>
    <w:link w:val="10"/>
    <w:autoRedefine/>
    <w:qFormat/>
    <w:uiPriority w:val="0"/>
    <w:rPr>
      <w:rFonts w:ascii="Times New Roman" w:hAnsi="Times New Roman"/>
      <w:i/>
      <w:iCs/>
      <w:sz w:val="24"/>
      <w:szCs w:val="24"/>
    </w:rPr>
  </w:style>
  <w:style w:type="character" w:customStyle="1" w:styleId="252">
    <w:name w:val="表内字 Char1"/>
    <w:link w:val="97"/>
    <w:autoRedefine/>
    <w:qFormat/>
    <w:uiPriority w:val="0"/>
    <w:rPr>
      <w:rFonts w:ascii="Times New Roman" w:hAnsi="Times New Roman"/>
      <w:color w:val="000000"/>
      <w:sz w:val="21"/>
    </w:rPr>
  </w:style>
  <w:style w:type="character" w:customStyle="1" w:styleId="253">
    <w:name w:val="注释标题 Char"/>
    <w:link w:val="15"/>
    <w:qFormat/>
    <w:uiPriority w:val="0"/>
    <w:rPr>
      <w:rFonts w:ascii="Times New Roman" w:hAnsi="Times New Roman"/>
      <w:kern w:val="2"/>
      <w:sz w:val="21"/>
    </w:rPr>
  </w:style>
  <w:style w:type="character" w:customStyle="1" w:styleId="254">
    <w:name w:val="正文内容 Char Char"/>
    <w:basedOn w:val="83"/>
    <w:link w:val="105"/>
    <w:autoRedefine/>
    <w:qFormat/>
    <w:uiPriority w:val="0"/>
    <w:rPr>
      <w:rFonts w:ascii="Times New Roman" w:hAnsi="Times New Roman"/>
      <w:bCs/>
      <w:color w:val="333333"/>
      <w:kern w:val="2"/>
      <w:sz w:val="24"/>
      <w:szCs w:val="24"/>
    </w:rPr>
  </w:style>
  <w:style w:type="character" w:customStyle="1" w:styleId="255">
    <w:name w:val="CEE正文 Char"/>
    <w:link w:val="106"/>
    <w:autoRedefine/>
    <w:qFormat/>
    <w:uiPriority w:val="0"/>
    <w:rPr>
      <w:rFonts w:ascii="Times New Roman" w:hAnsi="Times New Roman"/>
      <w:sz w:val="24"/>
      <w:szCs w:val="24"/>
    </w:rPr>
  </w:style>
  <w:style w:type="character" w:customStyle="1" w:styleId="256">
    <w:name w:val="纯文本 Char"/>
    <w:link w:val="42"/>
    <w:autoRedefine/>
    <w:qFormat/>
    <w:uiPriority w:val="99"/>
    <w:rPr>
      <w:rFonts w:ascii="宋体" w:hAnsi="Times New Roman"/>
      <w:kern w:val="2"/>
      <w:sz w:val="21"/>
      <w:szCs w:val="21"/>
    </w:rPr>
  </w:style>
  <w:style w:type="character" w:customStyle="1" w:styleId="257">
    <w:name w:val="报告 Char"/>
    <w:basedOn w:val="83"/>
    <w:link w:val="107"/>
    <w:autoRedefine/>
    <w:qFormat/>
    <w:uiPriority w:val="0"/>
    <w:rPr>
      <w:rFonts w:ascii="TimesNewRoman" w:hAnsi="TimesNewRoman"/>
      <w:kern w:val="2"/>
      <w:sz w:val="24"/>
      <w:szCs w:val="24"/>
    </w:rPr>
  </w:style>
  <w:style w:type="character" w:customStyle="1" w:styleId="258">
    <w:name w:val="标题 3 Char"/>
    <w:link w:val="5"/>
    <w:qFormat/>
    <w:uiPriority w:val="0"/>
    <w:rPr>
      <w:rFonts w:ascii="Times New Roman" w:hAnsi="Times New Roman"/>
      <w:b/>
      <w:bCs/>
      <w:kern w:val="2"/>
      <w:sz w:val="32"/>
      <w:szCs w:val="32"/>
    </w:rPr>
  </w:style>
  <w:style w:type="character" w:customStyle="1" w:styleId="259">
    <w:name w:val="报告正文 Char"/>
    <w:basedOn w:val="83"/>
    <w:link w:val="109"/>
    <w:autoRedefine/>
    <w:qFormat/>
    <w:uiPriority w:val="0"/>
    <w:rPr>
      <w:rFonts w:ascii="Times New Roman" w:hAnsi="Times New Roman"/>
      <w:kern w:val="2"/>
      <w:sz w:val="24"/>
      <w:szCs w:val="21"/>
    </w:rPr>
  </w:style>
  <w:style w:type="character" w:customStyle="1" w:styleId="260">
    <w:name w:val="标题 9 Char"/>
    <w:link w:val="11"/>
    <w:autoRedefine/>
    <w:qFormat/>
    <w:uiPriority w:val="0"/>
    <w:rPr>
      <w:rFonts w:ascii="Arial" w:hAnsi="Arial" w:eastAsia="黑体"/>
      <w:sz w:val="21"/>
    </w:rPr>
  </w:style>
  <w:style w:type="character" w:customStyle="1" w:styleId="261">
    <w:name w:val="一级正文 Char"/>
    <w:basedOn w:val="83"/>
    <w:link w:val="114"/>
    <w:autoRedefine/>
    <w:qFormat/>
    <w:uiPriority w:val="0"/>
    <w:rPr>
      <w:rFonts w:ascii="仿宋_GB2312" w:hAnsi="Times New Roman" w:eastAsia="仿宋_GB2312"/>
      <w:kern w:val="2"/>
      <w:sz w:val="32"/>
      <w:szCs w:val="32"/>
    </w:rPr>
  </w:style>
  <w:style w:type="character" w:customStyle="1" w:styleId="262">
    <w:name w:val="表格内容 Char Char"/>
    <w:basedOn w:val="83"/>
    <w:link w:val="117"/>
    <w:autoRedefine/>
    <w:qFormat/>
    <w:uiPriority w:val="0"/>
    <w:rPr>
      <w:rFonts w:ascii="Arial" w:hAnsi="Arial" w:eastAsia="楷体_GB2312"/>
      <w:sz w:val="26"/>
    </w:rPr>
  </w:style>
  <w:style w:type="character" w:customStyle="1" w:styleId="263">
    <w:name w:val="表头 Char Char"/>
    <w:basedOn w:val="83"/>
    <w:link w:val="118"/>
    <w:autoRedefine/>
    <w:qFormat/>
    <w:uiPriority w:val="0"/>
    <w:rPr>
      <w:rFonts w:ascii="黑体" w:hAnsi="Times New Roman" w:eastAsia="黑体"/>
      <w:kern w:val="2"/>
      <w:sz w:val="24"/>
    </w:rPr>
  </w:style>
  <w:style w:type="character" w:customStyle="1" w:styleId="264">
    <w:name w:val="页眉 Char"/>
    <w:link w:val="33"/>
    <w:autoRedefine/>
    <w:qFormat/>
    <w:uiPriority w:val="99"/>
    <w:rPr>
      <w:rFonts w:ascii="Times New Roman" w:hAnsi="Times New Roman"/>
      <w:kern w:val="2"/>
      <w:sz w:val="18"/>
      <w:szCs w:val="18"/>
    </w:rPr>
  </w:style>
  <w:style w:type="character" w:customStyle="1" w:styleId="265">
    <w:name w:val="页脚 Char"/>
    <w:link w:val="50"/>
    <w:autoRedefine/>
    <w:qFormat/>
    <w:uiPriority w:val="99"/>
    <w:rPr>
      <w:rFonts w:ascii="Times New Roman" w:hAnsi="Times New Roman"/>
      <w:kern w:val="2"/>
      <w:sz w:val="18"/>
      <w:szCs w:val="18"/>
    </w:rPr>
  </w:style>
  <w:style w:type="character" w:customStyle="1" w:styleId="266">
    <w:name w:val="标题 4 Char"/>
    <w:basedOn w:val="83"/>
    <w:link w:val="6"/>
    <w:autoRedefine/>
    <w:qFormat/>
    <w:uiPriority w:val="0"/>
    <w:rPr>
      <w:rFonts w:ascii="Arial" w:hAnsi="Arial" w:eastAsia="黑体"/>
      <w:b/>
      <w:bCs/>
      <w:kern w:val="2"/>
      <w:sz w:val="28"/>
      <w:szCs w:val="28"/>
    </w:rPr>
  </w:style>
  <w:style w:type="character" w:customStyle="1" w:styleId="267">
    <w:name w:val="09.12.10 Char Char"/>
    <w:link w:val="169"/>
    <w:autoRedefine/>
    <w:qFormat/>
    <w:uiPriority w:val="0"/>
    <w:rPr>
      <w:rFonts w:ascii="宋体" w:hAnsi="Times New Roman"/>
      <w:bCs/>
      <w:sz w:val="28"/>
    </w:rPr>
  </w:style>
  <w:style w:type="character" w:customStyle="1" w:styleId="268">
    <w:name w:val="7 Char"/>
    <w:link w:val="170"/>
    <w:autoRedefine/>
    <w:qFormat/>
    <w:uiPriority w:val="0"/>
    <w:rPr>
      <w:rFonts w:ascii="Times New Roman" w:hAnsi="Times New Roman"/>
      <w:kern w:val="2"/>
      <w:sz w:val="28"/>
      <w:szCs w:val="28"/>
    </w:rPr>
  </w:style>
  <w:style w:type="character" w:customStyle="1" w:styleId="269">
    <w:name w:val="表格文字 Char Char"/>
    <w:link w:val="171"/>
    <w:autoRedefine/>
    <w:qFormat/>
    <w:uiPriority w:val="0"/>
    <w:rPr>
      <w:rFonts w:ascii="Times New Roman" w:hAnsi="Times New Roman"/>
      <w:kern w:val="24"/>
    </w:rPr>
  </w:style>
  <w:style w:type="character" w:customStyle="1" w:styleId="270">
    <w:name w:val="正文 Char"/>
    <w:basedOn w:val="83"/>
    <w:link w:val="178"/>
    <w:autoRedefine/>
    <w:qFormat/>
    <w:uiPriority w:val="0"/>
    <w:rPr>
      <w:rFonts w:ascii="宋体" w:hAnsi="Times New Roman" w:cs="宋体"/>
      <w:kern w:val="2"/>
      <w:sz w:val="24"/>
      <w:szCs w:val="24"/>
    </w:rPr>
  </w:style>
  <w:style w:type="character" w:customStyle="1" w:styleId="271">
    <w:name w:val="表格 Char"/>
    <w:basedOn w:val="83"/>
    <w:link w:val="179"/>
    <w:autoRedefine/>
    <w:qFormat/>
    <w:uiPriority w:val="0"/>
    <w:rPr>
      <w:rFonts w:ascii="Times New Roman" w:hAnsi="Times New Roman"/>
      <w:kern w:val="2"/>
      <w:sz w:val="21"/>
      <w:szCs w:val="21"/>
    </w:rPr>
  </w:style>
  <w:style w:type="character" w:customStyle="1" w:styleId="272">
    <w:name w:val="正文3 Char"/>
    <w:link w:val="180"/>
    <w:autoRedefine/>
    <w:qFormat/>
    <w:uiPriority w:val="0"/>
    <w:rPr>
      <w:rFonts w:ascii="宋体" w:hAnsi="Times New Roman"/>
      <w:kern w:val="2"/>
      <w:sz w:val="24"/>
      <w:szCs w:val="24"/>
    </w:rPr>
  </w:style>
  <w:style w:type="character" w:customStyle="1" w:styleId="273">
    <w:name w:val="B3 Char Char"/>
    <w:basedOn w:val="83"/>
    <w:link w:val="182"/>
    <w:autoRedefine/>
    <w:qFormat/>
    <w:uiPriority w:val="0"/>
    <w:rPr>
      <w:rFonts w:ascii="Times New Roman" w:hAnsi="Times New Roman"/>
      <w:b/>
      <w:kern w:val="2"/>
      <w:sz w:val="28"/>
      <w:szCs w:val="28"/>
    </w:rPr>
  </w:style>
  <w:style w:type="character" w:customStyle="1" w:styleId="274">
    <w:name w:val="表、图名 Char Char"/>
    <w:link w:val="186"/>
    <w:autoRedefine/>
    <w:qFormat/>
    <w:uiPriority w:val="0"/>
    <w:rPr>
      <w:rFonts w:ascii="黑体" w:hAnsi="Times New Roman" w:eastAsia="黑体"/>
      <w:color w:val="000000"/>
      <w:sz w:val="24"/>
      <w:szCs w:val="24"/>
    </w:rPr>
  </w:style>
  <w:style w:type="character" w:customStyle="1" w:styleId="275">
    <w:name w:val="11 Char"/>
    <w:link w:val="188"/>
    <w:autoRedefine/>
    <w:qFormat/>
    <w:uiPriority w:val="0"/>
    <w:rPr>
      <w:rFonts w:ascii="宋体" w:hAnsi="Times New Roman"/>
      <w:sz w:val="28"/>
      <w:szCs w:val="28"/>
    </w:rPr>
  </w:style>
  <w:style w:type="character" w:customStyle="1" w:styleId="276">
    <w:name w:val="表头1 Char"/>
    <w:link w:val="193"/>
    <w:autoRedefine/>
    <w:qFormat/>
    <w:uiPriority w:val="0"/>
    <w:rPr>
      <w:rFonts w:ascii="宋体" w:hAnsi="Times New Roman"/>
      <w:b/>
      <w:kern w:val="24"/>
      <w:sz w:val="24"/>
      <w:szCs w:val="21"/>
    </w:rPr>
  </w:style>
  <w:style w:type="character" w:customStyle="1" w:styleId="277">
    <w:name w:val="标题 Char"/>
    <w:basedOn w:val="83"/>
    <w:link w:val="71"/>
    <w:autoRedefine/>
    <w:qFormat/>
    <w:uiPriority w:val="0"/>
    <w:rPr>
      <w:rFonts w:ascii="Cambria" w:hAnsi="Cambria"/>
      <w:b/>
      <w:bCs/>
      <w:kern w:val="2"/>
      <w:sz w:val="32"/>
      <w:szCs w:val="32"/>
    </w:rPr>
  </w:style>
  <w:style w:type="character" w:customStyle="1" w:styleId="278">
    <w:name w:val="标题 2 Char"/>
    <w:basedOn w:val="83"/>
    <w:link w:val="4"/>
    <w:autoRedefine/>
    <w:qFormat/>
    <w:uiPriority w:val="0"/>
    <w:rPr>
      <w:rFonts w:ascii="Arial" w:hAnsi="Arial" w:eastAsia="黑体"/>
      <w:b/>
      <w:bCs/>
      <w:kern w:val="2"/>
      <w:sz w:val="32"/>
      <w:szCs w:val="32"/>
    </w:rPr>
  </w:style>
  <w:style w:type="character" w:customStyle="1" w:styleId="279">
    <w:name w:val="2级标题2 Char"/>
    <w:link w:val="200"/>
    <w:autoRedefine/>
    <w:qFormat/>
    <w:uiPriority w:val="0"/>
    <w:rPr>
      <w:rFonts w:ascii="宋体" w:hAnsi="宋体" w:eastAsia="仿宋_GB2312"/>
      <w:b/>
      <w:color w:val="000000"/>
      <w:sz w:val="30"/>
      <w:szCs w:val="30"/>
    </w:rPr>
  </w:style>
  <w:style w:type="character" w:customStyle="1" w:styleId="280">
    <w:name w:val="3级标题3 Char"/>
    <w:link w:val="201"/>
    <w:autoRedefine/>
    <w:qFormat/>
    <w:uiPriority w:val="0"/>
    <w:rPr>
      <w:rFonts w:ascii="宋体" w:hAnsi="宋体" w:eastAsia="仿宋_GB2312"/>
      <w:b/>
      <w:color w:val="000000"/>
      <w:sz w:val="28"/>
      <w:szCs w:val="28"/>
    </w:rPr>
  </w:style>
  <w:style w:type="character" w:customStyle="1" w:styleId="281">
    <w:name w:val="正文文本缩进 Char"/>
    <w:basedOn w:val="83"/>
    <w:autoRedefine/>
    <w:qFormat/>
    <w:uiPriority w:val="99"/>
    <w:rPr>
      <w:kern w:val="2"/>
      <w:sz w:val="21"/>
      <w:szCs w:val="24"/>
    </w:rPr>
  </w:style>
  <w:style w:type="character" w:customStyle="1" w:styleId="282">
    <w:name w:val="标题 5 Char"/>
    <w:basedOn w:val="83"/>
    <w:link w:val="7"/>
    <w:autoRedefine/>
    <w:qFormat/>
    <w:uiPriority w:val="0"/>
    <w:rPr>
      <w:rFonts w:ascii="Times New Roman" w:hAnsi="Times New Roman"/>
      <w:b/>
      <w:bCs/>
      <w:kern w:val="2"/>
      <w:sz w:val="28"/>
      <w:szCs w:val="28"/>
    </w:rPr>
  </w:style>
  <w:style w:type="character" w:customStyle="1" w:styleId="283">
    <w:name w:val="【正文】 Char"/>
    <w:link w:val="207"/>
    <w:autoRedefine/>
    <w:qFormat/>
    <w:uiPriority w:val="0"/>
    <w:rPr>
      <w:rFonts w:ascii="Times New Roman" w:hAnsi="Times New Roman" w:cs="宋体"/>
      <w:kern w:val="2"/>
      <w:sz w:val="24"/>
    </w:rPr>
  </w:style>
  <w:style w:type="character" w:customStyle="1" w:styleId="284">
    <w:name w:val="标题 1 Char"/>
    <w:basedOn w:val="83"/>
    <w:link w:val="3"/>
    <w:autoRedefine/>
    <w:qFormat/>
    <w:uiPriority w:val="9"/>
    <w:rPr>
      <w:rFonts w:ascii="Times New Roman" w:hAnsi="Times New Roman"/>
      <w:b/>
      <w:bCs/>
      <w:kern w:val="44"/>
      <w:sz w:val="44"/>
      <w:szCs w:val="44"/>
    </w:rPr>
  </w:style>
  <w:style w:type="character" w:customStyle="1" w:styleId="285">
    <w:name w:val="正文文本 Char"/>
    <w:basedOn w:val="83"/>
    <w:link w:val="31"/>
    <w:autoRedefine/>
    <w:qFormat/>
    <w:uiPriority w:val="0"/>
    <w:rPr>
      <w:rFonts w:ascii="Times New Roman" w:hAnsi="Times New Roman"/>
      <w:kern w:val="2"/>
      <w:sz w:val="21"/>
      <w:szCs w:val="24"/>
    </w:rPr>
  </w:style>
  <w:style w:type="character" w:customStyle="1" w:styleId="286">
    <w:name w:val="正文首行缩进 Char"/>
    <w:basedOn w:val="285"/>
    <w:link w:val="73"/>
    <w:autoRedefine/>
    <w:qFormat/>
    <w:uiPriority w:val="0"/>
    <w:rPr>
      <w:rFonts w:ascii="Times New Roman" w:hAnsi="Times New Roman"/>
      <w:kern w:val="2"/>
      <w:sz w:val="28"/>
      <w:szCs w:val="24"/>
    </w:rPr>
  </w:style>
  <w:style w:type="character" w:customStyle="1" w:styleId="287">
    <w:name w:val="批注文字 Char"/>
    <w:basedOn w:val="83"/>
    <w:link w:val="27"/>
    <w:autoRedefine/>
    <w:qFormat/>
    <w:uiPriority w:val="0"/>
    <w:rPr>
      <w:rFonts w:ascii="Times New Roman" w:hAnsi="Times New Roman"/>
      <w:kern w:val="2"/>
      <w:sz w:val="21"/>
      <w:szCs w:val="24"/>
    </w:rPr>
  </w:style>
  <w:style w:type="character" w:customStyle="1" w:styleId="288">
    <w:name w:val="批注主题 Char"/>
    <w:basedOn w:val="287"/>
    <w:link w:val="72"/>
    <w:autoRedefine/>
    <w:qFormat/>
    <w:uiPriority w:val="0"/>
    <w:rPr>
      <w:rFonts w:ascii="Times New Roman" w:hAnsi="Times New Roman"/>
      <w:b/>
      <w:bCs/>
      <w:kern w:val="2"/>
      <w:sz w:val="21"/>
      <w:szCs w:val="24"/>
    </w:rPr>
  </w:style>
  <w:style w:type="character" w:customStyle="1" w:styleId="289">
    <w:name w:val="文档结构图 Char"/>
    <w:basedOn w:val="83"/>
    <w:link w:val="25"/>
    <w:qFormat/>
    <w:uiPriority w:val="0"/>
    <w:rPr>
      <w:rFonts w:ascii="Times New Roman" w:hAnsi="Times New Roman"/>
      <w:kern w:val="2"/>
      <w:sz w:val="21"/>
      <w:szCs w:val="24"/>
      <w:shd w:val="clear" w:color="auto" w:fill="000080"/>
    </w:rPr>
  </w:style>
  <w:style w:type="character" w:customStyle="1" w:styleId="290">
    <w:name w:val="正文文本 3 Char"/>
    <w:basedOn w:val="83"/>
    <w:link w:val="30"/>
    <w:autoRedefine/>
    <w:qFormat/>
    <w:uiPriority w:val="0"/>
    <w:rPr>
      <w:rFonts w:ascii="Times New Roman" w:hAnsi="Times New Roman"/>
      <w:kern w:val="2"/>
      <w:sz w:val="16"/>
      <w:szCs w:val="16"/>
    </w:rPr>
  </w:style>
  <w:style w:type="character" w:customStyle="1" w:styleId="291">
    <w:name w:val="日期 Char"/>
    <w:basedOn w:val="83"/>
    <w:link w:val="46"/>
    <w:autoRedefine/>
    <w:qFormat/>
    <w:uiPriority w:val="0"/>
    <w:rPr>
      <w:rFonts w:ascii="Times New Roman" w:hAnsi="Times New Roman"/>
      <w:kern w:val="2"/>
      <w:sz w:val="32"/>
    </w:rPr>
  </w:style>
  <w:style w:type="character" w:customStyle="1" w:styleId="292">
    <w:name w:val="正文文本缩进 2 Char"/>
    <w:basedOn w:val="83"/>
    <w:link w:val="47"/>
    <w:autoRedefine/>
    <w:qFormat/>
    <w:uiPriority w:val="0"/>
    <w:rPr>
      <w:rFonts w:ascii="Times New Roman" w:hAnsi="Times New Roman"/>
      <w:kern w:val="2"/>
      <w:sz w:val="21"/>
      <w:szCs w:val="24"/>
    </w:rPr>
  </w:style>
  <w:style w:type="character" w:customStyle="1" w:styleId="293">
    <w:name w:val="批注框文本 Char"/>
    <w:basedOn w:val="83"/>
    <w:link w:val="49"/>
    <w:autoRedefine/>
    <w:qFormat/>
    <w:uiPriority w:val="0"/>
    <w:rPr>
      <w:rFonts w:ascii="Times New Roman" w:hAnsi="Times New Roman"/>
      <w:kern w:val="2"/>
      <w:sz w:val="18"/>
      <w:szCs w:val="18"/>
    </w:rPr>
  </w:style>
  <w:style w:type="character" w:customStyle="1" w:styleId="294">
    <w:name w:val="正文文本缩进 3 Char"/>
    <w:basedOn w:val="83"/>
    <w:link w:val="59"/>
    <w:qFormat/>
    <w:uiPriority w:val="0"/>
    <w:rPr>
      <w:rFonts w:ascii="Times New Roman" w:hAnsi="Times New Roman"/>
      <w:kern w:val="2"/>
      <w:sz w:val="16"/>
      <w:szCs w:val="16"/>
    </w:rPr>
  </w:style>
  <w:style w:type="character" w:customStyle="1" w:styleId="295">
    <w:name w:val="HTML 预设格式 Char"/>
    <w:basedOn w:val="83"/>
    <w:link w:val="67"/>
    <w:autoRedefine/>
    <w:qFormat/>
    <w:uiPriority w:val="0"/>
    <w:rPr>
      <w:rFonts w:ascii="Arial" w:hAnsi="Arial" w:cs="Arial"/>
      <w:sz w:val="21"/>
      <w:szCs w:val="21"/>
    </w:rPr>
  </w:style>
  <w:style w:type="character" w:customStyle="1" w:styleId="296">
    <w:name w:val="正文样式 Char"/>
    <w:basedOn w:val="83"/>
    <w:link w:val="224"/>
    <w:autoRedefine/>
    <w:qFormat/>
    <w:uiPriority w:val="0"/>
    <w:rPr>
      <w:rFonts w:ascii="宋体" w:hAnsi="Times New Roman"/>
      <w:kern w:val="2"/>
      <w:sz w:val="24"/>
      <w:szCs w:val="24"/>
    </w:rPr>
  </w:style>
  <w:style w:type="table" w:customStyle="1" w:styleId="297">
    <w:name w:val="Table Normal"/>
    <w:autoRedefine/>
    <w:unhideWhenUsed/>
    <w:qFormat/>
    <w:uiPriority w:val="2"/>
    <w:pPr>
      <w:jc w:val="both"/>
    </w:pPr>
    <w:tblPr>
      <w:tblCellMar>
        <w:top w:w="0" w:type="dxa"/>
        <w:left w:w="0" w:type="dxa"/>
        <w:bottom w:w="0" w:type="dxa"/>
        <w:right w:w="0" w:type="dxa"/>
      </w:tblCellMar>
    </w:tblPr>
  </w:style>
  <w:style w:type="character" w:customStyle="1" w:styleId="298">
    <w:name w:val="正文1 Char Char"/>
    <w:link w:val="148"/>
    <w:autoRedefine/>
    <w:qFormat/>
    <w:uiPriority w:val="0"/>
    <w:rPr>
      <w:rFonts w:ascii="宋体" w:hAnsi="Times New Roman"/>
      <w:sz w:val="24"/>
    </w:rPr>
  </w:style>
  <w:style w:type="table" w:customStyle="1" w:styleId="299">
    <w:name w:val="Table Normal1"/>
    <w:autoRedefine/>
    <w:unhideWhenUsed/>
    <w:qFormat/>
    <w:uiPriority w:val="2"/>
    <w:pPr>
      <w:widowControl w:val="0"/>
      <w:autoSpaceDE w:val="0"/>
      <w:autoSpaceDN w:val="0"/>
      <w:jc w:val="both"/>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00">
    <w:name w:val="表格式"/>
    <w:basedOn w:val="19"/>
    <w:qFormat/>
    <w:uiPriority w:val="0"/>
    <w:pPr>
      <w:widowControl/>
      <w:spacing w:line="240" w:lineRule="auto"/>
    </w:pPr>
    <w:rPr>
      <w:sz w:val="21"/>
      <w:szCs w:val="21"/>
    </w:rPr>
  </w:style>
  <w:style w:type="character" w:customStyle="1" w:styleId="301">
    <w:name w:val="正文（首行缩进） Char"/>
    <w:link w:val="177"/>
    <w:autoRedefine/>
    <w:qFormat/>
    <w:uiPriority w:val="0"/>
    <w:rPr>
      <w:rFonts w:ascii="宋体" w:hAnsi="Times New Roman"/>
      <w:color w:val="000000"/>
      <w:kern w:val="2"/>
      <w:sz w:val="24"/>
    </w:rPr>
  </w:style>
  <w:style w:type="character" w:customStyle="1" w:styleId="302">
    <w:name w:val="表格头 Char Char"/>
    <w:link w:val="303"/>
    <w:autoRedefine/>
    <w:qFormat/>
    <w:uiPriority w:val="0"/>
    <w:rPr>
      <w:rFonts w:cs="宋体"/>
      <w:b/>
      <w:szCs w:val="28"/>
    </w:rPr>
  </w:style>
  <w:style w:type="paragraph" w:customStyle="1" w:styleId="303">
    <w:name w:val="表格头"/>
    <w:basedOn w:val="1"/>
    <w:link w:val="302"/>
    <w:autoRedefine/>
    <w:qFormat/>
    <w:uiPriority w:val="0"/>
    <w:pPr>
      <w:widowControl/>
      <w:adjustRightInd w:val="0"/>
      <w:snapToGrid w:val="0"/>
    </w:pPr>
    <w:rPr>
      <w:rFonts w:ascii="Calibri" w:hAnsi="Calibri" w:cs="宋体"/>
      <w:b/>
      <w:kern w:val="0"/>
      <w:sz w:val="20"/>
      <w:szCs w:val="28"/>
    </w:rPr>
  </w:style>
  <w:style w:type="character" w:customStyle="1" w:styleId="304">
    <w:name w:val="【表中文字】 Char"/>
    <w:basedOn w:val="83"/>
    <w:link w:val="305"/>
    <w:qFormat/>
    <w:uiPriority w:val="0"/>
  </w:style>
  <w:style w:type="paragraph" w:customStyle="1" w:styleId="305">
    <w:name w:val="【表中文字】"/>
    <w:basedOn w:val="1"/>
    <w:link w:val="304"/>
    <w:autoRedefine/>
    <w:qFormat/>
    <w:uiPriority w:val="0"/>
    <w:pPr>
      <w:widowControl/>
      <w:spacing w:line="380" w:lineRule="exact"/>
      <w:jc w:val="center"/>
    </w:pPr>
    <w:rPr>
      <w:rFonts w:ascii="Calibri" w:hAnsi="Calibri"/>
      <w:kern w:val="0"/>
      <w:sz w:val="20"/>
      <w:szCs w:val="20"/>
    </w:rPr>
  </w:style>
  <w:style w:type="paragraph" w:customStyle="1" w:styleId="306">
    <w:name w:val="表标题"/>
    <w:basedOn w:val="73"/>
    <w:autoRedefine/>
    <w:qFormat/>
    <w:uiPriority w:val="0"/>
    <w:pPr>
      <w:widowControl/>
      <w:overflowPunct/>
      <w:autoSpaceDE/>
      <w:autoSpaceDN/>
      <w:adjustRightInd/>
      <w:spacing w:before="120" w:after="0" w:line="240" w:lineRule="auto"/>
      <w:ind w:firstLine="0"/>
      <w:jc w:val="center"/>
    </w:pPr>
    <w:rPr>
      <w:b/>
      <w:kern w:val="32"/>
      <w:sz w:val="24"/>
      <w:szCs w:val="24"/>
      <w:lang w:bidi="en-US"/>
    </w:rPr>
  </w:style>
  <w:style w:type="paragraph" w:customStyle="1" w:styleId="307">
    <w:name w:val="样式 样式 样式 样式 样式 样式 正文文本缩进 + 首行缩进:  2 字符 + 首行缩进:  2 字符 + 图案: 清除 + ...1"/>
    <w:basedOn w:val="1"/>
    <w:autoRedefine/>
    <w:qFormat/>
    <w:uiPriority w:val="0"/>
    <w:pPr>
      <w:widowControl/>
      <w:spacing w:beforeLines="50"/>
      <w:ind w:firstLine="482"/>
      <w:jc w:val="center"/>
    </w:pPr>
    <w:rPr>
      <w:rFonts w:hAnsi="Calibri"/>
      <w:b/>
      <w:szCs w:val="21"/>
    </w:rPr>
  </w:style>
  <w:style w:type="character" w:customStyle="1" w:styleId="308">
    <w:name w:val="环保表头 Char Char"/>
    <w:autoRedefine/>
    <w:qFormat/>
    <w:uiPriority w:val="0"/>
    <w:rPr>
      <w:rFonts w:eastAsia="黑体"/>
      <w:b/>
      <w:bCs/>
      <w:kern w:val="44"/>
      <w:sz w:val="24"/>
      <w:szCs w:val="30"/>
    </w:rPr>
  </w:style>
  <w:style w:type="table" w:customStyle="1" w:styleId="309">
    <w:name w:val="Table Normal2"/>
    <w:semiHidden/>
    <w:unhideWhenUsed/>
    <w:qFormat/>
    <w:uiPriority w:val="2"/>
    <w:pPr>
      <w:widowControl w:val="0"/>
      <w:autoSpaceDE w:val="0"/>
      <w:autoSpaceDN w:val="0"/>
      <w:jc w:val="both"/>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310">
    <w:name w:val="山焦报告正文"/>
    <w:basedOn w:val="1"/>
    <w:qFormat/>
    <w:uiPriority w:val="0"/>
    <w:pPr>
      <w:widowControl/>
      <w:adjustRightInd w:val="0"/>
      <w:snapToGrid w:val="0"/>
      <w:spacing w:beforeLines="25" w:line="440" w:lineRule="exact"/>
      <w:ind w:firstLine="200" w:firstLineChars="200"/>
    </w:pPr>
    <w:rPr>
      <w:color w:val="000000"/>
      <w:sz w:val="24"/>
    </w:rPr>
  </w:style>
  <w:style w:type="paragraph" w:customStyle="1" w:styleId="311">
    <w:name w:val="环保表内字（五号）"/>
    <w:basedOn w:val="1"/>
    <w:link w:val="312"/>
    <w:autoRedefine/>
    <w:qFormat/>
    <w:uiPriority w:val="0"/>
    <w:pPr>
      <w:widowControl/>
      <w:autoSpaceDE w:val="0"/>
      <w:autoSpaceDN w:val="0"/>
      <w:adjustRightInd w:val="0"/>
      <w:snapToGrid w:val="0"/>
      <w:ind w:left="-1" w:leftChars="-1" w:hanging="2" w:hangingChars="1"/>
      <w:jc w:val="center"/>
    </w:pPr>
    <w:rPr>
      <w:color w:val="000000"/>
      <w:kern w:val="0"/>
      <w:szCs w:val="21"/>
      <w:lang w:val="zh-CN"/>
    </w:rPr>
  </w:style>
  <w:style w:type="character" w:customStyle="1" w:styleId="312">
    <w:name w:val="环保表内字（五号） Char"/>
    <w:link w:val="311"/>
    <w:autoRedefine/>
    <w:qFormat/>
    <w:uiPriority w:val="0"/>
    <w:rPr>
      <w:rFonts w:ascii="Times New Roman" w:hAnsi="Times New Roman"/>
      <w:color w:val="000000"/>
      <w:sz w:val="21"/>
      <w:szCs w:val="21"/>
      <w:lang w:val="zh-CN"/>
    </w:rPr>
  </w:style>
  <w:style w:type="paragraph" w:customStyle="1" w:styleId="313">
    <w:name w:val="样式9"/>
    <w:basedOn w:val="1"/>
    <w:link w:val="314"/>
    <w:qFormat/>
    <w:uiPriority w:val="0"/>
    <w:pPr>
      <w:spacing w:line="360" w:lineRule="auto"/>
      <w:ind w:firstLine="200" w:firstLineChars="200"/>
    </w:pPr>
    <w:rPr>
      <w:rFonts w:eastAsia="仿宋_GB2312"/>
      <w:sz w:val="24"/>
    </w:rPr>
  </w:style>
  <w:style w:type="character" w:customStyle="1" w:styleId="314">
    <w:name w:val="样式9 Char"/>
    <w:basedOn w:val="83"/>
    <w:link w:val="313"/>
    <w:autoRedefine/>
    <w:qFormat/>
    <w:uiPriority w:val="0"/>
    <w:rPr>
      <w:rFonts w:ascii="Times New Roman" w:hAnsi="Times New Roman" w:eastAsia="仿宋_GB2312"/>
      <w:kern w:val="2"/>
      <w:sz w:val="24"/>
      <w:szCs w:val="24"/>
    </w:rPr>
  </w:style>
  <w:style w:type="paragraph" w:customStyle="1" w:styleId="315">
    <w:name w:val="样式8"/>
    <w:basedOn w:val="118"/>
    <w:link w:val="316"/>
    <w:autoRedefine/>
    <w:qFormat/>
    <w:uiPriority w:val="0"/>
    <w:pPr>
      <w:adjustRightInd/>
      <w:snapToGrid/>
      <w:spacing w:line="300" w:lineRule="exact"/>
    </w:pPr>
    <w:rPr>
      <w:rFonts w:ascii="Times New Roman" w:eastAsia="仿宋_GB2312"/>
      <w:b/>
      <w:sz w:val="21"/>
    </w:rPr>
  </w:style>
  <w:style w:type="character" w:customStyle="1" w:styleId="316">
    <w:name w:val="样式8 Char Char"/>
    <w:link w:val="315"/>
    <w:qFormat/>
    <w:uiPriority w:val="0"/>
    <w:rPr>
      <w:rFonts w:ascii="Times New Roman" w:hAnsi="Times New Roman" w:eastAsia="仿宋_GB2312"/>
      <w:b/>
      <w:kern w:val="2"/>
      <w:sz w:val="21"/>
    </w:rPr>
  </w:style>
  <w:style w:type="paragraph" w:customStyle="1" w:styleId="317">
    <w:name w:val="2级标题"/>
    <w:basedOn w:val="71"/>
    <w:link w:val="318"/>
    <w:autoRedefine/>
    <w:qFormat/>
    <w:uiPriority w:val="0"/>
    <w:pPr>
      <w:overflowPunct w:val="0"/>
      <w:autoSpaceDE w:val="0"/>
      <w:autoSpaceDN w:val="0"/>
      <w:spacing w:before="120" w:after="120" w:line="360" w:lineRule="auto"/>
      <w:jc w:val="left"/>
      <w:outlineLvl w:val="1"/>
    </w:pPr>
    <w:rPr>
      <w:rFonts w:ascii="Times New Roman" w:hAnsi="Times New Roman" w:cs="Arial"/>
      <w:color w:val="000000"/>
      <w:sz w:val="30"/>
      <w:szCs w:val="30"/>
    </w:rPr>
  </w:style>
  <w:style w:type="character" w:customStyle="1" w:styleId="318">
    <w:name w:val="2级标题 Char"/>
    <w:link w:val="317"/>
    <w:qFormat/>
    <w:uiPriority w:val="0"/>
    <w:rPr>
      <w:rFonts w:ascii="Times New Roman" w:hAnsi="Times New Roman" w:cs="Arial"/>
      <w:b/>
      <w:bCs/>
      <w:color w:val="000000"/>
      <w:kern w:val="2"/>
      <w:sz w:val="30"/>
      <w:szCs w:val="30"/>
    </w:rPr>
  </w:style>
  <w:style w:type="character" w:customStyle="1" w:styleId="319">
    <w:name w:val="3级标题 Char"/>
    <w:link w:val="246"/>
    <w:autoRedefine/>
    <w:qFormat/>
    <w:uiPriority w:val="0"/>
    <w:rPr>
      <w:rFonts w:ascii="Times New Roman" w:hAnsi="Times New Roman"/>
      <w:b/>
      <w:bCs/>
      <w:color w:val="000000"/>
      <w:kern w:val="2"/>
      <w:sz w:val="28"/>
      <w:szCs w:val="28"/>
    </w:rPr>
  </w:style>
  <w:style w:type="paragraph" w:customStyle="1" w:styleId="320">
    <w:name w:val="4级标题"/>
    <w:basedOn w:val="1"/>
    <w:link w:val="666"/>
    <w:autoRedefine/>
    <w:qFormat/>
    <w:uiPriority w:val="0"/>
    <w:pPr>
      <w:widowControl/>
      <w:overflowPunct w:val="0"/>
      <w:adjustRightInd w:val="0"/>
      <w:snapToGrid w:val="0"/>
      <w:spacing w:line="360" w:lineRule="auto"/>
    </w:pPr>
    <w:rPr>
      <w:rFonts w:cstheme="minorBidi"/>
      <w:b/>
      <w:kern w:val="0"/>
      <w:sz w:val="24"/>
      <w:szCs w:val="22"/>
    </w:rPr>
  </w:style>
  <w:style w:type="character" w:customStyle="1" w:styleId="321">
    <w:name w:val="Char Char12"/>
    <w:qFormat/>
    <w:uiPriority w:val="0"/>
    <w:rPr>
      <w:rFonts w:ascii="Calibri" w:hAnsi="Calibri"/>
      <w:kern w:val="2"/>
      <w:sz w:val="18"/>
      <w:szCs w:val="18"/>
    </w:rPr>
  </w:style>
  <w:style w:type="character" w:customStyle="1" w:styleId="322">
    <w:name w:val="Char Char101"/>
    <w:autoRedefine/>
    <w:qFormat/>
    <w:uiPriority w:val="0"/>
    <w:rPr>
      <w:rFonts w:eastAsia="宋体"/>
      <w:b/>
      <w:bCs/>
      <w:kern w:val="2"/>
      <w:sz w:val="28"/>
      <w:szCs w:val="28"/>
      <w:lang w:val="en-US" w:eastAsia="zh-CN" w:bidi="ar-SA"/>
    </w:rPr>
  </w:style>
  <w:style w:type="character" w:customStyle="1" w:styleId="323">
    <w:name w:val="标题1"/>
    <w:autoRedefine/>
    <w:qFormat/>
    <w:uiPriority w:val="0"/>
  </w:style>
  <w:style w:type="character" w:customStyle="1" w:styleId="324">
    <w:name w:val="0 图表 Char"/>
    <w:link w:val="325"/>
    <w:autoRedefine/>
    <w:qFormat/>
    <w:uiPriority w:val="0"/>
    <w:rPr>
      <w:rFonts w:eastAsia="黑体" w:cs="黑体"/>
      <w:b/>
      <w:kern w:val="2"/>
      <w:sz w:val="24"/>
      <w:szCs w:val="21"/>
    </w:rPr>
  </w:style>
  <w:style w:type="paragraph" w:customStyle="1" w:styleId="325">
    <w:name w:val="0 图表"/>
    <w:basedOn w:val="1"/>
    <w:link w:val="324"/>
    <w:autoRedefine/>
    <w:qFormat/>
    <w:uiPriority w:val="0"/>
    <w:pPr>
      <w:widowControl/>
      <w:jc w:val="center"/>
    </w:pPr>
    <w:rPr>
      <w:rFonts w:ascii="Calibri" w:hAnsi="Calibri" w:eastAsia="黑体" w:cs="黑体"/>
      <w:b/>
      <w:sz w:val="24"/>
      <w:szCs w:val="21"/>
    </w:rPr>
  </w:style>
  <w:style w:type="character" w:customStyle="1" w:styleId="326">
    <w:name w:val="3 Char"/>
    <w:autoRedefine/>
    <w:qFormat/>
    <w:uiPriority w:val="0"/>
    <w:rPr>
      <w:rFonts w:ascii="宋体" w:hAnsi="宋体" w:eastAsia="宋体" w:cs="宋体"/>
      <w:kern w:val="2"/>
      <w:sz w:val="24"/>
      <w:szCs w:val="24"/>
      <w:lang w:val="en-US" w:eastAsia="zh-CN" w:bidi="ar-SA"/>
    </w:rPr>
  </w:style>
  <w:style w:type="character" w:customStyle="1" w:styleId="327">
    <w:name w:val="L-正文 Char"/>
    <w:link w:val="328"/>
    <w:autoRedefine/>
    <w:qFormat/>
    <w:uiPriority w:val="0"/>
    <w:rPr>
      <w:rFonts w:ascii="宋体" w:hAnsi="宋体"/>
      <w:color w:val="000000"/>
      <w:sz w:val="28"/>
      <w:szCs w:val="28"/>
    </w:rPr>
  </w:style>
  <w:style w:type="paragraph" w:customStyle="1" w:styleId="328">
    <w:name w:val="L-正文"/>
    <w:basedOn w:val="1"/>
    <w:link w:val="327"/>
    <w:autoRedefine/>
    <w:qFormat/>
    <w:uiPriority w:val="0"/>
    <w:pPr>
      <w:widowControl/>
      <w:ind w:firstLine="192" w:firstLineChars="192"/>
      <w:jc w:val="left"/>
    </w:pPr>
    <w:rPr>
      <w:rFonts w:ascii="宋体" w:hAnsi="宋体"/>
      <w:color w:val="000000"/>
      <w:kern w:val="0"/>
      <w:sz w:val="28"/>
      <w:szCs w:val="28"/>
    </w:rPr>
  </w:style>
  <w:style w:type="character" w:customStyle="1" w:styleId="329">
    <w:name w:val="正文文字缩进 3 Char"/>
    <w:autoRedefine/>
    <w:qFormat/>
    <w:uiPriority w:val="0"/>
    <w:rPr>
      <w:rFonts w:eastAsia="宋体"/>
      <w:kern w:val="2"/>
      <w:sz w:val="16"/>
      <w:szCs w:val="16"/>
      <w:lang w:val="en-US" w:eastAsia="zh-CN" w:bidi="ar-SA"/>
    </w:rPr>
  </w:style>
  <w:style w:type="character" w:customStyle="1" w:styleId="330">
    <w:name w:val="干标题(a) Char Char"/>
    <w:qFormat/>
    <w:uiPriority w:val="0"/>
    <w:rPr>
      <w:rFonts w:ascii="Arial" w:hAnsi="Arial" w:eastAsia="黑体"/>
      <w:kern w:val="2"/>
      <w:sz w:val="28"/>
      <w:szCs w:val="21"/>
      <w:lang w:val="en-US" w:eastAsia="zh-CN" w:bidi="ar-SA"/>
    </w:rPr>
  </w:style>
  <w:style w:type="character" w:customStyle="1" w:styleId="331">
    <w:name w:val="应用正文 Char"/>
    <w:link w:val="332"/>
    <w:autoRedefine/>
    <w:qFormat/>
    <w:uiPriority w:val="0"/>
    <w:rPr>
      <w:rFonts w:ascii="仿宋_GB2312" w:eastAsia="仿宋_GB2312"/>
      <w:sz w:val="28"/>
    </w:rPr>
  </w:style>
  <w:style w:type="paragraph" w:customStyle="1" w:styleId="332">
    <w:name w:val="应用正文"/>
    <w:basedOn w:val="1"/>
    <w:link w:val="331"/>
    <w:autoRedefine/>
    <w:qFormat/>
    <w:uiPriority w:val="0"/>
    <w:pPr>
      <w:widowControl/>
      <w:spacing w:line="360" w:lineRule="auto"/>
      <w:ind w:firstLine="560" w:firstLineChars="200"/>
      <w:jc w:val="left"/>
    </w:pPr>
    <w:rPr>
      <w:rFonts w:ascii="仿宋_GB2312" w:hAnsi="Calibri" w:eastAsia="仿宋_GB2312"/>
      <w:kern w:val="0"/>
      <w:sz w:val="28"/>
      <w:szCs w:val="20"/>
    </w:rPr>
  </w:style>
  <w:style w:type="character" w:customStyle="1" w:styleId="333">
    <w:name w:val="1.1标题 3 Char1"/>
    <w:autoRedefine/>
    <w:qFormat/>
    <w:uiPriority w:val="0"/>
    <w:rPr>
      <w:rFonts w:eastAsia="宋体"/>
      <w:b/>
      <w:bCs/>
      <w:kern w:val="2"/>
      <w:sz w:val="32"/>
      <w:szCs w:val="32"/>
      <w:lang w:val="en-US" w:eastAsia="zh-CN" w:bidi="ar-SA"/>
    </w:rPr>
  </w:style>
  <w:style w:type="character" w:customStyle="1" w:styleId="334">
    <w:name w:val="正文 Char Char"/>
    <w:autoRedefine/>
    <w:qFormat/>
    <w:uiPriority w:val="0"/>
    <w:rPr>
      <w:rFonts w:ascii="宋体" w:hAnsi="宋体" w:eastAsia="宋体" w:cs="宋体"/>
      <w:kern w:val="2"/>
      <w:sz w:val="24"/>
      <w:szCs w:val="24"/>
      <w:lang w:val="en-US" w:eastAsia="zh-CN" w:bidi="ar-SA"/>
    </w:rPr>
  </w:style>
  <w:style w:type="character" w:customStyle="1" w:styleId="335">
    <w:name w:val="日期 Char1"/>
    <w:semiHidden/>
    <w:qFormat/>
    <w:uiPriority w:val="99"/>
    <w:rPr>
      <w:rFonts w:ascii="Calibri" w:hAnsi="Calibri" w:eastAsia="宋体" w:cs="Times New Roman"/>
    </w:rPr>
  </w:style>
  <w:style w:type="character" w:customStyle="1" w:styleId="336">
    <w:name w:val="Char Char121"/>
    <w:autoRedefine/>
    <w:qFormat/>
    <w:uiPriority w:val="0"/>
    <w:rPr>
      <w:rFonts w:ascii="Cambria" w:hAnsi="Cambria" w:eastAsia="宋体"/>
      <w:b/>
      <w:color w:val="4F81BD"/>
    </w:rPr>
  </w:style>
  <w:style w:type="character" w:customStyle="1" w:styleId="337">
    <w:name w:val="Char Char Char Char Char"/>
    <w:autoRedefine/>
    <w:qFormat/>
    <w:uiPriority w:val="0"/>
    <w:rPr>
      <w:rFonts w:ascii="Arial" w:hAnsi="Arial" w:eastAsia="黑体"/>
      <w:b/>
      <w:bCs/>
      <w:kern w:val="2"/>
      <w:sz w:val="32"/>
      <w:szCs w:val="32"/>
      <w:lang w:val="en-US" w:eastAsia="zh-CN" w:bidi="ar-SA"/>
    </w:rPr>
  </w:style>
  <w:style w:type="character" w:customStyle="1" w:styleId="338">
    <w:name w:val="纯文本 Char Char Char Char1"/>
    <w:autoRedefine/>
    <w:qFormat/>
    <w:uiPriority w:val="0"/>
    <w:rPr>
      <w:rFonts w:ascii="宋体" w:hAnsi="Courier New" w:eastAsia="宋体" w:cs="Courier New"/>
      <w:kern w:val="2"/>
      <w:sz w:val="21"/>
      <w:szCs w:val="21"/>
      <w:lang w:val="en-US" w:eastAsia="zh-CN" w:bidi="ar-SA"/>
    </w:rPr>
  </w:style>
  <w:style w:type="character" w:customStyle="1" w:styleId="339">
    <w:name w:val="0916正文样式 Char Char"/>
    <w:link w:val="340"/>
    <w:autoRedefine/>
    <w:qFormat/>
    <w:uiPriority w:val="0"/>
    <w:rPr>
      <w:rFonts w:ascii="宋体" w:hAnsi="ˎ̥"/>
      <w:sz w:val="28"/>
      <w:szCs w:val="28"/>
    </w:rPr>
  </w:style>
  <w:style w:type="paragraph" w:customStyle="1" w:styleId="340">
    <w:name w:val="0916正文样式"/>
    <w:basedOn w:val="1"/>
    <w:link w:val="339"/>
    <w:qFormat/>
    <w:uiPriority w:val="0"/>
    <w:pPr>
      <w:widowControl/>
      <w:adjustRightInd w:val="0"/>
      <w:snapToGrid w:val="0"/>
      <w:spacing w:line="336" w:lineRule="auto"/>
      <w:ind w:firstLine="560" w:firstLineChars="200"/>
      <w:jc w:val="left"/>
    </w:pPr>
    <w:rPr>
      <w:rFonts w:ascii="宋体" w:hAnsi="ˎ̥"/>
      <w:kern w:val="0"/>
      <w:sz w:val="28"/>
      <w:szCs w:val="28"/>
    </w:rPr>
  </w:style>
  <w:style w:type="character" w:customStyle="1" w:styleId="341">
    <w:name w:val="表标号 Char"/>
    <w:link w:val="342"/>
    <w:autoRedefine/>
    <w:qFormat/>
    <w:uiPriority w:val="0"/>
    <w:rPr>
      <w:rFonts w:eastAsia="黑体"/>
      <w:b/>
      <w:sz w:val="24"/>
      <w:szCs w:val="24"/>
    </w:rPr>
  </w:style>
  <w:style w:type="paragraph" w:customStyle="1" w:styleId="342">
    <w:name w:val="表标号"/>
    <w:link w:val="341"/>
    <w:autoRedefine/>
    <w:qFormat/>
    <w:uiPriority w:val="0"/>
    <w:pPr>
      <w:adjustRightInd w:val="0"/>
      <w:jc w:val="center"/>
    </w:pPr>
    <w:rPr>
      <w:rFonts w:ascii="Calibri" w:hAnsi="Calibri" w:eastAsia="黑体" w:cs="Times New Roman"/>
      <w:b/>
      <w:sz w:val="24"/>
      <w:szCs w:val="24"/>
      <w:lang w:val="en-US" w:eastAsia="zh-CN" w:bidi="ar-SA"/>
    </w:rPr>
  </w:style>
  <w:style w:type="character" w:customStyle="1" w:styleId="343">
    <w:name w:val="ourfont3"/>
    <w:autoRedefine/>
    <w:qFormat/>
    <w:uiPriority w:val="0"/>
  </w:style>
  <w:style w:type="character" w:customStyle="1" w:styleId="344">
    <w:name w:val="样式25 Char"/>
    <w:link w:val="345"/>
    <w:qFormat/>
    <w:uiPriority w:val="0"/>
    <w:rPr>
      <w:rFonts w:ascii="宋体" w:hAnsi="宋体"/>
      <w:color w:val="000000"/>
      <w:sz w:val="24"/>
      <w:szCs w:val="21"/>
    </w:rPr>
  </w:style>
  <w:style w:type="paragraph" w:customStyle="1" w:styleId="345">
    <w:name w:val="样式25"/>
    <w:basedOn w:val="1"/>
    <w:link w:val="344"/>
    <w:autoRedefine/>
    <w:qFormat/>
    <w:uiPriority w:val="0"/>
    <w:pPr>
      <w:widowControl/>
      <w:adjustRightInd w:val="0"/>
      <w:snapToGrid w:val="0"/>
      <w:spacing w:line="360" w:lineRule="auto"/>
      <w:ind w:firstLine="482"/>
      <w:jc w:val="left"/>
    </w:pPr>
    <w:rPr>
      <w:rFonts w:ascii="宋体" w:hAnsi="宋体"/>
      <w:color w:val="000000"/>
      <w:kern w:val="0"/>
      <w:sz w:val="24"/>
      <w:szCs w:val="21"/>
    </w:rPr>
  </w:style>
  <w:style w:type="character" w:customStyle="1" w:styleId="346">
    <w:name w:val="样式 hb1 + Times New Roman Char"/>
    <w:autoRedefine/>
    <w:qFormat/>
    <w:uiPriority w:val="0"/>
    <w:rPr>
      <w:rFonts w:ascii="Arial Narrow" w:hAnsi="Arial Narrow" w:eastAsia="宋体" w:cs="黑体"/>
      <w:b/>
      <w:bCs/>
      <w:kern w:val="2"/>
      <w:sz w:val="32"/>
      <w:szCs w:val="32"/>
      <w:lang w:val="en-US" w:eastAsia="zh-CN" w:bidi="ar-SA"/>
    </w:rPr>
  </w:style>
  <w:style w:type="character" w:customStyle="1" w:styleId="347">
    <w:name w:val="批注文字 Char1"/>
    <w:autoRedefine/>
    <w:semiHidden/>
    <w:qFormat/>
    <w:uiPriority w:val="99"/>
    <w:rPr>
      <w:rFonts w:ascii="Times New Roman" w:hAnsi="Times New Roman" w:eastAsia="宋体" w:cs="Times New Roman"/>
      <w:szCs w:val="24"/>
    </w:rPr>
  </w:style>
  <w:style w:type="character" w:customStyle="1" w:styleId="348">
    <w:name w:val="表名 Char"/>
    <w:link w:val="349"/>
    <w:autoRedefine/>
    <w:qFormat/>
    <w:uiPriority w:val="0"/>
    <w:rPr>
      <w:b/>
      <w:kern w:val="2"/>
      <w:sz w:val="21"/>
      <w:szCs w:val="24"/>
    </w:rPr>
  </w:style>
  <w:style w:type="paragraph" w:customStyle="1" w:styleId="349">
    <w:name w:val="表名"/>
    <w:basedOn w:val="1"/>
    <w:link w:val="348"/>
    <w:qFormat/>
    <w:uiPriority w:val="0"/>
    <w:pPr>
      <w:keepNext/>
      <w:widowControl/>
      <w:spacing w:before="120"/>
      <w:jc w:val="center"/>
    </w:pPr>
    <w:rPr>
      <w:rFonts w:ascii="Calibri" w:hAnsi="Calibri"/>
      <w:b/>
    </w:rPr>
  </w:style>
  <w:style w:type="character" w:customStyle="1" w:styleId="350">
    <w:name w:val="Char Char7"/>
    <w:qFormat/>
    <w:uiPriority w:val="0"/>
    <w:rPr>
      <w:rFonts w:ascii="Arial" w:hAnsi="Arial" w:eastAsia="黑体"/>
      <w:b/>
      <w:bCs/>
      <w:kern w:val="2"/>
      <w:sz w:val="28"/>
      <w:szCs w:val="28"/>
      <w:lang w:val="en-US" w:eastAsia="zh-CN" w:bidi="ar-SA"/>
    </w:rPr>
  </w:style>
  <w:style w:type="character" w:customStyle="1" w:styleId="351">
    <w:name w:val="Char Char13"/>
    <w:autoRedefine/>
    <w:qFormat/>
    <w:uiPriority w:val="0"/>
    <w:rPr>
      <w:rFonts w:eastAsia="汉鼎简书宋"/>
      <w:sz w:val="18"/>
      <w:szCs w:val="18"/>
      <w:lang w:val="en-US" w:eastAsia="zh-CN" w:bidi="ar-SA"/>
    </w:rPr>
  </w:style>
  <w:style w:type="character" w:customStyle="1" w:styleId="352">
    <w:name w:val="不明显强调1"/>
    <w:autoRedefine/>
    <w:qFormat/>
    <w:uiPriority w:val="0"/>
    <w:rPr>
      <w:i/>
      <w:iCs/>
      <w:color w:val="808080"/>
    </w:rPr>
  </w:style>
  <w:style w:type="character" w:customStyle="1" w:styleId="353">
    <w:name w:val="样式 仿宋 非加粗 两端对齐 Char Char"/>
    <w:link w:val="354"/>
    <w:autoRedefine/>
    <w:qFormat/>
    <w:uiPriority w:val="0"/>
    <w:rPr>
      <w:rFonts w:ascii="宋体" w:hAnsi="宋体"/>
      <w:szCs w:val="21"/>
    </w:rPr>
  </w:style>
  <w:style w:type="paragraph" w:customStyle="1" w:styleId="354">
    <w:name w:val="样式 仿宋 非加粗 两端对齐"/>
    <w:basedOn w:val="1"/>
    <w:link w:val="353"/>
    <w:autoRedefine/>
    <w:qFormat/>
    <w:uiPriority w:val="0"/>
    <w:pPr>
      <w:widowControl/>
      <w:spacing w:line="500" w:lineRule="exact"/>
      <w:ind w:firstLine="420" w:firstLineChars="200"/>
      <w:jc w:val="center"/>
    </w:pPr>
    <w:rPr>
      <w:rFonts w:ascii="宋体" w:hAnsi="宋体"/>
      <w:kern w:val="0"/>
      <w:sz w:val="20"/>
      <w:szCs w:val="21"/>
    </w:rPr>
  </w:style>
  <w:style w:type="character" w:customStyle="1" w:styleId="355">
    <w:name w:val="ourfont2"/>
    <w:autoRedefine/>
    <w:qFormat/>
    <w:uiPriority w:val="0"/>
  </w:style>
  <w:style w:type="character" w:customStyle="1" w:styleId="356">
    <w:name w:val="javascript"/>
    <w:autoRedefine/>
    <w:qFormat/>
    <w:uiPriority w:val="0"/>
  </w:style>
  <w:style w:type="character" w:customStyle="1" w:styleId="357">
    <w:name w:val="小标 Char Char"/>
    <w:autoRedefine/>
    <w:qFormat/>
    <w:uiPriority w:val="0"/>
    <w:rPr>
      <w:rFonts w:ascii="黑体" w:hAnsi="Courier New" w:eastAsia="黑体"/>
      <w:b/>
      <w:kern w:val="2"/>
      <w:sz w:val="28"/>
      <w:szCs w:val="28"/>
      <w:lang w:val="en-US" w:eastAsia="zh-CN" w:bidi="ar-SA"/>
    </w:rPr>
  </w:style>
  <w:style w:type="character" w:customStyle="1" w:styleId="358">
    <w:name w:val="排版正文 Char"/>
    <w:link w:val="359"/>
    <w:autoRedefine/>
    <w:qFormat/>
    <w:uiPriority w:val="0"/>
    <w:rPr>
      <w:color w:val="000000"/>
      <w:sz w:val="26"/>
    </w:rPr>
  </w:style>
  <w:style w:type="paragraph" w:customStyle="1" w:styleId="359">
    <w:name w:val="排版正文"/>
    <w:basedOn w:val="1"/>
    <w:link w:val="358"/>
    <w:autoRedefine/>
    <w:qFormat/>
    <w:uiPriority w:val="0"/>
    <w:pPr>
      <w:widowControl/>
      <w:adjustRightInd w:val="0"/>
      <w:snapToGrid w:val="0"/>
      <w:spacing w:line="460" w:lineRule="exact"/>
      <w:ind w:firstLine="200" w:firstLineChars="200"/>
      <w:jc w:val="left"/>
    </w:pPr>
    <w:rPr>
      <w:rFonts w:ascii="Calibri" w:hAnsi="Calibri"/>
      <w:color w:val="000000"/>
      <w:kern w:val="0"/>
      <w:sz w:val="26"/>
      <w:szCs w:val="20"/>
    </w:rPr>
  </w:style>
  <w:style w:type="character" w:customStyle="1" w:styleId="360">
    <w:name w:val="附表 Char"/>
    <w:link w:val="361"/>
    <w:autoRedefine/>
    <w:qFormat/>
    <w:uiPriority w:val="0"/>
    <w:rPr>
      <w:rFonts w:eastAsia="仿宋_GB2312"/>
      <w:b/>
      <w:sz w:val="30"/>
      <w:szCs w:val="32"/>
    </w:rPr>
  </w:style>
  <w:style w:type="paragraph" w:customStyle="1" w:styleId="361">
    <w:name w:val="附表"/>
    <w:basedOn w:val="1"/>
    <w:link w:val="360"/>
    <w:autoRedefine/>
    <w:qFormat/>
    <w:uiPriority w:val="0"/>
    <w:pPr>
      <w:widowControl/>
      <w:spacing w:beforeLines="50" w:afterLines="50"/>
      <w:jc w:val="center"/>
    </w:pPr>
    <w:rPr>
      <w:rFonts w:ascii="Calibri" w:hAnsi="Calibri" w:eastAsia="仿宋_GB2312"/>
      <w:b/>
      <w:kern w:val="0"/>
      <w:sz w:val="30"/>
      <w:szCs w:val="32"/>
    </w:rPr>
  </w:style>
  <w:style w:type="character" w:customStyle="1" w:styleId="362">
    <w:name w:val="样式 正文缩进 + 四号 Char Char"/>
    <w:autoRedefine/>
    <w:qFormat/>
    <w:uiPriority w:val="0"/>
    <w:rPr>
      <w:rFonts w:ascii="宋体" w:eastAsia="宋体"/>
      <w:kern w:val="2"/>
      <w:sz w:val="28"/>
      <w:szCs w:val="24"/>
      <w:lang w:val="en-US" w:eastAsia="zh-CN" w:bidi="ar-SA"/>
    </w:rPr>
  </w:style>
  <w:style w:type="character" w:customStyle="1" w:styleId="363">
    <w:name w:val="标题1 Char Char"/>
    <w:autoRedefine/>
    <w:qFormat/>
    <w:uiPriority w:val="0"/>
    <w:rPr>
      <w:rFonts w:ascii="Arial" w:hAnsi="Arial" w:eastAsia="汉鼎简书宋" w:cs="Arial"/>
      <w:b/>
      <w:bCs/>
      <w:kern w:val="2"/>
      <w:sz w:val="32"/>
      <w:szCs w:val="32"/>
      <w:lang w:val="en-US" w:eastAsia="zh-CN" w:bidi="ar-SA"/>
    </w:rPr>
  </w:style>
  <w:style w:type="character" w:customStyle="1" w:styleId="364">
    <w:name w:val="fs"/>
    <w:autoRedefine/>
    <w:qFormat/>
    <w:uiPriority w:val="0"/>
  </w:style>
  <w:style w:type="character" w:customStyle="1" w:styleId="365">
    <w:name w:val="hb3 Char1"/>
    <w:autoRedefine/>
    <w:qFormat/>
    <w:uiPriority w:val="0"/>
    <w:rPr>
      <w:rFonts w:ascii="宋体" w:hAnsi="宋体" w:eastAsia="汉鼎简书宋"/>
      <w:b/>
      <w:bCs/>
      <w:kern w:val="2"/>
      <w:sz w:val="24"/>
      <w:szCs w:val="32"/>
      <w:lang w:val="en-US" w:eastAsia="zh-CN" w:bidi="ar-SA"/>
    </w:rPr>
  </w:style>
  <w:style w:type="character" w:customStyle="1" w:styleId="366">
    <w:name w:val="标题 1 Char1"/>
    <w:autoRedefine/>
    <w:qFormat/>
    <w:uiPriority w:val="0"/>
    <w:rPr>
      <w:rFonts w:ascii="Times New Roman" w:hAnsi="Times New Roman" w:eastAsia="宋体" w:cs="Times New Roman"/>
      <w:b/>
      <w:bCs/>
      <w:kern w:val="44"/>
      <w:sz w:val="44"/>
      <w:szCs w:val="44"/>
    </w:rPr>
  </w:style>
  <w:style w:type="character" w:customStyle="1" w:styleId="367">
    <w:name w:val="Char Char27"/>
    <w:autoRedefine/>
    <w:qFormat/>
    <w:uiPriority w:val="0"/>
    <w:rPr>
      <w:rFonts w:eastAsia="黑体"/>
      <w:b/>
      <w:bCs/>
      <w:kern w:val="44"/>
      <w:sz w:val="36"/>
      <w:szCs w:val="44"/>
      <w:lang w:val="en-US" w:eastAsia="zh-CN" w:bidi="ar-SA"/>
    </w:rPr>
  </w:style>
  <w:style w:type="character" w:customStyle="1" w:styleId="368">
    <w:name w:val="标题 2 Char1"/>
    <w:autoRedefine/>
    <w:qFormat/>
    <w:uiPriority w:val="0"/>
    <w:rPr>
      <w:rFonts w:ascii="Arial" w:hAnsi="Arial" w:eastAsia="黑体"/>
      <w:b/>
      <w:bCs/>
      <w:kern w:val="2"/>
      <w:sz w:val="32"/>
      <w:szCs w:val="32"/>
    </w:rPr>
  </w:style>
  <w:style w:type="character" w:customStyle="1" w:styleId="369">
    <w:name w:val="hb1 Char1"/>
    <w:link w:val="370"/>
    <w:autoRedefine/>
    <w:qFormat/>
    <w:uiPriority w:val="0"/>
    <w:rPr>
      <w:rFonts w:ascii="Arial Narrow" w:hAnsi="Arial Narrow" w:cs="黑体"/>
      <w:b/>
      <w:bCs/>
      <w:kern w:val="44"/>
      <w:sz w:val="32"/>
      <w:szCs w:val="32"/>
    </w:rPr>
  </w:style>
  <w:style w:type="paragraph" w:customStyle="1" w:styleId="370">
    <w:name w:val="hb1"/>
    <w:basedOn w:val="3"/>
    <w:link w:val="369"/>
    <w:qFormat/>
    <w:uiPriority w:val="0"/>
    <w:pPr>
      <w:keepLines w:val="0"/>
      <w:widowControl/>
      <w:topLinePunct/>
      <w:adjustRightInd w:val="0"/>
      <w:spacing w:before="480" w:after="600" w:line="578" w:lineRule="atLeast"/>
      <w:jc w:val="center"/>
    </w:pPr>
    <w:rPr>
      <w:rFonts w:ascii="Arial Narrow" w:hAnsi="Arial Narrow" w:cs="黑体"/>
      <w:sz w:val="32"/>
      <w:szCs w:val="32"/>
    </w:rPr>
  </w:style>
  <w:style w:type="character" w:customStyle="1" w:styleId="371">
    <w:name w:val="链接"/>
    <w:autoRedefine/>
    <w:qFormat/>
    <w:uiPriority w:val="0"/>
    <w:rPr>
      <w:rFonts w:ascii="Times New Roman" w:eastAsia="宋体"/>
      <w:color w:val="0000FF"/>
      <w:sz w:val="21"/>
      <w:u w:val="single" w:color="0000FF"/>
      <w:vertAlign w:val="baseline"/>
      <w:lang w:val="en-US" w:eastAsia="zh-CN"/>
    </w:rPr>
  </w:style>
  <w:style w:type="character" w:customStyle="1" w:styleId="372">
    <w:name w:val="正文  黑色"/>
    <w:qFormat/>
    <w:uiPriority w:val="0"/>
    <w:rPr>
      <w:rFonts w:ascii="Arial Narrow" w:hAnsi="Arial Narrow"/>
      <w:color w:val="000000"/>
      <w:spacing w:val="4"/>
    </w:rPr>
  </w:style>
  <w:style w:type="character" w:customStyle="1" w:styleId="373">
    <w:name w:val="正文文本 2 Char"/>
    <w:link w:val="65"/>
    <w:qFormat/>
    <w:uiPriority w:val="0"/>
    <w:rPr>
      <w:kern w:val="2"/>
      <w:sz w:val="21"/>
      <w:szCs w:val="22"/>
    </w:rPr>
  </w:style>
  <w:style w:type="character" w:customStyle="1" w:styleId="374">
    <w:name w:val="样式 1正文段落 + 黑色1 Char"/>
    <w:link w:val="375"/>
    <w:qFormat/>
    <w:uiPriority w:val="0"/>
    <w:rPr>
      <w:rFonts w:ascii="宋体" w:hAnsi="宋体"/>
      <w:color w:val="000000"/>
      <w:spacing w:val="2"/>
      <w:sz w:val="24"/>
      <w:szCs w:val="24"/>
    </w:rPr>
  </w:style>
  <w:style w:type="paragraph" w:customStyle="1" w:styleId="375">
    <w:name w:val="样式 1正文段落 + 黑色1"/>
    <w:basedOn w:val="1"/>
    <w:link w:val="374"/>
    <w:qFormat/>
    <w:uiPriority w:val="0"/>
    <w:pPr>
      <w:widowControl/>
      <w:spacing w:line="540" w:lineRule="exact"/>
      <w:ind w:firstLine="200" w:firstLineChars="200"/>
      <w:jc w:val="left"/>
    </w:pPr>
    <w:rPr>
      <w:rFonts w:ascii="宋体" w:hAnsi="宋体"/>
      <w:color w:val="000000"/>
      <w:spacing w:val="2"/>
      <w:kern w:val="0"/>
      <w:sz w:val="24"/>
    </w:rPr>
  </w:style>
  <w:style w:type="character" w:customStyle="1" w:styleId="376">
    <w:name w:val="Char Char161"/>
    <w:qFormat/>
    <w:uiPriority w:val="0"/>
    <w:rPr>
      <w:rFonts w:eastAsia="宋体"/>
      <w:kern w:val="2"/>
      <w:sz w:val="24"/>
      <w:szCs w:val="24"/>
      <w:lang w:val="en-US" w:eastAsia="zh-CN" w:bidi="ar-SA"/>
    </w:rPr>
  </w:style>
  <w:style w:type="character" w:customStyle="1" w:styleId="377">
    <w:name w:val="样式 宁扬 + 仿宋_GB2312 Char"/>
    <w:autoRedefine/>
    <w:qFormat/>
    <w:uiPriority w:val="0"/>
    <w:rPr>
      <w:rFonts w:ascii="仿宋_GB2312" w:hAnsi="仿宋_GB2312" w:eastAsia="仿宋_GB2312"/>
      <w:kern w:val="2"/>
      <w:sz w:val="28"/>
      <w:szCs w:val="28"/>
      <w:lang w:val="en-US" w:eastAsia="zh-CN" w:bidi="ar-SA"/>
    </w:rPr>
  </w:style>
  <w:style w:type="character" w:customStyle="1" w:styleId="378">
    <w:name w:val="表格编号 Char"/>
    <w:link w:val="379"/>
    <w:autoRedefine/>
    <w:qFormat/>
    <w:uiPriority w:val="0"/>
    <w:rPr>
      <w:spacing w:val="10"/>
      <w:kern w:val="2"/>
      <w:sz w:val="21"/>
      <w:szCs w:val="24"/>
    </w:rPr>
  </w:style>
  <w:style w:type="paragraph" w:customStyle="1" w:styleId="379">
    <w:name w:val="表格编号"/>
    <w:basedOn w:val="1"/>
    <w:link w:val="378"/>
    <w:autoRedefine/>
    <w:qFormat/>
    <w:uiPriority w:val="0"/>
    <w:pPr>
      <w:widowControl/>
      <w:snapToGrid w:val="0"/>
      <w:spacing w:line="20" w:lineRule="atLeast"/>
      <w:jc w:val="left"/>
    </w:pPr>
    <w:rPr>
      <w:rFonts w:ascii="Calibri" w:hAnsi="Calibri"/>
      <w:spacing w:val="10"/>
    </w:rPr>
  </w:style>
  <w:style w:type="character" w:customStyle="1" w:styleId="380">
    <w:name w:val="（）序号 Char"/>
    <w:link w:val="381"/>
    <w:autoRedefine/>
    <w:qFormat/>
    <w:uiPriority w:val="0"/>
    <w:rPr>
      <w:b/>
      <w:sz w:val="24"/>
      <w:szCs w:val="24"/>
    </w:rPr>
  </w:style>
  <w:style w:type="paragraph" w:customStyle="1" w:styleId="381">
    <w:name w:val="（）序号"/>
    <w:basedOn w:val="1"/>
    <w:link w:val="380"/>
    <w:autoRedefine/>
    <w:qFormat/>
    <w:uiPriority w:val="0"/>
    <w:pPr>
      <w:widowControl/>
      <w:spacing w:line="500" w:lineRule="exact"/>
      <w:ind w:firstLine="200" w:firstLineChars="200"/>
      <w:jc w:val="left"/>
    </w:pPr>
    <w:rPr>
      <w:rFonts w:ascii="Calibri" w:hAnsi="Calibri"/>
      <w:b/>
      <w:kern w:val="0"/>
      <w:sz w:val="24"/>
    </w:rPr>
  </w:style>
  <w:style w:type="character" w:customStyle="1" w:styleId="382">
    <w:name w:val="008 Char"/>
    <w:link w:val="383"/>
    <w:autoRedefine/>
    <w:qFormat/>
    <w:uiPriority w:val="0"/>
    <w:rPr>
      <w:rFonts w:ascii="宋体" w:hAnsi="宋体"/>
      <w:sz w:val="28"/>
      <w:szCs w:val="28"/>
    </w:rPr>
  </w:style>
  <w:style w:type="paragraph" w:customStyle="1" w:styleId="383">
    <w:name w:val="008"/>
    <w:basedOn w:val="1"/>
    <w:link w:val="382"/>
    <w:autoRedefine/>
    <w:qFormat/>
    <w:uiPriority w:val="0"/>
    <w:pPr>
      <w:widowControl/>
      <w:adjustRightInd w:val="0"/>
      <w:ind w:firstLine="200" w:firstLineChars="200"/>
      <w:jc w:val="left"/>
    </w:pPr>
    <w:rPr>
      <w:rFonts w:ascii="宋体" w:hAnsi="宋体"/>
      <w:kern w:val="0"/>
      <w:sz w:val="28"/>
      <w:szCs w:val="28"/>
    </w:rPr>
  </w:style>
  <w:style w:type="character" w:customStyle="1" w:styleId="384">
    <w:name w:val="Char Char Char4"/>
    <w:qFormat/>
    <w:uiPriority w:val="0"/>
    <w:rPr>
      <w:rFonts w:ascii="宋体" w:hAnsi="宋体" w:eastAsia="宋体" w:cs="宋体"/>
      <w:b/>
      <w:bCs/>
      <w:kern w:val="2"/>
      <w:sz w:val="32"/>
      <w:szCs w:val="32"/>
      <w:lang w:val="en-US" w:eastAsia="zh-CN" w:bidi="ar-SA"/>
    </w:rPr>
  </w:style>
  <w:style w:type="character" w:customStyle="1" w:styleId="385">
    <w:name w:val="li-正文 Char"/>
    <w:link w:val="386"/>
    <w:qFormat/>
    <w:uiPriority w:val="0"/>
    <w:rPr>
      <w:rFonts w:cs="宋体"/>
      <w:kern w:val="2"/>
      <w:sz w:val="24"/>
    </w:rPr>
  </w:style>
  <w:style w:type="paragraph" w:customStyle="1" w:styleId="386">
    <w:name w:val="li-正文"/>
    <w:basedOn w:val="1"/>
    <w:link w:val="385"/>
    <w:qFormat/>
    <w:uiPriority w:val="0"/>
    <w:pPr>
      <w:widowControl/>
      <w:spacing w:line="360" w:lineRule="auto"/>
      <w:ind w:firstLine="480" w:firstLineChars="200"/>
      <w:jc w:val="left"/>
    </w:pPr>
    <w:rPr>
      <w:rFonts w:ascii="Calibri" w:hAnsi="Calibri" w:cs="宋体"/>
      <w:sz w:val="24"/>
      <w:szCs w:val="20"/>
    </w:rPr>
  </w:style>
  <w:style w:type="character" w:customStyle="1" w:styleId="387">
    <w:name w:val="f151"/>
    <w:qFormat/>
    <w:uiPriority w:val="0"/>
    <w:rPr>
      <w:sz w:val="23"/>
      <w:szCs w:val="23"/>
    </w:rPr>
  </w:style>
  <w:style w:type="character" w:customStyle="1" w:styleId="388">
    <w:name w:val="content1"/>
    <w:qFormat/>
    <w:uiPriority w:val="0"/>
    <w:rPr>
      <w:sz w:val="21"/>
      <w:szCs w:val="21"/>
    </w:rPr>
  </w:style>
  <w:style w:type="character" w:customStyle="1" w:styleId="389">
    <w:name w:val="新标题3x Char"/>
    <w:link w:val="390"/>
    <w:qFormat/>
    <w:uiPriority w:val="0"/>
    <w:rPr>
      <w:rFonts w:ascii="黑体" w:eastAsia="黑体"/>
      <w:b/>
      <w:bCs/>
      <w:color w:val="000000"/>
      <w:kern w:val="2"/>
      <w:sz w:val="24"/>
      <w:szCs w:val="24"/>
      <w:lang w:val="zh-CN"/>
    </w:rPr>
  </w:style>
  <w:style w:type="paragraph" w:customStyle="1" w:styleId="390">
    <w:name w:val="标题3x"/>
    <w:basedOn w:val="1"/>
    <w:link w:val="389"/>
    <w:qFormat/>
    <w:uiPriority w:val="0"/>
    <w:pPr>
      <w:keepNext/>
      <w:keepLines/>
      <w:widowControl/>
      <w:spacing w:before="120" w:line="360" w:lineRule="auto"/>
      <w:jc w:val="left"/>
      <w:outlineLvl w:val="2"/>
    </w:pPr>
    <w:rPr>
      <w:rFonts w:ascii="黑体" w:hAnsi="Calibri" w:eastAsia="黑体"/>
      <w:b/>
      <w:bCs/>
      <w:color w:val="000000"/>
      <w:sz w:val="24"/>
      <w:lang w:val="zh-CN"/>
    </w:rPr>
  </w:style>
  <w:style w:type="character" w:customStyle="1" w:styleId="391">
    <w:name w:val="称呼 Char1"/>
    <w:link w:val="29"/>
    <w:qFormat/>
    <w:uiPriority w:val="0"/>
    <w:rPr>
      <w:rFonts w:ascii="宋体" w:hAnsi="宋体" w:cs="宋体"/>
      <w:sz w:val="24"/>
      <w:szCs w:val="24"/>
    </w:rPr>
  </w:style>
  <w:style w:type="character" w:customStyle="1" w:styleId="392">
    <w:name w:val="样式 小四 行距: 1.5 倍行距 Char"/>
    <w:link w:val="393"/>
    <w:qFormat/>
    <w:uiPriority w:val="0"/>
    <w:rPr>
      <w:rFonts w:cs="宋体"/>
      <w:sz w:val="24"/>
    </w:rPr>
  </w:style>
  <w:style w:type="paragraph" w:customStyle="1" w:styleId="393">
    <w:name w:val="样式 小四 行距: 1.5 倍行距"/>
    <w:basedOn w:val="1"/>
    <w:link w:val="392"/>
    <w:qFormat/>
    <w:uiPriority w:val="0"/>
    <w:pPr>
      <w:widowControl/>
      <w:spacing w:line="360" w:lineRule="auto"/>
      <w:ind w:firstLine="480" w:firstLineChars="200"/>
      <w:jc w:val="left"/>
    </w:pPr>
    <w:rPr>
      <w:rFonts w:ascii="Calibri" w:hAnsi="Calibri" w:cs="宋体"/>
      <w:kern w:val="0"/>
      <w:sz w:val="24"/>
      <w:szCs w:val="20"/>
    </w:rPr>
  </w:style>
  <w:style w:type="character" w:customStyle="1" w:styleId="394">
    <w:name w:val="正文-zh Char"/>
    <w:link w:val="395"/>
    <w:autoRedefine/>
    <w:qFormat/>
    <w:uiPriority w:val="0"/>
    <w:rPr>
      <w:rFonts w:ascii="仿宋_GB2312" w:eastAsia="仿宋_GB2312"/>
      <w:b/>
      <w:sz w:val="28"/>
      <w:szCs w:val="28"/>
    </w:rPr>
  </w:style>
  <w:style w:type="paragraph" w:customStyle="1" w:styleId="395">
    <w:name w:val="正文-zh"/>
    <w:basedOn w:val="1"/>
    <w:link w:val="394"/>
    <w:autoRedefine/>
    <w:qFormat/>
    <w:uiPriority w:val="0"/>
    <w:pPr>
      <w:widowControl/>
      <w:spacing w:line="360" w:lineRule="auto"/>
      <w:ind w:firstLine="562" w:firstLineChars="200"/>
      <w:jc w:val="left"/>
    </w:pPr>
    <w:rPr>
      <w:rFonts w:ascii="仿宋_GB2312" w:hAnsi="Calibri" w:eastAsia="仿宋_GB2312"/>
      <w:b/>
      <w:kern w:val="0"/>
      <w:sz w:val="28"/>
      <w:szCs w:val="28"/>
    </w:rPr>
  </w:style>
  <w:style w:type="character" w:customStyle="1" w:styleId="396">
    <w:name w:val="表头 Char"/>
    <w:qFormat/>
    <w:uiPriority w:val="0"/>
    <w:rPr>
      <w:rFonts w:eastAsia="宋体"/>
      <w:kern w:val="2"/>
      <w:sz w:val="21"/>
      <w:szCs w:val="24"/>
      <w:lang w:val="en-US" w:eastAsia="zh-CN" w:bidi="ar-SA"/>
    </w:rPr>
  </w:style>
  <w:style w:type="character" w:customStyle="1" w:styleId="397">
    <w:name w:val="black_title"/>
    <w:qFormat/>
    <w:uiPriority w:val="0"/>
  </w:style>
  <w:style w:type="character" w:customStyle="1" w:styleId="398">
    <w:name w:val="hp"/>
    <w:qFormat/>
    <w:uiPriority w:val="0"/>
    <w:rPr>
      <w:rFonts w:eastAsia="宋体"/>
      <w:b/>
      <w:bCs/>
      <w:sz w:val="28"/>
      <w:szCs w:val="28"/>
      <w:lang w:val="en-US" w:eastAsia="zh-CN" w:bidi="ar-SA"/>
    </w:rPr>
  </w:style>
  <w:style w:type="character" w:customStyle="1" w:styleId="399">
    <w:name w:val="hb2 Char Char1"/>
    <w:qFormat/>
    <w:uiPriority w:val="0"/>
    <w:rPr>
      <w:rFonts w:ascii="Arial" w:hAnsi="Arial" w:eastAsia="黑体"/>
      <w:b/>
      <w:bCs/>
      <w:kern w:val="2"/>
      <w:sz w:val="32"/>
      <w:szCs w:val="32"/>
      <w:lang w:val="en-US" w:eastAsia="zh-CN" w:bidi="ar-SA"/>
    </w:rPr>
  </w:style>
  <w:style w:type="character" w:customStyle="1" w:styleId="400">
    <w:name w:val="正文首行缩进 2 Char"/>
    <w:qFormat/>
    <w:uiPriority w:val="0"/>
    <w:rPr>
      <w:rFonts w:ascii="Times New Roman" w:hAnsi="Times New Roman"/>
      <w:kern w:val="2"/>
      <w:sz w:val="21"/>
      <w:szCs w:val="24"/>
    </w:rPr>
  </w:style>
  <w:style w:type="character" w:customStyle="1" w:styleId="401">
    <w:name w:val="正文样式10 Char"/>
    <w:link w:val="402"/>
    <w:qFormat/>
    <w:uiPriority w:val="0"/>
    <w:rPr>
      <w:rFonts w:ascii="宋体" w:hAnsi="宋体"/>
      <w:bCs/>
      <w:sz w:val="24"/>
      <w:szCs w:val="24"/>
      <w:lang w:val="zh-CN"/>
    </w:rPr>
  </w:style>
  <w:style w:type="paragraph" w:customStyle="1" w:styleId="402">
    <w:name w:val="正文样式10"/>
    <w:basedOn w:val="1"/>
    <w:link w:val="401"/>
    <w:qFormat/>
    <w:uiPriority w:val="0"/>
    <w:pPr>
      <w:widowControl/>
      <w:spacing w:beforeLines="50" w:afterLines="50" w:line="500" w:lineRule="exact"/>
      <w:ind w:firstLine="480" w:firstLineChars="200"/>
      <w:jc w:val="left"/>
    </w:pPr>
    <w:rPr>
      <w:rFonts w:ascii="宋体" w:hAnsi="宋体"/>
      <w:bCs/>
      <w:kern w:val="0"/>
      <w:sz w:val="24"/>
      <w:lang w:val="zh-CN"/>
    </w:rPr>
  </w:style>
  <w:style w:type="character" w:customStyle="1" w:styleId="403">
    <w:name w:val="好正文 Char"/>
    <w:link w:val="404"/>
    <w:qFormat/>
    <w:uiPriority w:val="0"/>
    <w:rPr>
      <w:sz w:val="24"/>
      <w:szCs w:val="24"/>
    </w:rPr>
  </w:style>
  <w:style w:type="paragraph" w:customStyle="1" w:styleId="404">
    <w:name w:val="好正文"/>
    <w:basedOn w:val="1"/>
    <w:link w:val="403"/>
    <w:qFormat/>
    <w:uiPriority w:val="0"/>
    <w:pPr>
      <w:widowControl/>
      <w:spacing w:line="360" w:lineRule="auto"/>
      <w:ind w:firstLine="480" w:firstLineChars="200"/>
      <w:jc w:val="left"/>
    </w:pPr>
    <w:rPr>
      <w:rFonts w:ascii="Calibri" w:hAnsi="Calibri"/>
      <w:kern w:val="0"/>
      <w:sz w:val="24"/>
    </w:rPr>
  </w:style>
  <w:style w:type="character" w:customStyle="1" w:styleId="405">
    <w:name w:val="H8 Char Char"/>
    <w:qFormat/>
    <w:uiPriority w:val="0"/>
    <w:rPr>
      <w:rFonts w:ascii="Arial" w:hAnsi="Arial" w:eastAsia="黑体"/>
      <w:kern w:val="2"/>
      <w:sz w:val="24"/>
      <w:lang w:val="en-US" w:eastAsia="zh-CN" w:bidi="ar-SA"/>
    </w:rPr>
  </w:style>
  <w:style w:type="character" w:customStyle="1" w:styleId="406">
    <w:name w:val="正文文字缩进 Char4"/>
    <w:autoRedefine/>
    <w:qFormat/>
    <w:uiPriority w:val="0"/>
    <w:rPr>
      <w:rFonts w:eastAsia="宋体"/>
      <w:kern w:val="2"/>
      <w:sz w:val="21"/>
      <w:szCs w:val="24"/>
      <w:lang w:val="en-US" w:eastAsia="zh-CN" w:bidi="ar-SA"/>
    </w:rPr>
  </w:style>
  <w:style w:type="character" w:customStyle="1" w:styleId="407">
    <w:name w:val="题注 Char"/>
    <w:link w:val="22"/>
    <w:autoRedefine/>
    <w:qFormat/>
    <w:uiPriority w:val="0"/>
    <w:rPr>
      <w:rFonts w:ascii="Times New Roman" w:hAnsi="Times New Roman"/>
      <w:b/>
      <w:kern w:val="2"/>
      <w:sz w:val="21"/>
      <w:szCs w:val="24"/>
    </w:rPr>
  </w:style>
  <w:style w:type="character" w:customStyle="1" w:styleId="408">
    <w:name w:val="Char Char191"/>
    <w:autoRedefine/>
    <w:qFormat/>
    <w:uiPriority w:val="0"/>
    <w:rPr>
      <w:rFonts w:ascii="宋体" w:eastAsia="宋体"/>
      <w:kern w:val="2"/>
      <w:sz w:val="24"/>
      <w:lang w:val="en-US" w:eastAsia="zh-CN" w:bidi="ar-SA"/>
    </w:rPr>
  </w:style>
  <w:style w:type="character" w:customStyle="1" w:styleId="409">
    <w:name w:val="Char Char10"/>
    <w:autoRedefine/>
    <w:qFormat/>
    <w:uiPriority w:val="0"/>
    <w:rPr>
      <w:rFonts w:eastAsia="宋体"/>
      <w:b/>
      <w:bCs/>
      <w:kern w:val="2"/>
      <w:sz w:val="28"/>
      <w:szCs w:val="28"/>
      <w:lang w:val="en-US" w:eastAsia="zh-CN" w:bidi="ar-SA"/>
    </w:rPr>
  </w:style>
  <w:style w:type="character" w:customStyle="1" w:styleId="410">
    <w:name w:val="普通文字 Char Char Char Char Char Char Char Char Char Char Char Char Char Char Char Char Char Char Char"/>
    <w:qFormat/>
    <w:uiPriority w:val="0"/>
    <w:rPr>
      <w:rFonts w:ascii="宋体" w:hAnsi="Courier New" w:eastAsia="仿宋_GB2312"/>
      <w:kern w:val="2"/>
      <w:sz w:val="28"/>
      <w:lang w:val="en-US" w:eastAsia="zh-CN" w:bidi="ar-SA"/>
    </w:rPr>
  </w:style>
  <w:style w:type="character" w:customStyle="1" w:styleId="411">
    <w:name w:val="Char Char123"/>
    <w:qFormat/>
    <w:uiPriority w:val="0"/>
    <w:rPr>
      <w:rFonts w:ascii="Calibri" w:hAnsi="Calibri"/>
      <w:kern w:val="2"/>
      <w:sz w:val="18"/>
      <w:szCs w:val="18"/>
    </w:rPr>
  </w:style>
  <w:style w:type="character" w:customStyle="1" w:styleId="412">
    <w:name w:val="表头 Char1 Char"/>
    <w:qFormat/>
    <w:uiPriority w:val="0"/>
    <w:rPr>
      <w:rFonts w:eastAsia="宋体"/>
      <w:b/>
      <w:kern w:val="2"/>
      <w:sz w:val="24"/>
      <w:szCs w:val="24"/>
      <w:lang w:val="en-US" w:eastAsia="zh-CN" w:bidi="ar-SA"/>
    </w:rPr>
  </w:style>
  <w:style w:type="character" w:customStyle="1" w:styleId="413">
    <w:name w:val="HBZW"/>
    <w:autoRedefine/>
    <w:qFormat/>
    <w:uiPriority w:val="0"/>
    <w:rPr>
      <w:rFonts w:ascii="宋体" w:hAnsi="宋体" w:eastAsia="宋体" w:cs="宋体"/>
      <w:kern w:val="0"/>
      <w:sz w:val="21"/>
      <w:szCs w:val="21"/>
      <w:lang w:val="en-US" w:eastAsia="zh-CN"/>
    </w:rPr>
  </w:style>
  <w:style w:type="character" w:customStyle="1" w:styleId="414">
    <w:name w:val="tpc_content1"/>
    <w:autoRedefine/>
    <w:qFormat/>
    <w:uiPriority w:val="0"/>
    <w:rPr>
      <w:sz w:val="20"/>
      <w:szCs w:val="20"/>
    </w:rPr>
  </w:style>
  <w:style w:type="character" w:customStyle="1" w:styleId="415">
    <w:name w:val="hb3 Char"/>
    <w:link w:val="229"/>
    <w:autoRedefine/>
    <w:qFormat/>
    <w:uiPriority w:val="0"/>
    <w:rPr>
      <w:rFonts w:ascii="Times New Roman" w:hAnsi="Times New Roman"/>
      <w:b/>
      <w:kern w:val="2"/>
      <w:sz w:val="24"/>
      <w:szCs w:val="24"/>
    </w:rPr>
  </w:style>
  <w:style w:type="character" w:customStyle="1" w:styleId="416">
    <w:name w:val="Char Char23"/>
    <w:qFormat/>
    <w:uiPriority w:val="0"/>
    <w:rPr>
      <w:rFonts w:eastAsia="汉鼎简书宋"/>
      <w:bCs/>
      <w:kern w:val="32"/>
      <w:sz w:val="24"/>
      <w:szCs w:val="24"/>
      <w:lang w:val="en-US" w:eastAsia="zh-CN" w:bidi="ar-SA"/>
    </w:rPr>
  </w:style>
  <w:style w:type="character" w:customStyle="1" w:styleId="417">
    <w:name w:val="1.3行 Char Char"/>
    <w:link w:val="418"/>
    <w:qFormat/>
    <w:uiPriority w:val="0"/>
    <w:rPr>
      <w:rFonts w:ascii="宋体" w:hAnsi="ˎ̥"/>
      <w:bCs/>
      <w:sz w:val="28"/>
      <w:szCs w:val="28"/>
    </w:rPr>
  </w:style>
  <w:style w:type="paragraph" w:customStyle="1" w:styleId="418">
    <w:name w:val="1.3行"/>
    <w:basedOn w:val="169"/>
    <w:link w:val="417"/>
    <w:autoRedefine/>
    <w:qFormat/>
    <w:uiPriority w:val="0"/>
    <w:pPr>
      <w:widowControl/>
      <w:spacing w:line="312" w:lineRule="auto"/>
      <w:jc w:val="left"/>
    </w:pPr>
    <w:rPr>
      <w:rFonts w:hAnsi="ˎ̥"/>
      <w:szCs w:val="28"/>
    </w:rPr>
  </w:style>
  <w:style w:type="character" w:customStyle="1" w:styleId="419">
    <w:name w:val="明显引用 Char"/>
    <w:link w:val="420"/>
    <w:autoRedefine/>
    <w:qFormat/>
    <w:uiPriority w:val="0"/>
    <w:rPr>
      <w:b/>
      <w:i/>
      <w:sz w:val="24"/>
    </w:rPr>
  </w:style>
  <w:style w:type="paragraph" w:styleId="420">
    <w:name w:val="Intense Quote"/>
    <w:basedOn w:val="1"/>
    <w:link w:val="419"/>
    <w:autoRedefine/>
    <w:qFormat/>
    <w:uiPriority w:val="0"/>
    <w:pPr>
      <w:widowControl/>
      <w:ind w:left="720" w:right="720"/>
      <w:jc w:val="left"/>
    </w:pPr>
    <w:rPr>
      <w:rFonts w:ascii="Calibri" w:hAnsi="Calibri"/>
      <w:b/>
      <w:i/>
      <w:kern w:val="0"/>
      <w:sz w:val="24"/>
      <w:szCs w:val="20"/>
    </w:rPr>
  </w:style>
  <w:style w:type="character" w:customStyle="1" w:styleId="421">
    <w:name w:val="页眉 Char Char Char"/>
    <w:qFormat/>
    <w:uiPriority w:val="0"/>
    <w:rPr>
      <w:rFonts w:eastAsia="汉鼎简书宋"/>
      <w:sz w:val="18"/>
      <w:szCs w:val="18"/>
      <w:lang w:val="en-US" w:eastAsia="zh-CN" w:bidi="ar-SA"/>
    </w:rPr>
  </w:style>
  <w:style w:type="character" w:customStyle="1" w:styleId="422">
    <w:name w:val="(use for tables) Char"/>
    <w:autoRedefine/>
    <w:qFormat/>
    <w:uiPriority w:val="0"/>
    <w:rPr>
      <w:rFonts w:ascii="Arial" w:hAnsi="Arial" w:eastAsia="黑体" w:cs="Arial"/>
      <w:kern w:val="22"/>
      <w:sz w:val="24"/>
      <w:szCs w:val="24"/>
      <w:lang w:val="en-US" w:eastAsia="zh-CN" w:bidi="ar-SA"/>
    </w:rPr>
  </w:style>
  <w:style w:type="character" w:customStyle="1" w:styleId="423">
    <w:name w:val="_正文格式 Char"/>
    <w:link w:val="424"/>
    <w:qFormat/>
    <w:uiPriority w:val="0"/>
    <w:rPr>
      <w:rFonts w:eastAsia="仿宋_GB2312"/>
      <w:sz w:val="28"/>
    </w:rPr>
  </w:style>
  <w:style w:type="paragraph" w:customStyle="1" w:styleId="424">
    <w:name w:val="_正文格式"/>
    <w:basedOn w:val="1"/>
    <w:link w:val="423"/>
    <w:qFormat/>
    <w:uiPriority w:val="0"/>
    <w:pPr>
      <w:widowControl/>
      <w:spacing w:line="480" w:lineRule="exact"/>
      <w:ind w:firstLine="200" w:firstLineChars="200"/>
      <w:jc w:val="left"/>
    </w:pPr>
    <w:rPr>
      <w:rFonts w:ascii="Calibri" w:hAnsi="Calibri" w:eastAsia="仿宋_GB2312"/>
      <w:kern w:val="0"/>
      <w:sz w:val="28"/>
      <w:szCs w:val="20"/>
    </w:rPr>
  </w:style>
  <w:style w:type="character" w:customStyle="1" w:styleId="425">
    <w:name w:val="明显引用 Char1"/>
    <w:autoRedefine/>
    <w:qFormat/>
    <w:uiPriority w:val="0"/>
    <w:rPr>
      <w:rFonts w:ascii="Times New Roman" w:hAnsi="Times New Roman" w:eastAsia="汉鼎简书宋"/>
      <w:b/>
      <w:bCs/>
      <w:i/>
      <w:iCs/>
      <w:color w:val="4F81BD"/>
      <w:sz w:val="24"/>
      <w:szCs w:val="24"/>
    </w:rPr>
  </w:style>
  <w:style w:type="character" w:customStyle="1" w:styleId="426">
    <w:name w:val="页脚 Char Char"/>
    <w:qFormat/>
    <w:uiPriority w:val="0"/>
    <w:rPr>
      <w:rFonts w:ascii="Calibri" w:hAnsi="Calibri" w:eastAsia="宋体"/>
      <w:kern w:val="2"/>
      <w:sz w:val="18"/>
      <w:szCs w:val="18"/>
      <w:lang w:val="en-US" w:eastAsia="zh-CN" w:bidi="ar-SA"/>
    </w:rPr>
  </w:style>
  <w:style w:type="character" w:customStyle="1" w:styleId="427">
    <w:name w:val="font21"/>
    <w:qFormat/>
    <w:uiPriority w:val="0"/>
    <w:rPr>
      <w:rFonts w:hint="eastAsia" w:ascii="宋体" w:hAnsi="宋体" w:eastAsia="宋体" w:cs="宋体"/>
      <w:color w:val="000000"/>
      <w:sz w:val="21"/>
      <w:szCs w:val="21"/>
      <w:u w:val="none"/>
    </w:rPr>
  </w:style>
  <w:style w:type="character" w:customStyle="1" w:styleId="428">
    <w:name w:val="6 Char"/>
    <w:qFormat/>
    <w:uiPriority w:val="0"/>
    <w:rPr>
      <w:rFonts w:ascii="Arial" w:hAnsi="Arial" w:eastAsia="黑体"/>
      <w:b/>
      <w:bCs/>
      <w:sz w:val="24"/>
      <w:szCs w:val="24"/>
      <w:lang w:val="en-US" w:eastAsia="zh-CN" w:bidi="ar-SA"/>
    </w:rPr>
  </w:style>
  <w:style w:type="character" w:customStyle="1" w:styleId="429">
    <w:name w:val="标题 4 Char1"/>
    <w:autoRedefine/>
    <w:qFormat/>
    <w:uiPriority w:val="0"/>
    <w:rPr>
      <w:rFonts w:ascii="Arial" w:hAnsi="Arial" w:eastAsia="黑体"/>
      <w:b/>
      <w:bCs/>
      <w:kern w:val="2"/>
      <w:sz w:val="28"/>
      <w:szCs w:val="28"/>
    </w:rPr>
  </w:style>
  <w:style w:type="character" w:customStyle="1" w:styleId="430">
    <w:name w:val="font31"/>
    <w:basedOn w:val="83"/>
    <w:qFormat/>
    <w:uiPriority w:val="0"/>
    <w:rPr>
      <w:rFonts w:hint="eastAsia" w:ascii="宋体" w:hAnsi="宋体" w:eastAsia="宋体" w:cs="宋体"/>
      <w:b/>
      <w:color w:val="000000"/>
      <w:sz w:val="24"/>
      <w:szCs w:val="24"/>
    </w:rPr>
  </w:style>
  <w:style w:type="character" w:customStyle="1" w:styleId="431">
    <w:name w:val="表头a Char"/>
    <w:link w:val="432"/>
    <w:autoRedefine/>
    <w:qFormat/>
    <w:uiPriority w:val="0"/>
    <w:rPr>
      <w:rFonts w:hAnsi="宋体" w:eastAsia="黑体"/>
      <w:b/>
      <w:sz w:val="24"/>
    </w:rPr>
  </w:style>
  <w:style w:type="paragraph" w:customStyle="1" w:styleId="432">
    <w:name w:val="表头a"/>
    <w:basedOn w:val="1"/>
    <w:link w:val="431"/>
    <w:autoRedefine/>
    <w:qFormat/>
    <w:uiPriority w:val="0"/>
    <w:pPr>
      <w:widowControl/>
      <w:spacing w:beforeLines="50" w:line="360" w:lineRule="auto"/>
      <w:jc w:val="center"/>
    </w:pPr>
    <w:rPr>
      <w:rFonts w:ascii="Calibri" w:hAnsi="宋体" w:eastAsia="黑体"/>
      <w:b/>
      <w:kern w:val="0"/>
      <w:sz w:val="24"/>
      <w:szCs w:val="20"/>
    </w:rPr>
  </w:style>
  <w:style w:type="character" w:customStyle="1" w:styleId="433">
    <w:name w:val="正文文字缩进 2 Char2"/>
    <w:autoRedefine/>
    <w:qFormat/>
    <w:uiPriority w:val="0"/>
    <w:rPr>
      <w:rFonts w:eastAsia="宋体"/>
      <w:color w:val="0000FF"/>
      <w:kern w:val="2"/>
      <w:sz w:val="24"/>
      <w:szCs w:val="28"/>
      <w:lang w:val="en-US" w:eastAsia="zh-CN" w:bidi="ar-SA"/>
    </w:rPr>
  </w:style>
  <w:style w:type="character" w:customStyle="1" w:styleId="434">
    <w:name w:val="first Char"/>
    <w:link w:val="435"/>
    <w:qFormat/>
    <w:uiPriority w:val="0"/>
    <w:rPr>
      <w:b/>
      <w:kern w:val="44"/>
      <w:sz w:val="36"/>
    </w:rPr>
  </w:style>
  <w:style w:type="paragraph" w:customStyle="1" w:styleId="435">
    <w:name w:val="first"/>
    <w:basedOn w:val="3"/>
    <w:link w:val="434"/>
    <w:qFormat/>
    <w:uiPriority w:val="0"/>
    <w:pPr>
      <w:keepLines w:val="0"/>
      <w:widowControl/>
      <w:spacing w:before="100" w:beforeAutospacing="1" w:after="100" w:afterAutospacing="1" w:line="578" w:lineRule="exact"/>
      <w:jc w:val="center"/>
    </w:pPr>
    <w:rPr>
      <w:rFonts w:ascii="Calibri" w:hAnsi="Calibri"/>
      <w:bCs w:val="0"/>
      <w:sz w:val="36"/>
      <w:szCs w:val="20"/>
    </w:rPr>
  </w:style>
  <w:style w:type="character" w:customStyle="1" w:styleId="436">
    <w:name w:val="批注主题 Char1"/>
    <w:semiHidden/>
    <w:qFormat/>
    <w:uiPriority w:val="99"/>
    <w:rPr>
      <w:rFonts w:ascii="Times New Roman" w:hAnsi="Times New Roman" w:eastAsia="宋体" w:cs="Times New Roman"/>
      <w:b/>
      <w:bCs/>
      <w:szCs w:val="24"/>
    </w:rPr>
  </w:style>
  <w:style w:type="character" w:customStyle="1" w:styleId="437">
    <w:name w:val="样式 首行缩进:  2 字符 Char"/>
    <w:qFormat/>
    <w:uiPriority w:val="0"/>
    <w:rPr>
      <w:rFonts w:eastAsia="宋体" w:cs="宋体"/>
      <w:kern w:val="2"/>
      <w:sz w:val="24"/>
      <w:lang w:val="en-US" w:eastAsia="zh-CN" w:bidi="ar-SA"/>
    </w:rPr>
  </w:style>
  <w:style w:type="character" w:customStyle="1" w:styleId="438">
    <w:name w:val="forth Char"/>
    <w:link w:val="439"/>
    <w:qFormat/>
    <w:uiPriority w:val="0"/>
    <w:rPr>
      <w:b/>
      <w:sz w:val="24"/>
    </w:rPr>
  </w:style>
  <w:style w:type="paragraph" w:customStyle="1" w:styleId="439">
    <w:name w:val="forth"/>
    <w:basedOn w:val="6"/>
    <w:link w:val="438"/>
    <w:qFormat/>
    <w:uiPriority w:val="0"/>
    <w:pPr>
      <w:keepLines w:val="0"/>
      <w:widowControl/>
      <w:spacing w:before="240" w:after="120" w:line="416" w:lineRule="exact"/>
      <w:jc w:val="left"/>
    </w:pPr>
    <w:rPr>
      <w:rFonts w:ascii="Calibri" w:hAnsi="Calibri" w:eastAsia="宋体"/>
      <w:bCs w:val="0"/>
      <w:kern w:val="0"/>
      <w:sz w:val="24"/>
      <w:szCs w:val="20"/>
    </w:rPr>
  </w:style>
  <w:style w:type="character" w:customStyle="1" w:styleId="440">
    <w:name w:val="样式 (中文) 隶书 一号 加粗"/>
    <w:qFormat/>
    <w:uiPriority w:val="0"/>
    <w:rPr>
      <w:rFonts w:eastAsia="隶书"/>
      <w:b/>
      <w:bCs/>
      <w:w w:val="73"/>
      <w:kern w:val="0"/>
      <w:sz w:val="44"/>
    </w:rPr>
  </w:style>
  <w:style w:type="character" w:customStyle="1" w:styleId="441">
    <w:name w:val="样式 (报告) 仿宋_GB2312 (中文) 仿宋_GB2312 四号 行距: 1.5 倍行距 Char"/>
    <w:link w:val="442"/>
    <w:qFormat/>
    <w:uiPriority w:val="0"/>
    <w:rPr>
      <w:rFonts w:ascii="仿宋_GB2312" w:hAnsi="仿宋_GB2312" w:eastAsia="仿宋_GB2312" w:cs="宋体"/>
      <w:color w:val="000000"/>
      <w:sz w:val="28"/>
      <w:szCs w:val="28"/>
    </w:rPr>
  </w:style>
  <w:style w:type="paragraph" w:customStyle="1" w:styleId="442">
    <w:name w:val="样式 (报告) 仿宋_GB2312 (中文) 仿宋_GB2312 四号 行距: 1.5 倍行距"/>
    <w:basedOn w:val="1"/>
    <w:link w:val="441"/>
    <w:qFormat/>
    <w:uiPriority w:val="0"/>
    <w:pPr>
      <w:widowControl/>
      <w:adjustRightInd w:val="0"/>
      <w:snapToGrid w:val="0"/>
      <w:spacing w:line="360" w:lineRule="auto"/>
      <w:ind w:firstLine="200" w:firstLineChars="200"/>
      <w:jc w:val="left"/>
    </w:pPr>
    <w:rPr>
      <w:rFonts w:ascii="仿宋_GB2312" w:hAnsi="仿宋_GB2312" w:eastAsia="仿宋_GB2312" w:cs="宋体"/>
      <w:color w:val="000000"/>
      <w:kern w:val="0"/>
      <w:sz w:val="28"/>
      <w:szCs w:val="28"/>
    </w:rPr>
  </w:style>
  <w:style w:type="character" w:customStyle="1" w:styleId="443">
    <w:name w:val="正文1 Char"/>
    <w:qFormat/>
    <w:uiPriority w:val="0"/>
    <w:rPr>
      <w:rFonts w:ascii="宋体" w:hAnsi="Times New Roman"/>
      <w:sz w:val="24"/>
    </w:rPr>
  </w:style>
  <w:style w:type="character" w:customStyle="1" w:styleId="444">
    <w:name w:val="宏文本 Char"/>
    <w:qFormat/>
    <w:uiPriority w:val="0"/>
    <w:rPr>
      <w:rFonts w:ascii="Courier New" w:hAnsi="Courier New" w:cs="Courier New"/>
      <w:kern w:val="2"/>
      <w:sz w:val="24"/>
      <w:szCs w:val="24"/>
    </w:rPr>
  </w:style>
  <w:style w:type="character" w:customStyle="1" w:styleId="445">
    <w:name w:val="Char Char3"/>
    <w:qFormat/>
    <w:uiPriority w:val="0"/>
    <w:rPr>
      <w:rFonts w:eastAsia="汉鼎简书宋"/>
      <w:b/>
      <w:bCs/>
      <w:sz w:val="28"/>
      <w:szCs w:val="28"/>
      <w:lang w:val="en-US" w:eastAsia="zh-CN" w:bidi="ar-SA"/>
    </w:rPr>
  </w:style>
  <w:style w:type="character" w:customStyle="1" w:styleId="446">
    <w:name w:val="无进 Char Char"/>
    <w:link w:val="447"/>
    <w:autoRedefine/>
    <w:qFormat/>
    <w:uiPriority w:val="0"/>
    <w:rPr>
      <w:sz w:val="28"/>
      <w:szCs w:val="24"/>
    </w:rPr>
  </w:style>
  <w:style w:type="paragraph" w:customStyle="1" w:styleId="447">
    <w:name w:val="无进"/>
    <w:link w:val="446"/>
    <w:qFormat/>
    <w:uiPriority w:val="0"/>
    <w:pPr>
      <w:spacing w:line="520" w:lineRule="exact"/>
    </w:pPr>
    <w:rPr>
      <w:rFonts w:ascii="Calibri" w:hAnsi="Calibri" w:eastAsia="宋体" w:cs="Times New Roman"/>
      <w:sz w:val="28"/>
      <w:szCs w:val="24"/>
      <w:lang w:val="en-US" w:eastAsia="zh-CN" w:bidi="ar-SA"/>
    </w:rPr>
  </w:style>
  <w:style w:type="character" w:customStyle="1" w:styleId="448">
    <w:name w:val="样式 标题 2 + (符号) Times New Roman Char"/>
    <w:link w:val="449"/>
    <w:qFormat/>
    <w:uiPriority w:val="0"/>
    <w:rPr>
      <w:rFonts w:ascii="Arial" w:hAnsi="Arial" w:eastAsia="黑体"/>
      <w:b/>
      <w:bCs/>
      <w:kern w:val="28"/>
      <w:sz w:val="32"/>
      <w:szCs w:val="32"/>
    </w:rPr>
  </w:style>
  <w:style w:type="paragraph" w:customStyle="1" w:styleId="449">
    <w:name w:val="样式 标题 2 + (符号) Times New Roman"/>
    <w:basedOn w:val="4"/>
    <w:link w:val="448"/>
    <w:autoRedefine/>
    <w:qFormat/>
    <w:uiPriority w:val="0"/>
    <w:pPr>
      <w:keepLines w:val="0"/>
      <w:widowControl/>
      <w:overflowPunct w:val="0"/>
      <w:adjustRightInd w:val="0"/>
      <w:spacing w:before="240" w:after="60" w:line="800" w:lineRule="exact"/>
      <w:jc w:val="left"/>
    </w:pPr>
    <w:rPr>
      <w:kern w:val="28"/>
    </w:rPr>
  </w:style>
  <w:style w:type="character" w:customStyle="1" w:styleId="450">
    <w:name w:val="style71"/>
    <w:autoRedefine/>
    <w:qFormat/>
    <w:uiPriority w:val="0"/>
    <w:rPr>
      <w:rFonts w:hint="eastAsia" w:ascii="宋体" w:hAnsi="宋体" w:eastAsia="宋体"/>
      <w:color w:val="000000"/>
      <w:sz w:val="21"/>
      <w:szCs w:val="21"/>
    </w:rPr>
  </w:style>
  <w:style w:type="character" w:customStyle="1" w:styleId="451">
    <w:name w:val="hangju"/>
    <w:autoRedefine/>
    <w:qFormat/>
    <w:uiPriority w:val="0"/>
  </w:style>
  <w:style w:type="character" w:customStyle="1" w:styleId="452">
    <w:name w:val="正文文字 2 Char Char"/>
    <w:autoRedefine/>
    <w:qFormat/>
    <w:uiPriority w:val="0"/>
    <w:rPr>
      <w:rFonts w:ascii="宋体" w:hAnsi="宋体" w:eastAsia="汉鼎简书宋"/>
      <w:kern w:val="2"/>
      <w:sz w:val="24"/>
      <w:szCs w:val="24"/>
    </w:rPr>
  </w:style>
  <w:style w:type="character" w:customStyle="1" w:styleId="453">
    <w:name w:val="标题1.1.1.1.1 Char2"/>
    <w:qFormat/>
    <w:uiPriority w:val="0"/>
    <w:rPr>
      <w:rFonts w:eastAsia="汉鼎简书宋"/>
      <w:b/>
      <w:bCs/>
      <w:sz w:val="28"/>
      <w:szCs w:val="28"/>
      <w:lang w:val="en-US" w:eastAsia="zh-CN" w:bidi="ar-SA"/>
    </w:rPr>
  </w:style>
  <w:style w:type="character" w:customStyle="1" w:styleId="454">
    <w:name w:val="(use for figures) Char"/>
    <w:qFormat/>
    <w:uiPriority w:val="0"/>
    <w:rPr>
      <w:rFonts w:ascii="Arial" w:hAnsi="Arial" w:eastAsia="黑体" w:cs="Arial"/>
      <w:kern w:val="22"/>
      <w:sz w:val="24"/>
      <w:szCs w:val="24"/>
      <w:lang w:val="en-US" w:eastAsia="zh-CN" w:bidi="ar-SA"/>
    </w:rPr>
  </w:style>
  <w:style w:type="character" w:customStyle="1" w:styleId="455">
    <w:name w:val="正文文本 3 Char1"/>
    <w:semiHidden/>
    <w:qFormat/>
    <w:uiPriority w:val="99"/>
    <w:rPr>
      <w:rFonts w:ascii="Times New Roman" w:hAnsi="Times New Roman" w:eastAsia="宋体" w:cs="Times New Roman"/>
      <w:sz w:val="16"/>
      <w:szCs w:val="16"/>
    </w:rPr>
  </w:style>
  <w:style w:type="character" w:customStyle="1" w:styleId="456">
    <w:name w:val="headline-content"/>
    <w:autoRedefine/>
    <w:qFormat/>
    <w:uiPriority w:val="0"/>
  </w:style>
  <w:style w:type="character" w:customStyle="1" w:styleId="457">
    <w:name w:val="z-窗体顶端 Char"/>
    <w:qFormat/>
    <w:uiPriority w:val="0"/>
    <w:rPr>
      <w:rFonts w:ascii="Arial" w:hAnsi="Arial" w:cs="Arial"/>
      <w:vanish/>
      <w:sz w:val="16"/>
      <w:szCs w:val="16"/>
    </w:rPr>
  </w:style>
  <w:style w:type="character" w:customStyle="1" w:styleId="458">
    <w:name w:val="B正文 Char"/>
    <w:link w:val="459"/>
    <w:qFormat/>
    <w:uiPriority w:val="0"/>
    <w:rPr>
      <w:sz w:val="24"/>
      <w:szCs w:val="24"/>
    </w:rPr>
  </w:style>
  <w:style w:type="paragraph" w:customStyle="1" w:styleId="459">
    <w:name w:val="B正文"/>
    <w:basedOn w:val="1"/>
    <w:link w:val="458"/>
    <w:autoRedefine/>
    <w:qFormat/>
    <w:uiPriority w:val="0"/>
    <w:pPr>
      <w:widowControl/>
      <w:autoSpaceDE w:val="0"/>
      <w:autoSpaceDN w:val="0"/>
      <w:spacing w:beforeLines="50" w:afterLines="50" w:line="360" w:lineRule="auto"/>
      <w:ind w:firstLine="200" w:firstLineChars="200"/>
      <w:jc w:val="left"/>
    </w:pPr>
    <w:rPr>
      <w:rFonts w:ascii="Calibri" w:hAnsi="Calibri"/>
      <w:kern w:val="0"/>
      <w:sz w:val="24"/>
    </w:rPr>
  </w:style>
  <w:style w:type="character" w:customStyle="1" w:styleId="460">
    <w:name w:val="样式 hb3 + Char"/>
    <w:link w:val="461"/>
    <w:qFormat/>
    <w:uiPriority w:val="0"/>
    <w:rPr>
      <w:b/>
      <w:bCs/>
      <w:sz w:val="24"/>
      <w:szCs w:val="24"/>
    </w:rPr>
  </w:style>
  <w:style w:type="paragraph" w:customStyle="1" w:styleId="461">
    <w:name w:val="样式 hb3 +"/>
    <w:basedOn w:val="229"/>
    <w:link w:val="460"/>
    <w:qFormat/>
    <w:uiPriority w:val="0"/>
    <w:pPr>
      <w:keepNext/>
      <w:keepLines/>
      <w:widowControl w:val="0"/>
      <w:adjustRightInd w:val="0"/>
      <w:spacing w:beforeLines="0" w:afterLines="0" w:line="240" w:lineRule="auto"/>
    </w:pPr>
    <w:rPr>
      <w:rFonts w:ascii="Calibri" w:hAnsi="Calibri"/>
      <w:bCs/>
      <w:kern w:val="0"/>
    </w:rPr>
  </w:style>
  <w:style w:type="character" w:customStyle="1" w:styleId="462">
    <w:name w:val="second Char"/>
    <w:link w:val="463"/>
    <w:qFormat/>
    <w:uiPriority w:val="0"/>
    <w:rPr>
      <w:b/>
      <w:sz w:val="28"/>
    </w:rPr>
  </w:style>
  <w:style w:type="paragraph" w:customStyle="1" w:styleId="463">
    <w:name w:val="second"/>
    <w:basedOn w:val="4"/>
    <w:link w:val="462"/>
    <w:qFormat/>
    <w:uiPriority w:val="0"/>
    <w:pPr>
      <w:keepLines w:val="0"/>
      <w:widowControl/>
      <w:snapToGrid w:val="0"/>
      <w:spacing w:before="480" w:after="240" w:line="416" w:lineRule="atLeast"/>
      <w:jc w:val="left"/>
    </w:pPr>
    <w:rPr>
      <w:rFonts w:ascii="Calibri" w:hAnsi="Calibri" w:eastAsia="宋体"/>
      <w:bCs w:val="0"/>
      <w:kern w:val="0"/>
      <w:sz w:val="28"/>
      <w:szCs w:val="20"/>
    </w:rPr>
  </w:style>
  <w:style w:type="character" w:customStyle="1" w:styleId="464">
    <w:name w:val="表1.1-1 Char Char"/>
    <w:link w:val="465"/>
    <w:qFormat/>
    <w:uiPriority w:val="0"/>
    <w:rPr>
      <w:rFonts w:ascii="Arial Narrow" w:hAnsi="Arial Narrow"/>
      <w:bCs/>
      <w:sz w:val="18"/>
      <w:szCs w:val="18"/>
    </w:rPr>
  </w:style>
  <w:style w:type="paragraph" w:customStyle="1" w:styleId="465">
    <w:name w:val="表1.1-1 Char"/>
    <w:link w:val="464"/>
    <w:qFormat/>
    <w:uiPriority w:val="0"/>
    <w:pPr>
      <w:tabs>
        <w:tab w:val="left" w:pos="4660"/>
      </w:tabs>
      <w:adjustRightInd w:val="0"/>
      <w:snapToGrid w:val="0"/>
    </w:pPr>
    <w:rPr>
      <w:rFonts w:ascii="Arial Narrow" w:hAnsi="Arial Narrow" w:eastAsia="宋体" w:cs="Times New Roman"/>
      <w:bCs/>
      <w:sz w:val="18"/>
      <w:szCs w:val="18"/>
      <w:lang w:val="en-US" w:eastAsia="zh-CN" w:bidi="ar-SA"/>
    </w:rPr>
  </w:style>
  <w:style w:type="character" w:customStyle="1" w:styleId="466">
    <w:name w:val="标题 2 Char Char Char Char Char Char"/>
    <w:qFormat/>
    <w:uiPriority w:val="0"/>
    <w:rPr>
      <w:rFonts w:ascii="Arial" w:hAnsi="Arial" w:eastAsia="黑体"/>
      <w:b/>
      <w:bCs/>
      <w:kern w:val="2"/>
      <w:sz w:val="32"/>
      <w:szCs w:val="32"/>
      <w:lang w:val="en-US" w:eastAsia="zh-CN" w:bidi="ar-SA"/>
    </w:rPr>
  </w:style>
  <w:style w:type="character" w:customStyle="1" w:styleId="467">
    <w:name w:val="称呼 Char"/>
    <w:qFormat/>
    <w:uiPriority w:val="0"/>
    <w:rPr>
      <w:rFonts w:ascii="Times New Roman" w:hAnsi="Times New Roman"/>
      <w:kern w:val="2"/>
      <w:sz w:val="21"/>
      <w:szCs w:val="24"/>
    </w:rPr>
  </w:style>
  <w:style w:type="character" w:customStyle="1" w:styleId="468">
    <w:name w:val="正文文本缩进 Char2"/>
    <w:qFormat/>
    <w:uiPriority w:val="0"/>
    <w:rPr>
      <w:rFonts w:ascii="Times New Roman" w:hAnsi="Times New Roman" w:eastAsia="宋体" w:cs="Times New Roman"/>
      <w:szCs w:val="24"/>
    </w:rPr>
  </w:style>
  <w:style w:type="character" w:customStyle="1" w:styleId="469">
    <w:name w:val="副标题 Char2"/>
    <w:qFormat/>
    <w:uiPriority w:val="0"/>
    <w:rPr>
      <w:rFonts w:ascii="Cambria" w:hAnsi="Cambria"/>
      <w:b/>
      <w:bCs/>
      <w:kern w:val="28"/>
      <w:sz w:val="32"/>
      <w:szCs w:val="32"/>
    </w:rPr>
  </w:style>
  <w:style w:type="character" w:customStyle="1" w:styleId="470">
    <w:name w:val="正文文本缩进 Char1"/>
    <w:autoRedefine/>
    <w:qFormat/>
    <w:uiPriority w:val="0"/>
    <w:rPr>
      <w:rFonts w:ascii="Calibri" w:hAnsi="Calibri" w:eastAsia="宋体" w:cs="Times New Roman"/>
    </w:rPr>
  </w:style>
  <w:style w:type="character" w:customStyle="1" w:styleId="471">
    <w:name w:val="txt141"/>
    <w:autoRedefine/>
    <w:qFormat/>
    <w:uiPriority w:val="0"/>
    <w:rPr>
      <w:color w:val="333333"/>
      <w:sz w:val="21"/>
      <w:szCs w:val="21"/>
      <w:u w:val="none"/>
    </w:rPr>
  </w:style>
  <w:style w:type="character" w:customStyle="1" w:styleId="472">
    <w:name w:val="t_tag"/>
    <w:qFormat/>
    <w:uiPriority w:val="0"/>
  </w:style>
  <w:style w:type="character" w:customStyle="1" w:styleId="473">
    <w:name w:val="Char Char14"/>
    <w:qFormat/>
    <w:uiPriority w:val="0"/>
    <w:rPr>
      <w:rFonts w:ascii="Cambria" w:hAnsi="Cambria" w:eastAsia="宋体" w:cs="Times New Roman"/>
      <w:b/>
      <w:bCs/>
      <w:color w:val="365F91"/>
      <w:sz w:val="28"/>
      <w:szCs w:val="28"/>
    </w:rPr>
  </w:style>
  <w:style w:type="character" w:customStyle="1" w:styleId="474">
    <w:name w:val="引用 Char"/>
    <w:link w:val="475"/>
    <w:qFormat/>
    <w:uiPriority w:val="0"/>
    <w:rPr>
      <w:i/>
      <w:sz w:val="24"/>
      <w:szCs w:val="24"/>
    </w:rPr>
  </w:style>
  <w:style w:type="paragraph" w:styleId="475">
    <w:name w:val="Quote"/>
    <w:basedOn w:val="1"/>
    <w:link w:val="474"/>
    <w:qFormat/>
    <w:uiPriority w:val="0"/>
    <w:pPr>
      <w:widowControl/>
      <w:jc w:val="left"/>
    </w:pPr>
    <w:rPr>
      <w:rFonts w:ascii="Calibri" w:hAnsi="Calibri"/>
      <w:i/>
      <w:kern w:val="0"/>
      <w:sz w:val="24"/>
    </w:rPr>
  </w:style>
  <w:style w:type="character" w:customStyle="1" w:styleId="476">
    <w:name w:val="报告正文 Char Char"/>
    <w:qFormat/>
    <w:uiPriority w:val="0"/>
    <w:rPr>
      <w:rFonts w:ascii="仿宋_GB2312" w:eastAsia="仿宋_GB2312"/>
      <w:sz w:val="28"/>
      <w:szCs w:val="28"/>
    </w:rPr>
  </w:style>
  <w:style w:type="character" w:customStyle="1" w:styleId="477">
    <w:name w:val="表格内容 Char"/>
    <w:qFormat/>
    <w:uiPriority w:val="0"/>
    <w:rPr>
      <w:sz w:val="21"/>
      <w:szCs w:val="21"/>
    </w:rPr>
  </w:style>
  <w:style w:type="character" w:customStyle="1" w:styleId="478">
    <w:name w:val="副标题 Char1"/>
    <w:qFormat/>
    <w:uiPriority w:val="11"/>
    <w:rPr>
      <w:rFonts w:ascii="Cambria" w:hAnsi="Cambria" w:cs="Times New Roman"/>
      <w:b/>
      <w:bCs/>
      <w:kern w:val="28"/>
      <w:sz w:val="32"/>
      <w:szCs w:val="32"/>
    </w:rPr>
  </w:style>
  <w:style w:type="character" w:customStyle="1" w:styleId="479">
    <w:name w:val="Char Char181"/>
    <w:qFormat/>
    <w:uiPriority w:val="0"/>
    <w:rPr>
      <w:rFonts w:eastAsia="宋体"/>
      <w:kern w:val="2"/>
      <w:sz w:val="28"/>
      <w:szCs w:val="28"/>
      <w:lang w:val="en-US" w:eastAsia="zh-CN" w:bidi="ar-SA"/>
    </w:rPr>
  </w:style>
  <w:style w:type="character" w:customStyle="1" w:styleId="480">
    <w:name w:val="2010.5.17 Char Char"/>
    <w:link w:val="481"/>
    <w:qFormat/>
    <w:uiPriority w:val="0"/>
    <w:rPr>
      <w:rFonts w:ascii="宋体"/>
      <w:bCs/>
      <w:sz w:val="28"/>
      <w:szCs w:val="28"/>
    </w:rPr>
  </w:style>
  <w:style w:type="paragraph" w:customStyle="1" w:styleId="481">
    <w:name w:val="2010.5.17"/>
    <w:link w:val="480"/>
    <w:qFormat/>
    <w:uiPriority w:val="0"/>
    <w:pPr>
      <w:widowControl w:val="0"/>
      <w:adjustRightInd w:val="0"/>
      <w:snapToGrid w:val="0"/>
      <w:spacing w:line="336" w:lineRule="auto"/>
      <w:ind w:firstLine="200" w:firstLineChars="200"/>
      <w:jc w:val="both"/>
    </w:pPr>
    <w:rPr>
      <w:rFonts w:ascii="宋体" w:hAnsi="Calibri" w:eastAsia="宋体" w:cs="Times New Roman"/>
      <w:bCs/>
      <w:sz w:val="28"/>
      <w:szCs w:val="28"/>
      <w:lang w:val="en-US" w:eastAsia="zh-CN" w:bidi="ar-SA"/>
    </w:rPr>
  </w:style>
  <w:style w:type="character" w:customStyle="1" w:styleId="482">
    <w:name w:val="font01"/>
    <w:qFormat/>
    <w:uiPriority w:val="0"/>
    <w:rPr>
      <w:rFonts w:ascii="Times New Roman" w:hAnsi="Times New Roman" w:cs="Times New Roman"/>
      <w:b/>
      <w:color w:val="000000"/>
      <w:sz w:val="21"/>
      <w:szCs w:val="21"/>
      <w:u w:val="none"/>
      <w:vertAlign w:val="superscript"/>
    </w:rPr>
  </w:style>
  <w:style w:type="character" w:customStyle="1" w:styleId="483">
    <w:name w:val="准 表头 Char"/>
    <w:autoRedefine/>
    <w:qFormat/>
    <w:uiPriority w:val="0"/>
    <w:rPr>
      <w:rFonts w:ascii="Times New Roman" w:hAnsi="Times New Roman" w:eastAsia="黑体"/>
      <w:szCs w:val="21"/>
    </w:rPr>
  </w:style>
  <w:style w:type="character" w:customStyle="1" w:styleId="484">
    <w:name w:val="Body Text 2 Char2"/>
    <w:autoRedefine/>
    <w:qFormat/>
    <w:uiPriority w:val="0"/>
    <w:rPr>
      <w:rFonts w:ascii="宋体" w:eastAsia="宋体"/>
      <w:kern w:val="2"/>
      <w:sz w:val="24"/>
      <w:lang w:val="en-US" w:eastAsia="zh-CN" w:bidi="ar-SA"/>
    </w:rPr>
  </w:style>
  <w:style w:type="character" w:customStyle="1" w:styleId="485">
    <w:name w:val="Char Char81"/>
    <w:qFormat/>
    <w:uiPriority w:val="0"/>
    <w:rPr>
      <w:rFonts w:eastAsia="宋体"/>
      <w:b/>
      <w:bCs/>
      <w:kern w:val="2"/>
      <w:sz w:val="32"/>
      <w:szCs w:val="32"/>
      <w:lang w:val="en-US" w:eastAsia="zh-CN" w:bidi="ar-SA"/>
    </w:rPr>
  </w:style>
  <w:style w:type="character" w:customStyle="1" w:styleId="486">
    <w:name w:val="明显强调1"/>
    <w:qFormat/>
    <w:uiPriority w:val="21"/>
    <w:rPr>
      <w:b/>
      <w:i/>
      <w:sz w:val="24"/>
      <w:szCs w:val="24"/>
      <w:u w:val="single"/>
    </w:rPr>
  </w:style>
  <w:style w:type="character" w:customStyle="1" w:styleId="487">
    <w:name w:val="Char Char112"/>
    <w:qFormat/>
    <w:uiPriority w:val="0"/>
    <w:rPr>
      <w:rFonts w:ascii="Arial" w:hAnsi="Arial" w:eastAsia="黑体"/>
      <w:b/>
      <w:spacing w:val="6"/>
      <w:sz w:val="24"/>
      <w:lang w:val="en-US" w:eastAsia="zh-CN" w:bidi="ar-SA"/>
    </w:rPr>
  </w:style>
  <w:style w:type="character" w:customStyle="1" w:styleId="488">
    <w:name w:val="批注框文本 Char1"/>
    <w:autoRedefine/>
    <w:semiHidden/>
    <w:qFormat/>
    <w:uiPriority w:val="99"/>
    <w:rPr>
      <w:rFonts w:ascii="Calibri" w:hAnsi="Calibri" w:eastAsia="宋体" w:cs="Times New Roman"/>
      <w:sz w:val="18"/>
      <w:szCs w:val="18"/>
    </w:rPr>
  </w:style>
  <w:style w:type="character" w:customStyle="1" w:styleId="489">
    <w:name w:val="(use for appendix) Char"/>
    <w:qFormat/>
    <w:uiPriority w:val="0"/>
    <w:rPr>
      <w:rFonts w:eastAsia="汉鼎简书宋"/>
      <w:bCs/>
      <w:kern w:val="32"/>
      <w:sz w:val="24"/>
      <w:szCs w:val="24"/>
      <w:lang w:val="en-US" w:eastAsia="zh-CN" w:bidi="ar-SA"/>
    </w:rPr>
  </w:style>
  <w:style w:type="character" w:customStyle="1" w:styleId="490">
    <w:name w:val="A标题5 Char"/>
    <w:link w:val="491"/>
    <w:autoRedefine/>
    <w:qFormat/>
    <w:uiPriority w:val="0"/>
    <w:rPr>
      <w:color w:val="000000"/>
      <w:sz w:val="24"/>
      <w:szCs w:val="24"/>
    </w:rPr>
  </w:style>
  <w:style w:type="paragraph" w:customStyle="1" w:styleId="491">
    <w:name w:val="A标题5"/>
    <w:basedOn w:val="1"/>
    <w:link w:val="490"/>
    <w:qFormat/>
    <w:uiPriority w:val="0"/>
    <w:pPr>
      <w:widowControl/>
      <w:adjustRightInd w:val="0"/>
      <w:snapToGrid w:val="0"/>
      <w:spacing w:line="240" w:lineRule="atLeast"/>
      <w:jc w:val="left"/>
      <w:outlineLvl w:val="4"/>
    </w:pPr>
    <w:rPr>
      <w:rFonts w:ascii="Calibri" w:hAnsi="Calibri"/>
      <w:color w:val="000000"/>
      <w:kern w:val="0"/>
      <w:sz w:val="24"/>
    </w:rPr>
  </w:style>
  <w:style w:type="character" w:customStyle="1" w:styleId="492">
    <w:name w:val="正文 宋体 小四 Char"/>
    <w:link w:val="493"/>
    <w:qFormat/>
    <w:uiPriority w:val="0"/>
    <w:rPr>
      <w:rFonts w:ascii="宋体" w:hAnsi="宋体"/>
      <w:sz w:val="24"/>
    </w:rPr>
  </w:style>
  <w:style w:type="paragraph" w:customStyle="1" w:styleId="493">
    <w:name w:val="正文 宋体 小四"/>
    <w:basedOn w:val="1"/>
    <w:link w:val="492"/>
    <w:autoRedefine/>
    <w:qFormat/>
    <w:uiPriority w:val="0"/>
    <w:pPr>
      <w:widowControl/>
      <w:spacing w:line="360" w:lineRule="auto"/>
      <w:ind w:firstLine="480"/>
      <w:jc w:val="left"/>
    </w:pPr>
    <w:rPr>
      <w:rFonts w:ascii="宋体" w:hAnsi="宋体"/>
      <w:kern w:val="0"/>
      <w:sz w:val="24"/>
      <w:szCs w:val="20"/>
    </w:rPr>
  </w:style>
  <w:style w:type="character" w:customStyle="1" w:styleId="494">
    <w:name w:val="1正文段落 Char Char"/>
    <w:link w:val="495"/>
    <w:autoRedefine/>
    <w:qFormat/>
    <w:uiPriority w:val="0"/>
    <w:rPr>
      <w:rFonts w:ascii="宋体" w:hAnsi="宋体"/>
      <w:color w:val="1F497D"/>
      <w:spacing w:val="2"/>
      <w:sz w:val="24"/>
      <w:szCs w:val="21"/>
    </w:rPr>
  </w:style>
  <w:style w:type="paragraph" w:customStyle="1" w:styleId="495">
    <w:name w:val="1正文段落"/>
    <w:basedOn w:val="1"/>
    <w:link w:val="494"/>
    <w:autoRedefine/>
    <w:qFormat/>
    <w:uiPriority w:val="0"/>
    <w:pPr>
      <w:widowControl/>
      <w:spacing w:line="500" w:lineRule="exact"/>
      <w:ind w:firstLine="200" w:firstLineChars="200"/>
      <w:jc w:val="left"/>
    </w:pPr>
    <w:rPr>
      <w:rFonts w:ascii="宋体" w:hAnsi="宋体"/>
      <w:color w:val="1F497D"/>
      <w:spacing w:val="2"/>
      <w:kern w:val="0"/>
      <w:sz w:val="24"/>
      <w:szCs w:val="21"/>
    </w:rPr>
  </w:style>
  <w:style w:type="character" w:customStyle="1" w:styleId="496">
    <w:name w:val="latinname1"/>
    <w:autoRedefine/>
    <w:qFormat/>
    <w:uiPriority w:val="0"/>
    <w:rPr>
      <w:i/>
      <w:iCs/>
    </w:rPr>
  </w:style>
  <w:style w:type="character" w:customStyle="1" w:styleId="497">
    <w:name w:val="Char Char31"/>
    <w:autoRedefine/>
    <w:qFormat/>
    <w:uiPriority w:val="0"/>
    <w:rPr>
      <w:rFonts w:eastAsia="仿宋_GB2312"/>
      <w:b/>
      <w:kern w:val="2"/>
      <w:sz w:val="28"/>
      <w:szCs w:val="28"/>
      <w:lang w:val="en-US" w:eastAsia="zh-CN" w:bidi="ar-SA"/>
    </w:rPr>
  </w:style>
  <w:style w:type="character" w:customStyle="1" w:styleId="498">
    <w:name w:val="正文文字缩进 Char3"/>
    <w:autoRedefine/>
    <w:qFormat/>
    <w:uiPriority w:val="0"/>
    <w:rPr>
      <w:rFonts w:eastAsia="宋体"/>
      <w:kern w:val="2"/>
      <w:sz w:val="21"/>
      <w:szCs w:val="24"/>
      <w:lang w:val="en-US" w:eastAsia="zh-CN" w:bidi="ar-SA"/>
    </w:rPr>
  </w:style>
  <w:style w:type="character" w:customStyle="1" w:styleId="499">
    <w:name w:val="5号宋体居中 Char"/>
    <w:qFormat/>
    <w:uiPriority w:val="0"/>
    <w:rPr>
      <w:rFonts w:ascii="Arial" w:hAnsi="Arial" w:eastAsia="黑体"/>
      <w:kern w:val="2"/>
      <w:sz w:val="21"/>
      <w:szCs w:val="21"/>
      <w:lang w:val="en-US" w:eastAsia="zh-CN" w:bidi="ar-SA"/>
    </w:rPr>
  </w:style>
  <w:style w:type="character" w:customStyle="1" w:styleId="500">
    <w:name w:val="样式 标题 2 + (西文) 宋体 Char"/>
    <w:autoRedefine/>
    <w:qFormat/>
    <w:uiPriority w:val="0"/>
    <w:rPr>
      <w:rFonts w:eastAsia="宋体"/>
      <w:b/>
      <w:bCs/>
      <w:kern w:val="2"/>
      <w:sz w:val="24"/>
      <w:szCs w:val="24"/>
      <w:lang w:val="en-US" w:eastAsia="zh-CN" w:bidi="ar-SA"/>
    </w:rPr>
  </w:style>
  <w:style w:type="character" w:customStyle="1" w:styleId="501">
    <w:name w:val="目标题 1) Char Char"/>
    <w:qFormat/>
    <w:uiPriority w:val="0"/>
    <w:rPr>
      <w:rFonts w:ascii="Arial" w:hAnsi="Arial" w:eastAsia="黑体"/>
      <w:kern w:val="2"/>
      <w:sz w:val="24"/>
      <w:szCs w:val="24"/>
      <w:lang w:val="en-US" w:eastAsia="zh-CN" w:bidi="ar-SA"/>
    </w:rPr>
  </w:style>
  <w:style w:type="character" w:customStyle="1" w:styleId="502">
    <w:name w:val="Body Text 2 Char1"/>
    <w:qFormat/>
    <w:uiPriority w:val="0"/>
    <w:rPr>
      <w:rFonts w:ascii="宋体" w:hAnsi="宋体" w:eastAsia="宋体"/>
      <w:sz w:val="28"/>
      <w:lang w:val="en-US" w:eastAsia="zh-CN" w:bidi="ar-SA"/>
    </w:rPr>
  </w:style>
  <w:style w:type="character" w:customStyle="1" w:styleId="503">
    <w:name w:val="1.1标题 3 Char"/>
    <w:qFormat/>
    <w:uiPriority w:val="0"/>
    <w:rPr>
      <w:rFonts w:eastAsia="仿宋_GB2312" w:cs="宋体"/>
      <w:bCs/>
      <w:kern w:val="2"/>
      <w:sz w:val="24"/>
      <w:szCs w:val="32"/>
      <w:lang w:val="en-US" w:eastAsia="zh-CN" w:bidi="ar-SA"/>
    </w:rPr>
  </w:style>
  <w:style w:type="character" w:customStyle="1" w:styleId="504">
    <w:name w:val="www1"/>
    <w:qFormat/>
    <w:uiPriority w:val="0"/>
    <w:rPr>
      <w:color w:val="0066CC"/>
      <w:sz w:val="18"/>
      <w:szCs w:val="18"/>
    </w:rPr>
  </w:style>
  <w:style w:type="character" w:customStyle="1" w:styleId="505">
    <w:name w:val="准 表格 样式1 + 居中 Char Char"/>
    <w:link w:val="506"/>
    <w:autoRedefine/>
    <w:qFormat/>
    <w:uiPriority w:val="0"/>
    <w:rPr>
      <w:sz w:val="18"/>
    </w:rPr>
  </w:style>
  <w:style w:type="paragraph" w:customStyle="1" w:styleId="506">
    <w:name w:val="准 表格 样式1 + 居中"/>
    <w:basedOn w:val="1"/>
    <w:link w:val="505"/>
    <w:autoRedefine/>
    <w:qFormat/>
    <w:uiPriority w:val="0"/>
    <w:pPr>
      <w:widowControl/>
      <w:spacing w:line="280" w:lineRule="exact"/>
      <w:jc w:val="center"/>
    </w:pPr>
    <w:rPr>
      <w:rFonts w:ascii="Calibri" w:hAnsi="Calibri"/>
      <w:kern w:val="0"/>
      <w:sz w:val="18"/>
      <w:szCs w:val="20"/>
    </w:rPr>
  </w:style>
  <w:style w:type="character" w:customStyle="1" w:styleId="507">
    <w:name w:val="正文文本 Char2"/>
    <w:semiHidden/>
    <w:qFormat/>
    <w:uiPriority w:val="99"/>
    <w:rPr>
      <w:rFonts w:ascii="Calibri" w:hAnsi="Calibri" w:eastAsia="宋体" w:cs="Times New Roman"/>
    </w:rPr>
  </w:style>
  <w:style w:type="character" w:customStyle="1" w:styleId="508">
    <w:name w:val="样式7 Char"/>
    <w:link w:val="509"/>
    <w:autoRedefine/>
    <w:qFormat/>
    <w:uiPriority w:val="0"/>
    <w:rPr>
      <w:rFonts w:ascii="宋体" w:hAnsi="宋体"/>
      <w:sz w:val="18"/>
      <w:szCs w:val="18"/>
    </w:rPr>
  </w:style>
  <w:style w:type="paragraph" w:customStyle="1" w:styleId="509">
    <w:name w:val="样式7"/>
    <w:basedOn w:val="34"/>
    <w:link w:val="508"/>
    <w:qFormat/>
    <w:uiPriority w:val="0"/>
  </w:style>
  <w:style w:type="paragraph" w:customStyle="1" w:styleId="510">
    <w:name w:val="样式6"/>
    <w:basedOn w:val="511"/>
    <w:link w:val="544"/>
    <w:autoRedefine/>
    <w:qFormat/>
    <w:uiPriority w:val="0"/>
  </w:style>
  <w:style w:type="paragraph" w:customStyle="1" w:styleId="511">
    <w:name w:val="样式4"/>
    <w:basedOn w:val="512"/>
    <w:link w:val="759"/>
    <w:qFormat/>
    <w:uiPriority w:val="0"/>
    <w:rPr>
      <w:kern w:val="0"/>
    </w:rPr>
  </w:style>
  <w:style w:type="paragraph" w:customStyle="1" w:styleId="512">
    <w:name w:val="样式3"/>
    <w:basedOn w:val="513"/>
    <w:link w:val="604"/>
    <w:autoRedefine/>
    <w:qFormat/>
    <w:uiPriority w:val="0"/>
    <w:rPr>
      <w:rFonts w:ascii="宋体" w:hAnsi="宋体" w:eastAsia="宋体"/>
    </w:rPr>
  </w:style>
  <w:style w:type="paragraph" w:customStyle="1" w:styleId="513">
    <w:name w:val="样式2"/>
    <w:basedOn w:val="1"/>
    <w:link w:val="758"/>
    <w:autoRedefine/>
    <w:qFormat/>
    <w:uiPriority w:val="0"/>
    <w:pPr>
      <w:widowControl/>
      <w:pBdr>
        <w:top w:val="single" w:color="auto" w:sz="18" w:space="1"/>
      </w:pBdr>
      <w:snapToGrid w:val="0"/>
      <w:jc w:val="left"/>
    </w:pPr>
    <w:rPr>
      <w:rFonts w:ascii="Calibri" w:hAnsi="Calibri" w:eastAsia="华文细黑"/>
      <w:sz w:val="18"/>
      <w:szCs w:val="18"/>
    </w:rPr>
  </w:style>
  <w:style w:type="character" w:customStyle="1" w:styleId="514">
    <w:name w:val="样式29 Char"/>
    <w:link w:val="515"/>
    <w:qFormat/>
    <w:uiPriority w:val="0"/>
    <w:rPr>
      <w:rFonts w:ascii="宋体" w:hAnsi="宋体"/>
      <w:b/>
      <w:w w:val="80"/>
      <w:kern w:val="2"/>
      <w:sz w:val="18"/>
      <w:szCs w:val="18"/>
    </w:rPr>
  </w:style>
  <w:style w:type="paragraph" w:customStyle="1" w:styleId="515">
    <w:name w:val="样式29"/>
    <w:basedOn w:val="1"/>
    <w:link w:val="514"/>
    <w:qFormat/>
    <w:uiPriority w:val="0"/>
    <w:pPr>
      <w:pBdr>
        <w:top w:val="thinThickSmallGap" w:color="auto" w:sz="12" w:space="1"/>
      </w:pBdr>
      <w:jc w:val="left"/>
    </w:pPr>
    <w:rPr>
      <w:rFonts w:ascii="宋体" w:hAnsi="宋体"/>
      <w:b/>
      <w:w w:val="80"/>
      <w:sz w:val="18"/>
      <w:szCs w:val="18"/>
    </w:rPr>
  </w:style>
  <w:style w:type="character" w:customStyle="1" w:styleId="516">
    <w:name w:val="格式正 Char"/>
    <w:link w:val="517"/>
    <w:qFormat/>
    <w:uiPriority w:val="0"/>
    <w:rPr>
      <w:rFonts w:ascii="黑体" w:hAnsi="宋体" w:eastAsia="黑体"/>
      <w:sz w:val="24"/>
      <w:szCs w:val="24"/>
    </w:rPr>
  </w:style>
  <w:style w:type="paragraph" w:customStyle="1" w:styleId="517">
    <w:name w:val="格式正"/>
    <w:basedOn w:val="31"/>
    <w:link w:val="516"/>
    <w:qFormat/>
    <w:uiPriority w:val="0"/>
    <w:pPr>
      <w:widowControl/>
      <w:spacing w:after="0" w:line="360" w:lineRule="auto"/>
      <w:ind w:firstLine="3480" w:firstLineChars="1450"/>
      <w:jc w:val="left"/>
    </w:pPr>
    <w:rPr>
      <w:rFonts w:ascii="黑体" w:hAnsi="宋体" w:eastAsia="黑体"/>
      <w:kern w:val="0"/>
      <w:sz w:val="24"/>
    </w:rPr>
  </w:style>
  <w:style w:type="character" w:customStyle="1" w:styleId="518">
    <w:name w:val="样式1 Char"/>
    <w:link w:val="166"/>
    <w:autoRedefine/>
    <w:qFormat/>
    <w:uiPriority w:val="0"/>
    <w:rPr>
      <w:rFonts w:ascii="仿宋_GB2312" w:hAnsi="Times New Roman" w:eastAsia="仿宋_GB2312"/>
      <w:kern w:val="2"/>
      <w:sz w:val="28"/>
    </w:rPr>
  </w:style>
  <w:style w:type="character" w:customStyle="1" w:styleId="519">
    <w:name w:val="Char Char Char Char Char2"/>
    <w:qFormat/>
    <w:uiPriority w:val="0"/>
    <w:rPr>
      <w:rFonts w:hint="default" w:ascii="Arial" w:hAnsi="Arial" w:eastAsia="黑体" w:cs="Arial"/>
      <w:b/>
      <w:bCs/>
      <w:kern w:val="2"/>
      <w:sz w:val="32"/>
      <w:szCs w:val="32"/>
      <w:lang w:val="en-US" w:eastAsia="zh-CN" w:bidi="ar-SA"/>
    </w:rPr>
  </w:style>
  <w:style w:type="character" w:customStyle="1" w:styleId="520">
    <w:name w:val="样式 DX正文 + 13.5 磅1 Char"/>
    <w:link w:val="521"/>
    <w:qFormat/>
    <w:uiPriority w:val="0"/>
    <w:rPr>
      <w:sz w:val="28"/>
      <w:szCs w:val="28"/>
    </w:rPr>
  </w:style>
  <w:style w:type="paragraph" w:customStyle="1" w:styleId="521">
    <w:name w:val="样式 DX正文 + 13.5 磅1"/>
    <w:basedOn w:val="1"/>
    <w:link w:val="520"/>
    <w:qFormat/>
    <w:uiPriority w:val="0"/>
    <w:pPr>
      <w:widowControl/>
      <w:spacing w:line="560" w:lineRule="exact"/>
      <w:ind w:firstLine="200" w:firstLineChars="200"/>
      <w:jc w:val="left"/>
    </w:pPr>
    <w:rPr>
      <w:rFonts w:ascii="Calibri" w:hAnsi="Calibri"/>
      <w:kern w:val="0"/>
      <w:sz w:val="28"/>
      <w:szCs w:val="28"/>
    </w:rPr>
  </w:style>
  <w:style w:type="character" w:customStyle="1" w:styleId="522">
    <w:name w:val="副标题 Char"/>
    <w:link w:val="56"/>
    <w:qFormat/>
    <w:uiPriority w:val="0"/>
    <w:rPr>
      <w:rFonts w:ascii="Cambria" w:hAnsi="Cambria"/>
      <w:sz w:val="24"/>
      <w:szCs w:val="24"/>
    </w:rPr>
  </w:style>
  <w:style w:type="character" w:customStyle="1" w:styleId="523">
    <w:name w:val="Char Char20"/>
    <w:autoRedefine/>
    <w:semiHidden/>
    <w:qFormat/>
    <w:uiPriority w:val="0"/>
    <w:rPr>
      <w:rFonts w:eastAsia="宋体"/>
      <w:kern w:val="2"/>
      <w:sz w:val="24"/>
      <w:szCs w:val="24"/>
      <w:lang w:val="en-US" w:eastAsia="zh-CN" w:bidi="ar-SA"/>
    </w:rPr>
  </w:style>
  <w:style w:type="character" w:customStyle="1" w:styleId="524">
    <w:name w:val="报告文字:2 字符 Char"/>
    <w:link w:val="525"/>
    <w:qFormat/>
    <w:uiPriority w:val="0"/>
    <w:rPr>
      <w:rFonts w:eastAsia="仿宋_GB2312" w:cs="宋体"/>
      <w:sz w:val="28"/>
      <w:szCs w:val="28"/>
    </w:rPr>
  </w:style>
  <w:style w:type="paragraph" w:customStyle="1" w:styleId="525">
    <w:name w:val="报告文字:2 字符"/>
    <w:basedOn w:val="1"/>
    <w:link w:val="524"/>
    <w:autoRedefine/>
    <w:qFormat/>
    <w:uiPriority w:val="0"/>
    <w:pPr>
      <w:widowControl/>
      <w:adjustRightInd w:val="0"/>
      <w:snapToGrid w:val="0"/>
      <w:spacing w:line="360" w:lineRule="auto"/>
      <w:ind w:firstLine="200" w:firstLineChars="200"/>
      <w:jc w:val="left"/>
    </w:pPr>
    <w:rPr>
      <w:rFonts w:ascii="Calibri" w:hAnsi="Calibri" w:eastAsia="仿宋_GB2312" w:cs="宋体"/>
      <w:kern w:val="0"/>
      <w:sz w:val="28"/>
      <w:szCs w:val="28"/>
    </w:rPr>
  </w:style>
  <w:style w:type="character" w:customStyle="1" w:styleId="526">
    <w:name w:val="Char Char Char Char Char1"/>
    <w:qFormat/>
    <w:uiPriority w:val="0"/>
    <w:rPr>
      <w:rFonts w:hint="default" w:ascii="Arial" w:hAnsi="Arial" w:eastAsia="黑体" w:cs="Arial"/>
      <w:b/>
      <w:bCs/>
      <w:kern w:val="2"/>
      <w:sz w:val="32"/>
      <w:szCs w:val="32"/>
      <w:lang w:val="en-US" w:eastAsia="zh-CN" w:bidi="ar-SA"/>
    </w:rPr>
  </w:style>
  <w:style w:type="character" w:customStyle="1" w:styleId="527">
    <w:name w:val="报告文字 Char2"/>
    <w:link w:val="528"/>
    <w:autoRedefine/>
    <w:qFormat/>
    <w:uiPriority w:val="0"/>
    <w:rPr>
      <w:rFonts w:eastAsia="仿宋_GB2312"/>
      <w:sz w:val="28"/>
      <w:szCs w:val="28"/>
      <w:shd w:val="clear" w:color="auto" w:fill="FFFFFF"/>
    </w:rPr>
  </w:style>
  <w:style w:type="paragraph" w:customStyle="1" w:styleId="528">
    <w:name w:val="报告文字"/>
    <w:basedOn w:val="1"/>
    <w:link w:val="527"/>
    <w:qFormat/>
    <w:uiPriority w:val="0"/>
    <w:pPr>
      <w:widowControl/>
      <w:shd w:val="clear" w:color="auto" w:fill="FFFFFF"/>
      <w:spacing w:line="360" w:lineRule="auto"/>
      <w:ind w:firstLine="560" w:firstLineChars="200"/>
      <w:jc w:val="left"/>
    </w:pPr>
    <w:rPr>
      <w:rFonts w:ascii="Calibri" w:hAnsi="Calibri" w:eastAsia="仿宋_GB2312"/>
      <w:kern w:val="0"/>
      <w:sz w:val="28"/>
      <w:szCs w:val="28"/>
      <w:shd w:val="clear" w:color="auto" w:fill="FFFFFF"/>
    </w:rPr>
  </w:style>
  <w:style w:type="character" w:customStyle="1" w:styleId="529">
    <w:name w:val="Body Text 2 Char Char"/>
    <w:autoRedefine/>
    <w:qFormat/>
    <w:uiPriority w:val="0"/>
    <w:rPr>
      <w:rFonts w:ascii="宋体" w:hAnsi="宋体"/>
      <w:sz w:val="28"/>
    </w:rPr>
  </w:style>
  <w:style w:type="character" w:customStyle="1" w:styleId="530">
    <w:name w:val="项标题(1) Char Char"/>
    <w:autoRedefine/>
    <w:qFormat/>
    <w:uiPriority w:val="0"/>
    <w:rPr>
      <w:rFonts w:eastAsia="宋体"/>
      <w:b/>
      <w:bCs/>
      <w:kern w:val="2"/>
      <w:sz w:val="24"/>
      <w:szCs w:val="24"/>
      <w:lang w:val="en-US" w:eastAsia="zh-CN" w:bidi="ar-SA"/>
    </w:rPr>
  </w:style>
  <w:style w:type="character" w:customStyle="1" w:styleId="531">
    <w:name w:val="正文文字 Char2"/>
    <w:autoRedefine/>
    <w:qFormat/>
    <w:uiPriority w:val="0"/>
    <w:rPr>
      <w:rFonts w:eastAsia="宋体"/>
      <w:kern w:val="2"/>
      <w:sz w:val="21"/>
      <w:szCs w:val="24"/>
      <w:lang w:val="en-US" w:eastAsia="zh-CN" w:bidi="ar-SA"/>
    </w:rPr>
  </w:style>
  <w:style w:type="character" w:customStyle="1" w:styleId="532">
    <w:name w:val="表号 Char1"/>
    <w:qFormat/>
    <w:uiPriority w:val="0"/>
    <w:rPr>
      <w:rFonts w:eastAsia="宋体"/>
      <w:bCs/>
      <w:sz w:val="24"/>
      <w:szCs w:val="24"/>
      <w:lang w:val="en-US" w:eastAsia="zh-CN" w:bidi="ar-SA"/>
    </w:rPr>
  </w:style>
  <w:style w:type="character" w:customStyle="1" w:styleId="533">
    <w:name w:val="大纲正文 Char1"/>
    <w:link w:val="534"/>
    <w:qFormat/>
    <w:uiPriority w:val="0"/>
    <w:rPr>
      <w:sz w:val="24"/>
    </w:rPr>
  </w:style>
  <w:style w:type="paragraph" w:customStyle="1" w:styleId="534">
    <w:name w:val="大纲正文"/>
    <w:basedOn w:val="1"/>
    <w:link w:val="533"/>
    <w:autoRedefine/>
    <w:qFormat/>
    <w:uiPriority w:val="0"/>
    <w:pPr>
      <w:widowControl/>
      <w:adjustRightInd w:val="0"/>
      <w:snapToGrid w:val="0"/>
      <w:spacing w:after="156" w:line="300" w:lineRule="auto"/>
      <w:ind w:firstLine="480" w:firstLineChars="200"/>
      <w:jc w:val="left"/>
    </w:pPr>
    <w:rPr>
      <w:rFonts w:ascii="Calibri" w:hAnsi="Calibri"/>
      <w:kern w:val="0"/>
      <w:sz w:val="24"/>
      <w:szCs w:val="20"/>
    </w:rPr>
  </w:style>
  <w:style w:type="character" w:customStyle="1" w:styleId="535">
    <w:name w:val="不明显参考1"/>
    <w:qFormat/>
    <w:uiPriority w:val="0"/>
    <w:rPr>
      <w:color w:val="C0504D"/>
      <w:u w:val="single"/>
    </w:rPr>
  </w:style>
  <w:style w:type="character" w:customStyle="1" w:styleId="536">
    <w:name w:val="公正文 Char"/>
    <w:link w:val="537"/>
    <w:qFormat/>
    <w:uiPriority w:val="0"/>
    <w:rPr>
      <w:rFonts w:ascii="宋体" w:hAnsi="宋体" w:eastAsia="仿宋_GB2312"/>
      <w:sz w:val="28"/>
      <w:szCs w:val="24"/>
    </w:rPr>
  </w:style>
  <w:style w:type="paragraph" w:customStyle="1" w:styleId="537">
    <w:name w:val="公正文"/>
    <w:basedOn w:val="21"/>
    <w:link w:val="536"/>
    <w:qFormat/>
    <w:uiPriority w:val="0"/>
    <w:pPr>
      <w:widowControl/>
      <w:adjustRightInd w:val="0"/>
      <w:snapToGrid w:val="0"/>
      <w:spacing w:line="355" w:lineRule="auto"/>
      <w:jc w:val="left"/>
    </w:pPr>
    <w:rPr>
      <w:rFonts w:ascii="宋体" w:hAnsi="宋体" w:eastAsia="仿宋_GB2312"/>
      <w:kern w:val="0"/>
      <w:sz w:val="28"/>
    </w:rPr>
  </w:style>
  <w:style w:type="character" w:customStyle="1" w:styleId="538">
    <w:name w:val="样式 图号 + 宋体 Char"/>
    <w:autoRedefine/>
    <w:qFormat/>
    <w:uiPriority w:val="0"/>
    <w:rPr>
      <w:rFonts w:ascii="宋体" w:hAnsi="宋体" w:eastAsia="宋体"/>
      <w:b/>
      <w:bCs/>
      <w:kern w:val="32"/>
      <w:sz w:val="24"/>
      <w:szCs w:val="24"/>
      <w:lang w:val="en-US" w:eastAsia="zh-CN" w:bidi="ar-SA"/>
    </w:rPr>
  </w:style>
  <w:style w:type="character" w:customStyle="1" w:styleId="539">
    <w:name w:val="样式 标题 2hb2 + 小四 Char"/>
    <w:link w:val="540"/>
    <w:qFormat/>
    <w:uiPriority w:val="0"/>
    <w:rPr>
      <w:rFonts w:ascii="宋体" w:hAnsi="宋体" w:cs="宋体"/>
      <w:b/>
      <w:bCs/>
      <w:sz w:val="24"/>
      <w:szCs w:val="24"/>
    </w:rPr>
  </w:style>
  <w:style w:type="paragraph" w:customStyle="1" w:styleId="540">
    <w:name w:val="样式 标题 2hb2 + 小四"/>
    <w:basedOn w:val="4"/>
    <w:link w:val="539"/>
    <w:qFormat/>
    <w:uiPriority w:val="0"/>
    <w:pPr>
      <w:keepLines w:val="0"/>
      <w:widowControl/>
      <w:spacing w:before="480" w:after="480" w:line="240" w:lineRule="auto"/>
      <w:jc w:val="left"/>
    </w:pPr>
    <w:rPr>
      <w:rFonts w:ascii="宋体" w:hAnsi="宋体" w:eastAsia="宋体" w:cs="宋体"/>
      <w:kern w:val="0"/>
      <w:sz w:val="24"/>
      <w:szCs w:val="24"/>
    </w:rPr>
  </w:style>
  <w:style w:type="character" w:customStyle="1" w:styleId="541">
    <w:name w:val="表内容 Char Char"/>
    <w:link w:val="542"/>
    <w:qFormat/>
    <w:uiPriority w:val="0"/>
    <w:rPr>
      <w:rFonts w:ascii="Arial Narrow" w:hAnsi="Arial Narrow"/>
      <w:szCs w:val="21"/>
    </w:rPr>
  </w:style>
  <w:style w:type="paragraph" w:customStyle="1" w:styleId="542">
    <w:name w:val="表内容 Char"/>
    <w:link w:val="541"/>
    <w:qFormat/>
    <w:uiPriority w:val="0"/>
    <w:pPr>
      <w:tabs>
        <w:tab w:val="left" w:pos="4660"/>
      </w:tabs>
      <w:adjustRightInd w:val="0"/>
      <w:snapToGrid w:val="0"/>
      <w:spacing w:line="240" w:lineRule="atLeast"/>
      <w:jc w:val="center"/>
    </w:pPr>
    <w:rPr>
      <w:rFonts w:ascii="Arial Narrow" w:hAnsi="Arial Narrow" w:eastAsia="宋体" w:cs="Times New Roman"/>
      <w:szCs w:val="21"/>
      <w:lang w:val="en-US" w:eastAsia="zh-CN" w:bidi="ar-SA"/>
    </w:rPr>
  </w:style>
  <w:style w:type="character" w:customStyle="1" w:styleId="543">
    <w:name w:val="正文 Char Char Char"/>
    <w:qFormat/>
    <w:uiPriority w:val="0"/>
    <w:rPr>
      <w:rFonts w:ascii="Arial Narrow" w:hAnsi="Arial Narrow" w:eastAsia="宋体" w:cs="宋体"/>
      <w:kern w:val="2"/>
      <w:sz w:val="24"/>
      <w:szCs w:val="24"/>
      <w:lang w:val="en-US" w:eastAsia="zh-CN" w:bidi="ar-SA"/>
    </w:rPr>
  </w:style>
  <w:style w:type="character" w:customStyle="1" w:styleId="544">
    <w:name w:val="样式6 Char"/>
    <w:link w:val="510"/>
    <w:qFormat/>
    <w:uiPriority w:val="0"/>
    <w:rPr>
      <w:rFonts w:ascii="宋体" w:hAnsi="宋体"/>
      <w:sz w:val="18"/>
      <w:szCs w:val="18"/>
    </w:rPr>
  </w:style>
  <w:style w:type="character" w:customStyle="1" w:styleId="545">
    <w:name w:val="标题 2 Char Char Char Char2"/>
    <w:qFormat/>
    <w:uiPriority w:val="0"/>
    <w:rPr>
      <w:rFonts w:eastAsia="仿宋_GB2312"/>
      <w:b/>
      <w:bCs/>
      <w:kern w:val="2"/>
      <w:sz w:val="30"/>
      <w:szCs w:val="30"/>
    </w:rPr>
  </w:style>
  <w:style w:type="character" w:customStyle="1" w:styleId="546">
    <w:name w:val="样式8 Char"/>
    <w:autoRedefine/>
    <w:qFormat/>
    <w:uiPriority w:val="0"/>
    <w:rPr>
      <w:rFonts w:ascii="宋体" w:hAnsi="宋体"/>
      <w:sz w:val="18"/>
      <w:szCs w:val="18"/>
    </w:rPr>
  </w:style>
  <w:style w:type="character" w:customStyle="1" w:styleId="547">
    <w:name w:val="正文文字 Char Char3"/>
    <w:autoRedefine/>
    <w:qFormat/>
    <w:uiPriority w:val="0"/>
    <w:rPr>
      <w:rFonts w:eastAsia="宋体"/>
      <w:kern w:val="2"/>
      <w:sz w:val="24"/>
      <w:szCs w:val="24"/>
      <w:lang w:val="en-US" w:eastAsia="zh-CN" w:bidi="ar-SA"/>
    </w:rPr>
  </w:style>
  <w:style w:type="character" w:customStyle="1" w:styleId="548">
    <w:name w:val="headline-content2"/>
    <w:qFormat/>
    <w:uiPriority w:val="0"/>
  </w:style>
  <w:style w:type="character" w:customStyle="1" w:styleId="549">
    <w:name w:val="表头，alt+D Char"/>
    <w:link w:val="550"/>
    <w:qFormat/>
    <w:uiPriority w:val="0"/>
    <w:rPr>
      <w:rFonts w:ascii="宋体"/>
      <w:color w:val="808000"/>
      <w:sz w:val="24"/>
    </w:rPr>
  </w:style>
  <w:style w:type="paragraph" w:customStyle="1" w:styleId="550">
    <w:name w:val="表头，alt+D"/>
    <w:basedOn w:val="1"/>
    <w:link w:val="549"/>
    <w:qFormat/>
    <w:uiPriority w:val="0"/>
    <w:pPr>
      <w:widowControl/>
      <w:spacing w:before="60" w:after="60" w:line="240" w:lineRule="atLeast"/>
      <w:ind w:left="-113" w:right="-113"/>
      <w:jc w:val="center"/>
    </w:pPr>
    <w:rPr>
      <w:rFonts w:ascii="宋体" w:hAnsi="Calibri"/>
      <w:color w:val="808000"/>
      <w:kern w:val="0"/>
      <w:sz w:val="24"/>
      <w:szCs w:val="20"/>
    </w:rPr>
  </w:style>
  <w:style w:type="character" w:customStyle="1" w:styleId="551">
    <w:name w:val="font41"/>
    <w:basedOn w:val="83"/>
    <w:autoRedefine/>
    <w:qFormat/>
    <w:uiPriority w:val="0"/>
    <w:rPr>
      <w:rFonts w:hint="eastAsia" w:ascii="Times New Roman" w:hAnsi="Times New Roman" w:cs="Times New Roman"/>
      <w:color w:val="000000"/>
      <w:sz w:val="21"/>
      <w:szCs w:val="21"/>
      <w:u w:val="none"/>
    </w:rPr>
  </w:style>
  <w:style w:type="character" w:customStyle="1" w:styleId="552">
    <w:name w:val="hb3 Char Char"/>
    <w:autoRedefine/>
    <w:qFormat/>
    <w:uiPriority w:val="0"/>
    <w:rPr>
      <w:rFonts w:ascii="宋体" w:hAnsi="宋体" w:eastAsia="宋体"/>
      <w:b/>
      <w:bCs/>
      <w:sz w:val="24"/>
      <w:szCs w:val="32"/>
      <w:lang w:val="en-US" w:eastAsia="zh-CN" w:bidi="ar-SA"/>
    </w:rPr>
  </w:style>
  <w:style w:type="character" w:customStyle="1" w:styleId="553">
    <w:name w:val="样式 正文缩进 + 四号 Char"/>
    <w:link w:val="554"/>
    <w:autoRedefine/>
    <w:qFormat/>
    <w:uiPriority w:val="0"/>
    <w:rPr>
      <w:rFonts w:ascii="宋体"/>
      <w:sz w:val="28"/>
      <w:szCs w:val="24"/>
    </w:rPr>
  </w:style>
  <w:style w:type="paragraph" w:customStyle="1" w:styleId="554">
    <w:name w:val="样式 正文缩进 + 四号"/>
    <w:basedOn w:val="21"/>
    <w:link w:val="553"/>
    <w:qFormat/>
    <w:uiPriority w:val="0"/>
    <w:pPr>
      <w:widowControl/>
      <w:ind w:firstLine="0" w:firstLineChars="0"/>
      <w:jc w:val="left"/>
    </w:pPr>
    <w:rPr>
      <w:rFonts w:ascii="宋体" w:hAnsi="Calibri"/>
      <w:kern w:val="0"/>
      <w:sz w:val="28"/>
    </w:rPr>
  </w:style>
  <w:style w:type="character" w:customStyle="1" w:styleId="555">
    <w:name w:val="li-正文 Char Char"/>
    <w:qFormat/>
    <w:uiPriority w:val="0"/>
    <w:rPr>
      <w:rFonts w:cs="宋体"/>
      <w:kern w:val="2"/>
      <w:sz w:val="24"/>
    </w:rPr>
  </w:style>
  <w:style w:type="character" w:customStyle="1" w:styleId="556">
    <w:name w:val="H7 Char"/>
    <w:qFormat/>
    <w:uiPriority w:val="0"/>
    <w:rPr>
      <w:rFonts w:eastAsia="华文细黑"/>
      <w:b/>
      <w:kern w:val="2"/>
      <w:sz w:val="24"/>
      <w:lang w:val="en-US" w:eastAsia="zh-CN" w:bidi="ar-SA"/>
    </w:rPr>
  </w:style>
  <w:style w:type="character" w:customStyle="1" w:styleId="557">
    <w:name w:val="z-窗体底端 Char1"/>
    <w:link w:val="558"/>
    <w:qFormat/>
    <w:uiPriority w:val="0"/>
    <w:rPr>
      <w:rFonts w:ascii="Arial"/>
      <w:vanish/>
      <w:sz w:val="16"/>
    </w:rPr>
  </w:style>
  <w:style w:type="paragraph" w:customStyle="1" w:styleId="558">
    <w:name w:val="z-窗体底端1"/>
    <w:basedOn w:val="1"/>
    <w:link w:val="557"/>
    <w:qFormat/>
    <w:uiPriority w:val="0"/>
    <w:pPr>
      <w:widowControl/>
      <w:pBdr>
        <w:top w:val="single" w:color="auto" w:sz="6" w:space="1"/>
      </w:pBdr>
      <w:jc w:val="center"/>
    </w:pPr>
    <w:rPr>
      <w:rFonts w:ascii="Arial" w:hAnsi="Calibri"/>
      <w:vanish/>
      <w:kern w:val="0"/>
      <w:sz w:val="16"/>
      <w:szCs w:val="20"/>
    </w:rPr>
  </w:style>
  <w:style w:type="character" w:customStyle="1" w:styleId="559">
    <w:name w:val="正文文字缩进 3 Char Char"/>
    <w:autoRedefine/>
    <w:qFormat/>
    <w:uiPriority w:val="0"/>
    <w:rPr>
      <w:rFonts w:eastAsia="宋体"/>
      <w:color w:val="000000"/>
      <w:kern w:val="2"/>
      <w:sz w:val="24"/>
      <w:szCs w:val="28"/>
      <w:lang w:val="en-US" w:eastAsia="zh-CN" w:bidi="ar-SA"/>
    </w:rPr>
  </w:style>
  <w:style w:type="character" w:customStyle="1" w:styleId="560">
    <w:name w:val="Char Char22"/>
    <w:autoRedefine/>
    <w:qFormat/>
    <w:uiPriority w:val="0"/>
    <w:rPr>
      <w:rFonts w:eastAsia="宋体"/>
      <w:kern w:val="2"/>
      <w:sz w:val="18"/>
      <w:lang w:val="en-US" w:eastAsia="zh-CN" w:bidi="ar-SA"/>
    </w:rPr>
  </w:style>
  <w:style w:type="character" w:customStyle="1" w:styleId="561">
    <w:name w:val="明显参考1"/>
    <w:autoRedefine/>
    <w:qFormat/>
    <w:uiPriority w:val="32"/>
    <w:rPr>
      <w:b/>
      <w:sz w:val="24"/>
      <w:u w:val="single"/>
    </w:rPr>
  </w:style>
  <w:style w:type="character" w:customStyle="1" w:styleId="562">
    <w:name w:val="标题 2 Char Char Char Char Char1 Char Char Char"/>
    <w:qFormat/>
    <w:uiPriority w:val="0"/>
    <w:rPr>
      <w:rFonts w:ascii="Arial" w:hAnsi="Arial" w:eastAsia="黑体"/>
      <w:b/>
      <w:bCs/>
      <w:sz w:val="32"/>
      <w:szCs w:val="32"/>
    </w:rPr>
  </w:style>
  <w:style w:type="character" w:customStyle="1" w:styleId="563">
    <w:name w:val="表头 Char1"/>
    <w:autoRedefine/>
    <w:qFormat/>
    <w:uiPriority w:val="0"/>
    <w:rPr>
      <w:rFonts w:ascii="Times New Roman" w:hAnsi="Times New Roman" w:eastAsia="黑体"/>
      <w:sz w:val="24"/>
      <w:szCs w:val="24"/>
    </w:rPr>
  </w:style>
  <w:style w:type="character" w:customStyle="1" w:styleId="564">
    <w:name w:val="表文字 Char Char"/>
    <w:qFormat/>
    <w:uiPriority w:val="0"/>
    <w:rPr>
      <w:rFonts w:eastAsia="宋体"/>
      <w:sz w:val="21"/>
      <w:szCs w:val="21"/>
      <w:lang w:val="en-US" w:eastAsia="zh-CN" w:bidi="ar-SA"/>
    </w:rPr>
  </w:style>
  <w:style w:type="character" w:customStyle="1" w:styleId="565">
    <w:name w:val="hb4 Char1"/>
    <w:link w:val="566"/>
    <w:qFormat/>
    <w:uiPriority w:val="0"/>
    <w:rPr>
      <w:rFonts w:ascii="宋体" w:hAnsi="宋体"/>
      <w:b/>
      <w:kern w:val="2"/>
      <w:sz w:val="24"/>
      <w:szCs w:val="24"/>
    </w:rPr>
  </w:style>
  <w:style w:type="paragraph" w:customStyle="1" w:styleId="566">
    <w:name w:val="hb4"/>
    <w:basedOn w:val="6"/>
    <w:link w:val="565"/>
    <w:qFormat/>
    <w:uiPriority w:val="0"/>
    <w:pPr>
      <w:keepLines w:val="0"/>
      <w:widowControl/>
      <w:topLinePunct/>
      <w:spacing w:beforeLines="100" w:afterLines="100" w:line="300" w:lineRule="exact"/>
      <w:jc w:val="left"/>
    </w:pPr>
    <w:rPr>
      <w:rFonts w:ascii="宋体" w:hAnsi="宋体" w:eastAsia="宋体"/>
      <w:bCs w:val="0"/>
      <w:sz w:val="24"/>
      <w:szCs w:val="24"/>
    </w:rPr>
  </w:style>
  <w:style w:type="character" w:customStyle="1" w:styleId="567">
    <w:name w:val="t10"/>
    <w:qFormat/>
    <w:uiPriority w:val="0"/>
  </w:style>
  <w:style w:type="character" w:customStyle="1" w:styleId="568">
    <w:name w:val="项标题(1) Char1"/>
    <w:autoRedefine/>
    <w:qFormat/>
    <w:uiPriority w:val="0"/>
    <w:rPr>
      <w:rFonts w:eastAsia="宋体"/>
      <w:b/>
      <w:bCs/>
      <w:kern w:val="2"/>
      <w:sz w:val="24"/>
      <w:szCs w:val="24"/>
      <w:lang w:val="en-US" w:eastAsia="zh-CN" w:bidi="ar-SA"/>
    </w:rPr>
  </w:style>
  <w:style w:type="character" w:customStyle="1" w:styleId="569">
    <w:name w:val="Char Char231"/>
    <w:autoRedefine/>
    <w:qFormat/>
    <w:uiPriority w:val="0"/>
    <w:rPr>
      <w:rFonts w:eastAsia="汉鼎简书宋"/>
      <w:bCs/>
      <w:kern w:val="32"/>
      <w:sz w:val="24"/>
      <w:szCs w:val="24"/>
      <w:lang w:val="en-US" w:eastAsia="zh-CN" w:bidi="ar-SA"/>
    </w:rPr>
  </w:style>
  <w:style w:type="character" w:customStyle="1" w:styleId="570">
    <w:name w:val="节，一 Char3"/>
    <w:autoRedefine/>
    <w:qFormat/>
    <w:uiPriority w:val="0"/>
    <w:rPr>
      <w:rFonts w:ascii="Cambria" w:hAnsi="Cambria" w:eastAsia="宋体"/>
      <w:b/>
      <w:bCs/>
      <w:kern w:val="2"/>
      <w:sz w:val="32"/>
      <w:szCs w:val="32"/>
      <w:lang w:val="en-US" w:eastAsia="zh-CN" w:bidi="ar-SA"/>
    </w:rPr>
  </w:style>
  <w:style w:type="character" w:customStyle="1" w:styleId="571">
    <w:name w:val="text_edit editable-title"/>
    <w:autoRedefine/>
    <w:qFormat/>
    <w:uiPriority w:val="0"/>
  </w:style>
  <w:style w:type="character" w:customStyle="1" w:styleId="572">
    <w:name w:val="准 正文 左侧:  2 字符 + 首行缩进:  2 字符 Char"/>
    <w:autoRedefine/>
    <w:qFormat/>
    <w:uiPriority w:val="0"/>
    <w:rPr>
      <w:rFonts w:ascii="Times New Roman" w:hAnsi="Times New Roman" w:eastAsia="宋体" w:cs="Times New Roman"/>
      <w:kern w:val="0"/>
      <w:sz w:val="24"/>
      <w:szCs w:val="20"/>
    </w:rPr>
  </w:style>
  <w:style w:type="character" w:customStyle="1" w:styleId="573">
    <w:name w:val="样式 宋体 小四 行距: 1.5 倍行距 Char"/>
    <w:link w:val="574"/>
    <w:autoRedefine/>
    <w:qFormat/>
    <w:uiPriority w:val="0"/>
    <w:rPr>
      <w:rFonts w:ascii="宋体" w:hAnsi="宋体"/>
      <w:sz w:val="28"/>
    </w:rPr>
  </w:style>
  <w:style w:type="paragraph" w:customStyle="1" w:styleId="574">
    <w:name w:val="样式 宋体 小四 行距: 1.5 倍行距"/>
    <w:basedOn w:val="1"/>
    <w:link w:val="573"/>
    <w:autoRedefine/>
    <w:qFormat/>
    <w:uiPriority w:val="0"/>
    <w:pPr>
      <w:widowControl/>
      <w:spacing w:line="500" w:lineRule="atLeast"/>
      <w:ind w:firstLine="200" w:firstLineChars="200"/>
      <w:jc w:val="left"/>
    </w:pPr>
    <w:rPr>
      <w:rFonts w:ascii="宋体" w:hAnsi="宋体"/>
      <w:kern w:val="0"/>
      <w:sz w:val="28"/>
      <w:szCs w:val="20"/>
    </w:rPr>
  </w:style>
  <w:style w:type="character" w:customStyle="1" w:styleId="575">
    <w:name w:val="脚注文本 Char2"/>
    <w:link w:val="57"/>
    <w:autoRedefine/>
    <w:qFormat/>
    <w:uiPriority w:val="0"/>
    <w:rPr>
      <w:sz w:val="24"/>
      <w:szCs w:val="24"/>
    </w:rPr>
  </w:style>
  <w:style w:type="character" w:customStyle="1" w:styleId="576">
    <w:name w:val="正文28磅 Char"/>
    <w:link w:val="577"/>
    <w:autoRedefine/>
    <w:qFormat/>
    <w:uiPriority w:val="0"/>
    <w:rPr>
      <w:kern w:val="28"/>
      <w:sz w:val="28"/>
      <w:lang w:val="zh-CN"/>
    </w:rPr>
  </w:style>
  <w:style w:type="paragraph" w:customStyle="1" w:styleId="577">
    <w:name w:val="正文28磅"/>
    <w:basedOn w:val="1"/>
    <w:link w:val="576"/>
    <w:autoRedefine/>
    <w:qFormat/>
    <w:uiPriority w:val="0"/>
    <w:pPr>
      <w:widowControl/>
      <w:spacing w:line="560" w:lineRule="exact"/>
      <w:ind w:firstLine="200" w:firstLineChars="200"/>
      <w:jc w:val="left"/>
    </w:pPr>
    <w:rPr>
      <w:rFonts w:ascii="Calibri" w:hAnsi="Calibri"/>
      <w:kern w:val="28"/>
      <w:sz w:val="28"/>
      <w:szCs w:val="20"/>
      <w:lang w:val="zh-CN"/>
    </w:rPr>
  </w:style>
  <w:style w:type="character" w:customStyle="1" w:styleId="578">
    <w:name w:val="Char Char15"/>
    <w:autoRedefine/>
    <w:qFormat/>
    <w:uiPriority w:val="0"/>
    <w:rPr>
      <w:rFonts w:eastAsia="宋体"/>
      <w:kern w:val="2"/>
      <w:sz w:val="24"/>
      <w:szCs w:val="24"/>
      <w:lang w:val="en-US" w:eastAsia="zh-CN" w:bidi="ar-SA"/>
    </w:rPr>
  </w:style>
  <w:style w:type="character" w:customStyle="1" w:styleId="579">
    <w:name w:val="标题 Char2"/>
    <w:qFormat/>
    <w:uiPriority w:val="0"/>
    <w:rPr>
      <w:rFonts w:ascii="Cambria" w:hAnsi="Cambria" w:eastAsia="宋体" w:cs="Times New Roman"/>
      <w:b/>
      <w:bCs/>
      <w:sz w:val="32"/>
      <w:szCs w:val="32"/>
    </w:rPr>
  </w:style>
  <w:style w:type="character" w:customStyle="1" w:styleId="580">
    <w:name w:val="表号 Char Char"/>
    <w:qFormat/>
    <w:uiPriority w:val="0"/>
    <w:rPr>
      <w:rFonts w:ascii="宋体" w:hAnsi="宋体" w:eastAsia="宋体"/>
      <w:sz w:val="24"/>
      <w:szCs w:val="24"/>
      <w:lang w:val="en-US" w:eastAsia="zh-CN" w:bidi="ar-SA"/>
    </w:rPr>
  </w:style>
  <w:style w:type="character" w:customStyle="1" w:styleId="581">
    <w:name w:val="link_c time_num"/>
    <w:autoRedefine/>
    <w:qFormat/>
    <w:uiPriority w:val="0"/>
  </w:style>
  <w:style w:type="character" w:customStyle="1" w:styleId="582">
    <w:name w:val="hb2 Char1"/>
    <w:autoRedefine/>
    <w:qFormat/>
    <w:uiPriority w:val="0"/>
    <w:rPr>
      <w:rFonts w:ascii="宋体" w:hAnsi="宋体" w:eastAsia="宋体" w:cs="Arial"/>
      <w:b/>
      <w:bCs/>
      <w:sz w:val="28"/>
      <w:szCs w:val="28"/>
      <w:lang w:val="en-US" w:eastAsia="zh-CN" w:bidi="ar-SA"/>
    </w:rPr>
  </w:style>
  <w:style w:type="character" w:customStyle="1" w:styleId="583">
    <w:name w:val="style11"/>
    <w:qFormat/>
    <w:uiPriority w:val="0"/>
    <w:rPr>
      <w:color w:val="FF0000"/>
    </w:rPr>
  </w:style>
  <w:style w:type="character" w:customStyle="1" w:styleId="584">
    <w:name w:val="latinauthor1"/>
    <w:autoRedefine/>
    <w:qFormat/>
    <w:uiPriority w:val="0"/>
  </w:style>
  <w:style w:type="character" w:customStyle="1" w:styleId="585">
    <w:name w:val="z-窗体底端 Char"/>
    <w:link w:val="586"/>
    <w:qFormat/>
    <w:uiPriority w:val="0"/>
    <w:rPr>
      <w:rFonts w:ascii="Arial"/>
      <w:vanish/>
      <w:sz w:val="16"/>
    </w:rPr>
  </w:style>
  <w:style w:type="paragraph" w:customStyle="1" w:styleId="586">
    <w:name w:val="z-窗体底端2"/>
    <w:basedOn w:val="1"/>
    <w:link w:val="585"/>
    <w:autoRedefine/>
    <w:qFormat/>
    <w:uiPriority w:val="0"/>
    <w:pPr>
      <w:widowControl/>
      <w:pBdr>
        <w:top w:val="single" w:color="auto" w:sz="6" w:space="1"/>
      </w:pBdr>
      <w:jc w:val="center"/>
    </w:pPr>
    <w:rPr>
      <w:rFonts w:ascii="Arial" w:hAnsi="Calibri"/>
      <w:vanish/>
      <w:kern w:val="0"/>
      <w:sz w:val="16"/>
      <w:szCs w:val="20"/>
    </w:rPr>
  </w:style>
  <w:style w:type="character" w:customStyle="1" w:styleId="587">
    <w:name w:val="js"/>
    <w:qFormat/>
    <w:uiPriority w:val="0"/>
  </w:style>
  <w:style w:type="character" w:customStyle="1" w:styleId="588">
    <w:name w:val="图号 Char"/>
    <w:autoRedefine/>
    <w:qFormat/>
    <w:uiPriority w:val="0"/>
    <w:rPr>
      <w:rFonts w:eastAsia="宋体"/>
      <w:b/>
      <w:bCs/>
      <w:kern w:val="32"/>
      <w:sz w:val="24"/>
      <w:szCs w:val="24"/>
      <w:lang w:val="en-US" w:eastAsia="zh-CN" w:bidi="ar-SA"/>
    </w:rPr>
  </w:style>
  <w:style w:type="character" w:customStyle="1" w:styleId="589">
    <w:name w:val="於正文 Char"/>
    <w:link w:val="590"/>
    <w:autoRedefine/>
    <w:qFormat/>
    <w:uiPriority w:val="0"/>
    <w:rPr>
      <w:rFonts w:ascii="仿宋_GB2312" w:hAnsi="仿宋_GB2312" w:eastAsia="仿宋_GB2312"/>
      <w:color w:val="0000FF"/>
      <w:sz w:val="30"/>
      <w:szCs w:val="24"/>
    </w:rPr>
  </w:style>
  <w:style w:type="paragraph" w:customStyle="1" w:styleId="590">
    <w:name w:val="於正文"/>
    <w:basedOn w:val="1"/>
    <w:link w:val="589"/>
    <w:qFormat/>
    <w:uiPriority w:val="0"/>
    <w:pPr>
      <w:widowControl/>
      <w:spacing w:line="360" w:lineRule="auto"/>
      <w:ind w:firstLine="200" w:firstLineChars="200"/>
      <w:jc w:val="left"/>
    </w:pPr>
    <w:rPr>
      <w:rFonts w:ascii="仿宋_GB2312" w:hAnsi="仿宋_GB2312" w:eastAsia="仿宋_GB2312"/>
      <w:color w:val="0000FF"/>
      <w:kern w:val="0"/>
      <w:sz w:val="30"/>
    </w:rPr>
  </w:style>
  <w:style w:type="character" w:customStyle="1" w:styleId="591">
    <w:name w:val="样式 正文首行缩进 + 首行缩进:  2 字符1 Char"/>
    <w:link w:val="128"/>
    <w:qFormat/>
    <w:uiPriority w:val="0"/>
    <w:rPr>
      <w:rFonts w:ascii="Times New Roman" w:hAnsi="Times New Roman"/>
      <w:kern w:val="2"/>
      <w:sz w:val="24"/>
      <w:szCs w:val="24"/>
    </w:rPr>
  </w:style>
  <w:style w:type="character" w:customStyle="1" w:styleId="592">
    <w:name w:val="Char Char18"/>
    <w:autoRedefine/>
    <w:qFormat/>
    <w:uiPriority w:val="0"/>
    <w:rPr>
      <w:rFonts w:eastAsia="宋体"/>
      <w:kern w:val="2"/>
      <w:sz w:val="28"/>
      <w:szCs w:val="28"/>
      <w:lang w:val="en-US" w:eastAsia="zh-CN" w:bidi="ar-SA"/>
    </w:rPr>
  </w:style>
  <w:style w:type="character" w:customStyle="1" w:styleId="593">
    <w:name w:val="页脚 Char2"/>
    <w:semiHidden/>
    <w:qFormat/>
    <w:uiPriority w:val="99"/>
    <w:rPr>
      <w:rFonts w:ascii="Times New Roman" w:hAnsi="Times New Roman" w:eastAsia="宋体" w:cs="Times New Roman"/>
      <w:sz w:val="18"/>
      <w:szCs w:val="18"/>
    </w:rPr>
  </w:style>
  <w:style w:type="character" w:customStyle="1" w:styleId="594">
    <w:name w:val="表号 Char2"/>
    <w:qFormat/>
    <w:uiPriority w:val="0"/>
    <w:rPr>
      <w:rFonts w:ascii="宋体" w:hAnsi="宋体" w:eastAsia="宋体"/>
      <w:sz w:val="24"/>
      <w:szCs w:val="24"/>
      <w:lang w:val="en-US" w:eastAsia="zh-CN" w:bidi="ar-SA"/>
    </w:rPr>
  </w:style>
  <w:style w:type="character" w:customStyle="1" w:styleId="595">
    <w:name w:val="正文首行缩进 2 Char1"/>
    <w:link w:val="74"/>
    <w:autoRedefine/>
    <w:qFormat/>
    <w:uiPriority w:val="0"/>
    <w:rPr>
      <w:sz w:val="24"/>
      <w:szCs w:val="24"/>
    </w:rPr>
  </w:style>
  <w:style w:type="character" w:customStyle="1" w:styleId="596">
    <w:name w:val="正文文字缩进 3 Char Char1"/>
    <w:autoRedefine/>
    <w:qFormat/>
    <w:uiPriority w:val="0"/>
    <w:rPr>
      <w:rFonts w:eastAsia="宋体"/>
      <w:kern w:val="2"/>
      <w:sz w:val="16"/>
      <w:lang w:val="en-US" w:eastAsia="zh-CN" w:bidi="ar-SA"/>
    </w:rPr>
  </w:style>
  <w:style w:type="character" w:customStyle="1" w:styleId="597">
    <w:name w:val="马环境评价正文 Char Char"/>
    <w:link w:val="598"/>
    <w:autoRedefine/>
    <w:qFormat/>
    <w:uiPriority w:val="0"/>
    <w:rPr>
      <w:sz w:val="24"/>
      <w:szCs w:val="24"/>
    </w:rPr>
  </w:style>
  <w:style w:type="paragraph" w:customStyle="1" w:styleId="598">
    <w:name w:val="马环境评价正文"/>
    <w:basedOn w:val="1"/>
    <w:link w:val="597"/>
    <w:qFormat/>
    <w:uiPriority w:val="0"/>
    <w:pPr>
      <w:widowControl/>
      <w:adjustRightInd w:val="0"/>
      <w:spacing w:line="360" w:lineRule="auto"/>
      <w:ind w:firstLine="200" w:firstLineChars="200"/>
      <w:jc w:val="left"/>
    </w:pPr>
    <w:rPr>
      <w:rFonts w:ascii="Calibri" w:hAnsi="Calibri"/>
      <w:kern w:val="0"/>
      <w:sz w:val="24"/>
    </w:rPr>
  </w:style>
  <w:style w:type="character" w:customStyle="1" w:styleId="599">
    <w:name w:val="zw1"/>
    <w:autoRedefine/>
    <w:qFormat/>
    <w:uiPriority w:val="0"/>
    <w:rPr>
      <w:color w:val="302F37"/>
      <w:sz w:val="21"/>
      <w:szCs w:val="21"/>
    </w:rPr>
  </w:style>
  <w:style w:type="character" w:customStyle="1" w:styleId="600">
    <w:name w:val="Char Char241"/>
    <w:qFormat/>
    <w:uiPriority w:val="0"/>
    <w:rPr>
      <w:rFonts w:ascii="Arial" w:hAnsi="Arial" w:eastAsia="黑体"/>
      <w:b/>
      <w:bCs/>
      <w:sz w:val="24"/>
      <w:szCs w:val="24"/>
      <w:lang w:val="en-US" w:eastAsia="zh-CN" w:bidi="ar-SA"/>
    </w:rPr>
  </w:style>
  <w:style w:type="character" w:customStyle="1" w:styleId="601">
    <w:name w:val="Char Char11"/>
    <w:autoRedefine/>
    <w:qFormat/>
    <w:uiPriority w:val="0"/>
    <w:rPr>
      <w:rFonts w:ascii="Calibri" w:hAnsi="Calibri"/>
      <w:kern w:val="2"/>
      <w:sz w:val="18"/>
      <w:szCs w:val="18"/>
    </w:rPr>
  </w:style>
  <w:style w:type="character" w:customStyle="1" w:styleId="602">
    <w:name w:val="ft-hanggao1"/>
    <w:autoRedefine/>
    <w:qFormat/>
    <w:uiPriority w:val="0"/>
    <w:rPr>
      <w:color w:val="000000"/>
      <w:sz w:val="21"/>
      <w:szCs w:val="21"/>
    </w:rPr>
  </w:style>
  <w:style w:type="character" w:customStyle="1" w:styleId="603">
    <w:name w:val="Char Char4"/>
    <w:qFormat/>
    <w:uiPriority w:val="0"/>
    <w:rPr>
      <w:rFonts w:ascii="Arial" w:hAnsi="Arial" w:eastAsia="黑体"/>
      <w:b/>
      <w:bCs/>
      <w:sz w:val="28"/>
      <w:szCs w:val="28"/>
      <w:lang w:val="en-US" w:eastAsia="zh-CN" w:bidi="ar-SA"/>
    </w:rPr>
  </w:style>
  <w:style w:type="character" w:customStyle="1" w:styleId="604">
    <w:name w:val="样式3 Char"/>
    <w:link w:val="512"/>
    <w:qFormat/>
    <w:uiPriority w:val="0"/>
    <w:rPr>
      <w:rFonts w:ascii="宋体" w:hAnsi="宋体"/>
      <w:kern w:val="2"/>
      <w:sz w:val="18"/>
      <w:szCs w:val="18"/>
    </w:rPr>
  </w:style>
  <w:style w:type="character" w:customStyle="1" w:styleId="605">
    <w:name w:val="於正文 Char Char Char"/>
    <w:link w:val="606"/>
    <w:qFormat/>
    <w:uiPriority w:val="0"/>
    <w:rPr>
      <w:rFonts w:ascii="仿宋_GB2312" w:hAnsi="仿宋_GB2312" w:eastAsia="仿宋_GB2312"/>
      <w:color w:val="0000FF"/>
      <w:sz w:val="30"/>
      <w:szCs w:val="24"/>
    </w:rPr>
  </w:style>
  <w:style w:type="paragraph" w:customStyle="1" w:styleId="606">
    <w:name w:val="於正文 Char Char"/>
    <w:basedOn w:val="1"/>
    <w:link w:val="605"/>
    <w:qFormat/>
    <w:uiPriority w:val="0"/>
    <w:pPr>
      <w:widowControl/>
      <w:spacing w:line="360" w:lineRule="auto"/>
      <w:ind w:firstLine="200" w:firstLineChars="200"/>
      <w:jc w:val="left"/>
    </w:pPr>
    <w:rPr>
      <w:rFonts w:ascii="仿宋_GB2312" w:hAnsi="仿宋_GB2312" w:eastAsia="仿宋_GB2312"/>
      <w:color w:val="0000FF"/>
      <w:kern w:val="0"/>
      <w:sz w:val="30"/>
    </w:rPr>
  </w:style>
  <w:style w:type="character" w:customStyle="1" w:styleId="607">
    <w:name w:val="level Char"/>
    <w:qFormat/>
    <w:uiPriority w:val="0"/>
    <w:rPr>
      <w:rFonts w:eastAsia="宋体"/>
      <w:b/>
      <w:bCs/>
      <w:kern w:val="2"/>
      <w:sz w:val="32"/>
      <w:szCs w:val="32"/>
      <w:lang w:val="en-US" w:eastAsia="zh-CN" w:bidi="ar-SA"/>
    </w:rPr>
  </w:style>
  <w:style w:type="character" w:customStyle="1" w:styleId="608">
    <w:name w:val="hb1 Char2"/>
    <w:autoRedefine/>
    <w:qFormat/>
    <w:uiPriority w:val="0"/>
    <w:rPr>
      <w:rFonts w:ascii="宋体" w:hAnsi="宋体" w:eastAsia="宋体"/>
      <w:b/>
      <w:kern w:val="44"/>
      <w:sz w:val="44"/>
      <w:lang w:val="en-US" w:eastAsia="zh-CN" w:bidi="ar-SA"/>
    </w:rPr>
  </w:style>
  <w:style w:type="character" w:customStyle="1" w:styleId="609">
    <w:name w:val="Document Map Char"/>
    <w:qFormat/>
    <w:uiPriority w:val="0"/>
    <w:rPr>
      <w:rFonts w:ascii="宋体" w:hAnsi="宋体" w:eastAsia="宋体" w:cs="宋体"/>
      <w:kern w:val="2"/>
      <w:sz w:val="21"/>
      <w:szCs w:val="24"/>
      <w:lang w:val="en-US" w:eastAsia="zh-CN" w:bidi="ar-SA"/>
    </w:rPr>
  </w:style>
  <w:style w:type="character" w:customStyle="1" w:styleId="610">
    <w:name w:val="MTConvertedEquation"/>
    <w:qFormat/>
    <w:uiPriority w:val="0"/>
    <w:rPr>
      <w:position w:val="-46"/>
    </w:rPr>
  </w:style>
  <w:style w:type="character" w:customStyle="1" w:styleId="611">
    <w:name w:val="不明显强调2"/>
    <w:autoRedefine/>
    <w:qFormat/>
    <w:uiPriority w:val="19"/>
    <w:rPr>
      <w:i/>
      <w:color w:val="5A5A5A"/>
    </w:rPr>
  </w:style>
  <w:style w:type="character" w:styleId="612">
    <w:name w:val="Placeholder Text"/>
    <w:semiHidden/>
    <w:qFormat/>
    <w:uiPriority w:val="0"/>
    <w:rPr>
      <w:color w:val="808080"/>
    </w:rPr>
  </w:style>
  <w:style w:type="character" w:customStyle="1" w:styleId="613">
    <w:name w:val="文字 Char"/>
    <w:link w:val="614"/>
    <w:autoRedefine/>
    <w:qFormat/>
    <w:uiPriority w:val="0"/>
    <w:rPr>
      <w:rFonts w:eastAsia="仿宋_GB2312"/>
      <w:bCs/>
      <w:sz w:val="18"/>
      <w:szCs w:val="24"/>
    </w:rPr>
  </w:style>
  <w:style w:type="paragraph" w:customStyle="1" w:styleId="614">
    <w:name w:val="文字"/>
    <w:basedOn w:val="1"/>
    <w:link w:val="613"/>
    <w:autoRedefine/>
    <w:qFormat/>
    <w:uiPriority w:val="0"/>
    <w:pPr>
      <w:widowControl/>
      <w:tabs>
        <w:tab w:val="left" w:pos="3780"/>
      </w:tabs>
      <w:ind w:firstLine="360" w:firstLineChars="200"/>
      <w:jc w:val="left"/>
    </w:pPr>
    <w:rPr>
      <w:rFonts w:ascii="Calibri" w:hAnsi="Calibri" w:eastAsia="仿宋_GB2312"/>
      <w:bCs/>
      <w:kern w:val="0"/>
      <w:sz w:val="18"/>
    </w:rPr>
  </w:style>
  <w:style w:type="character" w:customStyle="1" w:styleId="615">
    <w:name w:val="hp2 Char"/>
    <w:qFormat/>
    <w:uiPriority w:val="0"/>
    <w:rPr>
      <w:rFonts w:ascii="宋体" w:hAnsi="宋体" w:eastAsia="宋体" w:cs="宋体"/>
      <w:b/>
      <w:bCs/>
      <w:sz w:val="32"/>
      <w:szCs w:val="32"/>
      <w:lang w:val="en-US" w:eastAsia="zh-CN" w:bidi="ar-SA"/>
    </w:rPr>
  </w:style>
  <w:style w:type="character" w:customStyle="1" w:styleId="616">
    <w:name w:val="图表标题 Char"/>
    <w:link w:val="617"/>
    <w:autoRedefine/>
    <w:qFormat/>
    <w:uiPriority w:val="0"/>
    <w:rPr>
      <w:rFonts w:eastAsia="仿宋_GB2312"/>
      <w:b/>
      <w:sz w:val="28"/>
      <w:szCs w:val="28"/>
    </w:rPr>
  </w:style>
  <w:style w:type="paragraph" w:customStyle="1" w:styleId="617">
    <w:name w:val="图表标题"/>
    <w:basedOn w:val="1"/>
    <w:link w:val="616"/>
    <w:qFormat/>
    <w:uiPriority w:val="0"/>
    <w:pPr>
      <w:widowControl/>
      <w:spacing w:line="360" w:lineRule="auto"/>
      <w:jc w:val="center"/>
    </w:pPr>
    <w:rPr>
      <w:rFonts w:ascii="Calibri" w:hAnsi="Calibri" w:eastAsia="仿宋_GB2312"/>
      <w:b/>
      <w:kern w:val="0"/>
      <w:sz w:val="28"/>
      <w:szCs w:val="28"/>
    </w:rPr>
  </w:style>
  <w:style w:type="character" w:customStyle="1" w:styleId="618">
    <w:name w:val="纯文本 Char3"/>
    <w:semiHidden/>
    <w:qFormat/>
    <w:uiPriority w:val="99"/>
    <w:rPr>
      <w:rFonts w:ascii="宋体" w:hAnsi="Courier New" w:eastAsia="宋体" w:cs="Courier New"/>
      <w:szCs w:val="21"/>
    </w:rPr>
  </w:style>
  <w:style w:type="character" w:customStyle="1" w:styleId="619">
    <w:name w:val="g Char Char"/>
    <w:qFormat/>
    <w:uiPriority w:val="0"/>
    <w:rPr>
      <w:rFonts w:eastAsia="宋体"/>
      <w:kern w:val="2"/>
      <w:sz w:val="18"/>
      <w:szCs w:val="18"/>
      <w:lang w:val="en-US" w:eastAsia="zh-CN" w:bidi="ar-SA"/>
    </w:rPr>
  </w:style>
  <w:style w:type="character" w:customStyle="1" w:styleId="620">
    <w:name w:val="图表名 Char"/>
    <w:link w:val="621"/>
    <w:autoRedefine/>
    <w:qFormat/>
    <w:uiPriority w:val="0"/>
    <w:rPr>
      <w:rFonts w:ascii="宋体" w:hAnsi="Courier New" w:cs="Courier New"/>
      <w:bCs/>
      <w:szCs w:val="28"/>
    </w:rPr>
  </w:style>
  <w:style w:type="paragraph" w:customStyle="1" w:styleId="621">
    <w:name w:val="图表名"/>
    <w:basedOn w:val="1"/>
    <w:link w:val="620"/>
    <w:autoRedefine/>
    <w:qFormat/>
    <w:uiPriority w:val="0"/>
    <w:pPr>
      <w:widowControl/>
      <w:adjustRightInd w:val="0"/>
      <w:snapToGrid w:val="0"/>
      <w:spacing w:beforeLines="30"/>
      <w:jc w:val="center"/>
    </w:pPr>
    <w:rPr>
      <w:rFonts w:ascii="宋体" w:hAnsi="Courier New" w:cs="Courier New"/>
      <w:bCs/>
      <w:kern w:val="0"/>
      <w:sz w:val="20"/>
      <w:szCs w:val="28"/>
    </w:rPr>
  </w:style>
  <w:style w:type="character" w:customStyle="1" w:styleId="622">
    <w:name w:val="Char Char141"/>
    <w:autoRedefine/>
    <w:qFormat/>
    <w:uiPriority w:val="0"/>
    <w:rPr>
      <w:rFonts w:ascii="Cambria" w:hAnsi="Cambria" w:eastAsia="宋体" w:cs="Times New Roman"/>
      <w:b/>
      <w:bCs/>
      <w:color w:val="365F91"/>
      <w:sz w:val="28"/>
      <w:szCs w:val="28"/>
    </w:rPr>
  </w:style>
  <w:style w:type="character" w:customStyle="1" w:styleId="623">
    <w:name w:val="节标题 1.1 Char"/>
    <w:autoRedefine/>
    <w:qFormat/>
    <w:uiPriority w:val="0"/>
    <w:rPr>
      <w:rFonts w:ascii="Arial" w:hAnsi="Arial" w:eastAsia="黑体"/>
      <w:b/>
      <w:bCs/>
      <w:sz w:val="32"/>
      <w:szCs w:val="32"/>
      <w:lang w:val="en-US" w:eastAsia="zh-CN" w:bidi="ar-SA"/>
    </w:rPr>
  </w:style>
  <w:style w:type="character" w:customStyle="1" w:styleId="624">
    <w:name w:val="表体 Char"/>
    <w:link w:val="187"/>
    <w:qFormat/>
    <w:uiPriority w:val="0"/>
    <w:rPr>
      <w:rFonts w:ascii="宋体" w:hAnsi="Times New Roman"/>
      <w:kern w:val="2"/>
      <w:sz w:val="18"/>
      <w:szCs w:val="24"/>
    </w:rPr>
  </w:style>
  <w:style w:type="character" w:customStyle="1" w:styleId="625">
    <w:name w:val="main"/>
    <w:autoRedefine/>
    <w:qFormat/>
    <w:uiPriority w:val="0"/>
  </w:style>
  <w:style w:type="character" w:customStyle="1" w:styleId="626">
    <w:name w:val="明显强调11"/>
    <w:qFormat/>
    <w:uiPriority w:val="0"/>
    <w:rPr>
      <w:b/>
      <w:bCs/>
      <w:i/>
      <w:iCs/>
      <w:color w:val="4F81BD"/>
    </w:rPr>
  </w:style>
  <w:style w:type="character" w:customStyle="1" w:styleId="627">
    <w:name w:val="纯文本 Char Char Char Char Char Char Char1"/>
    <w:qFormat/>
    <w:uiPriority w:val="0"/>
    <w:rPr>
      <w:rFonts w:ascii="宋体" w:hAnsi="Courier New" w:cs="Courier New"/>
      <w:kern w:val="2"/>
      <w:sz w:val="21"/>
      <w:szCs w:val="21"/>
    </w:rPr>
  </w:style>
  <w:style w:type="character" w:customStyle="1" w:styleId="628">
    <w:name w:val="Char Char131"/>
    <w:qFormat/>
    <w:uiPriority w:val="0"/>
    <w:rPr>
      <w:rFonts w:eastAsia="汉鼎简书宋"/>
      <w:sz w:val="18"/>
      <w:szCs w:val="18"/>
      <w:lang w:val="en-US" w:eastAsia="zh-CN" w:bidi="ar-SA"/>
    </w:rPr>
  </w:style>
  <w:style w:type="character" w:customStyle="1" w:styleId="629">
    <w:name w:val="Char Char151"/>
    <w:qFormat/>
    <w:uiPriority w:val="0"/>
    <w:rPr>
      <w:rFonts w:eastAsia="宋体"/>
      <w:kern w:val="2"/>
      <w:sz w:val="24"/>
      <w:szCs w:val="24"/>
      <w:lang w:val="en-US" w:eastAsia="zh-CN" w:bidi="ar-SA"/>
    </w:rPr>
  </w:style>
  <w:style w:type="character" w:customStyle="1" w:styleId="630">
    <w:name w:val="准 正文 左侧:  2 字符 + 首行缩进:  2 字符 Char Char"/>
    <w:link w:val="631"/>
    <w:autoRedefine/>
    <w:qFormat/>
    <w:uiPriority w:val="0"/>
    <w:rPr>
      <w:sz w:val="24"/>
    </w:rPr>
  </w:style>
  <w:style w:type="paragraph" w:customStyle="1" w:styleId="631">
    <w:name w:val="准 正文 左侧:  2 字符 + 首行缩进:  2 字符"/>
    <w:basedOn w:val="1"/>
    <w:link w:val="630"/>
    <w:autoRedefine/>
    <w:qFormat/>
    <w:uiPriority w:val="0"/>
    <w:pPr>
      <w:widowControl/>
      <w:spacing w:line="360" w:lineRule="auto"/>
      <w:ind w:firstLine="480" w:firstLineChars="200"/>
      <w:jc w:val="left"/>
    </w:pPr>
    <w:rPr>
      <w:rFonts w:ascii="Calibri" w:hAnsi="Calibri"/>
      <w:kern w:val="0"/>
      <w:sz w:val="24"/>
      <w:szCs w:val="20"/>
    </w:rPr>
  </w:style>
  <w:style w:type="character" w:customStyle="1" w:styleId="632">
    <w:name w:val="1表内容 Char"/>
    <w:link w:val="232"/>
    <w:autoRedefine/>
    <w:qFormat/>
    <w:uiPriority w:val="0"/>
    <w:rPr>
      <w:rFonts w:ascii="Times New Roman" w:hAnsi="Times New Roman"/>
      <w:kern w:val="2"/>
      <w:sz w:val="21"/>
      <w:szCs w:val="24"/>
    </w:rPr>
  </w:style>
  <w:style w:type="character" w:customStyle="1" w:styleId="633">
    <w:name w:val="样式4 Char Char"/>
    <w:autoRedefine/>
    <w:qFormat/>
    <w:uiPriority w:val="0"/>
    <w:rPr>
      <w:rFonts w:ascii="仿宋_GB2312" w:hAnsi="Times New Roman" w:eastAsia="仿宋_GB2312" w:cs="Times New Roman"/>
      <w:sz w:val="28"/>
      <w:szCs w:val="28"/>
    </w:rPr>
  </w:style>
  <w:style w:type="character" w:customStyle="1" w:styleId="634">
    <w:name w:val="font51"/>
    <w:basedOn w:val="83"/>
    <w:autoRedefine/>
    <w:qFormat/>
    <w:uiPriority w:val="0"/>
    <w:rPr>
      <w:rFonts w:ascii="Times New Roman" w:hAnsi="Times New Roman" w:cs="Times New Roman"/>
      <w:b/>
      <w:color w:val="000000"/>
      <w:sz w:val="21"/>
      <w:szCs w:val="21"/>
      <w:u w:val="none"/>
    </w:rPr>
  </w:style>
  <w:style w:type="character" w:customStyle="1" w:styleId="635">
    <w:name w:val="unnamed11"/>
    <w:autoRedefine/>
    <w:qFormat/>
    <w:uiPriority w:val="0"/>
    <w:rPr>
      <w:sz w:val="18"/>
      <w:szCs w:val="18"/>
    </w:rPr>
  </w:style>
  <w:style w:type="character" w:customStyle="1" w:styleId="636">
    <w:name w:val="Char Char24"/>
    <w:qFormat/>
    <w:uiPriority w:val="0"/>
    <w:rPr>
      <w:rFonts w:ascii="Arial" w:hAnsi="Arial" w:eastAsia="黑体"/>
      <w:b/>
      <w:bCs/>
      <w:sz w:val="24"/>
      <w:szCs w:val="24"/>
      <w:lang w:val="en-US" w:eastAsia="zh-CN" w:bidi="ar-SA"/>
    </w:rPr>
  </w:style>
  <w:style w:type="character" w:customStyle="1" w:styleId="637">
    <w:name w:val="Char Char17"/>
    <w:autoRedefine/>
    <w:qFormat/>
    <w:uiPriority w:val="0"/>
    <w:rPr>
      <w:rFonts w:eastAsia="宋体"/>
      <w:kern w:val="2"/>
      <w:sz w:val="16"/>
      <w:szCs w:val="16"/>
      <w:lang w:val="en-US" w:eastAsia="zh-CN" w:bidi="ar-SA"/>
    </w:rPr>
  </w:style>
  <w:style w:type="character" w:customStyle="1" w:styleId="638">
    <w:name w:val="H6 Char"/>
    <w:autoRedefine/>
    <w:qFormat/>
    <w:uiPriority w:val="0"/>
    <w:rPr>
      <w:rFonts w:ascii="Arial" w:hAnsi="Arial" w:eastAsia="黑体"/>
      <w:b/>
      <w:kern w:val="2"/>
      <w:sz w:val="24"/>
      <w:lang w:val="en-US" w:eastAsia="zh-CN" w:bidi="ar-SA"/>
    </w:rPr>
  </w:style>
  <w:style w:type="character" w:customStyle="1" w:styleId="639">
    <w:name w:val="H1 Char3"/>
    <w:qFormat/>
    <w:uiPriority w:val="0"/>
    <w:rPr>
      <w:rFonts w:ascii="Calibri" w:hAnsi="Calibri"/>
      <w:b/>
      <w:bCs/>
      <w:kern w:val="44"/>
      <w:sz w:val="44"/>
      <w:szCs w:val="44"/>
    </w:rPr>
  </w:style>
  <w:style w:type="character" w:customStyle="1" w:styleId="640">
    <w:name w:val="脚注文本 Char1"/>
    <w:qFormat/>
    <w:uiPriority w:val="0"/>
    <w:rPr>
      <w:kern w:val="2"/>
      <w:sz w:val="18"/>
    </w:rPr>
  </w:style>
  <w:style w:type="character" w:customStyle="1" w:styleId="641">
    <w:name w:val="标题 2 Char Char Char Char Char2"/>
    <w:qFormat/>
    <w:uiPriority w:val="0"/>
    <w:rPr>
      <w:rFonts w:ascii="Arial" w:hAnsi="Arial" w:eastAsia="黑体"/>
      <w:b/>
      <w:bCs/>
      <w:sz w:val="32"/>
      <w:szCs w:val="32"/>
    </w:rPr>
  </w:style>
  <w:style w:type="character" w:customStyle="1" w:styleId="642">
    <w:name w:val="正文文本缩进 3 Char1"/>
    <w:semiHidden/>
    <w:qFormat/>
    <w:uiPriority w:val="99"/>
    <w:rPr>
      <w:rFonts w:ascii="Times New Roman" w:hAnsi="Times New Roman" w:eastAsia="宋体" w:cs="Times New Roman"/>
      <w:sz w:val="16"/>
      <w:szCs w:val="16"/>
    </w:rPr>
  </w:style>
  <w:style w:type="character" w:customStyle="1" w:styleId="643">
    <w:name w:val="样式 (符号) 宋体 小四 加粗"/>
    <w:autoRedefine/>
    <w:qFormat/>
    <w:uiPriority w:val="0"/>
    <w:rPr>
      <w:b/>
      <w:bCs/>
      <w:sz w:val="24"/>
    </w:rPr>
  </w:style>
  <w:style w:type="character" w:customStyle="1" w:styleId="644">
    <w:name w:val="hb4 Char"/>
    <w:qFormat/>
    <w:uiPriority w:val="0"/>
    <w:rPr>
      <w:rFonts w:ascii="宋体" w:hAnsi="宋体" w:eastAsia="宋体"/>
      <w:b/>
      <w:sz w:val="24"/>
      <w:szCs w:val="24"/>
      <w:lang w:val="en-US" w:eastAsia="zh-CN" w:bidi="ar-SA"/>
    </w:rPr>
  </w:style>
  <w:style w:type="character" w:customStyle="1" w:styleId="645">
    <w:name w:val="宏文本 Char1"/>
    <w:link w:val="2"/>
    <w:qFormat/>
    <w:uiPriority w:val="0"/>
    <w:rPr>
      <w:rFonts w:ascii="Courier New" w:hAnsi="Courier New" w:cs="Courier New"/>
      <w:sz w:val="24"/>
      <w:szCs w:val="24"/>
    </w:rPr>
  </w:style>
  <w:style w:type="character" w:customStyle="1" w:styleId="646">
    <w:name w:val="txt1"/>
    <w:qFormat/>
    <w:uiPriority w:val="0"/>
    <w:rPr>
      <w:spacing w:val="20"/>
      <w:sz w:val="24"/>
      <w:szCs w:val="24"/>
    </w:rPr>
  </w:style>
  <w:style w:type="character" w:customStyle="1" w:styleId="647">
    <w:name w:val="正文段 Char"/>
    <w:link w:val="648"/>
    <w:qFormat/>
    <w:uiPriority w:val="0"/>
    <w:rPr>
      <w:rFonts w:eastAsia="仿宋_GB2312"/>
      <w:sz w:val="28"/>
      <w:szCs w:val="24"/>
    </w:rPr>
  </w:style>
  <w:style w:type="paragraph" w:customStyle="1" w:styleId="648">
    <w:name w:val="正文段"/>
    <w:basedOn w:val="1"/>
    <w:link w:val="647"/>
    <w:autoRedefine/>
    <w:qFormat/>
    <w:uiPriority w:val="0"/>
    <w:pPr>
      <w:widowControl/>
      <w:spacing w:line="360" w:lineRule="auto"/>
      <w:ind w:firstLine="200" w:firstLineChars="200"/>
      <w:jc w:val="left"/>
    </w:pPr>
    <w:rPr>
      <w:rFonts w:ascii="Calibri" w:hAnsi="Calibri" w:eastAsia="仿宋_GB2312"/>
      <w:kern w:val="0"/>
      <w:sz w:val="28"/>
    </w:rPr>
  </w:style>
  <w:style w:type="character" w:customStyle="1" w:styleId="649">
    <w:name w:val="h21"/>
    <w:qFormat/>
    <w:uiPriority w:val="0"/>
    <w:rPr>
      <w:rFonts w:hint="default" w:ascii="Tahoma" w:hAnsi="Tahoma" w:cs="Tahoma"/>
      <w:b/>
      <w:bCs/>
      <w:color w:val="333399"/>
      <w:sz w:val="20"/>
      <w:szCs w:val="20"/>
    </w:rPr>
  </w:style>
  <w:style w:type="character" w:customStyle="1" w:styleId="650">
    <w:name w:val="签名 Char"/>
    <w:autoRedefine/>
    <w:qFormat/>
    <w:uiPriority w:val="0"/>
    <w:rPr>
      <w:rFonts w:ascii="Times New Roman" w:hAnsi="Times New Roman"/>
      <w:kern w:val="2"/>
      <w:sz w:val="21"/>
      <w:szCs w:val="24"/>
    </w:rPr>
  </w:style>
  <w:style w:type="character" w:customStyle="1" w:styleId="651">
    <w:name w:val="表中文字 Char"/>
    <w:link w:val="652"/>
    <w:qFormat/>
    <w:uiPriority w:val="0"/>
    <w:rPr>
      <w:kern w:val="2"/>
      <w:sz w:val="21"/>
      <w:szCs w:val="24"/>
    </w:rPr>
  </w:style>
  <w:style w:type="paragraph" w:customStyle="1" w:styleId="652">
    <w:name w:val="表中文字"/>
    <w:basedOn w:val="1"/>
    <w:link w:val="651"/>
    <w:autoRedefine/>
    <w:qFormat/>
    <w:uiPriority w:val="0"/>
    <w:pPr>
      <w:widowControl/>
      <w:tabs>
        <w:tab w:val="left" w:pos="8295"/>
      </w:tabs>
      <w:jc w:val="left"/>
    </w:pPr>
    <w:rPr>
      <w:rFonts w:ascii="Calibri" w:hAnsi="Calibri"/>
    </w:rPr>
  </w:style>
  <w:style w:type="character" w:customStyle="1" w:styleId="653">
    <w:name w:val="apple-converted-space"/>
    <w:qFormat/>
    <w:uiPriority w:val="0"/>
  </w:style>
  <w:style w:type="character" w:customStyle="1" w:styleId="654">
    <w:name w:val="style3"/>
    <w:autoRedefine/>
    <w:qFormat/>
    <w:uiPriority w:val="0"/>
    <w:rPr>
      <w:rFonts w:ascii="宋体" w:hAnsi="宋体" w:eastAsia="宋体" w:cs="宋体"/>
      <w:b/>
      <w:bCs/>
      <w:sz w:val="30"/>
      <w:szCs w:val="28"/>
      <w:lang w:val="en-US" w:eastAsia="zh-CN" w:bidi="ar-SA"/>
    </w:rPr>
  </w:style>
  <w:style w:type="character" w:customStyle="1" w:styleId="655">
    <w:name w:val="Char Char25"/>
    <w:qFormat/>
    <w:uiPriority w:val="0"/>
    <w:rPr>
      <w:rFonts w:ascii="宋体" w:hAnsi="宋体" w:eastAsia="宋体"/>
      <w:b/>
      <w:kern w:val="2"/>
      <w:sz w:val="24"/>
      <w:lang w:val="en-US" w:eastAsia="zh-CN" w:bidi="ar-SA"/>
    </w:rPr>
  </w:style>
  <w:style w:type="character" w:customStyle="1" w:styleId="656">
    <w:name w:val="文档结构图 Char1"/>
    <w:autoRedefine/>
    <w:semiHidden/>
    <w:qFormat/>
    <w:uiPriority w:val="99"/>
    <w:rPr>
      <w:rFonts w:ascii="宋体" w:hAnsi="Calibri" w:eastAsia="宋体" w:cs="Times New Roman"/>
      <w:sz w:val="18"/>
      <w:szCs w:val="18"/>
    </w:rPr>
  </w:style>
  <w:style w:type="character" w:customStyle="1" w:styleId="657">
    <w:name w:val="表头 Char3"/>
    <w:qFormat/>
    <w:uiPriority w:val="0"/>
    <w:rPr>
      <w:rFonts w:ascii="宋体" w:hAnsi="宋体" w:eastAsia="宋体" w:cs="宋体"/>
      <w:b/>
      <w:bCs/>
      <w:kern w:val="24"/>
      <w:sz w:val="24"/>
      <w:szCs w:val="28"/>
      <w:lang w:val="en-US" w:eastAsia="zh-CN" w:bidi="ar-SA"/>
    </w:rPr>
  </w:style>
  <w:style w:type="character" w:customStyle="1" w:styleId="658">
    <w:name w:val="签名 Char1"/>
    <w:link w:val="52"/>
    <w:qFormat/>
    <w:uiPriority w:val="0"/>
    <w:rPr>
      <w:rFonts w:eastAsia="仿宋_GB2312"/>
      <w:spacing w:val="-2"/>
      <w:szCs w:val="24"/>
    </w:rPr>
  </w:style>
  <w:style w:type="character" w:customStyle="1" w:styleId="659">
    <w:name w:val="neirong1"/>
    <w:qFormat/>
    <w:uiPriority w:val="0"/>
    <w:rPr>
      <w:rFonts w:hint="default" w:ascii="ˎ̥" w:hAnsi="ˎ̥" w:eastAsia="宋体" w:cs="宋体"/>
      <w:kern w:val="2"/>
      <w:sz w:val="22"/>
      <w:szCs w:val="22"/>
      <w:lang w:val="en-US" w:eastAsia="zh-CN" w:bidi="ar-SA"/>
    </w:rPr>
  </w:style>
  <w:style w:type="character" w:customStyle="1" w:styleId="660">
    <w:name w:val="javascript1"/>
    <w:qFormat/>
    <w:uiPriority w:val="0"/>
    <w:rPr>
      <w:rFonts w:hint="default" w:ascii="Tahoma" w:hAnsi="Tahoma" w:cs="Tahoma"/>
      <w:sz w:val="18"/>
      <w:szCs w:val="18"/>
    </w:rPr>
  </w:style>
  <w:style w:type="character" w:customStyle="1" w:styleId="661">
    <w:name w:val="正文样式 Char2"/>
    <w:qFormat/>
    <w:uiPriority w:val="0"/>
    <w:rPr>
      <w:rFonts w:ascii="宋体" w:hAnsi="宋体"/>
      <w:kern w:val="2"/>
      <w:sz w:val="24"/>
      <w:szCs w:val="24"/>
    </w:rPr>
  </w:style>
  <w:style w:type="character" w:customStyle="1" w:styleId="662">
    <w:name w:val="标题 Char3"/>
    <w:qFormat/>
    <w:uiPriority w:val="10"/>
    <w:rPr>
      <w:rFonts w:ascii="Cambria" w:hAnsi="Cambria" w:eastAsia="宋体" w:cs="Times New Roman"/>
      <w:b/>
      <w:bCs/>
      <w:sz w:val="32"/>
      <w:szCs w:val="32"/>
    </w:rPr>
  </w:style>
  <w:style w:type="character" w:customStyle="1" w:styleId="663">
    <w:name w:val="f141"/>
    <w:autoRedefine/>
    <w:qFormat/>
    <w:uiPriority w:val="0"/>
    <w:rPr>
      <w:color w:val="000000"/>
      <w:sz w:val="21"/>
      <w:szCs w:val="21"/>
      <w:u w:val="none"/>
    </w:rPr>
  </w:style>
  <w:style w:type="character" w:customStyle="1" w:styleId="664">
    <w:name w:val="字紧0.5 Char Char"/>
    <w:qFormat/>
    <w:uiPriority w:val="0"/>
    <w:rPr>
      <w:rFonts w:hint="eastAsia" w:ascii="宋体" w:hAnsi="??" w:eastAsia="宋体"/>
      <w:spacing w:val="-10"/>
      <w:sz w:val="28"/>
      <w:lang w:val="en-US" w:eastAsia="zh-CN"/>
    </w:rPr>
  </w:style>
  <w:style w:type="character" w:customStyle="1" w:styleId="665">
    <w:name w:val="文本框 Char Char"/>
    <w:autoRedefine/>
    <w:qFormat/>
    <w:uiPriority w:val="0"/>
    <w:rPr>
      <w:rFonts w:eastAsia="宋体"/>
      <w:kern w:val="2"/>
      <w:sz w:val="24"/>
      <w:szCs w:val="24"/>
      <w:lang w:val="en-US" w:eastAsia="zh-CN" w:bidi="ar-SA"/>
    </w:rPr>
  </w:style>
  <w:style w:type="character" w:customStyle="1" w:styleId="666">
    <w:name w:val="4级标题 Char"/>
    <w:link w:val="320"/>
    <w:qFormat/>
    <w:uiPriority w:val="0"/>
    <w:rPr>
      <w:rFonts w:ascii="Times New Roman" w:hAnsi="Times New Roman" w:cstheme="minorBidi"/>
      <w:b/>
      <w:sz w:val="24"/>
      <w:szCs w:val="22"/>
    </w:rPr>
  </w:style>
  <w:style w:type="character" w:customStyle="1" w:styleId="667">
    <w:name w:val="样式5 Char2"/>
    <w:autoRedefine/>
    <w:qFormat/>
    <w:uiPriority w:val="0"/>
    <w:rPr>
      <w:rFonts w:hAnsi="宋体" w:eastAsia="宋体"/>
      <w:color w:val="000000"/>
      <w:kern w:val="56"/>
      <w:sz w:val="24"/>
      <w:lang w:val="en-US" w:eastAsia="zh-CN" w:bidi="ar-SA"/>
    </w:rPr>
  </w:style>
  <w:style w:type="character" w:customStyle="1" w:styleId="668">
    <w:name w:val="sb1"/>
    <w:qFormat/>
    <w:uiPriority w:val="0"/>
    <w:rPr>
      <w:spacing w:val="300"/>
      <w:sz w:val="20"/>
      <w:szCs w:val="20"/>
    </w:rPr>
  </w:style>
  <w:style w:type="character" w:customStyle="1" w:styleId="669">
    <w:name w:val="标题1.1.1.1.1.1 Char Char"/>
    <w:autoRedefine/>
    <w:qFormat/>
    <w:uiPriority w:val="0"/>
    <w:rPr>
      <w:rFonts w:ascii="Arial" w:hAnsi="Arial" w:eastAsia="黑体"/>
      <w:b/>
      <w:bCs/>
      <w:kern w:val="2"/>
      <w:sz w:val="24"/>
      <w:szCs w:val="24"/>
    </w:rPr>
  </w:style>
  <w:style w:type="character" w:customStyle="1" w:styleId="670">
    <w:name w:val="表头 Char Char Char Char"/>
    <w:link w:val="671"/>
    <w:autoRedefine/>
    <w:qFormat/>
    <w:uiPriority w:val="0"/>
    <w:rPr>
      <w:rFonts w:ascii="Arial Narrow" w:hAnsi="Arial Narrow"/>
      <w:b/>
      <w:szCs w:val="21"/>
    </w:rPr>
  </w:style>
  <w:style w:type="paragraph" w:customStyle="1" w:styleId="671">
    <w:name w:val="表头 Char Char Char"/>
    <w:link w:val="670"/>
    <w:autoRedefine/>
    <w:qFormat/>
    <w:uiPriority w:val="0"/>
    <w:pPr>
      <w:tabs>
        <w:tab w:val="left" w:pos="4660"/>
      </w:tabs>
      <w:adjustRightInd w:val="0"/>
      <w:snapToGrid w:val="0"/>
      <w:spacing w:beforeLines="50"/>
      <w:jc w:val="center"/>
    </w:pPr>
    <w:rPr>
      <w:rFonts w:ascii="Arial Narrow" w:hAnsi="Arial Narrow" w:eastAsia="宋体" w:cs="Times New Roman"/>
      <w:b/>
      <w:szCs w:val="21"/>
      <w:lang w:val="en-US" w:eastAsia="zh-CN" w:bidi="ar-SA"/>
    </w:rPr>
  </w:style>
  <w:style w:type="character" w:customStyle="1" w:styleId="672">
    <w:name w:val="明显参考11"/>
    <w:qFormat/>
    <w:uiPriority w:val="0"/>
    <w:rPr>
      <w:b/>
      <w:bCs/>
      <w:color w:val="C0504D"/>
      <w:spacing w:val="5"/>
      <w:u w:val="single"/>
    </w:rPr>
  </w:style>
  <w:style w:type="character" w:customStyle="1" w:styleId="673">
    <w:name w:val="字紧0.3333333333333 Char Char"/>
    <w:link w:val="674"/>
    <w:qFormat/>
    <w:uiPriority w:val="0"/>
    <w:rPr>
      <w:rFonts w:ascii="宋体" w:hAnsi="宋体"/>
      <w:color w:val="000000"/>
      <w:spacing w:val="-6"/>
      <w:sz w:val="28"/>
      <w:szCs w:val="28"/>
    </w:rPr>
  </w:style>
  <w:style w:type="paragraph" w:customStyle="1" w:styleId="674">
    <w:name w:val="字紧0.3333333333333"/>
    <w:basedOn w:val="1"/>
    <w:link w:val="673"/>
    <w:qFormat/>
    <w:uiPriority w:val="0"/>
    <w:pPr>
      <w:widowControl/>
      <w:adjustRightInd w:val="0"/>
      <w:snapToGrid w:val="0"/>
      <w:spacing w:line="336" w:lineRule="auto"/>
      <w:ind w:firstLine="200" w:firstLineChars="200"/>
      <w:jc w:val="left"/>
    </w:pPr>
    <w:rPr>
      <w:rFonts w:ascii="宋体" w:hAnsi="宋体"/>
      <w:color w:val="000000"/>
      <w:spacing w:val="-6"/>
      <w:kern w:val="0"/>
      <w:sz w:val="28"/>
      <w:szCs w:val="28"/>
    </w:rPr>
  </w:style>
  <w:style w:type="character" w:customStyle="1" w:styleId="675">
    <w:name w:val="Char Char21"/>
    <w:qFormat/>
    <w:uiPriority w:val="0"/>
    <w:rPr>
      <w:rFonts w:eastAsia="宋体"/>
      <w:kern w:val="2"/>
      <w:sz w:val="18"/>
      <w:szCs w:val="18"/>
      <w:lang w:val="en-US" w:eastAsia="zh-CN" w:bidi="ar-SA"/>
    </w:rPr>
  </w:style>
  <w:style w:type="character" w:customStyle="1" w:styleId="676">
    <w:name w:val="无间隔 Char"/>
    <w:link w:val="677"/>
    <w:autoRedefine/>
    <w:qFormat/>
    <w:uiPriority w:val="0"/>
    <w:rPr>
      <w:sz w:val="24"/>
      <w:szCs w:val="32"/>
    </w:rPr>
  </w:style>
  <w:style w:type="paragraph" w:styleId="677">
    <w:name w:val="No Spacing"/>
    <w:basedOn w:val="21"/>
    <w:link w:val="676"/>
    <w:qFormat/>
    <w:uiPriority w:val="0"/>
    <w:pPr>
      <w:widowControl/>
      <w:jc w:val="left"/>
    </w:pPr>
    <w:rPr>
      <w:rFonts w:ascii="Calibri" w:hAnsi="Calibri"/>
      <w:kern w:val="0"/>
      <w:sz w:val="24"/>
      <w:szCs w:val="32"/>
    </w:rPr>
  </w:style>
  <w:style w:type="character" w:customStyle="1" w:styleId="678">
    <w:name w:val="unnamed31"/>
    <w:qFormat/>
    <w:uiPriority w:val="0"/>
    <w:rPr>
      <w:rFonts w:hint="default" w:ascii="ˎ̥" w:hAnsi="ˎ̥"/>
      <w:sz w:val="20"/>
      <w:szCs w:val="20"/>
    </w:rPr>
  </w:style>
  <w:style w:type="character" w:customStyle="1" w:styleId="679">
    <w:name w:val="表头标题 Char"/>
    <w:link w:val="680"/>
    <w:autoRedefine/>
    <w:qFormat/>
    <w:uiPriority w:val="0"/>
    <w:rPr>
      <w:b/>
      <w:szCs w:val="24"/>
    </w:rPr>
  </w:style>
  <w:style w:type="paragraph" w:customStyle="1" w:styleId="680">
    <w:name w:val="表头标题"/>
    <w:basedOn w:val="1"/>
    <w:link w:val="679"/>
    <w:autoRedefine/>
    <w:qFormat/>
    <w:uiPriority w:val="0"/>
    <w:pPr>
      <w:widowControl/>
      <w:jc w:val="center"/>
    </w:pPr>
    <w:rPr>
      <w:rFonts w:ascii="Calibri" w:hAnsi="Calibri"/>
      <w:b/>
      <w:kern w:val="0"/>
      <w:sz w:val="20"/>
    </w:rPr>
  </w:style>
  <w:style w:type="character" w:customStyle="1" w:styleId="681">
    <w:name w:val="页眉d Char Char1"/>
    <w:qFormat/>
    <w:uiPriority w:val="0"/>
    <w:rPr>
      <w:rFonts w:eastAsia="宋体"/>
      <w:kern w:val="2"/>
      <w:sz w:val="18"/>
      <w:szCs w:val="18"/>
      <w:lang w:val="en-US" w:eastAsia="zh-CN" w:bidi="ar-SA"/>
    </w:rPr>
  </w:style>
  <w:style w:type="character" w:customStyle="1" w:styleId="682">
    <w:name w:val="标题 1 Char Char Char"/>
    <w:qFormat/>
    <w:uiPriority w:val="0"/>
    <w:rPr>
      <w:rFonts w:eastAsia="宋体"/>
      <w:b/>
      <w:bCs/>
      <w:kern w:val="44"/>
      <w:sz w:val="32"/>
      <w:szCs w:val="44"/>
      <w:lang w:val="en-US" w:eastAsia="zh-CN" w:bidi="ar-SA"/>
    </w:rPr>
  </w:style>
  <w:style w:type="character" w:customStyle="1" w:styleId="683">
    <w:name w:val="a061"/>
    <w:qFormat/>
    <w:uiPriority w:val="0"/>
    <w:rPr>
      <w:color w:val="000000"/>
      <w:spacing w:val="360"/>
      <w:sz w:val="20"/>
      <w:szCs w:val="20"/>
      <w:u w:val="none"/>
    </w:rPr>
  </w:style>
  <w:style w:type="character" w:customStyle="1" w:styleId="684">
    <w:name w:val="正式文本 Char"/>
    <w:link w:val="685"/>
    <w:autoRedefine/>
    <w:qFormat/>
    <w:uiPriority w:val="0"/>
    <w:rPr>
      <w:rFonts w:ascii="Arial Narrow" w:hAnsi="Arial Narrow" w:eastAsia="汉鼎简书宋"/>
      <w:sz w:val="24"/>
      <w:szCs w:val="24"/>
    </w:rPr>
  </w:style>
  <w:style w:type="paragraph" w:customStyle="1" w:styleId="685">
    <w:name w:val="正式文本"/>
    <w:basedOn w:val="1"/>
    <w:link w:val="684"/>
    <w:autoRedefine/>
    <w:qFormat/>
    <w:uiPriority w:val="0"/>
    <w:pPr>
      <w:widowControl/>
      <w:spacing w:line="500" w:lineRule="exact"/>
      <w:ind w:firstLine="200" w:firstLineChars="200"/>
      <w:jc w:val="left"/>
    </w:pPr>
    <w:rPr>
      <w:rFonts w:ascii="Arial Narrow" w:hAnsi="Arial Narrow" w:eastAsia="汉鼎简书宋"/>
      <w:kern w:val="0"/>
      <w:sz w:val="24"/>
    </w:rPr>
  </w:style>
  <w:style w:type="character" w:customStyle="1" w:styleId="686">
    <w:name w:val="highlight1"/>
    <w:autoRedefine/>
    <w:qFormat/>
    <w:uiPriority w:val="0"/>
    <w:rPr>
      <w:sz w:val="21"/>
      <w:szCs w:val="21"/>
    </w:rPr>
  </w:style>
  <w:style w:type="character" w:customStyle="1" w:styleId="687">
    <w:name w:val="zt11"/>
    <w:autoRedefine/>
    <w:qFormat/>
    <w:uiPriority w:val="0"/>
    <w:rPr>
      <w:color w:val="333333"/>
      <w:sz w:val="24"/>
      <w:szCs w:val="24"/>
      <w:u w:val="none"/>
    </w:rPr>
  </w:style>
  <w:style w:type="character" w:customStyle="1" w:styleId="688">
    <w:name w:val="表头样式 Char Char"/>
    <w:link w:val="689"/>
    <w:autoRedefine/>
    <w:qFormat/>
    <w:uiPriority w:val="0"/>
    <w:rPr>
      <w:rFonts w:ascii="宋体" w:hAnsi="宋体"/>
      <w:b/>
      <w:bCs/>
      <w:sz w:val="24"/>
      <w:szCs w:val="32"/>
    </w:rPr>
  </w:style>
  <w:style w:type="paragraph" w:customStyle="1" w:styleId="689">
    <w:name w:val="表头样式"/>
    <w:basedOn w:val="340"/>
    <w:link w:val="688"/>
    <w:autoRedefine/>
    <w:qFormat/>
    <w:uiPriority w:val="0"/>
    <w:pPr>
      <w:spacing w:line="240" w:lineRule="auto"/>
      <w:ind w:firstLine="200"/>
    </w:pPr>
    <w:rPr>
      <w:rFonts w:hAnsi="宋体"/>
      <w:b/>
      <w:bCs/>
      <w:sz w:val="24"/>
      <w:szCs w:val="32"/>
    </w:rPr>
  </w:style>
  <w:style w:type="character" w:customStyle="1" w:styleId="690">
    <w:name w:val="样式 黑体 三号"/>
    <w:autoRedefine/>
    <w:qFormat/>
    <w:uiPriority w:val="0"/>
    <w:rPr>
      <w:rFonts w:ascii="黑体" w:eastAsia="黑体"/>
      <w:b/>
      <w:position w:val="8"/>
      <w:sz w:val="32"/>
      <w:szCs w:val="32"/>
    </w:rPr>
  </w:style>
  <w:style w:type="character" w:customStyle="1" w:styleId="691">
    <w:name w:val="Char Char8"/>
    <w:autoRedefine/>
    <w:qFormat/>
    <w:uiPriority w:val="0"/>
    <w:rPr>
      <w:rFonts w:hint="eastAsia" w:ascii="宋体" w:hAnsi="宋体" w:eastAsia="宋体"/>
      <w:kern w:val="2"/>
      <w:sz w:val="18"/>
      <w:szCs w:val="18"/>
      <w:lang w:val="en-US" w:eastAsia="zh-CN" w:bidi="ar-SA"/>
    </w:rPr>
  </w:style>
  <w:style w:type="character" w:customStyle="1" w:styleId="692">
    <w:name w:val="样式 样式 宋体 小四 黑色 行距: 1.5 倍行距 + Times New Roman Char Char"/>
    <w:link w:val="693"/>
    <w:autoRedefine/>
    <w:qFormat/>
    <w:uiPriority w:val="0"/>
    <w:rPr>
      <w:rFonts w:ascii="宋体" w:hAnsi="宋体"/>
      <w:color w:val="000000"/>
      <w:sz w:val="24"/>
    </w:rPr>
  </w:style>
  <w:style w:type="paragraph" w:customStyle="1" w:styleId="693">
    <w:name w:val="样式 样式 宋体 小四 黑色 行距: 1.5 倍行距 + Times New Roman"/>
    <w:basedOn w:val="1"/>
    <w:link w:val="692"/>
    <w:autoRedefine/>
    <w:qFormat/>
    <w:uiPriority w:val="0"/>
    <w:pPr>
      <w:keepNext/>
      <w:widowControl/>
      <w:spacing w:line="360" w:lineRule="auto"/>
      <w:ind w:firstLine="200" w:firstLineChars="200"/>
      <w:jc w:val="left"/>
    </w:pPr>
    <w:rPr>
      <w:rFonts w:ascii="宋体" w:hAnsi="宋体"/>
      <w:color w:val="000000"/>
      <w:kern w:val="0"/>
      <w:sz w:val="24"/>
      <w:szCs w:val="20"/>
    </w:rPr>
  </w:style>
  <w:style w:type="character" w:customStyle="1" w:styleId="694">
    <w:name w:val="Char Char111"/>
    <w:autoRedefine/>
    <w:qFormat/>
    <w:uiPriority w:val="0"/>
    <w:rPr>
      <w:rFonts w:ascii="Calibri" w:hAnsi="Calibri"/>
      <w:kern w:val="2"/>
      <w:sz w:val="18"/>
      <w:szCs w:val="18"/>
    </w:rPr>
  </w:style>
  <w:style w:type="character" w:customStyle="1" w:styleId="695">
    <w:name w:val="p101"/>
    <w:autoRedefine/>
    <w:qFormat/>
    <w:uiPriority w:val="0"/>
    <w:rPr>
      <w:rFonts w:hint="default" w:ascii="p10" w:hAnsi="p10"/>
      <w:color w:val="006633"/>
      <w:sz w:val="20"/>
      <w:szCs w:val="20"/>
    </w:rPr>
  </w:style>
  <w:style w:type="character" w:customStyle="1" w:styleId="696">
    <w:name w:val="表样式 Char"/>
    <w:autoRedefine/>
    <w:qFormat/>
    <w:uiPriority w:val="0"/>
    <w:rPr>
      <w:rFonts w:ascii="黑体" w:eastAsia="黑体"/>
      <w:kern w:val="2"/>
      <w:sz w:val="28"/>
      <w:lang w:val="en-US" w:eastAsia="zh-CN"/>
    </w:rPr>
  </w:style>
  <w:style w:type="character" w:customStyle="1" w:styleId="697">
    <w:name w:val="样式 正文文本 + 小三 Char"/>
    <w:autoRedefine/>
    <w:qFormat/>
    <w:uiPriority w:val="0"/>
    <w:rPr>
      <w:rFonts w:ascii="宋体" w:hAnsi="宋体" w:eastAsia="宋体"/>
      <w:sz w:val="30"/>
      <w:szCs w:val="24"/>
      <w:lang w:val="en-US" w:eastAsia="zh-CN" w:bidi="ar-SA"/>
    </w:rPr>
  </w:style>
  <w:style w:type="character" w:customStyle="1" w:styleId="698">
    <w:name w:val="报告正文 Char1"/>
    <w:autoRedefine/>
    <w:qFormat/>
    <w:uiPriority w:val="0"/>
    <w:rPr>
      <w:rFonts w:eastAsia="仿宋_GB2312"/>
      <w:bCs/>
      <w:kern w:val="2"/>
      <w:sz w:val="28"/>
      <w:szCs w:val="24"/>
      <w:lang w:val="en-US" w:eastAsia="zh-CN" w:bidi="ar-SA"/>
    </w:rPr>
  </w:style>
  <w:style w:type="character" w:customStyle="1" w:styleId="699">
    <w:name w:val="不明显参考2"/>
    <w:autoRedefine/>
    <w:qFormat/>
    <w:uiPriority w:val="31"/>
    <w:rPr>
      <w:sz w:val="24"/>
      <w:szCs w:val="24"/>
      <w:u w:val="single"/>
    </w:rPr>
  </w:style>
  <w:style w:type="character" w:customStyle="1" w:styleId="700">
    <w:name w:val="引用 Char1"/>
    <w:autoRedefine/>
    <w:qFormat/>
    <w:uiPriority w:val="0"/>
    <w:rPr>
      <w:rFonts w:eastAsia="汉鼎简书宋"/>
      <w:i/>
      <w:iCs/>
      <w:color w:val="000000"/>
      <w:sz w:val="24"/>
      <w:szCs w:val="24"/>
    </w:rPr>
  </w:style>
  <w:style w:type="character" w:customStyle="1" w:styleId="701">
    <w:name w:val="HP3 Char"/>
    <w:link w:val="702"/>
    <w:autoRedefine/>
    <w:qFormat/>
    <w:uiPriority w:val="0"/>
    <w:rPr>
      <w:rFonts w:ascii="宋体" w:hAnsi="宋体" w:cs="宋体"/>
      <w:b/>
      <w:bCs/>
      <w:sz w:val="24"/>
      <w:szCs w:val="24"/>
    </w:rPr>
  </w:style>
  <w:style w:type="paragraph" w:customStyle="1" w:styleId="702">
    <w:name w:val="HP3"/>
    <w:basedOn w:val="5"/>
    <w:link w:val="701"/>
    <w:autoRedefine/>
    <w:qFormat/>
    <w:uiPriority w:val="0"/>
    <w:pPr>
      <w:keepLines w:val="0"/>
      <w:widowControl/>
      <w:spacing w:before="240" w:after="60" w:line="240" w:lineRule="auto"/>
      <w:ind w:firstLine="420"/>
      <w:jc w:val="left"/>
    </w:pPr>
    <w:rPr>
      <w:rFonts w:ascii="宋体" w:hAnsi="宋体" w:cs="宋体"/>
      <w:kern w:val="0"/>
      <w:sz w:val="24"/>
      <w:szCs w:val="24"/>
    </w:rPr>
  </w:style>
  <w:style w:type="character" w:customStyle="1" w:styleId="703">
    <w:name w:val="行距 Char Char"/>
    <w:link w:val="704"/>
    <w:autoRedefine/>
    <w:qFormat/>
    <w:uiPriority w:val="0"/>
    <w:rPr>
      <w:sz w:val="28"/>
      <w:szCs w:val="24"/>
    </w:rPr>
  </w:style>
  <w:style w:type="paragraph" w:customStyle="1" w:styleId="704">
    <w:name w:val="行距"/>
    <w:link w:val="703"/>
    <w:autoRedefine/>
    <w:qFormat/>
    <w:uiPriority w:val="0"/>
    <w:pPr>
      <w:spacing w:line="520" w:lineRule="exact"/>
      <w:ind w:firstLine="200" w:firstLineChars="200"/>
      <w:jc w:val="both"/>
    </w:pPr>
    <w:rPr>
      <w:rFonts w:ascii="Calibri" w:hAnsi="Calibri" w:eastAsia="宋体" w:cs="Times New Roman"/>
      <w:sz w:val="28"/>
      <w:szCs w:val="24"/>
      <w:lang w:val="en-US" w:eastAsia="zh-CN" w:bidi="ar-SA"/>
    </w:rPr>
  </w:style>
  <w:style w:type="character" w:customStyle="1" w:styleId="705">
    <w:name w:val="hb2 Char Char"/>
    <w:autoRedefine/>
    <w:qFormat/>
    <w:uiPriority w:val="0"/>
    <w:rPr>
      <w:rFonts w:ascii="Arial" w:hAnsi="Arial" w:eastAsia="黑体" w:cs="Arial"/>
      <w:b/>
      <w:bCs/>
      <w:sz w:val="32"/>
      <w:szCs w:val="32"/>
    </w:rPr>
  </w:style>
  <w:style w:type="character" w:customStyle="1" w:styleId="706">
    <w:name w:val="third Char"/>
    <w:link w:val="707"/>
    <w:autoRedefine/>
    <w:qFormat/>
    <w:uiPriority w:val="0"/>
    <w:rPr>
      <w:b/>
      <w:sz w:val="24"/>
    </w:rPr>
  </w:style>
  <w:style w:type="paragraph" w:customStyle="1" w:styleId="707">
    <w:name w:val="third"/>
    <w:basedOn w:val="5"/>
    <w:link w:val="706"/>
    <w:autoRedefine/>
    <w:qFormat/>
    <w:uiPriority w:val="0"/>
    <w:pPr>
      <w:keepLines w:val="0"/>
      <w:widowControl/>
      <w:spacing w:before="360" w:after="120" w:line="416" w:lineRule="exact"/>
      <w:jc w:val="left"/>
    </w:pPr>
    <w:rPr>
      <w:rFonts w:ascii="Calibri" w:hAnsi="Calibri"/>
      <w:bCs w:val="0"/>
      <w:kern w:val="0"/>
      <w:sz w:val="24"/>
      <w:szCs w:val="20"/>
    </w:rPr>
  </w:style>
  <w:style w:type="character" w:customStyle="1" w:styleId="708">
    <w:name w:val="图表名称 Char"/>
    <w:link w:val="709"/>
    <w:autoRedefine/>
    <w:qFormat/>
    <w:uiPriority w:val="0"/>
    <w:rPr>
      <w:b/>
      <w:sz w:val="24"/>
      <w:szCs w:val="24"/>
    </w:rPr>
  </w:style>
  <w:style w:type="paragraph" w:customStyle="1" w:styleId="709">
    <w:name w:val="图表名称"/>
    <w:basedOn w:val="1"/>
    <w:link w:val="708"/>
    <w:autoRedefine/>
    <w:qFormat/>
    <w:uiPriority w:val="0"/>
    <w:pPr>
      <w:widowControl/>
      <w:spacing w:beforeLines="50" w:line="529" w:lineRule="exact"/>
      <w:jc w:val="center"/>
    </w:pPr>
    <w:rPr>
      <w:rFonts w:ascii="Calibri" w:hAnsi="Calibri"/>
      <w:b/>
      <w:kern w:val="0"/>
      <w:sz w:val="24"/>
    </w:rPr>
  </w:style>
  <w:style w:type="character" w:customStyle="1" w:styleId="710">
    <w:name w:val="e011"/>
    <w:autoRedefine/>
    <w:qFormat/>
    <w:uiPriority w:val="0"/>
    <w:rPr>
      <w:sz w:val="28"/>
      <w:szCs w:val="28"/>
    </w:rPr>
  </w:style>
  <w:style w:type="character" w:customStyle="1" w:styleId="711">
    <w:name w:val="Char Char122"/>
    <w:autoRedefine/>
    <w:qFormat/>
    <w:uiPriority w:val="0"/>
    <w:rPr>
      <w:rFonts w:ascii="Cambria" w:hAnsi="Cambria" w:eastAsia="宋体"/>
      <w:b/>
      <w:color w:val="4F81BD"/>
    </w:rPr>
  </w:style>
  <w:style w:type="character" w:customStyle="1" w:styleId="712">
    <w:name w:val="Char Char251"/>
    <w:autoRedefine/>
    <w:qFormat/>
    <w:uiPriority w:val="0"/>
    <w:rPr>
      <w:rFonts w:ascii="宋体" w:hAnsi="宋体" w:eastAsia="宋体"/>
      <w:b/>
      <w:kern w:val="2"/>
      <w:sz w:val="24"/>
      <w:lang w:val="en-US" w:eastAsia="zh-CN" w:bidi="ar-SA"/>
    </w:rPr>
  </w:style>
  <w:style w:type="character" w:customStyle="1" w:styleId="713">
    <w:name w:val="页眉 Char2"/>
    <w:autoRedefine/>
    <w:semiHidden/>
    <w:qFormat/>
    <w:uiPriority w:val="99"/>
    <w:rPr>
      <w:rFonts w:ascii="Times New Roman" w:hAnsi="Times New Roman" w:eastAsia="宋体" w:cs="Times New Roman"/>
      <w:sz w:val="18"/>
      <w:szCs w:val="18"/>
    </w:rPr>
  </w:style>
  <w:style w:type="character" w:customStyle="1" w:styleId="714">
    <w:name w:val="Char Char19"/>
    <w:autoRedefine/>
    <w:qFormat/>
    <w:uiPriority w:val="0"/>
    <w:rPr>
      <w:rFonts w:ascii="宋体" w:eastAsia="宋体"/>
      <w:kern w:val="2"/>
      <w:sz w:val="24"/>
      <w:lang w:val="en-US" w:eastAsia="zh-CN" w:bidi="ar-SA"/>
    </w:rPr>
  </w:style>
  <w:style w:type="character" w:customStyle="1" w:styleId="715">
    <w:name w:val="正文文本 2 Char1"/>
    <w:autoRedefine/>
    <w:semiHidden/>
    <w:qFormat/>
    <w:uiPriority w:val="99"/>
    <w:rPr>
      <w:rFonts w:ascii="Times New Roman" w:hAnsi="Times New Roman" w:eastAsia="宋体" w:cs="Times New Roman"/>
      <w:szCs w:val="24"/>
    </w:rPr>
  </w:style>
  <w:style w:type="character" w:customStyle="1" w:styleId="716">
    <w:name w:val="样式 Dotum"/>
    <w:autoRedefine/>
    <w:qFormat/>
    <w:uiPriority w:val="0"/>
    <w:rPr>
      <w:rFonts w:ascii="宋体" w:hAnsi="宋体" w:eastAsia="宋体"/>
    </w:rPr>
  </w:style>
  <w:style w:type="character" w:customStyle="1" w:styleId="717">
    <w:name w:val="表头 Char2"/>
    <w:autoRedefine/>
    <w:qFormat/>
    <w:uiPriority w:val="0"/>
    <w:rPr>
      <w:rFonts w:ascii="宋体" w:hAnsi="宋体" w:eastAsia="宋体" w:cs="宋体"/>
      <w:b/>
      <w:bCs/>
      <w:kern w:val="24"/>
      <w:sz w:val="24"/>
      <w:szCs w:val="28"/>
      <w:lang w:val="en-US" w:eastAsia="zh-CN" w:bidi="ar-SA"/>
    </w:rPr>
  </w:style>
  <w:style w:type="character" w:customStyle="1" w:styleId="718">
    <w:name w:val="标题 3 Char1 Char Char1"/>
    <w:autoRedefine/>
    <w:qFormat/>
    <w:uiPriority w:val="0"/>
    <w:rPr>
      <w:rFonts w:eastAsia="宋体"/>
      <w:b/>
      <w:bCs/>
      <w:kern w:val="2"/>
      <w:sz w:val="32"/>
      <w:szCs w:val="32"/>
      <w:lang w:val="en-US" w:eastAsia="zh-CN" w:bidi="ar-SA"/>
    </w:rPr>
  </w:style>
  <w:style w:type="character" w:customStyle="1" w:styleId="719">
    <w:name w:val="段落1 Char1"/>
    <w:link w:val="720"/>
    <w:autoRedefine/>
    <w:qFormat/>
    <w:uiPriority w:val="0"/>
    <w:rPr>
      <w:rFonts w:ascii="宋体" w:hAnsi="宋体"/>
      <w:sz w:val="24"/>
      <w:szCs w:val="24"/>
    </w:rPr>
  </w:style>
  <w:style w:type="paragraph" w:customStyle="1" w:styleId="720">
    <w:name w:val="段落1"/>
    <w:basedOn w:val="1"/>
    <w:link w:val="719"/>
    <w:autoRedefine/>
    <w:qFormat/>
    <w:uiPriority w:val="0"/>
    <w:pPr>
      <w:widowControl/>
      <w:adjustRightInd w:val="0"/>
      <w:spacing w:before="312" w:after="156" w:line="360" w:lineRule="auto"/>
      <w:jc w:val="left"/>
    </w:pPr>
    <w:rPr>
      <w:rFonts w:ascii="宋体" w:hAnsi="宋体"/>
      <w:kern w:val="0"/>
      <w:sz w:val="24"/>
    </w:rPr>
  </w:style>
  <w:style w:type="character" w:customStyle="1" w:styleId="721">
    <w:name w:val="准 表头 Char Char"/>
    <w:link w:val="722"/>
    <w:autoRedefine/>
    <w:qFormat/>
    <w:uiPriority w:val="0"/>
    <w:rPr>
      <w:rFonts w:eastAsia="黑体"/>
    </w:rPr>
  </w:style>
  <w:style w:type="paragraph" w:customStyle="1" w:styleId="722">
    <w:name w:val="准 表头"/>
    <w:link w:val="721"/>
    <w:autoRedefine/>
    <w:qFormat/>
    <w:uiPriority w:val="0"/>
    <w:pPr>
      <w:spacing w:line="360" w:lineRule="auto"/>
      <w:jc w:val="center"/>
    </w:pPr>
    <w:rPr>
      <w:rFonts w:ascii="Calibri" w:hAnsi="Calibri" w:eastAsia="黑体" w:cs="Times New Roman"/>
      <w:lang w:val="en-US" w:eastAsia="zh-CN" w:bidi="ar-SA"/>
    </w:rPr>
  </w:style>
  <w:style w:type="character" w:customStyle="1" w:styleId="723">
    <w:name w:val="Char Char201"/>
    <w:autoRedefine/>
    <w:semiHidden/>
    <w:qFormat/>
    <w:uiPriority w:val="0"/>
    <w:rPr>
      <w:rFonts w:eastAsia="宋体"/>
      <w:kern w:val="2"/>
      <w:sz w:val="24"/>
      <w:szCs w:val="24"/>
      <w:lang w:val="en-US" w:eastAsia="zh-CN" w:bidi="ar-SA"/>
    </w:rPr>
  </w:style>
  <w:style w:type="character" w:customStyle="1" w:styleId="724">
    <w:name w:val="style31"/>
    <w:autoRedefine/>
    <w:qFormat/>
    <w:uiPriority w:val="0"/>
    <w:rPr>
      <w:sz w:val="18"/>
      <w:szCs w:val="18"/>
    </w:rPr>
  </w:style>
  <w:style w:type="character" w:customStyle="1" w:styleId="725">
    <w:name w:val="HTML 预设格式 Char1"/>
    <w:autoRedefine/>
    <w:semiHidden/>
    <w:qFormat/>
    <w:uiPriority w:val="99"/>
    <w:rPr>
      <w:rFonts w:ascii="Courier New" w:hAnsi="Courier New" w:eastAsia="宋体" w:cs="Courier New"/>
      <w:sz w:val="20"/>
      <w:szCs w:val="20"/>
    </w:rPr>
  </w:style>
  <w:style w:type="character" w:customStyle="1" w:styleId="726">
    <w:name w:val="Char Char221"/>
    <w:autoRedefine/>
    <w:qFormat/>
    <w:uiPriority w:val="0"/>
    <w:rPr>
      <w:rFonts w:eastAsia="宋体"/>
      <w:kern w:val="2"/>
      <w:sz w:val="18"/>
      <w:lang w:val="en-US" w:eastAsia="zh-CN" w:bidi="ar-SA"/>
    </w:rPr>
  </w:style>
  <w:style w:type="character" w:customStyle="1" w:styleId="727">
    <w:name w:val="1正文段落 Char"/>
    <w:autoRedefine/>
    <w:qFormat/>
    <w:uiPriority w:val="0"/>
    <w:rPr>
      <w:rFonts w:ascii="宋体" w:hAnsi="宋体" w:eastAsia="宋体" w:cs="Times New Roman"/>
      <w:color w:val="1F497D"/>
      <w:spacing w:val="2"/>
      <w:kern w:val="0"/>
      <w:sz w:val="24"/>
      <w:szCs w:val="21"/>
    </w:rPr>
  </w:style>
  <w:style w:type="character" w:customStyle="1" w:styleId="728">
    <w:name w:val="正文文字缩进 21 Char Char"/>
    <w:qFormat/>
    <w:uiPriority w:val="0"/>
    <w:rPr>
      <w:rFonts w:eastAsia="宋体"/>
      <w:kern w:val="2"/>
      <w:sz w:val="21"/>
      <w:lang w:val="en-US" w:eastAsia="zh-CN" w:bidi="ar-SA"/>
    </w:rPr>
  </w:style>
  <w:style w:type="character" w:customStyle="1" w:styleId="729">
    <w:name w:val="a11"/>
    <w:autoRedefine/>
    <w:qFormat/>
    <w:uiPriority w:val="0"/>
    <w:rPr>
      <w:spacing w:val="330"/>
      <w:sz w:val="20"/>
      <w:szCs w:val="20"/>
    </w:rPr>
  </w:style>
  <w:style w:type="character" w:customStyle="1" w:styleId="730">
    <w:name w:val="准 表格 样式1 + 居中 Char"/>
    <w:autoRedefine/>
    <w:qFormat/>
    <w:uiPriority w:val="0"/>
    <w:rPr>
      <w:rFonts w:ascii="Times New Roman" w:hAnsi="Times New Roman" w:eastAsia="宋体" w:cs="Times New Roman"/>
      <w:kern w:val="0"/>
      <w:sz w:val="18"/>
      <w:szCs w:val="20"/>
    </w:rPr>
  </w:style>
  <w:style w:type="character" w:customStyle="1" w:styleId="731">
    <w:name w:val="表头-样式 Char"/>
    <w:link w:val="231"/>
    <w:autoRedefine/>
    <w:qFormat/>
    <w:uiPriority w:val="0"/>
    <w:rPr>
      <w:rFonts w:ascii="Times New Roman" w:hAnsi="Times New Roman" w:eastAsia="黑体" w:cs="仿宋_GB2312"/>
      <w:b/>
      <w:bCs/>
      <w:kern w:val="2"/>
      <w:sz w:val="24"/>
      <w:szCs w:val="24"/>
      <w:lang w:val="zh-CN"/>
    </w:rPr>
  </w:style>
  <w:style w:type="character" w:customStyle="1" w:styleId="732">
    <w:name w:val="正文 + 宋体 Char"/>
    <w:autoRedefine/>
    <w:qFormat/>
    <w:uiPriority w:val="0"/>
    <w:rPr>
      <w:rFonts w:ascii="宋体" w:hAnsi="宋体" w:eastAsia="宋体" w:cs="宋体"/>
      <w:sz w:val="24"/>
      <w:szCs w:val="24"/>
      <w:lang w:val="en-US" w:eastAsia="zh-CN" w:bidi="ar-SA"/>
    </w:rPr>
  </w:style>
  <w:style w:type="character" w:customStyle="1" w:styleId="733">
    <w:name w:val="图注 Char Char"/>
    <w:autoRedefine/>
    <w:semiHidden/>
    <w:qFormat/>
    <w:uiPriority w:val="0"/>
    <w:rPr>
      <w:rFonts w:ascii="宋体" w:hAnsi="宋体" w:eastAsia="汉鼎简书宋"/>
      <w:kern w:val="2"/>
      <w:sz w:val="24"/>
      <w:szCs w:val="24"/>
      <w:lang w:val="en-US" w:eastAsia="zh-CN" w:bidi="ar-SA"/>
    </w:rPr>
  </w:style>
  <w:style w:type="character" w:customStyle="1" w:styleId="734">
    <w:name w:val="Char Char5"/>
    <w:autoRedefine/>
    <w:qFormat/>
    <w:uiPriority w:val="0"/>
    <w:rPr>
      <w:rFonts w:ascii="Arial" w:hAnsi="Arial" w:eastAsia="黑体"/>
      <w:b/>
      <w:bCs/>
      <w:sz w:val="28"/>
      <w:szCs w:val="28"/>
      <w:lang w:val="en-US" w:eastAsia="zh-CN" w:bidi="ar-SA"/>
    </w:rPr>
  </w:style>
  <w:style w:type="character" w:customStyle="1" w:styleId="735">
    <w:name w:val="正文文字 Char1"/>
    <w:autoRedefine/>
    <w:qFormat/>
    <w:uiPriority w:val="0"/>
    <w:rPr>
      <w:rFonts w:eastAsia="宋体"/>
      <w:kern w:val="2"/>
      <w:sz w:val="28"/>
      <w:szCs w:val="28"/>
      <w:lang w:val="en-US" w:eastAsia="zh-CN" w:bidi="ar-SA"/>
    </w:rPr>
  </w:style>
  <w:style w:type="character" w:customStyle="1" w:styleId="736">
    <w:name w:val="px14"/>
    <w:autoRedefine/>
    <w:qFormat/>
    <w:uiPriority w:val="0"/>
  </w:style>
  <w:style w:type="character" w:customStyle="1" w:styleId="737">
    <w:name w:val="尾注文本 Char"/>
    <w:autoRedefine/>
    <w:qFormat/>
    <w:uiPriority w:val="0"/>
    <w:rPr>
      <w:rFonts w:ascii="Times New Roman" w:hAnsi="Times New Roman"/>
      <w:kern w:val="2"/>
      <w:sz w:val="21"/>
      <w:szCs w:val="24"/>
    </w:rPr>
  </w:style>
  <w:style w:type="character" w:customStyle="1" w:styleId="738">
    <w:name w:val="表号 Char3"/>
    <w:link w:val="739"/>
    <w:autoRedefine/>
    <w:qFormat/>
    <w:uiPriority w:val="0"/>
    <w:rPr>
      <w:rFonts w:ascii="宋体" w:hAnsi="宋体"/>
      <w:sz w:val="24"/>
      <w:szCs w:val="24"/>
    </w:rPr>
  </w:style>
  <w:style w:type="paragraph" w:customStyle="1" w:styleId="739">
    <w:name w:val="表号"/>
    <w:link w:val="738"/>
    <w:autoRedefine/>
    <w:qFormat/>
    <w:uiPriority w:val="0"/>
    <w:pPr>
      <w:adjustRightInd w:val="0"/>
      <w:snapToGrid w:val="0"/>
      <w:spacing w:line="240" w:lineRule="atLeast"/>
      <w:jc w:val="both"/>
      <w:outlineLvl w:val="4"/>
    </w:pPr>
    <w:rPr>
      <w:rFonts w:ascii="宋体" w:hAnsi="宋体" w:eastAsia="宋体" w:cs="Times New Roman"/>
      <w:sz w:val="24"/>
      <w:szCs w:val="24"/>
      <w:lang w:val="en-US" w:eastAsia="zh-CN" w:bidi="ar-SA"/>
    </w:rPr>
  </w:style>
  <w:style w:type="character" w:customStyle="1" w:styleId="740">
    <w:name w:val="HP4 Char"/>
    <w:link w:val="741"/>
    <w:autoRedefine/>
    <w:qFormat/>
    <w:uiPriority w:val="0"/>
    <w:rPr>
      <w:sz w:val="24"/>
      <w:szCs w:val="24"/>
      <w:u w:color="000000"/>
    </w:rPr>
  </w:style>
  <w:style w:type="paragraph" w:customStyle="1" w:styleId="741">
    <w:name w:val="HP4"/>
    <w:basedOn w:val="1"/>
    <w:link w:val="740"/>
    <w:autoRedefine/>
    <w:qFormat/>
    <w:uiPriority w:val="0"/>
    <w:pPr>
      <w:keepNext/>
      <w:keepLines/>
      <w:widowControl/>
      <w:spacing w:before="120" w:after="120" w:line="360" w:lineRule="exact"/>
      <w:jc w:val="left"/>
      <w:outlineLvl w:val="3"/>
    </w:pPr>
    <w:rPr>
      <w:rFonts w:ascii="Calibri" w:hAnsi="Calibri"/>
      <w:kern w:val="0"/>
      <w:sz w:val="24"/>
      <w:u w:color="000000"/>
    </w:rPr>
  </w:style>
  <w:style w:type="character" w:customStyle="1" w:styleId="742">
    <w:name w:val="书籍标题1"/>
    <w:autoRedefine/>
    <w:qFormat/>
    <w:uiPriority w:val="0"/>
    <w:rPr>
      <w:b/>
      <w:bCs/>
      <w:spacing w:val="5"/>
    </w:rPr>
  </w:style>
  <w:style w:type="character" w:customStyle="1" w:styleId="743">
    <w:name w:val="样式 标题 3条标题1.1.1BSH-3 + 字距调整小四 Char"/>
    <w:link w:val="744"/>
    <w:autoRedefine/>
    <w:qFormat/>
    <w:uiPriority w:val="0"/>
    <w:rPr>
      <w:rFonts w:eastAsia="黑体"/>
      <w:color w:val="008080"/>
      <w:kern w:val="24"/>
      <w:sz w:val="30"/>
      <w:szCs w:val="30"/>
    </w:rPr>
  </w:style>
  <w:style w:type="paragraph" w:customStyle="1" w:styleId="744">
    <w:name w:val="样式 标题 3条标题1.1.1BSH-3 + 字距调整小四"/>
    <w:basedOn w:val="5"/>
    <w:link w:val="743"/>
    <w:autoRedefine/>
    <w:qFormat/>
    <w:uiPriority w:val="0"/>
    <w:pPr>
      <w:keepLines w:val="0"/>
      <w:widowControl/>
      <w:spacing w:before="0" w:after="0" w:line="550" w:lineRule="exact"/>
      <w:jc w:val="left"/>
    </w:pPr>
    <w:rPr>
      <w:rFonts w:ascii="Calibri" w:hAnsi="Calibri" w:eastAsia="黑体"/>
      <w:b w:val="0"/>
      <w:bCs w:val="0"/>
      <w:color w:val="008080"/>
      <w:kern w:val="24"/>
      <w:sz w:val="30"/>
      <w:szCs w:val="30"/>
    </w:rPr>
  </w:style>
  <w:style w:type="character" w:customStyle="1" w:styleId="745">
    <w:name w:val="表格内容5号 Char"/>
    <w:link w:val="746"/>
    <w:autoRedefine/>
    <w:qFormat/>
    <w:uiPriority w:val="0"/>
    <w:rPr>
      <w:rFonts w:ascii="宋体" w:hAnsi="宋体"/>
      <w:color w:val="000000"/>
      <w:szCs w:val="21"/>
    </w:rPr>
  </w:style>
  <w:style w:type="paragraph" w:customStyle="1" w:styleId="746">
    <w:name w:val="表格内容5号"/>
    <w:basedOn w:val="1"/>
    <w:link w:val="745"/>
    <w:autoRedefine/>
    <w:qFormat/>
    <w:uiPriority w:val="0"/>
    <w:pPr>
      <w:widowControl/>
      <w:spacing w:line="300" w:lineRule="exact"/>
      <w:jc w:val="center"/>
    </w:pPr>
    <w:rPr>
      <w:rFonts w:ascii="宋体" w:hAnsi="宋体"/>
      <w:color w:val="000000"/>
      <w:kern w:val="0"/>
      <w:sz w:val="20"/>
      <w:szCs w:val="21"/>
    </w:rPr>
  </w:style>
  <w:style w:type="character" w:customStyle="1" w:styleId="747">
    <w:name w:val="首行缩进 Char"/>
    <w:link w:val="748"/>
    <w:autoRedefine/>
    <w:qFormat/>
    <w:uiPriority w:val="0"/>
    <w:rPr>
      <w:rFonts w:ascii="宋体" w:hAnsi="Times"/>
      <w:bCs/>
      <w:kern w:val="44"/>
      <w:sz w:val="24"/>
      <w:szCs w:val="24"/>
    </w:rPr>
  </w:style>
  <w:style w:type="paragraph" w:customStyle="1" w:styleId="748">
    <w:name w:val="首行缩进"/>
    <w:basedOn w:val="1"/>
    <w:link w:val="747"/>
    <w:autoRedefine/>
    <w:qFormat/>
    <w:uiPriority w:val="0"/>
    <w:pPr>
      <w:widowControl/>
      <w:adjustRightInd w:val="0"/>
      <w:spacing w:line="529" w:lineRule="exact"/>
      <w:ind w:firstLine="200" w:firstLineChars="200"/>
      <w:jc w:val="left"/>
    </w:pPr>
    <w:rPr>
      <w:rFonts w:ascii="宋体" w:hAnsi="Times"/>
      <w:bCs/>
      <w:kern w:val="44"/>
      <w:sz w:val="24"/>
    </w:rPr>
  </w:style>
  <w:style w:type="character" w:customStyle="1" w:styleId="749">
    <w:name w:val="z-窗体顶端 Char1"/>
    <w:link w:val="750"/>
    <w:autoRedefine/>
    <w:qFormat/>
    <w:uiPriority w:val="0"/>
    <w:rPr>
      <w:rFonts w:ascii="Arial" w:hAnsi="Arial" w:cs="Arial"/>
      <w:vanish/>
      <w:sz w:val="16"/>
      <w:szCs w:val="16"/>
    </w:rPr>
  </w:style>
  <w:style w:type="paragraph" w:customStyle="1" w:styleId="750">
    <w:name w:val="z-窗体顶端1"/>
    <w:basedOn w:val="1"/>
    <w:link w:val="749"/>
    <w:autoRedefine/>
    <w:qFormat/>
    <w:uiPriority w:val="0"/>
    <w:pPr>
      <w:widowControl/>
      <w:pBdr>
        <w:bottom w:val="single" w:color="auto" w:sz="6" w:space="1"/>
      </w:pBdr>
      <w:jc w:val="center"/>
    </w:pPr>
    <w:rPr>
      <w:rFonts w:ascii="Arial" w:hAnsi="Arial" w:cs="Arial"/>
      <w:vanish/>
      <w:kern w:val="0"/>
      <w:sz w:val="16"/>
      <w:szCs w:val="16"/>
    </w:rPr>
  </w:style>
  <w:style w:type="character" w:customStyle="1" w:styleId="751">
    <w:name w:val="表X Char"/>
    <w:link w:val="752"/>
    <w:autoRedefine/>
    <w:qFormat/>
    <w:uiPriority w:val="0"/>
    <w:rPr>
      <w:rFonts w:eastAsia="仿宋_GB2312"/>
      <w:sz w:val="24"/>
      <w:szCs w:val="24"/>
    </w:rPr>
  </w:style>
  <w:style w:type="paragraph" w:customStyle="1" w:styleId="752">
    <w:name w:val="表X"/>
    <w:basedOn w:val="1"/>
    <w:link w:val="751"/>
    <w:autoRedefine/>
    <w:qFormat/>
    <w:uiPriority w:val="0"/>
    <w:pPr>
      <w:widowControl/>
      <w:ind w:firstLine="200" w:firstLineChars="200"/>
      <w:jc w:val="left"/>
    </w:pPr>
    <w:rPr>
      <w:rFonts w:ascii="Calibri" w:hAnsi="Calibri" w:eastAsia="仿宋_GB2312"/>
      <w:kern w:val="0"/>
      <w:sz w:val="24"/>
    </w:rPr>
  </w:style>
  <w:style w:type="character" w:customStyle="1" w:styleId="753">
    <w:name w:val="脚注文本 Char"/>
    <w:autoRedefine/>
    <w:qFormat/>
    <w:uiPriority w:val="0"/>
    <w:rPr>
      <w:rFonts w:ascii="Times New Roman" w:hAnsi="Times New Roman"/>
      <w:kern w:val="2"/>
      <w:sz w:val="18"/>
      <w:szCs w:val="18"/>
    </w:rPr>
  </w:style>
  <w:style w:type="character" w:customStyle="1" w:styleId="754">
    <w:name w:val="0正文 Char"/>
    <w:link w:val="94"/>
    <w:qFormat/>
    <w:uiPriority w:val="0"/>
    <w:rPr>
      <w:rFonts w:ascii="Times New Roman" w:hAnsi="Times New Roman"/>
      <w:sz w:val="24"/>
      <w:szCs w:val="22"/>
    </w:rPr>
  </w:style>
  <w:style w:type="character" w:customStyle="1" w:styleId="755">
    <w:name w:val="标题 1 Char2"/>
    <w:autoRedefine/>
    <w:qFormat/>
    <w:uiPriority w:val="0"/>
    <w:rPr>
      <w:rFonts w:ascii="Times New Roman" w:hAnsi="Times New Roman"/>
      <w:b/>
      <w:bCs/>
      <w:kern w:val="44"/>
      <w:sz w:val="44"/>
      <w:szCs w:val="44"/>
    </w:rPr>
  </w:style>
  <w:style w:type="character" w:customStyle="1" w:styleId="756">
    <w:name w:val="正文文本 Char1"/>
    <w:qFormat/>
    <w:uiPriority w:val="0"/>
    <w:rPr>
      <w:kern w:val="2"/>
      <w:sz w:val="21"/>
      <w:szCs w:val="22"/>
    </w:rPr>
  </w:style>
  <w:style w:type="character" w:customStyle="1" w:styleId="757">
    <w:name w:val="正文首行缩进 Char1"/>
    <w:autoRedefine/>
    <w:semiHidden/>
    <w:qFormat/>
    <w:uiPriority w:val="99"/>
  </w:style>
  <w:style w:type="character" w:customStyle="1" w:styleId="758">
    <w:name w:val="样式2 Char"/>
    <w:link w:val="513"/>
    <w:qFormat/>
    <w:uiPriority w:val="0"/>
    <w:rPr>
      <w:rFonts w:eastAsia="华文细黑"/>
      <w:kern w:val="2"/>
      <w:sz w:val="18"/>
      <w:szCs w:val="18"/>
    </w:rPr>
  </w:style>
  <w:style w:type="character" w:customStyle="1" w:styleId="759">
    <w:name w:val="样式4 Char"/>
    <w:link w:val="511"/>
    <w:autoRedefine/>
    <w:qFormat/>
    <w:uiPriority w:val="0"/>
    <w:rPr>
      <w:rFonts w:ascii="宋体" w:hAnsi="宋体"/>
      <w:sz w:val="18"/>
      <w:szCs w:val="18"/>
    </w:rPr>
  </w:style>
  <w:style w:type="character" w:customStyle="1" w:styleId="760">
    <w:name w:val="标题b Char"/>
    <w:link w:val="196"/>
    <w:autoRedefine/>
    <w:qFormat/>
    <w:uiPriority w:val="0"/>
    <w:rPr>
      <w:rFonts w:ascii="宋体" w:hAnsi="宋体" w:eastAsia="黑体" w:cs="仿宋_GB2312"/>
      <w:b/>
      <w:color w:val="000000"/>
      <w:sz w:val="32"/>
      <w:szCs w:val="24"/>
    </w:rPr>
  </w:style>
  <w:style w:type="character" w:customStyle="1" w:styleId="761">
    <w:name w:val="正文(首行缩进) Char"/>
    <w:autoRedefine/>
    <w:qFormat/>
    <w:uiPriority w:val="0"/>
    <w:rPr>
      <w:rFonts w:eastAsia="宋体"/>
      <w:color w:val="000000"/>
      <w:sz w:val="24"/>
      <w:szCs w:val="24"/>
      <w:lang w:val="en-US" w:eastAsia="zh-CN" w:bidi="ar-SA"/>
    </w:rPr>
  </w:style>
  <w:style w:type="character" w:customStyle="1" w:styleId="762">
    <w:name w:val="infodetail1"/>
    <w:autoRedefine/>
    <w:qFormat/>
    <w:uiPriority w:val="0"/>
    <w:rPr>
      <w:spacing w:val="360"/>
      <w:sz w:val="21"/>
      <w:szCs w:val="21"/>
    </w:rPr>
  </w:style>
  <w:style w:type="character" w:customStyle="1" w:styleId="763">
    <w:name w:val="页脚 Char1"/>
    <w:qFormat/>
    <w:uiPriority w:val="99"/>
    <w:rPr>
      <w:rFonts w:ascii="Calibri" w:hAnsi="Calibri" w:eastAsia="宋体"/>
      <w:kern w:val="2"/>
      <w:sz w:val="18"/>
      <w:szCs w:val="18"/>
      <w:lang w:val="en-US" w:eastAsia="zh-CN" w:bidi="ar-SA"/>
    </w:rPr>
  </w:style>
  <w:style w:type="character" w:customStyle="1" w:styleId="764">
    <w:name w:val="三级标题-加粗 Char"/>
    <w:link w:val="765"/>
    <w:autoRedefine/>
    <w:qFormat/>
    <w:uiPriority w:val="0"/>
    <w:rPr>
      <w:rFonts w:ascii="仿宋_GB2312" w:hAnsi="宋体" w:eastAsia="仿宋_GB2312"/>
      <w:b/>
      <w:color w:val="0000FF"/>
      <w:sz w:val="28"/>
      <w:szCs w:val="28"/>
    </w:rPr>
  </w:style>
  <w:style w:type="paragraph" w:customStyle="1" w:styleId="765">
    <w:name w:val="三级标题-加粗"/>
    <w:basedOn w:val="1"/>
    <w:link w:val="764"/>
    <w:qFormat/>
    <w:uiPriority w:val="0"/>
    <w:pPr>
      <w:widowControl/>
      <w:spacing w:line="360" w:lineRule="auto"/>
      <w:ind w:firstLine="561"/>
      <w:jc w:val="left"/>
      <w:outlineLvl w:val="2"/>
    </w:pPr>
    <w:rPr>
      <w:rFonts w:ascii="仿宋_GB2312" w:hAnsi="宋体" w:eastAsia="仿宋_GB2312"/>
      <w:b/>
      <w:color w:val="0000FF"/>
      <w:kern w:val="0"/>
      <w:sz w:val="28"/>
      <w:szCs w:val="28"/>
    </w:rPr>
  </w:style>
  <w:style w:type="character" w:customStyle="1" w:styleId="766">
    <w:name w:val="Char Char2"/>
    <w:autoRedefine/>
    <w:qFormat/>
    <w:uiPriority w:val="0"/>
    <w:rPr>
      <w:rFonts w:eastAsia="宋体"/>
      <w:kern w:val="2"/>
      <w:sz w:val="16"/>
      <w:szCs w:val="16"/>
      <w:lang w:val="en-US" w:eastAsia="zh-CN" w:bidi="ar-SA"/>
    </w:rPr>
  </w:style>
  <w:style w:type="character" w:customStyle="1" w:styleId="767">
    <w:name w:val="表文字 Char Char Char"/>
    <w:qFormat/>
    <w:uiPriority w:val="0"/>
    <w:rPr>
      <w:rFonts w:eastAsia="汉鼎简书宋"/>
      <w:kern w:val="2"/>
      <w:sz w:val="21"/>
      <w:szCs w:val="21"/>
      <w:lang w:val="en-US" w:eastAsia="zh-CN" w:bidi="ar-SA"/>
    </w:rPr>
  </w:style>
  <w:style w:type="character" w:customStyle="1" w:styleId="768">
    <w:name w:val="三级标题 Char1"/>
    <w:autoRedefine/>
    <w:qFormat/>
    <w:uiPriority w:val="0"/>
    <w:rPr>
      <w:rFonts w:eastAsia="宋体"/>
      <w:b/>
      <w:bCs/>
      <w:kern w:val="2"/>
      <w:sz w:val="32"/>
      <w:szCs w:val="32"/>
      <w:lang w:val="en-US" w:eastAsia="zh-CN" w:bidi="ar-SA"/>
    </w:rPr>
  </w:style>
  <w:style w:type="character" w:customStyle="1" w:styleId="769">
    <w:name w:val="表号 Char"/>
    <w:autoRedefine/>
    <w:qFormat/>
    <w:uiPriority w:val="0"/>
    <w:rPr>
      <w:kern w:val="2"/>
      <w:sz w:val="24"/>
      <w:szCs w:val="24"/>
      <w:lang w:val="en-US" w:eastAsia="zh-CN" w:bidi="ar-SA"/>
    </w:rPr>
  </w:style>
  <w:style w:type="character" w:customStyle="1" w:styleId="770">
    <w:name w:val="引用 Char2"/>
    <w:autoRedefine/>
    <w:qFormat/>
    <w:uiPriority w:val="0"/>
    <w:rPr>
      <w:rFonts w:ascii="Times New Roman" w:hAnsi="Times New Roman" w:eastAsia="汉鼎简书宋"/>
      <w:i/>
      <w:iCs/>
      <w:color w:val="000000"/>
      <w:sz w:val="24"/>
      <w:szCs w:val="24"/>
    </w:rPr>
  </w:style>
  <w:style w:type="character" w:customStyle="1" w:styleId="771">
    <w:name w:val="A正文 Char"/>
    <w:link w:val="772"/>
    <w:autoRedefine/>
    <w:qFormat/>
    <w:uiPriority w:val="0"/>
    <w:rPr>
      <w:sz w:val="24"/>
    </w:rPr>
  </w:style>
  <w:style w:type="paragraph" w:customStyle="1" w:styleId="772">
    <w:name w:val="A正文"/>
    <w:basedOn w:val="1"/>
    <w:link w:val="771"/>
    <w:autoRedefine/>
    <w:qFormat/>
    <w:uiPriority w:val="0"/>
    <w:pPr>
      <w:widowControl/>
      <w:spacing w:beforeLines="50" w:afterLines="50" w:line="300" w:lineRule="auto"/>
      <w:ind w:firstLine="200" w:firstLineChars="200"/>
      <w:jc w:val="left"/>
    </w:pPr>
    <w:rPr>
      <w:rFonts w:ascii="Calibri" w:hAnsi="Calibri"/>
      <w:kern w:val="0"/>
      <w:sz w:val="24"/>
      <w:szCs w:val="20"/>
    </w:rPr>
  </w:style>
  <w:style w:type="character" w:customStyle="1" w:styleId="773">
    <w:name w:val="AAA新正文 Char"/>
    <w:link w:val="774"/>
    <w:autoRedefine/>
    <w:qFormat/>
    <w:uiPriority w:val="0"/>
    <w:rPr>
      <w:color w:val="000000"/>
      <w:sz w:val="24"/>
      <w:szCs w:val="24"/>
    </w:rPr>
  </w:style>
  <w:style w:type="paragraph" w:customStyle="1" w:styleId="774">
    <w:name w:val="AAA新正文"/>
    <w:basedOn w:val="1"/>
    <w:link w:val="773"/>
    <w:autoRedefine/>
    <w:qFormat/>
    <w:uiPriority w:val="0"/>
    <w:pPr>
      <w:widowControl/>
      <w:spacing w:line="529" w:lineRule="exact"/>
      <w:ind w:firstLine="482"/>
      <w:jc w:val="left"/>
    </w:pPr>
    <w:rPr>
      <w:rFonts w:ascii="Calibri" w:hAnsi="Calibri"/>
      <w:color w:val="000000"/>
      <w:kern w:val="0"/>
      <w:sz w:val="24"/>
    </w:rPr>
  </w:style>
  <w:style w:type="character" w:customStyle="1" w:styleId="775">
    <w:name w:val="Char Char171"/>
    <w:autoRedefine/>
    <w:qFormat/>
    <w:uiPriority w:val="0"/>
    <w:rPr>
      <w:rFonts w:eastAsia="宋体"/>
      <w:kern w:val="2"/>
      <w:sz w:val="16"/>
      <w:szCs w:val="16"/>
      <w:lang w:val="en-US" w:eastAsia="zh-CN" w:bidi="ar-SA"/>
    </w:rPr>
  </w:style>
  <w:style w:type="character" w:customStyle="1" w:styleId="776">
    <w:name w:val="Heading 3 Char"/>
    <w:autoRedefine/>
    <w:qFormat/>
    <w:uiPriority w:val="0"/>
    <w:rPr>
      <w:rFonts w:ascii="宋体" w:hAnsi="宋体" w:eastAsia="宋体" w:cs="宋体"/>
      <w:b/>
      <w:bCs/>
      <w:kern w:val="2"/>
      <w:sz w:val="32"/>
      <w:szCs w:val="32"/>
      <w:lang w:val="en-US" w:eastAsia="zh-CN" w:bidi="ar-SA"/>
    </w:rPr>
  </w:style>
  <w:style w:type="character" w:customStyle="1" w:styleId="777">
    <w:name w:val="样式3（代正文） Char"/>
    <w:link w:val="778"/>
    <w:qFormat/>
    <w:uiPriority w:val="0"/>
    <w:rPr>
      <w:sz w:val="28"/>
      <w:szCs w:val="28"/>
    </w:rPr>
  </w:style>
  <w:style w:type="paragraph" w:customStyle="1" w:styleId="778">
    <w:name w:val="样式3（代正文）"/>
    <w:link w:val="777"/>
    <w:autoRedefine/>
    <w:qFormat/>
    <w:uiPriority w:val="0"/>
    <w:pPr>
      <w:widowControl w:val="0"/>
      <w:adjustRightInd w:val="0"/>
      <w:snapToGrid w:val="0"/>
      <w:spacing w:line="560" w:lineRule="exact"/>
      <w:ind w:firstLine="200" w:firstLineChars="200"/>
      <w:jc w:val="both"/>
    </w:pPr>
    <w:rPr>
      <w:rFonts w:ascii="Calibri" w:hAnsi="Calibri" w:eastAsia="宋体" w:cs="Times New Roman"/>
      <w:sz w:val="28"/>
      <w:szCs w:val="28"/>
      <w:lang w:val="en-US" w:eastAsia="zh-CN" w:bidi="ar-SA"/>
    </w:rPr>
  </w:style>
  <w:style w:type="character" w:customStyle="1" w:styleId="779">
    <w:name w:val="Char Char9"/>
    <w:autoRedefine/>
    <w:qFormat/>
    <w:uiPriority w:val="0"/>
    <w:rPr>
      <w:rFonts w:ascii="Arial" w:hAnsi="Arial" w:eastAsia="黑体"/>
      <w:b/>
      <w:bCs/>
      <w:kern w:val="2"/>
      <w:sz w:val="32"/>
      <w:szCs w:val="32"/>
      <w:lang w:val="en-US" w:eastAsia="zh-CN" w:bidi="ar-SA"/>
    </w:rPr>
  </w:style>
  <w:style w:type="character" w:customStyle="1" w:styleId="780">
    <w:name w:val="标题 7 Char Char"/>
    <w:qFormat/>
    <w:uiPriority w:val="0"/>
    <w:rPr>
      <w:rFonts w:eastAsia="宋体"/>
      <w:b/>
      <w:bCs/>
      <w:kern w:val="2"/>
      <w:sz w:val="24"/>
      <w:szCs w:val="24"/>
      <w:lang w:val="en-US" w:eastAsia="zh-CN" w:bidi="ar-SA"/>
    </w:rPr>
  </w:style>
  <w:style w:type="character" w:customStyle="1" w:styleId="781">
    <w:name w:val="表号 Char2 Char"/>
    <w:qFormat/>
    <w:uiPriority w:val="0"/>
    <w:rPr>
      <w:rFonts w:eastAsia="宋体"/>
      <w:kern w:val="2"/>
      <w:sz w:val="21"/>
      <w:szCs w:val="24"/>
      <w:lang w:val="en-US" w:eastAsia="zh-CN" w:bidi="ar-SA"/>
    </w:rPr>
  </w:style>
  <w:style w:type="character" w:customStyle="1" w:styleId="782">
    <w:name w:val="content1copy1"/>
    <w:autoRedefine/>
    <w:qFormat/>
    <w:uiPriority w:val="0"/>
    <w:rPr>
      <w:rFonts w:hint="eastAsia" w:ascii="宋体" w:hAnsi="宋体" w:eastAsia="宋体"/>
      <w:sz w:val="18"/>
      <w:szCs w:val="18"/>
    </w:rPr>
  </w:style>
  <w:style w:type="character" w:customStyle="1" w:styleId="783">
    <w:name w:val="表、图名 Char"/>
    <w:autoRedefine/>
    <w:qFormat/>
    <w:uiPriority w:val="0"/>
    <w:rPr>
      <w:rFonts w:ascii="黑体" w:hAnsi="宋体" w:eastAsia="黑体" w:cs="Times New Roman"/>
      <w:color w:val="000000"/>
      <w:sz w:val="24"/>
      <w:szCs w:val="24"/>
      <w:lang w:val="en-US" w:eastAsia="zh-CN"/>
    </w:rPr>
  </w:style>
  <w:style w:type="character" w:customStyle="1" w:styleId="784">
    <w:name w:val="样式 样式 首行缩进:  2 字符 + 宋体 Char"/>
    <w:autoRedefine/>
    <w:qFormat/>
    <w:uiPriority w:val="0"/>
    <w:rPr>
      <w:rFonts w:ascii="宋体" w:hAnsi="宋体" w:eastAsia="宋体" w:cs="宋体"/>
      <w:kern w:val="2"/>
      <w:sz w:val="24"/>
      <w:lang w:val="en-US" w:eastAsia="zh-CN" w:bidi="ar-SA"/>
    </w:rPr>
  </w:style>
  <w:style w:type="character" w:customStyle="1" w:styleId="785">
    <w:name w:val="样式 hb3 Char Char + 非加粗"/>
    <w:autoRedefine/>
    <w:qFormat/>
    <w:uiPriority w:val="0"/>
    <w:rPr>
      <w:rFonts w:ascii="宋体" w:hAnsi="宋体" w:eastAsia="宋体" w:cs="宋体"/>
      <w:b/>
      <w:bCs/>
      <w:sz w:val="24"/>
      <w:szCs w:val="32"/>
      <w:lang w:val="en-US" w:eastAsia="zh-CN"/>
    </w:rPr>
  </w:style>
  <w:style w:type="character" w:customStyle="1" w:styleId="786">
    <w:name w:val="样式5 Char"/>
    <w:link w:val="34"/>
    <w:qFormat/>
    <w:uiPriority w:val="0"/>
    <w:rPr>
      <w:rFonts w:ascii="Times New Roman" w:hAnsi="Times New Roman"/>
      <w:kern w:val="2"/>
      <w:sz w:val="24"/>
      <w:szCs w:val="24"/>
    </w:rPr>
  </w:style>
  <w:style w:type="character" w:customStyle="1" w:styleId="787">
    <w:name w:val="样式hb4 Char Char"/>
    <w:autoRedefine/>
    <w:qFormat/>
    <w:uiPriority w:val="0"/>
    <w:rPr>
      <w:bCs/>
      <w:sz w:val="24"/>
      <w:szCs w:val="24"/>
      <w:lang w:val="en-US" w:eastAsia="zh-CN" w:bidi="ar-SA"/>
    </w:rPr>
  </w:style>
  <w:style w:type="character" w:customStyle="1" w:styleId="788">
    <w:name w:val="style81"/>
    <w:autoRedefine/>
    <w:qFormat/>
    <w:uiPriority w:val="0"/>
    <w:rPr>
      <w:b/>
      <w:bCs/>
      <w:color w:val="009900"/>
    </w:rPr>
  </w:style>
  <w:style w:type="character" w:customStyle="1" w:styleId="789">
    <w:name w:val="j41"/>
    <w:autoRedefine/>
    <w:qFormat/>
    <w:uiPriority w:val="0"/>
    <w:rPr>
      <w:color w:val="455654"/>
      <w:spacing w:val="330"/>
      <w:sz w:val="21"/>
      <w:szCs w:val="21"/>
    </w:rPr>
  </w:style>
  <w:style w:type="character" w:customStyle="1" w:styleId="790">
    <w:name w:val="样式 标题 3 Char1条标题1.1.1 CharBSH-3 Char + Times New Roman 小三"/>
    <w:autoRedefine/>
    <w:qFormat/>
    <w:uiPriority w:val="0"/>
    <w:rPr>
      <w:rFonts w:hint="default" w:ascii="Times New Roman" w:hAnsi="Times New Roman" w:eastAsia="黑体" w:cs="Times New Roman"/>
      <w:bCs/>
      <w:color w:val="008000"/>
      <w:kern w:val="2"/>
      <w:sz w:val="30"/>
      <w:szCs w:val="30"/>
      <w:lang w:val="en-US" w:eastAsia="zh-CN" w:bidi="ar-SA"/>
    </w:rPr>
  </w:style>
  <w:style w:type="character" w:customStyle="1" w:styleId="791">
    <w:name w:val="普通文字 Char Char Char Char Char Char Char Char Char Char Char Char Char Char"/>
    <w:autoRedefine/>
    <w:qFormat/>
    <w:uiPriority w:val="0"/>
    <w:rPr>
      <w:rFonts w:ascii="宋体" w:eastAsia="宋体"/>
      <w:kern w:val="2"/>
      <w:sz w:val="28"/>
      <w:lang w:val="en-US" w:eastAsia="zh-CN" w:bidi="ar-SA"/>
    </w:rPr>
  </w:style>
  <w:style w:type="character" w:customStyle="1" w:styleId="792">
    <w:name w:val="css-text3"/>
    <w:autoRedefine/>
    <w:qFormat/>
    <w:uiPriority w:val="0"/>
  </w:style>
  <w:style w:type="character" w:customStyle="1" w:styleId="793">
    <w:name w:val="样式 HP3 + (符号) Times New Roman Char"/>
    <w:link w:val="794"/>
    <w:autoRedefine/>
    <w:qFormat/>
    <w:uiPriority w:val="0"/>
    <w:rPr>
      <w:rFonts w:ascii="宋体" w:hAnsi="宋体"/>
      <w:b/>
      <w:bCs/>
      <w:sz w:val="24"/>
      <w:szCs w:val="24"/>
      <w:u w:color="000000"/>
    </w:rPr>
  </w:style>
  <w:style w:type="paragraph" w:customStyle="1" w:styleId="794">
    <w:name w:val="样式 HP3 + (符号) Times New Roman"/>
    <w:basedOn w:val="702"/>
    <w:link w:val="793"/>
    <w:qFormat/>
    <w:uiPriority w:val="0"/>
    <w:pPr>
      <w:spacing w:line="360" w:lineRule="exact"/>
      <w:ind w:firstLine="0"/>
    </w:pPr>
    <w:rPr>
      <w:rFonts w:cs="Times New Roman"/>
      <w:u w:color="000000"/>
    </w:rPr>
  </w:style>
  <w:style w:type="character" w:customStyle="1" w:styleId="795">
    <w:name w:val="样式 hb2 + 黑体 Char"/>
    <w:link w:val="796"/>
    <w:autoRedefine/>
    <w:qFormat/>
    <w:uiPriority w:val="0"/>
    <w:rPr>
      <w:rFonts w:ascii="黑体" w:hAnsi="黑体" w:cs="Arial"/>
      <w:b/>
      <w:bCs/>
      <w:sz w:val="28"/>
      <w:szCs w:val="28"/>
    </w:rPr>
  </w:style>
  <w:style w:type="paragraph" w:customStyle="1" w:styleId="796">
    <w:name w:val="样式 hb2 + 黑体"/>
    <w:basedOn w:val="4"/>
    <w:link w:val="795"/>
    <w:autoRedefine/>
    <w:qFormat/>
    <w:uiPriority w:val="0"/>
    <w:pPr>
      <w:keepLines w:val="0"/>
      <w:widowControl/>
      <w:adjustRightInd w:val="0"/>
      <w:spacing w:before="360" w:after="480" w:line="416" w:lineRule="atLeast"/>
      <w:jc w:val="left"/>
    </w:pPr>
    <w:rPr>
      <w:rFonts w:ascii="黑体" w:hAnsi="黑体" w:eastAsia="宋体" w:cs="Arial"/>
      <w:kern w:val="0"/>
      <w:sz w:val="28"/>
      <w:szCs w:val="28"/>
    </w:rPr>
  </w:style>
  <w:style w:type="character" w:customStyle="1" w:styleId="797">
    <w:name w:val="新正文 Char"/>
    <w:autoRedefine/>
    <w:qFormat/>
    <w:uiPriority w:val="0"/>
    <w:rPr>
      <w:rFonts w:ascii="宋体" w:eastAsia="宋体"/>
      <w:kern w:val="2"/>
      <w:sz w:val="24"/>
      <w:szCs w:val="24"/>
      <w:lang w:val="en-US" w:eastAsia="zh-CN" w:bidi="ar-SA"/>
    </w:rPr>
  </w:style>
  <w:style w:type="character" w:customStyle="1" w:styleId="798">
    <w:name w:val="Char Char16"/>
    <w:autoRedefine/>
    <w:qFormat/>
    <w:uiPriority w:val="0"/>
    <w:rPr>
      <w:rFonts w:eastAsia="宋体"/>
      <w:kern w:val="2"/>
      <w:sz w:val="24"/>
      <w:szCs w:val="24"/>
      <w:lang w:val="en-US" w:eastAsia="zh-CN" w:bidi="ar-SA"/>
    </w:rPr>
  </w:style>
  <w:style w:type="character" w:customStyle="1" w:styleId="799">
    <w:name w:val="H9 Char Char"/>
    <w:qFormat/>
    <w:uiPriority w:val="0"/>
    <w:rPr>
      <w:rFonts w:ascii="Arial" w:hAnsi="Arial" w:eastAsia="黑体"/>
      <w:kern w:val="2"/>
      <w:sz w:val="24"/>
      <w:lang w:val="en-US" w:eastAsia="zh-CN" w:bidi="ar-SA"/>
    </w:rPr>
  </w:style>
  <w:style w:type="character" w:customStyle="1" w:styleId="800">
    <w:name w:val="1.1.1标题 Char"/>
    <w:link w:val="801"/>
    <w:autoRedefine/>
    <w:qFormat/>
    <w:uiPriority w:val="0"/>
    <w:rPr>
      <w:rFonts w:eastAsia="黑体"/>
      <w:b/>
      <w:sz w:val="24"/>
      <w:szCs w:val="30"/>
    </w:rPr>
  </w:style>
  <w:style w:type="paragraph" w:customStyle="1" w:styleId="801">
    <w:name w:val="1.1.1标题"/>
    <w:basedOn w:val="1"/>
    <w:link w:val="800"/>
    <w:autoRedefine/>
    <w:qFormat/>
    <w:uiPriority w:val="0"/>
    <w:pPr>
      <w:widowControl/>
      <w:spacing w:beforeLines="50" w:afterLines="50"/>
      <w:jc w:val="left"/>
      <w:outlineLvl w:val="2"/>
    </w:pPr>
    <w:rPr>
      <w:rFonts w:ascii="Calibri" w:hAnsi="Calibri" w:eastAsia="黑体"/>
      <w:b/>
      <w:kern w:val="0"/>
      <w:sz w:val="24"/>
      <w:szCs w:val="30"/>
    </w:rPr>
  </w:style>
  <w:style w:type="character" w:customStyle="1" w:styleId="802">
    <w:name w:val="Char Char211"/>
    <w:autoRedefine/>
    <w:qFormat/>
    <w:uiPriority w:val="0"/>
    <w:rPr>
      <w:rFonts w:eastAsia="宋体"/>
      <w:kern w:val="2"/>
      <w:sz w:val="18"/>
      <w:szCs w:val="18"/>
      <w:lang w:val="en-US" w:eastAsia="zh-CN" w:bidi="ar-SA"/>
    </w:rPr>
  </w:style>
  <w:style w:type="character" w:customStyle="1" w:styleId="803">
    <w:name w:val="Char Char271"/>
    <w:qFormat/>
    <w:uiPriority w:val="0"/>
    <w:rPr>
      <w:rFonts w:eastAsia="黑体"/>
      <w:b/>
      <w:bCs/>
      <w:kern w:val="44"/>
      <w:sz w:val="36"/>
      <w:szCs w:val="44"/>
      <w:lang w:val="en-US" w:eastAsia="zh-CN" w:bidi="ar-SA"/>
    </w:rPr>
  </w:style>
  <w:style w:type="character" w:customStyle="1" w:styleId="804">
    <w:name w:val="hover73"/>
    <w:autoRedefine/>
    <w:qFormat/>
    <w:uiPriority w:val="0"/>
    <w:rPr>
      <w:color w:val="BA0000"/>
    </w:rPr>
  </w:style>
  <w:style w:type="character" w:customStyle="1" w:styleId="805">
    <w:name w:val="页脚 Char Char Char"/>
    <w:autoRedefine/>
    <w:qFormat/>
    <w:uiPriority w:val="0"/>
    <w:rPr>
      <w:rFonts w:eastAsia="宋体"/>
      <w:kern w:val="2"/>
      <w:sz w:val="18"/>
      <w:szCs w:val="18"/>
      <w:lang w:val="en-US" w:eastAsia="zh-CN" w:bidi="ar-SA"/>
    </w:rPr>
  </w:style>
  <w:style w:type="character" w:customStyle="1" w:styleId="806">
    <w:name w:val="正文文本缩进 2 Char1"/>
    <w:autoRedefine/>
    <w:semiHidden/>
    <w:qFormat/>
    <w:uiPriority w:val="99"/>
    <w:rPr>
      <w:rFonts w:ascii="Times New Roman" w:hAnsi="Times New Roman" w:eastAsia="宋体" w:cs="Times New Roman"/>
      <w:szCs w:val="24"/>
    </w:rPr>
  </w:style>
  <w:style w:type="character" w:customStyle="1" w:styleId="807">
    <w:name w:val="尾注文本 Char1"/>
    <w:link w:val="48"/>
    <w:qFormat/>
    <w:uiPriority w:val="0"/>
  </w:style>
  <w:style w:type="character" w:customStyle="1" w:styleId="808">
    <w:name w:val="书籍标题2"/>
    <w:qFormat/>
    <w:uiPriority w:val="33"/>
    <w:rPr>
      <w:rFonts w:ascii="Cambria" w:hAnsi="Cambria" w:eastAsia="宋体"/>
      <w:b/>
      <w:i/>
      <w:sz w:val="24"/>
      <w:szCs w:val="24"/>
    </w:rPr>
  </w:style>
  <w:style w:type="paragraph" w:customStyle="1" w:styleId="809">
    <w:name w:val="样式 (西文) 宋体 首行缩进:  2 字符 加宽量  0.1 磅 行距: 固定值 25 磅"/>
    <w:basedOn w:val="1"/>
    <w:autoRedefine/>
    <w:qFormat/>
    <w:uiPriority w:val="0"/>
    <w:pPr>
      <w:widowControl/>
      <w:topLinePunct/>
      <w:spacing w:line="500" w:lineRule="exact"/>
      <w:ind w:firstLine="488" w:firstLineChars="200"/>
      <w:jc w:val="left"/>
    </w:pPr>
    <w:rPr>
      <w:rFonts w:ascii="宋体" w:hAnsi="宋体" w:eastAsia="汉鼎简书宋" w:cs="宋体"/>
      <w:spacing w:val="2"/>
      <w:kern w:val="0"/>
      <w:sz w:val="24"/>
      <w:szCs w:val="20"/>
    </w:rPr>
  </w:style>
  <w:style w:type="paragraph" w:customStyle="1" w:styleId="810">
    <w:name w:val="Char Char Char Char Char Char Char Char Char Char2"/>
    <w:basedOn w:val="1"/>
    <w:qFormat/>
    <w:uiPriority w:val="0"/>
    <w:pPr>
      <w:widowControl/>
      <w:jc w:val="left"/>
    </w:pPr>
    <w:rPr>
      <w:kern w:val="0"/>
      <w:sz w:val="24"/>
    </w:rPr>
  </w:style>
  <w:style w:type="paragraph" w:customStyle="1" w:styleId="811">
    <w:name w:val="表"/>
    <w:basedOn w:val="1"/>
    <w:autoRedefine/>
    <w:qFormat/>
    <w:uiPriority w:val="0"/>
    <w:pPr>
      <w:keepNext/>
      <w:widowControl/>
      <w:snapToGrid w:val="0"/>
      <w:spacing w:beforeLines="20" w:line="360" w:lineRule="auto"/>
      <w:ind w:firstLine="562" w:firstLineChars="200"/>
      <w:jc w:val="left"/>
      <w:outlineLvl w:val="2"/>
    </w:pPr>
    <w:rPr>
      <w:rFonts w:ascii="仿宋_GB2312" w:eastAsia="仿宋_GB2312"/>
      <w:kern w:val="0"/>
      <w:sz w:val="28"/>
      <w:szCs w:val="28"/>
    </w:rPr>
  </w:style>
  <w:style w:type="paragraph" w:customStyle="1" w:styleId="812">
    <w:name w:val="目录1"/>
    <w:basedOn w:val="1"/>
    <w:qFormat/>
    <w:uiPriority w:val="0"/>
    <w:pPr>
      <w:widowControl/>
      <w:tabs>
        <w:tab w:val="left" w:leader="dot" w:pos="8503"/>
      </w:tabs>
      <w:spacing w:after="102" w:line="215" w:lineRule="atLeast"/>
      <w:ind w:firstLine="419"/>
      <w:jc w:val="left"/>
    </w:pPr>
    <w:rPr>
      <w:rFonts w:ascii="宋体" w:hAnsi="宋体"/>
      <w:color w:val="000000"/>
      <w:kern w:val="0"/>
      <w:sz w:val="24"/>
      <w:szCs w:val="20"/>
      <w:u w:color="000000"/>
    </w:rPr>
  </w:style>
  <w:style w:type="paragraph" w:customStyle="1" w:styleId="813">
    <w:name w:val="Char Char Char Char Char Char Char Char Char Char Char Char Char Char Char Char Char Char Char Char Char1 Char"/>
    <w:basedOn w:val="25"/>
    <w:qFormat/>
    <w:uiPriority w:val="0"/>
    <w:pPr>
      <w:widowControl/>
      <w:adjustRightInd w:val="0"/>
      <w:spacing w:line="436" w:lineRule="exact"/>
      <w:ind w:left="357"/>
      <w:jc w:val="left"/>
      <w:outlineLvl w:val="3"/>
    </w:pPr>
    <w:rPr>
      <w:rFonts w:ascii="Tahoma" w:hAnsi="Tahoma"/>
      <w:b/>
      <w:kern w:val="0"/>
      <w:sz w:val="24"/>
      <w:szCs w:val="28"/>
    </w:rPr>
  </w:style>
  <w:style w:type="paragraph" w:customStyle="1" w:styleId="814">
    <w:name w:val="二期二级样式"/>
    <w:basedOn w:val="1"/>
    <w:autoRedefine/>
    <w:qFormat/>
    <w:uiPriority w:val="0"/>
    <w:pPr>
      <w:widowControl/>
      <w:tabs>
        <w:tab w:val="left" w:pos="1335"/>
      </w:tabs>
      <w:ind w:left="1335" w:hanging="360"/>
      <w:jc w:val="left"/>
    </w:pPr>
    <w:rPr>
      <w:kern w:val="0"/>
      <w:sz w:val="24"/>
    </w:rPr>
  </w:style>
  <w:style w:type="character" w:customStyle="1" w:styleId="815">
    <w:name w:val="正文文本缩进 Char3"/>
    <w:basedOn w:val="83"/>
    <w:link w:val="32"/>
    <w:qFormat/>
    <w:uiPriority w:val="0"/>
    <w:rPr>
      <w:rFonts w:ascii="Times New Roman" w:hAnsi="Times New Roman"/>
      <w:kern w:val="2"/>
      <w:sz w:val="21"/>
      <w:szCs w:val="24"/>
    </w:rPr>
  </w:style>
  <w:style w:type="character" w:customStyle="1" w:styleId="816">
    <w:name w:val="正文首行缩进 2 Char2"/>
    <w:basedOn w:val="815"/>
    <w:qFormat/>
    <w:uiPriority w:val="0"/>
    <w:rPr>
      <w:rFonts w:ascii="Times New Roman" w:hAnsi="Times New Roman"/>
      <w:kern w:val="2"/>
      <w:sz w:val="21"/>
      <w:szCs w:val="24"/>
    </w:rPr>
  </w:style>
  <w:style w:type="paragraph" w:customStyle="1" w:styleId="817">
    <w:name w:val="正文文本缩进 311"/>
    <w:basedOn w:val="1"/>
    <w:qFormat/>
    <w:uiPriority w:val="0"/>
    <w:pPr>
      <w:widowControl/>
      <w:adjustRightInd w:val="0"/>
      <w:ind w:firstLine="560"/>
      <w:jc w:val="left"/>
    </w:pPr>
    <w:rPr>
      <w:rFonts w:ascii="宋体" w:hAnsi="宋体"/>
      <w:kern w:val="0"/>
      <w:sz w:val="28"/>
      <w:szCs w:val="20"/>
    </w:rPr>
  </w:style>
  <w:style w:type="paragraph" w:customStyle="1" w:styleId="818">
    <w:name w:val="样式 标题 1 + 行距: 1.5 倍行距"/>
    <w:basedOn w:val="3"/>
    <w:autoRedefine/>
    <w:qFormat/>
    <w:uiPriority w:val="0"/>
    <w:pPr>
      <w:keepLines w:val="0"/>
      <w:pageBreakBefore/>
      <w:widowControl/>
      <w:autoSpaceDE w:val="0"/>
      <w:autoSpaceDN w:val="0"/>
      <w:adjustRightInd w:val="0"/>
      <w:spacing w:beforeLines="100" w:after="240" w:line="360" w:lineRule="auto"/>
      <w:jc w:val="center"/>
    </w:pPr>
    <w:rPr>
      <w:rFonts w:ascii="Cambria" w:hAnsi="Cambria" w:eastAsia="黑体" w:cs="宋体"/>
      <w:b w:val="0"/>
      <w:bCs w:val="0"/>
      <w:spacing w:val="10"/>
      <w:kern w:val="32"/>
      <w:sz w:val="36"/>
      <w:szCs w:val="20"/>
    </w:rPr>
  </w:style>
  <w:style w:type="paragraph" w:customStyle="1" w:styleId="819">
    <w:name w:val="Char12"/>
    <w:basedOn w:val="1"/>
    <w:qFormat/>
    <w:uiPriority w:val="0"/>
    <w:pPr>
      <w:widowControl/>
      <w:spacing w:line="529" w:lineRule="exact"/>
      <w:ind w:firstLine="200" w:firstLineChars="200"/>
      <w:jc w:val="left"/>
    </w:pPr>
    <w:rPr>
      <w:rFonts w:ascii="宋体" w:hAnsi="宋体" w:cs="宋体"/>
      <w:kern w:val="0"/>
      <w:sz w:val="24"/>
    </w:rPr>
  </w:style>
  <w:style w:type="paragraph" w:customStyle="1" w:styleId="820">
    <w:name w:val="表内式样"/>
    <w:autoRedefine/>
    <w:qFormat/>
    <w:uiPriority w:val="0"/>
    <w:pPr>
      <w:widowControl w:val="0"/>
      <w:jc w:val="center"/>
    </w:pPr>
    <w:rPr>
      <w:rFonts w:hint="eastAsia" w:ascii="宋体" w:hAnsi="宋体" w:eastAsia="宋体" w:cs="Times New Roman"/>
      <w:kern w:val="2"/>
      <w:sz w:val="21"/>
      <w:szCs w:val="24"/>
      <w:lang w:val="en-US" w:eastAsia="zh-CN" w:bidi="ar-SA"/>
    </w:rPr>
  </w:style>
  <w:style w:type="paragraph" w:customStyle="1" w:styleId="821">
    <w:name w:val="xl34"/>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822">
    <w:name w:val="节标题"/>
    <w:basedOn w:val="1"/>
    <w:autoRedefine/>
    <w:qFormat/>
    <w:uiPriority w:val="0"/>
    <w:pPr>
      <w:widowControl/>
      <w:spacing w:line="289" w:lineRule="atLeast"/>
      <w:jc w:val="center"/>
    </w:pPr>
    <w:rPr>
      <w:rFonts w:ascii="宋体" w:hAnsi="宋体"/>
      <w:color w:val="000000"/>
      <w:kern w:val="0"/>
      <w:sz w:val="28"/>
      <w:szCs w:val="20"/>
      <w:u w:color="000000"/>
    </w:rPr>
  </w:style>
  <w:style w:type="paragraph" w:customStyle="1" w:styleId="823">
    <w:name w:val="小节标题"/>
    <w:basedOn w:val="1"/>
    <w:autoRedefine/>
    <w:qFormat/>
    <w:uiPriority w:val="0"/>
    <w:pPr>
      <w:widowControl/>
      <w:spacing w:before="175" w:after="102" w:line="351" w:lineRule="atLeast"/>
      <w:jc w:val="left"/>
    </w:pPr>
    <w:rPr>
      <w:rFonts w:ascii="宋体" w:hAnsi="宋体" w:eastAsia="黑体"/>
      <w:color w:val="000000"/>
      <w:kern w:val="0"/>
      <w:sz w:val="24"/>
      <w:szCs w:val="20"/>
      <w:u w:color="000000"/>
    </w:rPr>
  </w:style>
  <w:style w:type="paragraph" w:customStyle="1" w:styleId="824">
    <w:name w:val="样式 正文段落 + 五号"/>
    <w:basedOn w:val="1"/>
    <w:autoRedefine/>
    <w:qFormat/>
    <w:uiPriority w:val="0"/>
    <w:pPr>
      <w:widowControl/>
      <w:topLinePunct/>
      <w:autoSpaceDN w:val="0"/>
      <w:adjustRightInd w:val="0"/>
      <w:spacing w:line="500" w:lineRule="exact"/>
      <w:jc w:val="center"/>
    </w:pPr>
    <w:rPr>
      <w:rFonts w:ascii="Arial Narrow" w:hAnsi="Arial Narrow" w:eastAsia="汉鼎简书宋"/>
      <w:kern w:val="0"/>
      <w:sz w:val="24"/>
      <w:szCs w:val="20"/>
    </w:rPr>
  </w:style>
  <w:style w:type="paragraph" w:customStyle="1" w:styleId="825">
    <w:name w:val="样式 黑体 三号 居中 左侧:  0.85 厘米"/>
    <w:basedOn w:val="1"/>
    <w:qFormat/>
    <w:uiPriority w:val="0"/>
    <w:pPr>
      <w:widowControl/>
      <w:topLinePunct/>
      <w:spacing w:line="529" w:lineRule="exact"/>
      <w:ind w:left="482"/>
      <w:jc w:val="center"/>
    </w:pPr>
    <w:rPr>
      <w:rFonts w:ascii="Arial Narrow" w:hAnsi="Arial Narrow" w:eastAsia="汉鼎简书宋" w:cs="宋体"/>
      <w:b/>
      <w:kern w:val="0"/>
      <w:sz w:val="32"/>
      <w:szCs w:val="20"/>
    </w:rPr>
  </w:style>
  <w:style w:type="paragraph" w:customStyle="1" w:styleId="826">
    <w:name w:val="样式 标题 3条标题1.1.1BSH-3 + 段后: 0 磅 行距: 固定值 28 磅"/>
    <w:basedOn w:val="5"/>
    <w:qFormat/>
    <w:uiPriority w:val="0"/>
    <w:pPr>
      <w:keepLines w:val="0"/>
      <w:widowControl/>
      <w:spacing w:before="0" w:after="0" w:line="240" w:lineRule="auto"/>
      <w:ind w:firstLine="420" w:firstLineChars="150"/>
      <w:jc w:val="left"/>
    </w:pPr>
    <w:rPr>
      <w:rFonts w:ascii="黑体" w:hAnsi="宋体" w:eastAsia="黑体" w:cs="宋体"/>
      <w:b w:val="0"/>
      <w:bCs w:val="0"/>
      <w:color w:val="339966"/>
      <w:kern w:val="0"/>
      <w:sz w:val="28"/>
      <w:szCs w:val="28"/>
      <w:lang w:val="zh-CN"/>
    </w:rPr>
  </w:style>
  <w:style w:type="paragraph" w:customStyle="1" w:styleId="827">
    <w:name w:val="Char Char Char Char Char Char1 Char1"/>
    <w:basedOn w:val="1"/>
    <w:autoRedefine/>
    <w:qFormat/>
    <w:uiPriority w:val="0"/>
    <w:pPr>
      <w:widowControl/>
      <w:jc w:val="left"/>
    </w:pPr>
    <w:rPr>
      <w:kern w:val="0"/>
      <w:sz w:val="24"/>
      <w:szCs w:val="21"/>
    </w:rPr>
  </w:style>
  <w:style w:type="paragraph" w:customStyle="1" w:styleId="828">
    <w:name w:val="xl62"/>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829">
    <w:name w:val="样式 正文文本缩进 2 + (西文) Times New Roman (中文) 仿宋_GB2312 非加粗 黑色 两端对..."/>
    <w:basedOn w:val="47"/>
    <w:autoRedefine/>
    <w:qFormat/>
    <w:uiPriority w:val="0"/>
    <w:pPr>
      <w:keepNext/>
      <w:widowControl/>
      <w:spacing w:line="360" w:lineRule="auto"/>
      <w:ind w:left="0" w:leftChars="0" w:firstLine="560" w:firstLineChars="200"/>
      <w:jc w:val="left"/>
    </w:pPr>
    <w:rPr>
      <w:rFonts w:eastAsia="仿宋_GB2312" w:cs="宋体"/>
      <w:color w:val="000000"/>
      <w:kern w:val="0"/>
      <w:sz w:val="28"/>
      <w:szCs w:val="20"/>
    </w:rPr>
  </w:style>
  <w:style w:type="paragraph" w:customStyle="1" w:styleId="830">
    <w:name w:val="Char Char Char Char Char Char Char Char Char"/>
    <w:basedOn w:val="1"/>
    <w:qFormat/>
    <w:uiPriority w:val="0"/>
    <w:pPr>
      <w:widowControl/>
      <w:spacing w:line="360" w:lineRule="auto"/>
      <w:ind w:firstLine="200" w:firstLineChars="200"/>
      <w:jc w:val="left"/>
    </w:pPr>
    <w:rPr>
      <w:rFonts w:eastAsia="Times New Roman" w:cs="宋体"/>
      <w:kern w:val="0"/>
      <w:sz w:val="24"/>
    </w:rPr>
  </w:style>
  <w:style w:type="paragraph" w:customStyle="1" w:styleId="831">
    <w:name w:val="样式 标题 2 + 行距: 1.5 倍行距"/>
    <w:basedOn w:val="4"/>
    <w:autoRedefine/>
    <w:qFormat/>
    <w:uiPriority w:val="0"/>
    <w:pPr>
      <w:keepNext w:val="0"/>
      <w:keepLines w:val="0"/>
      <w:widowControl/>
      <w:tabs>
        <w:tab w:val="left" w:pos="964"/>
      </w:tabs>
      <w:autoSpaceDE w:val="0"/>
      <w:autoSpaceDN w:val="0"/>
      <w:adjustRightInd w:val="0"/>
      <w:snapToGrid w:val="0"/>
      <w:spacing w:beforeLines="100" w:after="0" w:line="240" w:lineRule="auto"/>
      <w:ind w:left="964" w:hanging="737"/>
      <w:jc w:val="left"/>
    </w:pPr>
    <w:rPr>
      <w:rFonts w:ascii="Times New Roman" w:hAnsi="Times New Roman" w:eastAsia="宋体" w:cs="宋体"/>
      <w:b w:val="0"/>
      <w:bCs w:val="0"/>
      <w:i/>
      <w:iCs/>
      <w:kern w:val="44"/>
      <w:sz w:val="28"/>
      <w:szCs w:val="28"/>
    </w:rPr>
  </w:style>
  <w:style w:type="paragraph" w:customStyle="1" w:styleId="832">
    <w:name w:val="Char Char Char1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833">
    <w:name w:val="样式 左侧:  0.85 厘米 首行缩进:  0 字符"/>
    <w:basedOn w:val="1"/>
    <w:autoRedefine/>
    <w:qFormat/>
    <w:uiPriority w:val="0"/>
    <w:pPr>
      <w:widowControl/>
      <w:topLinePunct/>
      <w:spacing w:line="529" w:lineRule="exact"/>
      <w:ind w:left="480"/>
      <w:jc w:val="left"/>
    </w:pPr>
    <w:rPr>
      <w:rFonts w:eastAsia="汉鼎简书宋" w:cs="宋体"/>
      <w:kern w:val="0"/>
      <w:sz w:val="24"/>
      <w:szCs w:val="20"/>
    </w:rPr>
  </w:style>
  <w:style w:type="paragraph" w:customStyle="1" w:styleId="834">
    <w:name w:val="样式 首行缩进:  0.85 厘米 行距: 固定值 26 磅"/>
    <w:basedOn w:val="1"/>
    <w:qFormat/>
    <w:uiPriority w:val="0"/>
    <w:pPr>
      <w:widowControl/>
      <w:spacing w:line="530" w:lineRule="exact"/>
      <w:ind w:firstLine="482" w:firstLineChars="200"/>
      <w:jc w:val="left"/>
    </w:pPr>
    <w:rPr>
      <w:rFonts w:cs="宋体"/>
      <w:kern w:val="0"/>
      <w:sz w:val="24"/>
      <w:szCs w:val="20"/>
    </w:rPr>
  </w:style>
  <w:style w:type="paragraph" w:customStyle="1" w:styleId="835">
    <w:name w:val="表格样式11"/>
    <w:basedOn w:val="1"/>
    <w:qFormat/>
    <w:uiPriority w:val="0"/>
    <w:pPr>
      <w:widowControl/>
      <w:spacing w:line="360" w:lineRule="exact"/>
      <w:jc w:val="center"/>
    </w:pPr>
    <w:rPr>
      <w:rFonts w:ascii="宋体" w:hAnsi="宋体" w:cs="Arial"/>
      <w:kern w:val="0"/>
      <w:sz w:val="24"/>
    </w:rPr>
  </w:style>
  <w:style w:type="paragraph" w:customStyle="1" w:styleId="836">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eastAsia="汉鼎简书宋"/>
      <w:kern w:val="0"/>
      <w:sz w:val="20"/>
      <w:szCs w:val="20"/>
    </w:rPr>
  </w:style>
  <w:style w:type="paragraph" w:customStyle="1" w:styleId="837">
    <w:name w:val="样式 宋体 四号 行距: 1.5 倍行距"/>
    <w:basedOn w:val="1"/>
    <w:qFormat/>
    <w:uiPriority w:val="0"/>
    <w:pPr>
      <w:widowControl/>
      <w:spacing w:line="560" w:lineRule="exact"/>
      <w:jc w:val="left"/>
    </w:pPr>
    <w:rPr>
      <w:kern w:val="0"/>
      <w:sz w:val="28"/>
      <w:szCs w:val="28"/>
    </w:rPr>
  </w:style>
  <w:style w:type="paragraph" w:customStyle="1" w:styleId="838">
    <w:name w:val="图片"/>
    <w:basedOn w:val="1"/>
    <w:autoRedefine/>
    <w:qFormat/>
    <w:uiPriority w:val="0"/>
    <w:pPr>
      <w:widowControl/>
      <w:spacing w:beforeLines="100" w:line="312" w:lineRule="auto"/>
      <w:jc w:val="left"/>
    </w:pPr>
    <w:rPr>
      <w:kern w:val="0"/>
      <w:sz w:val="24"/>
      <w:szCs w:val="20"/>
    </w:rPr>
  </w:style>
  <w:style w:type="paragraph" w:customStyle="1" w:styleId="839">
    <w:name w:val="样节"/>
    <w:basedOn w:val="1"/>
    <w:qFormat/>
    <w:uiPriority w:val="0"/>
    <w:pPr>
      <w:keepNext/>
      <w:widowControl/>
      <w:spacing w:line="500" w:lineRule="exact"/>
      <w:jc w:val="left"/>
    </w:pPr>
    <w:rPr>
      <w:rFonts w:ascii="Times" w:hAnsi="Times" w:eastAsia="仿宋_GB2312"/>
      <w:b/>
      <w:bCs/>
      <w:kern w:val="0"/>
      <w:sz w:val="32"/>
    </w:rPr>
  </w:style>
  <w:style w:type="paragraph" w:customStyle="1" w:styleId="840">
    <w:name w:val="样式 标题 4 + Times New Roman 自动设置"/>
    <w:basedOn w:val="6"/>
    <w:qFormat/>
    <w:uiPriority w:val="0"/>
    <w:pPr>
      <w:keepNext w:val="0"/>
      <w:keepLines w:val="0"/>
      <w:widowControl/>
      <w:tabs>
        <w:tab w:val="left" w:pos="864"/>
      </w:tabs>
      <w:spacing w:beforeLines="50" w:after="0" w:line="360" w:lineRule="auto"/>
      <w:ind w:left="864" w:hanging="864"/>
      <w:jc w:val="left"/>
    </w:pPr>
    <w:rPr>
      <w:rFonts w:ascii="黑体" w:hAnsi="Times New Roman" w:eastAsia="宋体"/>
      <w:b w:val="0"/>
      <w:kern w:val="0"/>
      <w:sz w:val="24"/>
      <w:szCs w:val="24"/>
    </w:rPr>
  </w:style>
  <w:style w:type="paragraph" w:customStyle="1" w:styleId="841">
    <w:name w:val="样式 表文字 + 首行缩进:  0 字符"/>
    <w:basedOn w:val="184"/>
    <w:autoRedefine/>
    <w:qFormat/>
    <w:uiPriority w:val="0"/>
    <w:pPr>
      <w:widowControl/>
      <w:overflowPunct w:val="0"/>
      <w:topLinePunct/>
      <w:adjustRightInd w:val="0"/>
    </w:pPr>
    <w:rPr>
      <w:rFonts w:cs="宋体"/>
      <w:kern w:val="0"/>
      <w:sz w:val="21"/>
      <w:szCs w:val="20"/>
    </w:rPr>
  </w:style>
  <w:style w:type="paragraph" w:customStyle="1" w:styleId="842">
    <w:name w:val="样式 表文字 +"/>
    <w:basedOn w:val="184"/>
    <w:qFormat/>
    <w:uiPriority w:val="0"/>
    <w:pPr>
      <w:widowControl/>
      <w:topLinePunct/>
      <w:adjustRightInd w:val="0"/>
    </w:pPr>
    <w:rPr>
      <w:rFonts w:cs="宋体"/>
      <w:kern w:val="0"/>
      <w:sz w:val="21"/>
      <w:szCs w:val="20"/>
    </w:rPr>
  </w:style>
  <w:style w:type="paragraph" w:customStyle="1" w:styleId="843">
    <w:name w:val="标题4，地震报告2级段落名"/>
    <w:basedOn w:val="1"/>
    <w:qFormat/>
    <w:uiPriority w:val="0"/>
    <w:pPr>
      <w:widowControl/>
      <w:spacing w:before="60" w:after="60" w:line="500" w:lineRule="exact"/>
      <w:ind w:firstLine="200" w:firstLineChars="200"/>
      <w:jc w:val="left"/>
      <w:outlineLvl w:val="3"/>
    </w:pPr>
    <w:rPr>
      <w:rFonts w:ascii="楷体_GB2312" w:hAnsi="Arial" w:eastAsia="楷体_GB2312" w:cs="Arial"/>
      <w:b/>
      <w:w w:val="90"/>
      <w:kern w:val="28"/>
      <w:sz w:val="28"/>
      <w:szCs w:val="32"/>
    </w:rPr>
  </w:style>
  <w:style w:type="paragraph" w:customStyle="1" w:styleId="844">
    <w:name w:val="Char1 Char Char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845">
    <w:name w:val="日期11"/>
    <w:basedOn w:val="1"/>
    <w:autoRedefine/>
    <w:qFormat/>
    <w:uiPriority w:val="0"/>
    <w:pPr>
      <w:widowControl/>
      <w:adjustRightInd w:val="0"/>
      <w:spacing w:line="529" w:lineRule="exact"/>
      <w:ind w:firstLine="420"/>
      <w:jc w:val="left"/>
    </w:pPr>
    <w:rPr>
      <w:rFonts w:ascii="宋体" w:eastAsia="汉鼎简书宋"/>
      <w:b/>
      <w:kern w:val="0"/>
      <w:sz w:val="28"/>
      <w:szCs w:val="20"/>
    </w:rPr>
  </w:style>
  <w:style w:type="paragraph" w:customStyle="1" w:styleId="846">
    <w:name w:val="样式 首行缩进:  0.85 厘米"/>
    <w:basedOn w:val="1"/>
    <w:qFormat/>
    <w:uiPriority w:val="0"/>
    <w:pPr>
      <w:widowControl/>
      <w:spacing w:line="529" w:lineRule="exact"/>
      <w:ind w:firstLine="454" w:firstLineChars="200"/>
      <w:jc w:val="left"/>
    </w:pPr>
    <w:rPr>
      <w:rFonts w:cs="宋体"/>
      <w:kern w:val="0"/>
      <w:sz w:val="24"/>
      <w:szCs w:val="20"/>
    </w:rPr>
  </w:style>
  <w:style w:type="paragraph" w:customStyle="1" w:styleId="847">
    <w:name w:val="正文文字缩进2"/>
    <w:basedOn w:val="47"/>
    <w:autoRedefine/>
    <w:qFormat/>
    <w:uiPriority w:val="0"/>
    <w:pPr>
      <w:widowControl/>
      <w:spacing w:after="0" w:line="360" w:lineRule="auto"/>
      <w:ind w:left="0" w:leftChars="0" w:firstLine="560" w:firstLineChars="200"/>
      <w:jc w:val="left"/>
    </w:pPr>
    <w:rPr>
      <w:rFonts w:ascii="仿宋_GB2312" w:eastAsia="仿宋_GB2312"/>
      <w:kern w:val="0"/>
      <w:sz w:val="28"/>
      <w:szCs w:val="28"/>
    </w:rPr>
  </w:style>
  <w:style w:type="paragraph" w:customStyle="1" w:styleId="848">
    <w:name w:val="样式 hb1 + 宋体"/>
    <w:basedOn w:val="370"/>
    <w:qFormat/>
    <w:uiPriority w:val="0"/>
    <w:pPr>
      <w:topLinePunct w:val="0"/>
      <w:spacing w:before="340" w:after="330"/>
    </w:pPr>
    <w:rPr>
      <w:rFonts w:ascii="Times New Roman" w:hAnsi="Times New Roman"/>
      <w:sz w:val="28"/>
      <w:szCs w:val="28"/>
    </w:rPr>
  </w:style>
  <w:style w:type="paragraph" w:customStyle="1" w:styleId="849">
    <w:name w:val="Char Char Char1 Char Char Char Char"/>
    <w:basedOn w:val="1"/>
    <w:autoRedefine/>
    <w:semiHidden/>
    <w:qFormat/>
    <w:uiPriority w:val="0"/>
    <w:pPr>
      <w:widowControl/>
      <w:spacing w:line="336" w:lineRule="auto"/>
      <w:ind w:firstLine="200" w:firstLineChars="200"/>
      <w:jc w:val="left"/>
    </w:pPr>
    <w:rPr>
      <w:rFonts w:ascii="宋体" w:hAnsi="宋体" w:eastAsia="汉鼎简书宋" w:cs="宋体"/>
      <w:kern w:val="0"/>
      <w:sz w:val="24"/>
    </w:rPr>
  </w:style>
  <w:style w:type="paragraph" w:customStyle="1" w:styleId="850">
    <w:name w:val="正文文本缩进2"/>
    <w:basedOn w:val="1"/>
    <w:autoRedefine/>
    <w:qFormat/>
    <w:uiPriority w:val="0"/>
    <w:pPr>
      <w:widowControl/>
      <w:spacing w:after="120"/>
      <w:ind w:left="420" w:leftChars="200"/>
      <w:jc w:val="left"/>
    </w:pPr>
    <w:rPr>
      <w:kern w:val="0"/>
      <w:sz w:val="24"/>
      <w:szCs w:val="21"/>
    </w:rPr>
  </w:style>
  <w:style w:type="paragraph" w:customStyle="1" w:styleId="851">
    <w:name w:val="样式 首行缩进:  0.85 厘米1"/>
    <w:basedOn w:val="1"/>
    <w:qFormat/>
    <w:uiPriority w:val="0"/>
    <w:pPr>
      <w:widowControl/>
      <w:spacing w:line="529" w:lineRule="exact"/>
      <w:ind w:firstLine="480" w:firstLineChars="200"/>
      <w:jc w:val="left"/>
    </w:pPr>
    <w:rPr>
      <w:rFonts w:cs="宋体"/>
      <w:kern w:val="0"/>
      <w:sz w:val="24"/>
    </w:rPr>
  </w:style>
  <w:style w:type="paragraph" w:customStyle="1" w:styleId="852">
    <w:name w:val="报告章"/>
    <w:basedOn w:val="1"/>
    <w:qFormat/>
    <w:uiPriority w:val="0"/>
    <w:pPr>
      <w:widowControl/>
      <w:spacing w:before="240" w:after="240"/>
      <w:jc w:val="center"/>
      <w:outlineLvl w:val="0"/>
    </w:pPr>
    <w:rPr>
      <w:rFonts w:eastAsia="仿宋_GB2312"/>
      <w:b/>
      <w:bCs/>
      <w:kern w:val="0"/>
      <w:sz w:val="32"/>
      <w:szCs w:val="20"/>
    </w:rPr>
  </w:style>
  <w:style w:type="paragraph" w:customStyle="1" w:styleId="853">
    <w:name w:val="Char1 Char Char Char Char Char Char1 Char Char Char1"/>
    <w:basedOn w:val="1"/>
    <w:qFormat/>
    <w:uiPriority w:val="0"/>
    <w:pPr>
      <w:widowControl/>
      <w:jc w:val="left"/>
    </w:pPr>
    <w:rPr>
      <w:kern w:val="0"/>
      <w:sz w:val="24"/>
      <w:szCs w:val="21"/>
    </w:rPr>
  </w:style>
  <w:style w:type="paragraph" w:customStyle="1" w:styleId="854">
    <w:name w:val="表头样式 Char"/>
    <w:autoRedefine/>
    <w:qFormat/>
    <w:uiPriority w:val="0"/>
    <w:pPr>
      <w:jc w:val="center"/>
    </w:pPr>
    <w:rPr>
      <w:rFonts w:ascii="宋体" w:hAnsi="宋体" w:eastAsia="宋体" w:cs="Times New Roman"/>
      <w:b/>
      <w:kern w:val="2"/>
      <w:sz w:val="28"/>
      <w:szCs w:val="28"/>
      <w:lang w:val="en-US" w:eastAsia="zh-CN" w:bidi="ar-SA"/>
    </w:rPr>
  </w:style>
  <w:style w:type="paragraph" w:customStyle="1" w:styleId="855">
    <w:name w:val="9"/>
    <w:basedOn w:val="1"/>
    <w:qFormat/>
    <w:uiPriority w:val="0"/>
    <w:pPr>
      <w:widowControl/>
      <w:spacing w:line="500" w:lineRule="exact"/>
      <w:ind w:firstLine="573"/>
      <w:jc w:val="left"/>
    </w:pPr>
    <w:rPr>
      <w:kern w:val="0"/>
      <w:sz w:val="28"/>
      <w:szCs w:val="20"/>
    </w:rPr>
  </w:style>
  <w:style w:type="paragraph" w:customStyle="1" w:styleId="856">
    <w:name w:val="环保节标题"/>
    <w:basedOn w:val="1"/>
    <w:qFormat/>
    <w:uiPriority w:val="0"/>
    <w:pPr>
      <w:keepNext/>
      <w:keepLines/>
      <w:widowControl/>
      <w:adjustRightInd w:val="0"/>
      <w:spacing w:before="260" w:after="260" w:line="416" w:lineRule="atLeast"/>
      <w:ind w:firstLine="200" w:firstLineChars="200"/>
      <w:jc w:val="left"/>
      <w:outlineLvl w:val="2"/>
    </w:pPr>
    <w:rPr>
      <w:rFonts w:eastAsia="汉鼎简书宋"/>
      <w:kern w:val="0"/>
      <w:sz w:val="24"/>
    </w:rPr>
  </w:style>
  <w:style w:type="paragraph" w:customStyle="1" w:styleId="857">
    <w:name w:val="My Text"/>
    <w:basedOn w:val="1"/>
    <w:autoRedefine/>
    <w:qFormat/>
    <w:uiPriority w:val="0"/>
    <w:pPr>
      <w:widowControl/>
      <w:spacing w:before="120" w:after="120"/>
      <w:ind w:firstLine="454"/>
      <w:jc w:val="left"/>
    </w:pPr>
    <w:rPr>
      <w:rFonts w:ascii="楷体_GB2312" w:hAnsi="宋体"/>
      <w:kern w:val="0"/>
      <w:sz w:val="24"/>
      <w:szCs w:val="20"/>
    </w:rPr>
  </w:style>
  <w:style w:type="paragraph" w:customStyle="1" w:styleId="858">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859">
    <w:name w:val="a"/>
    <w:basedOn w:val="1"/>
    <w:autoRedefine/>
    <w:qFormat/>
    <w:uiPriority w:val="0"/>
    <w:pPr>
      <w:widowControl/>
      <w:ind w:firstLine="560" w:firstLineChars="200"/>
      <w:jc w:val="left"/>
    </w:pPr>
    <w:rPr>
      <w:rFonts w:ascii="仿宋_GB2312" w:eastAsia="仿宋_GB2312"/>
      <w:kern w:val="0"/>
      <w:sz w:val="28"/>
      <w:szCs w:val="28"/>
    </w:rPr>
  </w:style>
  <w:style w:type="paragraph" w:customStyle="1" w:styleId="860">
    <w:name w:val="xl53"/>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861">
    <w:name w:val="样式 hb4 + 段前: 0.5 行 段后: 0.5 行1"/>
    <w:basedOn w:val="566"/>
    <w:autoRedefine/>
    <w:qFormat/>
    <w:uiPriority w:val="0"/>
    <w:pPr>
      <w:topLinePunct w:val="0"/>
      <w:spacing w:beforeLines="0" w:afterLines="0" w:line="529" w:lineRule="exact"/>
    </w:pPr>
    <w:rPr>
      <w:rFonts w:ascii="Times New Roman" w:hAnsi="Arial" w:cs="宋体"/>
      <w:kern w:val="24"/>
      <w:szCs w:val="20"/>
    </w:rPr>
  </w:style>
  <w:style w:type="paragraph" w:customStyle="1" w:styleId="862">
    <w:name w:val="样式 样式 标题 1 + 首行缩进:  2 字符 + 首行缩进:  0 字符"/>
    <w:basedOn w:val="1"/>
    <w:qFormat/>
    <w:uiPriority w:val="0"/>
    <w:pPr>
      <w:keepNext/>
      <w:keepLines/>
      <w:widowControl/>
      <w:spacing w:before="340" w:after="330" w:line="578" w:lineRule="auto"/>
      <w:jc w:val="left"/>
      <w:outlineLvl w:val="0"/>
    </w:pPr>
    <w:rPr>
      <w:rFonts w:eastAsia="楷体_GB2312" w:cs="宋体"/>
      <w:b/>
      <w:bCs/>
      <w:kern w:val="44"/>
      <w:sz w:val="32"/>
      <w:szCs w:val="20"/>
    </w:rPr>
  </w:style>
  <w:style w:type="paragraph" w:customStyle="1" w:styleId="863">
    <w:name w:val="xl32"/>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b/>
      <w:bCs/>
      <w:kern w:val="0"/>
      <w:sz w:val="20"/>
      <w:szCs w:val="20"/>
    </w:rPr>
  </w:style>
  <w:style w:type="paragraph" w:customStyle="1" w:styleId="864">
    <w:name w:val="标题3样式"/>
    <w:basedOn w:val="5"/>
    <w:qFormat/>
    <w:uiPriority w:val="0"/>
    <w:pPr>
      <w:keepLines w:val="0"/>
      <w:widowControl/>
      <w:spacing w:before="0" w:after="0" w:line="240" w:lineRule="auto"/>
      <w:jc w:val="left"/>
    </w:pPr>
    <w:rPr>
      <w:rFonts w:ascii="黑体" w:hAnsi="Cambria" w:eastAsia="黑体"/>
      <w:b w:val="0"/>
      <w:kern w:val="0"/>
      <w:sz w:val="24"/>
      <w:szCs w:val="26"/>
    </w:rPr>
  </w:style>
  <w:style w:type="paragraph" w:customStyle="1" w:styleId="865">
    <w:name w:val="二级标题 Char Char Char"/>
    <w:basedOn w:val="1"/>
    <w:autoRedefine/>
    <w:qFormat/>
    <w:uiPriority w:val="0"/>
    <w:pPr>
      <w:widowControl/>
      <w:ind w:firstLine="200" w:firstLineChars="200"/>
      <w:jc w:val="left"/>
    </w:pPr>
    <w:rPr>
      <w:rFonts w:ascii="宋体" w:hAnsi="宋体" w:cs="宋体"/>
      <w:kern w:val="0"/>
      <w:sz w:val="24"/>
    </w:rPr>
  </w:style>
  <w:style w:type="paragraph" w:customStyle="1" w:styleId="866">
    <w:name w:val="样式 hb1 + 首行缩进:  1.13 厘米"/>
    <w:basedOn w:val="1"/>
    <w:autoRedefine/>
    <w:qFormat/>
    <w:uiPriority w:val="0"/>
    <w:pPr>
      <w:keepNext/>
      <w:keepLines/>
      <w:pageBreakBefore/>
      <w:widowControl/>
      <w:adjustRightInd w:val="0"/>
      <w:spacing w:before="240" w:after="600" w:line="578" w:lineRule="atLeast"/>
      <w:jc w:val="center"/>
      <w:outlineLvl w:val="0"/>
    </w:pPr>
    <w:rPr>
      <w:rFonts w:cs="宋体"/>
      <w:b/>
      <w:bCs/>
      <w:kern w:val="44"/>
      <w:sz w:val="32"/>
      <w:szCs w:val="20"/>
    </w:rPr>
  </w:style>
  <w:style w:type="paragraph" w:customStyle="1" w:styleId="867">
    <w:name w:val="样式 正文3 + 行距: 固定值 25 磅"/>
    <w:basedOn w:val="180"/>
    <w:qFormat/>
    <w:uiPriority w:val="0"/>
    <w:pPr>
      <w:widowControl/>
      <w:spacing w:line="500" w:lineRule="exact"/>
      <w:ind w:firstLine="480"/>
      <w:jc w:val="left"/>
    </w:pPr>
    <w:rPr>
      <w:rFonts w:ascii="Times New Roman" w:cs="宋体"/>
      <w:kern w:val="24"/>
      <w:szCs w:val="20"/>
    </w:rPr>
  </w:style>
  <w:style w:type="paragraph" w:customStyle="1" w:styleId="868">
    <w:name w:val="正文新"/>
    <w:basedOn w:val="21"/>
    <w:qFormat/>
    <w:uiPriority w:val="0"/>
    <w:pPr>
      <w:widowControl/>
      <w:topLinePunct/>
      <w:spacing w:line="500" w:lineRule="exact"/>
      <w:ind w:firstLine="420"/>
      <w:jc w:val="left"/>
    </w:pPr>
    <w:rPr>
      <w:rFonts w:ascii="宋体" w:hAnsi="宋体" w:eastAsia="汉鼎简书宋" w:cs="宋体"/>
      <w:kern w:val="0"/>
      <w:sz w:val="24"/>
      <w:szCs w:val="20"/>
    </w:rPr>
  </w:style>
  <w:style w:type="paragraph" w:customStyle="1" w:styleId="869">
    <w:name w:val="样式 黑体 三号 居中 行距: 单倍行距"/>
    <w:basedOn w:val="1"/>
    <w:qFormat/>
    <w:uiPriority w:val="0"/>
    <w:pPr>
      <w:widowControl/>
      <w:adjustRightInd w:val="0"/>
      <w:spacing w:line="529" w:lineRule="exact"/>
      <w:ind w:firstLine="420"/>
      <w:jc w:val="center"/>
    </w:pPr>
    <w:rPr>
      <w:rFonts w:ascii="黑体" w:eastAsia="黑体" w:cs="宋体"/>
      <w:kern w:val="0"/>
      <w:sz w:val="32"/>
      <w:szCs w:val="20"/>
    </w:rPr>
  </w:style>
  <w:style w:type="paragraph" w:customStyle="1" w:styleId="870">
    <w:name w:val="样式 四号 非加粗 加宽量  0.2 磅 行距: 多倍行距 1.35 字行"/>
    <w:basedOn w:val="1"/>
    <w:autoRedefine/>
    <w:qFormat/>
    <w:uiPriority w:val="0"/>
    <w:pPr>
      <w:widowControl/>
      <w:spacing w:line="324" w:lineRule="auto"/>
      <w:ind w:firstLine="576" w:firstLineChars="200"/>
      <w:jc w:val="left"/>
    </w:pPr>
    <w:rPr>
      <w:spacing w:val="4"/>
      <w:kern w:val="0"/>
      <w:sz w:val="28"/>
      <w:szCs w:val="20"/>
    </w:rPr>
  </w:style>
  <w:style w:type="paragraph" w:customStyle="1" w:styleId="871">
    <w:name w:val="Char Char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872">
    <w:name w:val="TOC 标题1"/>
    <w:basedOn w:val="3"/>
    <w:autoRedefine/>
    <w:qFormat/>
    <w:uiPriority w:val="39"/>
    <w:pPr>
      <w:keepLines w:val="0"/>
      <w:widowControl/>
      <w:spacing w:before="240" w:after="60" w:line="240" w:lineRule="auto"/>
      <w:jc w:val="left"/>
      <w:outlineLvl w:val="9"/>
    </w:pPr>
    <w:rPr>
      <w:rFonts w:ascii="Cambria" w:hAnsi="Cambria"/>
      <w:kern w:val="32"/>
      <w:sz w:val="32"/>
      <w:szCs w:val="32"/>
    </w:rPr>
  </w:style>
  <w:style w:type="paragraph" w:customStyle="1" w:styleId="873">
    <w:name w:val="二级无标题条"/>
    <w:basedOn w:val="1"/>
    <w:qFormat/>
    <w:uiPriority w:val="0"/>
    <w:pPr>
      <w:widowControl/>
      <w:jc w:val="left"/>
    </w:pPr>
    <w:rPr>
      <w:kern w:val="0"/>
      <w:sz w:val="24"/>
    </w:rPr>
  </w:style>
  <w:style w:type="paragraph" w:customStyle="1" w:styleId="874">
    <w:name w:val="样式10"/>
    <w:basedOn w:val="42"/>
    <w:qFormat/>
    <w:uiPriority w:val="0"/>
    <w:pPr>
      <w:widowControl/>
      <w:topLinePunct/>
      <w:spacing w:line="500" w:lineRule="exact"/>
      <w:ind w:firstLine="200" w:firstLineChars="200"/>
      <w:jc w:val="left"/>
    </w:pPr>
    <w:rPr>
      <w:rFonts w:hAnsi="Courier New" w:eastAsia="汉鼎简书宋" w:cs="Courier New"/>
      <w:b/>
      <w:kern w:val="0"/>
      <w:sz w:val="28"/>
      <w:szCs w:val="20"/>
    </w:rPr>
  </w:style>
  <w:style w:type="paragraph" w:customStyle="1" w:styleId="875">
    <w:name w:val="样式 首行缩进:  1.69 厘米"/>
    <w:basedOn w:val="1"/>
    <w:autoRedefine/>
    <w:qFormat/>
    <w:uiPriority w:val="0"/>
    <w:pPr>
      <w:widowControl/>
      <w:tabs>
        <w:tab w:val="left" w:pos="2400"/>
      </w:tabs>
      <w:adjustRightInd w:val="0"/>
      <w:snapToGrid w:val="0"/>
      <w:ind w:firstLine="482"/>
      <w:jc w:val="left"/>
    </w:pPr>
    <w:rPr>
      <w:rFonts w:cs="宋体"/>
      <w:color w:val="FF0000"/>
      <w:kern w:val="0"/>
      <w:sz w:val="24"/>
    </w:rPr>
  </w:style>
  <w:style w:type="paragraph" w:customStyle="1" w:styleId="876">
    <w:name w:val="正文 + 宋体"/>
    <w:basedOn w:val="1"/>
    <w:qFormat/>
    <w:uiPriority w:val="0"/>
    <w:pPr>
      <w:widowControl/>
      <w:spacing w:line="520" w:lineRule="exact"/>
      <w:jc w:val="left"/>
    </w:pPr>
    <w:rPr>
      <w:rFonts w:hint="eastAsia" w:ascii="宋体" w:hAnsi="宋体"/>
      <w:kern w:val="0"/>
      <w:sz w:val="24"/>
    </w:rPr>
  </w:style>
  <w:style w:type="paragraph" w:customStyle="1" w:styleId="877">
    <w:name w:val="立项标题2"/>
    <w:basedOn w:val="21"/>
    <w:qFormat/>
    <w:uiPriority w:val="0"/>
    <w:pPr>
      <w:widowControl/>
      <w:spacing w:line="360" w:lineRule="auto"/>
      <w:ind w:left="643" w:firstLine="0" w:firstLineChars="0"/>
      <w:jc w:val="left"/>
    </w:pPr>
    <w:rPr>
      <w:rFonts w:eastAsia="仿宋_GB2312"/>
      <w:b/>
      <w:kern w:val="0"/>
      <w:sz w:val="30"/>
      <w:szCs w:val="20"/>
    </w:rPr>
  </w:style>
  <w:style w:type="paragraph" w:customStyle="1" w:styleId="878">
    <w:name w:val="样式 标题4 + 行距: 1.5 倍行距"/>
    <w:basedOn w:val="21"/>
    <w:qFormat/>
    <w:uiPriority w:val="0"/>
    <w:pPr>
      <w:widowControl/>
      <w:tabs>
        <w:tab w:val="left" w:pos="3450"/>
      </w:tabs>
      <w:autoSpaceDE w:val="0"/>
      <w:autoSpaceDN w:val="0"/>
      <w:adjustRightInd w:val="0"/>
      <w:snapToGrid w:val="0"/>
      <w:spacing w:beforeLines="50" w:line="360" w:lineRule="auto"/>
      <w:ind w:left="2540" w:hanging="1405" w:firstLineChars="0"/>
      <w:jc w:val="left"/>
      <w:outlineLvl w:val="3"/>
    </w:pPr>
    <w:rPr>
      <w:rFonts w:eastAsia="黑体" w:cs="宋体"/>
      <w:spacing w:val="10"/>
      <w:kern w:val="0"/>
      <w:sz w:val="28"/>
      <w:szCs w:val="20"/>
    </w:rPr>
  </w:style>
  <w:style w:type="paragraph" w:customStyle="1" w:styleId="879">
    <w:name w:val="Char2 Char Char Char1 Char Char Char"/>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880">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宋体" w:hAnsi="宋体" w:eastAsia="汉鼎简书宋" w:cs="宋体"/>
      <w:kern w:val="0"/>
      <w:sz w:val="20"/>
      <w:szCs w:val="20"/>
    </w:rPr>
  </w:style>
  <w:style w:type="paragraph" w:customStyle="1" w:styleId="881">
    <w:name w:val="文章副标题"/>
    <w:basedOn w:val="1"/>
    <w:autoRedefine/>
    <w:qFormat/>
    <w:uiPriority w:val="0"/>
    <w:pPr>
      <w:widowControl/>
      <w:spacing w:before="187" w:after="175" w:line="374" w:lineRule="atLeast"/>
      <w:jc w:val="center"/>
    </w:pPr>
    <w:rPr>
      <w:rFonts w:ascii="宋体" w:hAnsi="宋体"/>
      <w:color w:val="000000"/>
      <w:kern w:val="0"/>
      <w:sz w:val="36"/>
      <w:szCs w:val="20"/>
      <w:u w:color="000000"/>
    </w:rPr>
  </w:style>
  <w:style w:type="paragraph" w:customStyle="1" w:styleId="882">
    <w:name w:val="样式 标题 1 + 段前: 8.25 磅"/>
    <w:basedOn w:val="3"/>
    <w:qFormat/>
    <w:uiPriority w:val="0"/>
    <w:pPr>
      <w:keepLines w:val="0"/>
      <w:pageBreakBefore/>
      <w:widowControl/>
      <w:autoSpaceDE w:val="0"/>
      <w:autoSpaceDN w:val="0"/>
      <w:adjustRightInd w:val="0"/>
      <w:spacing w:beforeLines="100" w:after="240" w:line="360" w:lineRule="auto"/>
      <w:ind w:left="567" w:hanging="567"/>
      <w:jc w:val="center"/>
    </w:pPr>
    <w:rPr>
      <w:rFonts w:ascii="Cambria" w:hAnsi="Cambria" w:eastAsia="黑体" w:cs="宋体"/>
      <w:b w:val="0"/>
      <w:bCs w:val="0"/>
      <w:spacing w:val="10"/>
      <w:kern w:val="32"/>
      <w:sz w:val="36"/>
      <w:szCs w:val="20"/>
    </w:rPr>
  </w:style>
  <w:style w:type="character" w:customStyle="1" w:styleId="883">
    <w:name w:val="尾注文本 Char2"/>
    <w:basedOn w:val="83"/>
    <w:autoRedefine/>
    <w:qFormat/>
    <w:uiPriority w:val="0"/>
    <w:rPr>
      <w:rFonts w:ascii="Times New Roman" w:hAnsi="Times New Roman"/>
      <w:kern w:val="2"/>
      <w:sz w:val="21"/>
      <w:szCs w:val="24"/>
    </w:rPr>
  </w:style>
  <w:style w:type="character" w:customStyle="1" w:styleId="884">
    <w:name w:val="副标题 Char3"/>
    <w:basedOn w:val="83"/>
    <w:autoRedefine/>
    <w:qFormat/>
    <w:uiPriority w:val="0"/>
    <w:rPr>
      <w:rFonts w:asciiTheme="majorHAnsi" w:hAnsiTheme="majorHAnsi" w:cstheme="majorBidi"/>
      <w:b/>
      <w:bCs/>
      <w:kern w:val="28"/>
      <w:sz w:val="32"/>
      <w:szCs w:val="32"/>
    </w:rPr>
  </w:style>
  <w:style w:type="paragraph" w:customStyle="1" w:styleId="885">
    <w:name w:val="样式 样式 标题 2 + 宋体 小三 非加粗 行距: 1.5 倍行距 + 加粗 左侧:  0.35 厘米"/>
    <w:basedOn w:val="1"/>
    <w:qFormat/>
    <w:uiPriority w:val="0"/>
    <w:pPr>
      <w:keepNext/>
      <w:keepLines/>
      <w:widowControl/>
      <w:spacing w:before="260" w:after="260" w:line="360" w:lineRule="auto"/>
      <w:ind w:left="200"/>
      <w:jc w:val="left"/>
      <w:outlineLvl w:val="1"/>
    </w:pPr>
    <w:rPr>
      <w:rFonts w:ascii="宋体" w:hAnsi="宋体" w:eastAsia="仿宋_GB2312" w:cs="宋体"/>
      <w:b/>
      <w:bCs/>
      <w:kern w:val="0"/>
      <w:sz w:val="30"/>
      <w:szCs w:val="20"/>
    </w:rPr>
  </w:style>
  <w:style w:type="paragraph" w:customStyle="1" w:styleId="886">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887">
    <w:name w:val="正正文 Char"/>
    <w:basedOn w:val="1"/>
    <w:autoRedefine/>
    <w:qFormat/>
    <w:uiPriority w:val="0"/>
    <w:pPr>
      <w:widowControl/>
      <w:spacing w:line="360" w:lineRule="auto"/>
      <w:jc w:val="center"/>
    </w:pPr>
    <w:rPr>
      <w:rFonts w:ascii="黑体" w:eastAsia="黑体"/>
      <w:kern w:val="0"/>
      <w:sz w:val="24"/>
    </w:rPr>
  </w:style>
  <w:style w:type="paragraph" w:customStyle="1" w:styleId="888">
    <w:name w:val="Char Char Char Char Char Char Char Char Char Char Char Char Char Char Char Char"/>
    <w:basedOn w:val="1"/>
    <w:qFormat/>
    <w:uiPriority w:val="0"/>
    <w:pPr>
      <w:widowControl/>
      <w:jc w:val="left"/>
    </w:pPr>
    <w:rPr>
      <w:kern w:val="0"/>
      <w:sz w:val="24"/>
      <w:szCs w:val="21"/>
    </w:rPr>
  </w:style>
  <w:style w:type="paragraph" w:customStyle="1" w:styleId="889">
    <w:name w:val="xl86"/>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FF"/>
      <w:kern w:val="0"/>
      <w:sz w:val="24"/>
      <w:u w:val="single"/>
    </w:rPr>
  </w:style>
  <w:style w:type="paragraph" w:customStyle="1" w:styleId="890">
    <w:name w:val="样式 表号 + 首行缩进:  0.42 厘米"/>
    <w:basedOn w:val="739"/>
    <w:qFormat/>
    <w:uiPriority w:val="0"/>
    <w:pPr>
      <w:widowControl w:val="0"/>
      <w:snapToGrid/>
    </w:pPr>
    <w:rPr>
      <w:rFonts w:eastAsia="汉鼎简书宋" w:cs="宋体"/>
      <w:kern w:val="2"/>
      <w:szCs w:val="20"/>
    </w:rPr>
  </w:style>
  <w:style w:type="paragraph" w:customStyle="1" w:styleId="891">
    <w:name w:val="wwww"/>
    <w:basedOn w:val="1"/>
    <w:autoRedefine/>
    <w:qFormat/>
    <w:uiPriority w:val="0"/>
    <w:pPr>
      <w:widowControl/>
      <w:spacing w:line="360" w:lineRule="auto"/>
      <w:ind w:firstLine="538" w:firstLineChars="192"/>
      <w:jc w:val="left"/>
    </w:pPr>
    <w:rPr>
      <w:rFonts w:ascii="仿宋_GB2312" w:eastAsia="仿宋_GB2312"/>
      <w:kern w:val="0"/>
      <w:sz w:val="28"/>
    </w:rPr>
  </w:style>
  <w:style w:type="paragraph" w:customStyle="1" w:styleId="892">
    <w:name w:val="样式 hb4 + 首行缩进:  0 厘米"/>
    <w:basedOn w:val="566"/>
    <w:autoRedefine/>
    <w:qFormat/>
    <w:uiPriority w:val="0"/>
    <w:pPr>
      <w:topLinePunct w:val="0"/>
      <w:spacing w:before="120" w:after="120" w:line="529" w:lineRule="exact"/>
    </w:pPr>
    <w:rPr>
      <w:rFonts w:ascii="Times New Roman" w:hAnsi="Times New Roman" w:cs="宋体"/>
      <w:kern w:val="24"/>
    </w:rPr>
  </w:style>
  <w:style w:type="paragraph" w:customStyle="1" w:styleId="893">
    <w:name w:val="设计章"/>
    <w:basedOn w:val="1"/>
    <w:autoRedefine/>
    <w:qFormat/>
    <w:uiPriority w:val="0"/>
    <w:pPr>
      <w:pageBreakBefore/>
      <w:widowControl/>
      <w:jc w:val="center"/>
    </w:pPr>
    <w:rPr>
      <w:rFonts w:ascii="Times" w:hAnsi="Times"/>
      <w:kern w:val="0"/>
      <w:sz w:val="32"/>
    </w:rPr>
  </w:style>
  <w:style w:type="paragraph" w:customStyle="1" w:styleId="894">
    <w:name w:val="表格样式1"/>
    <w:basedOn w:val="1"/>
    <w:autoRedefine/>
    <w:qFormat/>
    <w:uiPriority w:val="0"/>
    <w:pPr>
      <w:widowControl/>
      <w:adjustRightInd w:val="0"/>
      <w:spacing w:line="20" w:lineRule="atLeast"/>
      <w:jc w:val="center"/>
    </w:pPr>
    <w:rPr>
      <w:rFonts w:ascii="宋体"/>
      <w:kern w:val="0"/>
      <w:sz w:val="24"/>
      <w:szCs w:val="20"/>
    </w:rPr>
  </w:style>
  <w:style w:type="paragraph" w:customStyle="1" w:styleId="895">
    <w:name w:val="Char11"/>
    <w:basedOn w:val="1"/>
    <w:qFormat/>
    <w:uiPriority w:val="0"/>
    <w:pPr>
      <w:widowControl/>
      <w:spacing w:line="360" w:lineRule="auto"/>
      <w:ind w:firstLine="200" w:firstLineChars="200"/>
      <w:jc w:val="left"/>
    </w:pPr>
    <w:rPr>
      <w:rFonts w:ascii="宋体" w:hAnsi="宋体" w:cs="宋体"/>
      <w:kern w:val="0"/>
      <w:sz w:val="24"/>
    </w:rPr>
  </w:style>
  <w:style w:type="paragraph" w:customStyle="1" w:styleId="896">
    <w:name w:val="表文字（小行距）"/>
    <w:basedOn w:val="1"/>
    <w:autoRedefine/>
    <w:qFormat/>
    <w:uiPriority w:val="0"/>
    <w:pPr>
      <w:widowControl/>
      <w:adjustRightInd w:val="0"/>
      <w:spacing w:line="240" w:lineRule="exact"/>
      <w:jc w:val="left"/>
    </w:pPr>
    <w:rPr>
      <w:rFonts w:eastAsia="汉鼎简书宋"/>
      <w:kern w:val="0"/>
      <w:sz w:val="24"/>
      <w:szCs w:val="21"/>
    </w:rPr>
  </w:style>
  <w:style w:type="character" w:customStyle="1" w:styleId="897">
    <w:name w:val="签名 Char2"/>
    <w:basedOn w:val="83"/>
    <w:qFormat/>
    <w:uiPriority w:val="0"/>
    <w:rPr>
      <w:rFonts w:ascii="Times New Roman" w:hAnsi="Times New Roman"/>
      <w:kern w:val="2"/>
      <w:sz w:val="21"/>
      <w:szCs w:val="24"/>
    </w:rPr>
  </w:style>
  <w:style w:type="paragraph" w:customStyle="1" w:styleId="898">
    <w:name w:val="biaozhun"/>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99">
    <w:name w:val="表格小四"/>
    <w:basedOn w:val="1"/>
    <w:qFormat/>
    <w:uiPriority w:val="0"/>
    <w:pPr>
      <w:widowControl/>
      <w:snapToGrid w:val="0"/>
      <w:jc w:val="center"/>
    </w:pPr>
    <w:rPr>
      <w:rFonts w:eastAsia="仿宋_GB2312"/>
      <w:spacing w:val="6"/>
      <w:kern w:val="0"/>
      <w:sz w:val="24"/>
      <w:szCs w:val="21"/>
    </w:rPr>
  </w:style>
  <w:style w:type="paragraph" w:customStyle="1" w:styleId="900">
    <w:name w:val="表5号字"/>
    <w:autoRedefine/>
    <w:qFormat/>
    <w:uiPriority w:val="0"/>
    <w:pPr>
      <w:keepNext/>
      <w:widowControl w:val="0"/>
      <w:adjustRightInd w:val="0"/>
      <w:spacing w:before="120" w:line="60" w:lineRule="atLeast"/>
      <w:jc w:val="center"/>
    </w:pPr>
    <w:rPr>
      <w:rFonts w:ascii="Times New Roman" w:hAnsi="Times New Roman" w:eastAsia="宋体" w:cs="Times New Roman"/>
      <w:sz w:val="21"/>
      <w:szCs w:val="22"/>
      <w:lang w:val="en-US" w:eastAsia="zh-CN" w:bidi="ar-SA"/>
    </w:rPr>
  </w:style>
  <w:style w:type="paragraph" w:customStyle="1" w:styleId="901">
    <w:name w:val="小标"/>
    <w:basedOn w:val="42"/>
    <w:autoRedefine/>
    <w:qFormat/>
    <w:uiPriority w:val="0"/>
    <w:pPr>
      <w:widowControl/>
      <w:jc w:val="left"/>
    </w:pPr>
    <w:rPr>
      <w:rFonts w:ascii="黑体" w:hAnsi="Courier New" w:eastAsia="黑体" w:cs="Courier New"/>
      <w:b/>
      <w:kern w:val="0"/>
      <w:sz w:val="28"/>
      <w:szCs w:val="28"/>
    </w:rPr>
  </w:style>
  <w:style w:type="paragraph" w:customStyle="1" w:styleId="902">
    <w:name w:val="样式 标题 2hb2 + 首行缩进:  2 字符"/>
    <w:basedOn w:val="4"/>
    <w:qFormat/>
    <w:uiPriority w:val="0"/>
    <w:pPr>
      <w:keepLines w:val="0"/>
      <w:widowControl/>
      <w:spacing w:before="240" w:after="60" w:line="240" w:lineRule="auto"/>
      <w:jc w:val="left"/>
    </w:pPr>
    <w:rPr>
      <w:rFonts w:ascii="Times New Roman" w:hAnsi="Times New Roman" w:eastAsia="宋体" w:cs="宋体"/>
      <w:i/>
      <w:iCs/>
      <w:kern w:val="0"/>
      <w:sz w:val="28"/>
      <w:szCs w:val="20"/>
    </w:rPr>
  </w:style>
  <w:style w:type="paragraph" w:customStyle="1" w:styleId="903">
    <w:name w:val="样式 样式 首行缩进:  2 字符 + 宋体"/>
    <w:basedOn w:val="230"/>
    <w:autoRedefine/>
    <w:qFormat/>
    <w:uiPriority w:val="0"/>
    <w:pPr>
      <w:widowControl/>
      <w:topLinePunct/>
      <w:spacing w:after="240" w:line="529" w:lineRule="exact"/>
      <w:ind w:firstLine="0" w:firstLineChars="0"/>
      <w:jc w:val="center"/>
    </w:pPr>
    <w:rPr>
      <w:rFonts w:ascii="宋体" w:hAnsi="宋体" w:eastAsia="汉鼎简书宋"/>
      <w:kern w:val="0"/>
    </w:rPr>
  </w:style>
  <w:style w:type="paragraph" w:customStyle="1" w:styleId="904">
    <w:name w:val="XF项目建议书表内文字"/>
    <w:basedOn w:val="1"/>
    <w:qFormat/>
    <w:uiPriority w:val="0"/>
    <w:pPr>
      <w:widowControl/>
      <w:spacing w:line="420" w:lineRule="exact"/>
      <w:ind w:left="-50" w:leftChars="-50" w:right="-50" w:rightChars="-50"/>
      <w:jc w:val="center"/>
    </w:pPr>
    <w:rPr>
      <w:rFonts w:eastAsia="仿宋_GB2312"/>
      <w:kern w:val="0"/>
      <w:sz w:val="24"/>
    </w:rPr>
  </w:style>
  <w:style w:type="paragraph" w:customStyle="1" w:styleId="905">
    <w:name w:val="表格文字aaa"/>
    <w:basedOn w:val="1"/>
    <w:autoRedefine/>
    <w:qFormat/>
    <w:uiPriority w:val="0"/>
    <w:pPr>
      <w:widowControl/>
      <w:jc w:val="center"/>
    </w:pPr>
    <w:rPr>
      <w:color w:val="000000"/>
      <w:kern w:val="0"/>
      <w:sz w:val="24"/>
      <w:szCs w:val="20"/>
    </w:rPr>
  </w:style>
  <w:style w:type="paragraph" w:customStyle="1" w:styleId="906">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 w:val="24"/>
    </w:rPr>
  </w:style>
  <w:style w:type="paragraph" w:customStyle="1" w:styleId="907">
    <w:name w:val="Char Char Char1 Char"/>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908">
    <w:name w:val="样式 居中 首行缩进:  0.48 厘米"/>
    <w:basedOn w:val="184"/>
    <w:qFormat/>
    <w:uiPriority w:val="0"/>
    <w:pPr>
      <w:widowControl/>
      <w:topLinePunct/>
      <w:adjustRightInd w:val="0"/>
      <w:ind w:firstLine="272"/>
      <w:jc w:val="left"/>
    </w:pPr>
    <w:rPr>
      <w:rFonts w:cs="宋体"/>
      <w:kern w:val="0"/>
      <w:sz w:val="21"/>
      <w:szCs w:val="20"/>
    </w:rPr>
  </w:style>
  <w:style w:type="paragraph" w:customStyle="1" w:styleId="909">
    <w:name w:val="xl66"/>
    <w:basedOn w:val="1"/>
    <w:autoRedefine/>
    <w:qFormat/>
    <w:uiPriority w:val="0"/>
    <w:pPr>
      <w:widowControl/>
      <w:pBdr>
        <w:top w:val="single" w:color="auto" w:sz="8" w:space="0"/>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910">
    <w:name w:val="一"/>
    <w:basedOn w:val="1"/>
    <w:autoRedefine/>
    <w:qFormat/>
    <w:uiPriority w:val="0"/>
    <w:pPr>
      <w:widowControl/>
      <w:shd w:val="clear" w:color="auto" w:fill="FFFFFF"/>
      <w:tabs>
        <w:tab w:val="left" w:pos="0"/>
      </w:tabs>
      <w:adjustRightInd w:val="0"/>
      <w:snapToGrid w:val="0"/>
      <w:spacing w:beforeLines="30" w:afterLines="30"/>
      <w:ind w:firstLine="569" w:firstLineChars="200"/>
      <w:jc w:val="left"/>
    </w:pPr>
    <w:rPr>
      <w:rFonts w:ascii="Times" w:hAnsi="Times" w:eastAsia="黑体"/>
      <w:b/>
      <w:w w:val="102"/>
      <w:kern w:val="0"/>
      <w:sz w:val="24"/>
      <w:shd w:val="clear" w:color="auto" w:fill="FFFFFF"/>
    </w:rPr>
  </w:style>
  <w:style w:type="paragraph" w:customStyle="1" w:styleId="911">
    <w:name w:val="xl30"/>
    <w:basedOn w:val="1"/>
    <w:autoRedefine/>
    <w:qFormat/>
    <w:uiPriority w:val="0"/>
    <w:pPr>
      <w:widowControl/>
      <w:pBdr>
        <w:left w:val="single" w:color="auto" w:sz="4" w:space="0"/>
        <w:right w:val="single" w:color="auto" w:sz="4" w:space="0"/>
      </w:pBdr>
      <w:topLinePunct/>
      <w:spacing w:before="100" w:beforeAutospacing="1" w:after="100" w:afterAutospacing="1" w:line="529" w:lineRule="exact"/>
      <w:ind w:firstLine="200" w:firstLineChars="200"/>
      <w:jc w:val="center"/>
    </w:pPr>
    <w:rPr>
      <w:rFonts w:ascii="Arial Unicode MS" w:hAnsi="Arial Unicode MS" w:eastAsia="Arial Unicode MS"/>
      <w:kern w:val="0"/>
      <w:sz w:val="24"/>
    </w:rPr>
  </w:style>
  <w:style w:type="paragraph" w:customStyle="1" w:styleId="912">
    <w:name w:val="Char1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913">
    <w:name w:val="图标号"/>
    <w:basedOn w:val="1"/>
    <w:qFormat/>
    <w:uiPriority w:val="0"/>
    <w:pPr>
      <w:widowControl/>
      <w:tabs>
        <w:tab w:val="left" w:pos="0"/>
      </w:tabs>
      <w:spacing w:afterLines="50"/>
      <w:ind w:firstLine="288"/>
      <w:jc w:val="center"/>
    </w:pPr>
    <w:rPr>
      <w:rFonts w:eastAsia="仿宋_GB2312"/>
      <w:b/>
      <w:kern w:val="0"/>
      <w:sz w:val="24"/>
    </w:rPr>
  </w:style>
  <w:style w:type="paragraph" w:customStyle="1" w:styleId="914">
    <w:name w:val="xl22"/>
    <w:basedOn w:val="1"/>
    <w:autoRedefine/>
    <w:qFormat/>
    <w:uiPriority w:val="0"/>
    <w:pPr>
      <w:widowControl/>
      <w:adjustRightInd w:val="0"/>
      <w:snapToGrid w:val="0"/>
      <w:spacing w:before="100" w:beforeAutospacing="1" w:after="100" w:afterAutospacing="1" w:line="500" w:lineRule="exact"/>
      <w:ind w:firstLine="200" w:firstLineChars="200"/>
      <w:jc w:val="center"/>
    </w:pPr>
    <w:rPr>
      <w:rFonts w:ascii="Arial Unicode MS" w:hAnsi="Arial Unicode MS" w:eastAsia="Arial Unicode MS" w:cs="Arial Unicode MS"/>
      <w:kern w:val="0"/>
      <w:sz w:val="24"/>
    </w:rPr>
  </w:style>
  <w:style w:type="paragraph" w:customStyle="1" w:styleId="915">
    <w:name w:val="样式 hb2 + 左侧:  0 厘米 段前: 0 磅 段后: 0 磅 行距: 固定值 26.45 磅"/>
    <w:basedOn w:val="916"/>
    <w:qFormat/>
    <w:uiPriority w:val="0"/>
    <w:pPr>
      <w:spacing w:before="0" w:after="0" w:line="529" w:lineRule="exact"/>
      <w:ind w:firstLine="480"/>
    </w:pPr>
    <w:rPr>
      <w:rFonts w:ascii="Times New Roman" w:hAnsi="Times New Roman" w:cs="宋体"/>
      <w:sz w:val="28"/>
      <w:szCs w:val="20"/>
    </w:rPr>
  </w:style>
  <w:style w:type="paragraph" w:customStyle="1" w:styleId="916">
    <w:name w:val="hb2"/>
    <w:basedOn w:val="4"/>
    <w:link w:val="1397"/>
    <w:autoRedefine/>
    <w:qFormat/>
    <w:uiPriority w:val="0"/>
    <w:pPr>
      <w:keepLines w:val="0"/>
      <w:widowControl/>
      <w:adjustRightInd w:val="0"/>
      <w:spacing w:before="120" w:after="120" w:line="413" w:lineRule="auto"/>
      <w:jc w:val="left"/>
    </w:pPr>
    <w:rPr>
      <w:rFonts w:ascii="Cambria" w:hAnsi="Cambria" w:eastAsia="宋体"/>
      <w:i/>
      <w:iCs/>
      <w:kern w:val="0"/>
      <w:sz w:val="24"/>
      <w:szCs w:val="24"/>
    </w:rPr>
  </w:style>
  <w:style w:type="paragraph" w:customStyle="1" w:styleId="917">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kern w:val="0"/>
      <w:sz w:val="24"/>
    </w:rPr>
  </w:style>
  <w:style w:type="paragraph" w:customStyle="1" w:styleId="918">
    <w:name w:val="样式 黑体 一号 加粗 居中 行距: 固定值 40 磅"/>
    <w:basedOn w:val="1"/>
    <w:autoRedefine/>
    <w:qFormat/>
    <w:uiPriority w:val="0"/>
    <w:pPr>
      <w:widowControl/>
      <w:spacing w:line="800" w:lineRule="exact"/>
      <w:jc w:val="center"/>
    </w:pPr>
    <w:rPr>
      <w:rFonts w:ascii="黑体" w:eastAsia="黑体" w:cs="宋体"/>
      <w:b/>
      <w:bCs/>
      <w:spacing w:val="40"/>
      <w:kern w:val="0"/>
      <w:sz w:val="72"/>
      <w:szCs w:val="20"/>
    </w:rPr>
  </w:style>
  <w:style w:type="paragraph" w:customStyle="1" w:styleId="919">
    <w:name w:val="xl85"/>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00FF"/>
      <w:kern w:val="0"/>
      <w:sz w:val="24"/>
      <w:u w:val="single"/>
    </w:rPr>
  </w:style>
  <w:style w:type="paragraph" w:customStyle="1" w:styleId="92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eastAsia="汉鼎简书宋"/>
      <w:kern w:val="0"/>
      <w:sz w:val="20"/>
      <w:szCs w:val="20"/>
    </w:rPr>
  </w:style>
  <w:style w:type="paragraph" w:customStyle="1" w:styleId="921">
    <w:name w:val="Char Char Char Char Char1 Char Char Char Char3"/>
    <w:basedOn w:val="1"/>
    <w:autoRedefine/>
    <w:qFormat/>
    <w:uiPriority w:val="0"/>
    <w:pPr>
      <w:widowControl/>
      <w:tabs>
        <w:tab w:val="left" w:pos="1360"/>
      </w:tabs>
      <w:ind w:left="1360" w:hanging="720"/>
      <w:jc w:val="left"/>
    </w:pPr>
    <w:rPr>
      <w:kern w:val="0"/>
      <w:sz w:val="24"/>
    </w:rPr>
  </w:style>
  <w:style w:type="paragraph" w:customStyle="1" w:styleId="922">
    <w:name w:val="设计节（一）"/>
    <w:basedOn w:val="1"/>
    <w:qFormat/>
    <w:uiPriority w:val="0"/>
    <w:pPr>
      <w:keepNext/>
      <w:widowControl/>
      <w:spacing w:line="720" w:lineRule="auto"/>
      <w:ind w:firstLine="602" w:firstLineChars="200"/>
      <w:jc w:val="left"/>
    </w:pPr>
    <w:rPr>
      <w:rFonts w:eastAsia="仿宋_GB2312"/>
      <w:b/>
      <w:kern w:val="0"/>
      <w:sz w:val="30"/>
    </w:rPr>
  </w:style>
  <w:style w:type="paragraph" w:customStyle="1" w:styleId="923">
    <w:name w:val="设计二"/>
    <w:basedOn w:val="109"/>
    <w:autoRedefine/>
    <w:qFormat/>
    <w:uiPriority w:val="0"/>
    <w:pPr>
      <w:keepNext/>
      <w:widowControl/>
      <w:autoSpaceDE w:val="0"/>
      <w:autoSpaceDN w:val="0"/>
      <w:adjustRightInd w:val="0"/>
      <w:snapToGrid w:val="0"/>
      <w:spacing w:line="480" w:lineRule="auto"/>
      <w:ind w:firstLine="200" w:firstLineChars="200"/>
      <w:jc w:val="left"/>
    </w:pPr>
    <w:rPr>
      <w:rFonts w:eastAsia="仿宋_GB2312"/>
      <w:b/>
      <w:bCs/>
      <w:kern w:val="0"/>
      <w:sz w:val="28"/>
      <w:szCs w:val="28"/>
    </w:rPr>
  </w:style>
  <w:style w:type="paragraph" w:customStyle="1" w:styleId="924">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925">
    <w:name w:val="gchh"/>
    <w:autoRedefine/>
    <w:qFormat/>
    <w:uiPriority w:val="0"/>
    <w:pPr>
      <w:jc w:val="both"/>
    </w:pPr>
    <w:rPr>
      <w:rFonts w:ascii="宋体" w:hAnsi="宋体" w:eastAsia="宋体" w:cs="Times New Roman"/>
      <w:b/>
      <w:bCs/>
      <w:sz w:val="28"/>
      <w:szCs w:val="22"/>
      <w:lang w:val="en-US" w:eastAsia="zh-CN" w:bidi="ar-SA"/>
    </w:rPr>
  </w:style>
  <w:style w:type="paragraph" w:customStyle="1" w:styleId="926">
    <w:name w:val="Char Char Char2 Char Char Char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927">
    <w:name w:val="xl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928">
    <w:name w:val="xl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eastAsia="汉鼎简书宋"/>
      <w:kern w:val="0"/>
      <w:sz w:val="20"/>
      <w:szCs w:val="20"/>
    </w:rPr>
  </w:style>
  <w:style w:type="paragraph" w:customStyle="1" w:styleId="929">
    <w:name w:val="样式 左  4 字符"/>
    <w:basedOn w:val="1"/>
    <w:qFormat/>
    <w:uiPriority w:val="0"/>
    <w:pPr>
      <w:widowControl/>
      <w:spacing w:line="529" w:lineRule="exact"/>
      <w:ind w:firstLine="482"/>
      <w:jc w:val="left"/>
    </w:pPr>
    <w:rPr>
      <w:rFonts w:cs="宋体"/>
      <w:kern w:val="0"/>
      <w:sz w:val="24"/>
      <w:szCs w:val="20"/>
    </w:rPr>
  </w:style>
  <w:style w:type="paragraph" w:customStyle="1" w:styleId="930">
    <w:name w:val="xl81"/>
    <w:basedOn w:val="1"/>
    <w:autoRedefine/>
    <w:qFormat/>
    <w:uiPriority w:val="0"/>
    <w:pPr>
      <w:widowControl/>
      <w:pBdr>
        <w:right w:val="single" w:color="auto" w:sz="8" w:space="0"/>
      </w:pBdr>
      <w:spacing w:before="100" w:beforeAutospacing="1" w:after="100" w:afterAutospacing="1"/>
      <w:jc w:val="center"/>
    </w:pPr>
    <w:rPr>
      <w:kern w:val="0"/>
      <w:sz w:val="24"/>
    </w:rPr>
  </w:style>
  <w:style w:type="paragraph" w:customStyle="1" w:styleId="931">
    <w:name w:val="样式 标题 2 + 左侧:  0 厘米 首行缩进:  0 厘米 段前: 0.5 行"/>
    <w:basedOn w:val="4"/>
    <w:autoRedefine/>
    <w:qFormat/>
    <w:uiPriority w:val="0"/>
    <w:pPr>
      <w:keepNext w:val="0"/>
      <w:keepLines w:val="0"/>
      <w:widowControl/>
      <w:tabs>
        <w:tab w:val="left" w:pos="964"/>
      </w:tabs>
      <w:autoSpaceDE w:val="0"/>
      <w:autoSpaceDN w:val="0"/>
      <w:adjustRightInd w:val="0"/>
      <w:snapToGrid w:val="0"/>
      <w:spacing w:beforeLines="100" w:after="0" w:line="240" w:lineRule="auto"/>
      <w:jc w:val="left"/>
    </w:pPr>
    <w:rPr>
      <w:rFonts w:ascii="Times New Roman" w:hAnsi="Times New Roman" w:eastAsia="宋体" w:cs="宋体"/>
      <w:b w:val="0"/>
      <w:bCs w:val="0"/>
      <w:i/>
      <w:iCs/>
      <w:kern w:val="44"/>
      <w:sz w:val="28"/>
      <w:szCs w:val="28"/>
    </w:rPr>
  </w:style>
  <w:style w:type="paragraph" w:customStyle="1" w:styleId="932">
    <w:name w:val="注×："/>
    <w:autoRedefine/>
    <w:qFormat/>
    <w:uiPriority w:val="0"/>
    <w:pPr>
      <w:widowControl w:val="0"/>
      <w:tabs>
        <w:tab w:val="left" w:pos="630"/>
      </w:tabs>
      <w:autoSpaceDE w:val="0"/>
      <w:autoSpaceDN w:val="0"/>
      <w:jc w:val="both"/>
    </w:pPr>
    <w:rPr>
      <w:rFonts w:ascii="宋体" w:hAnsi="Times New Roman" w:eastAsia="宋体" w:cs="Times New Roman"/>
      <w:sz w:val="18"/>
      <w:szCs w:val="22"/>
      <w:lang w:val="en-US" w:eastAsia="zh-CN" w:bidi="ar-SA"/>
    </w:rPr>
  </w:style>
  <w:style w:type="paragraph" w:customStyle="1" w:styleId="933">
    <w:name w:val="xl58"/>
    <w:basedOn w:val="1"/>
    <w:autoRedefine/>
    <w:qFormat/>
    <w:uiPriority w:val="0"/>
    <w:pPr>
      <w:widowControl/>
      <w:pBdr>
        <w:top w:val="single" w:color="auto" w:sz="4" w:space="0"/>
        <w:bottom w:val="single" w:color="auto" w:sz="4" w:space="0"/>
      </w:pBdr>
      <w:shd w:val="clear" w:color="0000FF" w:fill="C0C0C0"/>
      <w:spacing w:before="100" w:beforeAutospacing="1" w:after="100" w:afterAutospacing="1"/>
      <w:jc w:val="left"/>
    </w:pPr>
    <w:rPr>
      <w:rFonts w:ascii="Arial Unicode MS" w:hAnsi="Arial Unicode MS" w:eastAsia="Arial Unicode MS"/>
      <w:color w:val="800080"/>
      <w:kern w:val="0"/>
      <w:sz w:val="24"/>
      <w:szCs w:val="20"/>
    </w:rPr>
  </w:style>
  <w:style w:type="paragraph" w:customStyle="1" w:styleId="934">
    <w:name w:val="font10"/>
    <w:basedOn w:val="1"/>
    <w:qFormat/>
    <w:uiPriority w:val="0"/>
    <w:pPr>
      <w:widowControl/>
      <w:spacing w:before="100" w:beforeAutospacing="1" w:after="100" w:afterAutospacing="1" w:line="529" w:lineRule="exact"/>
      <w:ind w:firstLine="200" w:firstLineChars="200"/>
      <w:jc w:val="left"/>
    </w:pPr>
    <w:rPr>
      <w:rFonts w:eastAsia="Arial Unicode MS"/>
      <w:kern w:val="0"/>
      <w:sz w:val="28"/>
      <w:szCs w:val="28"/>
    </w:rPr>
  </w:style>
  <w:style w:type="paragraph" w:customStyle="1" w:styleId="935">
    <w:name w:val="正文 + 行距: 最小值 22 磅"/>
    <w:basedOn w:val="1"/>
    <w:autoRedefine/>
    <w:qFormat/>
    <w:uiPriority w:val="0"/>
    <w:pPr>
      <w:widowControl/>
      <w:snapToGrid w:val="0"/>
      <w:spacing w:line="400" w:lineRule="atLeast"/>
      <w:jc w:val="left"/>
    </w:pPr>
    <w:rPr>
      <w:kern w:val="0"/>
      <w:sz w:val="24"/>
      <w:szCs w:val="20"/>
    </w:rPr>
  </w:style>
  <w:style w:type="paragraph" w:customStyle="1" w:styleId="936">
    <w:name w:val="纯文本21"/>
    <w:basedOn w:val="1"/>
    <w:qFormat/>
    <w:uiPriority w:val="0"/>
    <w:pPr>
      <w:widowControl/>
      <w:adjustRightInd w:val="0"/>
      <w:jc w:val="left"/>
    </w:pPr>
    <w:rPr>
      <w:rFonts w:ascii="宋体" w:hAnsi="Courier New"/>
      <w:kern w:val="0"/>
      <w:sz w:val="24"/>
      <w:szCs w:val="20"/>
    </w:rPr>
  </w:style>
  <w:style w:type="paragraph" w:customStyle="1" w:styleId="937">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38">
    <w:name w:val="正文标题"/>
    <w:basedOn w:val="1"/>
    <w:qFormat/>
    <w:uiPriority w:val="0"/>
    <w:pPr>
      <w:widowControl/>
      <w:suppressLineNumbers/>
      <w:adjustRightInd w:val="0"/>
      <w:spacing w:line="360" w:lineRule="auto"/>
      <w:ind w:firstLine="510"/>
      <w:jc w:val="left"/>
      <w:outlineLvl w:val="0"/>
    </w:pPr>
    <w:rPr>
      <w:rFonts w:ascii="黑体" w:eastAsia="黑体"/>
      <w:kern w:val="0"/>
      <w:sz w:val="24"/>
      <w:szCs w:val="20"/>
    </w:rPr>
  </w:style>
  <w:style w:type="paragraph" w:customStyle="1" w:styleId="939">
    <w:name w:val="正文首行缩进1"/>
    <w:basedOn w:val="31"/>
    <w:qFormat/>
    <w:uiPriority w:val="0"/>
    <w:pPr>
      <w:widowControl/>
      <w:adjustRightInd w:val="0"/>
      <w:snapToGrid w:val="0"/>
      <w:spacing w:after="0" w:line="480" w:lineRule="atLeast"/>
      <w:ind w:firstLine="420"/>
      <w:jc w:val="center"/>
    </w:pPr>
    <w:rPr>
      <w:color w:val="FF6600"/>
      <w:kern w:val="0"/>
      <w:sz w:val="28"/>
      <w:szCs w:val="20"/>
    </w:rPr>
  </w:style>
  <w:style w:type="paragraph" w:customStyle="1" w:styleId="940">
    <w:name w:val="正文文本缩进 31"/>
    <w:basedOn w:val="1"/>
    <w:qFormat/>
    <w:uiPriority w:val="0"/>
    <w:pPr>
      <w:widowControl/>
      <w:adjustRightInd w:val="0"/>
      <w:ind w:firstLine="560"/>
      <w:jc w:val="left"/>
    </w:pPr>
    <w:rPr>
      <w:rFonts w:ascii="宋体" w:hAnsi="宋体"/>
      <w:kern w:val="0"/>
      <w:sz w:val="28"/>
      <w:szCs w:val="20"/>
    </w:rPr>
  </w:style>
  <w:style w:type="paragraph" w:customStyle="1" w:styleId="941">
    <w:name w:val="Char Char Char Char Char Char Char Char Char12"/>
    <w:basedOn w:val="1"/>
    <w:autoRedefine/>
    <w:qFormat/>
    <w:uiPriority w:val="0"/>
    <w:pPr>
      <w:widowControl/>
      <w:spacing w:after="160" w:line="240" w:lineRule="exact"/>
      <w:jc w:val="left"/>
    </w:pPr>
    <w:rPr>
      <w:rFonts w:ascii="宋体" w:hAnsi="宋体"/>
      <w:kern w:val="0"/>
      <w:sz w:val="28"/>
      <w:szCs w:val="20"/>
    </w:rPr>
  </w:style>
  <w:style w:type="paragraph" w:customStyle="1" w:styleId="942">
    <w:name w:val="样式 宋体 首行缩进:  0.85 厘米"/>
    <w:basedOn w:val="1"/>
    <w:qFormat/>
    <w:uiPriority w:val="0"/>
    <w:pPr>
      <w:widowControl/>
      <w:spacing w:line="530" w:lineRule="exact"/>
      <w:ind w:firstLine="482" w:firstLineChars="200"/>
      <w:jc w:val="left"/>
    </w:pPr>
    <w:rPr>
      <w:rFonts w:ascii="宋体" w:hAnsi="宋体" w:cs="宋体"/>
      <w:kern w:val="0"/>
      <w:sz w:val="24"/>
      <w:szCs w:val="20"/>
    </w:rPr>
  </w:style>
  <w:style w:type="paragraph" w:customStyle="1" w:styleId="943">
    <w:name w:val="Char4 Char Char Char"/>
    <w:basedOn w:val="1"/>
    <w:autoRedefine/>
    <w:qFormat/>
    <w:uiPriority w:val="0"/>
    <w:pPr>
      <w:widowControl/>
      <w:adjustRightInd w:val="0"/>
      <w:snapToGrid w:val="0"/>
      <w:spacing w:beforeLines="100" w:afterLines="100" w:line="440" w:lineRule="exact"/>
      <w:ind w:firstLine="200" w:firstLineChars="200"/>
      <w:jc w:val="left"/>
    </w:pPr>
    <w:rPr>
      <w:bCs/>
      <w:color w:val="008000"/>
      <w:kern w:val="0"/>
      <w:sz w:val="24"/>
      <w:szCs w:val="20"/>
    </w:rPr>
  </w:style>
  <w:style w:type="paragraph" w:customStyle="1" w:styleId="944">
    <w:name w:val="样式 目录 3 + 首行缩进:  2 字符"/>
    <w:basedOn w:val="41"/>
    <w:qFormat/>
    <w:uiPriority w:val="0"/>
    <w:pPr>
      <w:widowControl/>
      <w:tabs>
        <w:tab w:val="left" w:pos="1920"/>
        <w:tab w:val="right" w:leader="dot" w:pos="9062"/>
      </w:tabs>
      <w:spacing w:line="360" w:lineRule="auto"/>
      <w:ind w:left="0" w:firstLine="600" w:firstLineChars="600"/>
    </w:pPr>
    <w:rPr>
      <w:rFonts w:ascii="Calibri" w:hAnsi="Calibri" w:cs="宋体"/>
      <w:iCs w:val="0"/>
      <w:spacing w:val="10"/>
      <w:kern w:val="0"/>
      <w:sz w:val="24"/>
    </w:rPr>
  </w:style>
  <w:style w:type="paragraph" w:customStyle="1" w:styleId="945">
    <w:name w:val="Char32"/>
    <w:basedOn w:val="1"/>
    <w:autoRedefine/>
    <w:qFormat/>
    <w:uiPriority w:val="0"/>
    <w:pPr>
      <w:widowControl/>
      <w:spacing w:line="360" w:lineRule="auto"/>
      <w:ind w:firstLine="200" w:firstLineChars="200"/>
      <w:jc w:val="left"/>
    </w:pPr>
    <w:rPr>
      <w:kern w:val="0"/>
      <w:sz w:val="24"/>
      <w:szCs w:val="20"/>
    </w:rPr>
  </w:style>
  <w:style w:type="paragraph" w:customStyle="1" w:styleId="946">
    <w:name w:val="样式 标题 3 + 段前: 6 磅"/>
    <w:basedOn w:val="5"/>
    <w:autoRedefine/>
    <w:qFormat/>
    <w:uiPriority w:val="0"/>
    <w:pPr>
      <w:keepLines w:val="0"/>
      <w:widowControl/>
      <w:tabs>
        <w:tab w:val="left" w:pos="720"/>
      </w:tabs>
      <w:spacing w:before="0" w:after="0" w:line="413" w:lineRule="auto"/>
      <w:ind w:left="720" w:hanging="720"/>
      <w:jc w:val="left"/>
    </w:pPr>
    <w:rPr>
      <w:rFonts w:ascii="Cambria" w:hAnsi="Cambria"/>
      <w:kern w:val="0"/>
      <w:sz w:val="28"/>
      <w:szCs w:val="20"/>
    </w:rPr>
  </w:style>
  <w:style w:type="paragraph" w:customStyle="1" w:styleId="947">
    <w:name w:val="Char Char Char Char Char Char Char Char Char Char Char Char Char Char Char Char Char Char1 Char Char Char Char Char Char Char Char Char Char Char Char1 Char Char Char"/>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948">
    <w:name w:val="xl9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新宋体" w:hAnsi="新宋体" w:eastAsia="新宋体" w:cs="宋体"/>
      <w:kern w:val="0"/>
      <w:sz w:val="24"/>
    </w:rPr>
  </w:style>
  <w:style w:type="paragraph" w:customStyle="1" w:styleId="949">
    <w:name w:val="样式 表文字 + 左  4 字符"/>
    <w:basedOn w:val="184"/>
    <w:autoRedefine/>
    <w:qFormat/>
    <w:uiPriority w:val="0"/>
    <w:pPr>
      <w:widowControl/>
      <w:topLinePunct/>
      <w:adjustRightInd w:val="0"/>
    </w:pPr>
    <w:rPr>
      <w:rFonts w:cs="宋体"/>
      <w:kern w:val="0"/>
      <w:sz w:val="21"/>
      <w:szCs w:val="20"/>
    </w:rPr>
  </w:style>
  <w:style w:type="paragraph" w:customStyle="1" w:styleId="950">
    <w:name w:val="font12"/>
    <w:basedOn w:val="1"/>
    <w:qFormat/>
    <w:uiPriority w:val="0"/>
    <w:pPr>
      <w:widowControl/>
      <w:spacing w:before="100" w:beforeAutospacing="1" w:after="100" w:afterAutospacing="1"/>
      <w:jc w:val="left"/>
    </w:pPr>
    <w:rPr>
      <w:rFonts w:ascii="宋体" w:hAnsi="宋体" w:cs="宋体"/>
      <w:b/>
      <w:bCs/>
      <w:kern w:val="0"/>
      <w:sz w:val="22"/>
      <w:szCs w:val="22"/>
    </w:rPr>
  </w:style>
  <w:style w:type="paragraph" w:customStyle="1" w:styleId="951">
    <w:name w:val="文章正文"/>
    <w:basedOn w:val="1"/>
    <w:semiHidden/>
    <w:qFormat/>
    <w:uiPriority w:val="0"/>
    <w:pPr>
      <w:widowControl/>
      <w:spacing w:line="360" w:lineRule="auto"/>
      <w:ind w:firstLine="200" w:firstLineChars="200"/>
      <w:jc w:val="left"/>
    </w:pPr>
    <w:rPr>
      <w:rFonts w:eastAsia="仿宋_GB2312"/>
      <w:kern w:val="0"/>
      <w:sz w:val="24"/>
    </w:rPr>
  </w:style>
  <w:style w:type="paragraph" w:customStyle="1" w:styleId="952">
    <w:name w:val="样式 标题 3 + 段前: 0.5 行 行距: 1.5 倍行距"/>
    <w:basedOn w:val="5"/>
    <w:qFormat/>
    <w:uiPriority w:val="0"/>
    <w:pPr>
      <w:keepNext w:val="0"/>
      <w:keepLines w:val="0"/>
      <w:widowControl/>
      <w:tabs>
        <w:tab w:val="left" w:pos="1080"/>
      </w:tabs>
      <w:autoSpaceDE w:val="0"/>
      <w:autoSpaceDN w:val="0"/>
      <w:adjustRightInd w:val="0"/>
      <w:snapToGrid w:val="0"/>
      <w:spacing w:beforeLines="100" w:after="0" w:line="240" w:lineRule="auto"/>
      <w:ind w:left="227" w:hanging="227"/>
      <w:jc w:val="left"/>
    </w:pPr>
    <w:rPr>
      <w:rFonts w:ascii="Cambria" w:hAnsi="Cambria" w:eastAsia="黑体" w:cs="宋体"/>
      <w:b w:val="0"/>
      <w:bCs w:val="0"/>
      <w:kern w:val="0"/>
      <w:sz w:val="30"/>
      <w:szCs w:val="30"/>
    </w:rPr>
  </w:style>
  <w:style w:type="paragraph" w:customStyle="1" w:styleId="953">
    <w:name w:val="样式 标题 2 + Times New Roman1"/>
    <w:basedOn w:val="4"/>
    <w:autoRedefine/>
    <w:qFormat/>
    <w:uiPriority w:val="0"/>
    <w:pPr>
      <w:keepLines w:val="0"/>
      <w:widowControl/>
      <w:spacing w:before="240" w:after="60" w:line="800" w:lineRule="exact"/>
      <w:jc w:val="left"/>
    </w:pPr>
    <w:rPr>
      <w:rFonts w:ascii="Times New Roman" w:hAnsi="Times New Roman" w:eastAsia="宋体"/>
      <w:i/>
      <w:iCs/>
      <w:kern w:val="0"/>
      <w:sz w:val="28"/>
      <w:szCs w:val="28"/>
    </w:rPr>
  </w:style>
  <w:style w:type="paragraph" w:customStyle="1" w:styleId="954">
    <w:name w:val="样式 首行缩进:  2 字符 行距: 1.5 倍行距"/>
    <w:basedOn w:val="1"/>
    <w:autoRedefine/>
    <w:qFormat/>
    <w:uiPriority w:val="0"/>
    <w:pPr>
      <w:widowControl/>
      <w:spacing w:line="360" w:lineRule="auto"/>
      <w:ind w:firstLine="520" w:firstLineChars="200"/>
      <w:jc w:val="left"/>
    </w:pPr>
    <w:rPr>
      <w:rFonts w:cs="宋体"/>
      <w:kern w:val="0"/>
      <w:sz w:val="24"/>
    </w:rPr>
  </w:style>
  <w:style w:type="paragraph" w:customStyle="1" w:styleId="955">
    <w:name w:val="font0"/>
    <w:basedOn w:val="1"/>
    <w:qFormat/>
    <w:uiPriority w:val="0"/>
    <w:pPr>
      <w:widowControl/>
      <w:spacing w:before="100" w:beforeAutospacing="1" w:after="100" w:afterAutospacing="1" w:line="529" w:lineRule="exact"/>
      <w:ind w:firstLine="420"/>
      <w:jc w:val="left"/>
    </w:pPr>
    <w:rPr>
      <w:rFonts w:hint="eastAsia" w:ascii="宋体" w:hAnsi="宋体"/>
      <w:kern w:val="0"/>
      <w:sz w:val="24"/>
    </w:rPr>
  </w:style>
  <w:style w:type="paragraph" w:customStyle="1" w:styleId="956">
    <w:name w:val="表样式"/>
    <w:basedOn w:val="1"/>
    <w:autoRedefine/>
    <w:qFormat/>
    <w:uiPriority w:val="0"/>
    <w:pPr>
      <w:widowControl/>
      <w:jc w:val="center"/>
    </w:pPr>
    <w:rPr>
      <w:rFonts w:ascii="仿宋_GB2312" w:eastAsia="黑体"/>
      <w:kern w:val="0"/>
      <w:sz w:val="24"/>
    </w:rPr>
  </w:style>
  <w:style w:type="paragraph" w:customStyle="1" w:styleId="957">
    <w:name w:val="8"/>
    <w:basedOn w:val="1"/>
    <w:qFormat/>
    <w:uiPriority w:val="0"/>
    <w:pPr>
      <w:widowControl/>
      <w:ind w:firstLine="720"/>
      <w:jc w:val="left"/>
    </w:pPr>
    <w:rPr>
      <w:kern w:val="0"/>
      <w:sz w:val="28"/>
      <w:szCs w:val="20"/>
    </w:rPr>
  </w:style>
  <w:style w:type="paragraph" w:customStyle="1" w:styleId="958">
    <w:name w:val="样式 标题 2 + 段前: 0.5 行 行距: 单倍行距"/>
    <w:basedOn w:val="4"/>
    <w:autoRedefine/>
    <w:qFormat/>
    <w:uiPriority w:val="0"/>
    <w:pPr>
      <w:keepNext w:val="0"/>
      <w:keepLines w:val="0"/>
      <w:widowControl/>
      <w:tabs>
        <w:tab w:val="left" w:pos="964"/>
      </w:tabs>
      <w:autoSpaceDE w:val="0"/>
      <w:autoSpaceDN w:val="0"/>
      <w:adjustRightInd w:val="0"/>
      <w:snapToGrid w:val="0"/>
      <w:spacing w:beforeLines="100" w:after="0" w:line="240" w:lineRule="auto"/>
      <w:ind w:left="964" w:hanging="737"/>
      <w:jc w:val="left"/>
    </w:pPr>
    <w:rPr>
      <w:rFonts w:ascii="Times New Roman" w:hAnsi="Times New Roman" w:eastAsia="宋体" w:cs="宋体"/>
      <w:b w:val="0"/>
      <w:bCs w:val="0"/>
      <w:i/>
      <w:iCs/>
      <w:kern w:val="44"/>
      <w:sz w:val="28"/>
      <w:szCs w:val="28"/>
    </w:rPr>
  </w:style>
  <w:style w:type="character" w:customStyle="1" w:styleId="959">
    <w:name w:val="明显引用 Char2"/>
    <w:basedOn w:val="83"/>
    <w:autoRedefine/>
    <w:qFormat/>
    <w:uiPriority w:val="99"/>
    <w:rPr>
      <w:rFonts w:ascii="Times New Roman" w:hAnsi="Times New Roman"/>
      <w:i/>
      <w:iCs/>
      <w:color w:val="4F81BD" w:themeColor="accent1"/>
      <w:kern w:val="2"/>
      <w:sz w:val="21"/>
      <w:szCs w:val="24"/>
      <w14:textFill>
        <w14:solidFill>
          <w14:schemeClr w14:val="accent1"/>
        </w14:solidFill>
      </w14:textFill>
    </w:rPr>
  </w:style>
  <w:style w:type="paragraph" w:customStyle="1" w:styleId="960">
    <w:name w:val="部分"/>
    <w:basedOn w:val="1"/>
    <w:autoRedefine/>
    <w:qFormat/>
    <w:uiPriority w:val="0"/>
    <w:pPr>
      <w:keepNext/>
      <w:widowControl/>
      <w:snapToGrid w:val="0"/>
      <w:spacing w:line="240" w:lineRule="exact"/>
      <w:jc w:val="center"/>
    </w:pPr>
    <w:rPr>
      <w:rFonts w:eastAsia="仿宋_GB2312"/>
      <w:kern w:val="0"/>
      <w:sz w:val="24"/>
      <w:szCs w:val="28"/>
    </w:rPr>
  </w:style>
  <w:style w:type="paragraph" w:customStyle="1" w:styleId="961">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962">
    <w:name w:val="xl73"/>
    <w:basedOn w:val="1"/>
    <w:qFormat/>
    <w:uiPriority w:val="0"/>
    <w:pPr>
      <w:widowControl/>
      <w:pBdr>
        <w:bottom w:val="single" w:color="auto" w:sz="8" w:space="0"/>
      </w:pBdr>
      <w:spacing w:before="100" w:beforeAutospacing="1" w:after="100" w:afterAutospacing="1"/>
      <w:jc w:val="center"/>
    </w:pPr>
    <w:rPr>
      <w:rFonts w:ascii="宋体" w:hAnsi="宋体"/>
      <w:kern w:val="0"/>
      <w:sz w:val="24"/>
    </w:rPr>
  </w:style>
  <w:style w:type="paragraph" w:customStyle="1" w:styleId="963">
    <w:name w:val="xl39"/>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964">
    <w:name w:val="xl87"/>
    <w:basedOn w:val="1"/>
    <w:qFormat/>
    <w:uiPriority w:val="0"/>
    <w:pPr>
      <w:widowControl/>
      <w:pBdr>
        <w:right w:val="single" w:color="auto" w:sz="8" w:space="0"/>
      </w:pBdr>
      <w:spacing w:before="100" w:beforeAutospacing="1" w:after="100" w:afterAutospacing="1"/>
      <w:jc w:val="center"/>
    </w:pPr>
    <w:rPr>
      <w:rFonts w:ascii="宋体" w:hAnsi="宋体" w:cs="宋体"/>
      <w:color w:val="0000FF"/>
      <w:kern w:val="0"/>
      <w:sz w:val="24"/>
      <w:u w:val="single"/>
    </w:rPr>
  </w:style>
  <w:style w:type="paragraph" w:customStyle="1" w:styleId="965">
    <w:name w:val="正文文本缩进12"/>
    <w:basedOn w:val="1"/>
    <w:qFormat/>
    <w:uiPriority w:val="0"/>
    <w:pPr>
      <w:widowControl/>
      <w:spacing w:after="120"/>
      <w:ind w:left="420" w:leftChars="200"/>
      <w:jc w:val="left"/>
    </w:pPr>
    <w:rPr>
      <w:rFonts w:eastAsia="Times New Roman"/>
      <w:kern w:val="0"/>
      <w:sz w:val="24"/>
      <w:szCs w:val="20"/>
    </w:rPr>
  </w:style>
  <w:style w:type="paragraph" w:customStyle="1" w:styleId="966">
    <w:name w:val="样式11"/>
    <w:basedOn w:val="42"/>
    <w:qFormat/>
    <w:uiPriority w:val="0"/>
    <w:pPr>
      <w:widowControl/>
      <w:adjustRightInd w:val="0"/>
      <w:snapToGrid w:val="0"/>
      <w:spacing w:line="500" w:lineRule="exact"/>
      <w:ind w:firstLine="200" w:firstLineChars="200"/>
      <w:jc w:val="center"/>
    </w:pPr>
    <w:rPr>
      <w:rFonts w:ascii="黑体" w:hAnsi="Courier New" w:eastAsia="黑体" w:cs="黑体"/>
      <w:b/>
      <w:bCs/>
      <w:kern w:val="0"/>
      <w:sz w:val="32"/>
      <w:szCs w:val="32"/>
    </w:rPr>
  </w:style>
  <w:style w:type="paragraph" w:customStyle="1" w:styleId="967">
    <w:name w:val="正文hb"/>
    <w:basedOn w:val="1"/>
    <w:autoRedefine/>
    <w:qFormat/>
    <w:uiPriority w:val="0"/>
    <w:pPr>
      <w:widowControl/>
      <w:spacing w:line="500" w:lineRule="exact"/>
      <w:ind w:firstLine="200" w:firstLineChars="200"/>
      <w:jc w:val="left"/>
    </w:pPr>
    <w:rPr>
      <w:kern w:val="0"/>
      <w:sz w:val="24"/>
    </w:rPr>
  </w:style>
  <w:style w:type="paragraph" w:customStyle="1" w:styleId="968">
    <w:name w:val="样式 正文文本 + 小三"/>
    <w:basedOn w:val="31"/>
    <w:autoRedefine/>
    <w:qFormat/>
    <w:uiPriority w:val="0"/>
    <w:pPr>
      <w:widowControl/>
      <w:spacing w:after="0" w:line="360" w:lineRule="auto"/>
      <w:ind w:firstLine="200" w:firstLineChars="200"/>
      <w:jc w:val="left"/>
    </w:pPr>
    <w:rPr>
      <w:rFonts w:ascii="宋体" w:hAnsi="宋体"/>
      <w:kern w:val="0"/>
      <w:sz w:val="30"/>
    </w:rPr>
  </w:style>
  <w:style w:type="paragraph" w:customStyle="1" w:styleId="969">
    <w:name w:val="样式 标题 3 + (中文) 宋体"/>
    <w:basedOn w:val="5"/>
    <w:qFormat/>
    <w:uiPriority w:val="0"/>
    <w:pPr>
      <w:keepNext w:val="0"/>
      <w:keepLines w:val="0"/>
      <w:widowControl/>
      <w:adjustRightInd w:val="0"/>
      <w:snapToGrid w:val="0"/>
      <w:spacing w:before="0" w:after="0" w:line="240" w:lineRule="auto"/>
      <w:jc w:val="center"/>
    </w:pPr>
    <w:rPr>
      <w:rFonts w:ascii="宋体" w:hAnsi="Cambria" w:eastAsia="黑体"/>
      <w:color w:val="000000"/>
      <w:kern w:val="0"/>
      <w:sz w:val="26"/>
      <w:szCs w:val="26"/>
      <w:u w:color="000000"/>
    </w:rPr>
  </w:style>
  <w:style w:type="paragraph" w:customStyle="1" w:styleId="970">
    <w:name w:val="正文页眉"/>
    <w:basedOn w:val="33"/>
    <w:autoRedefine/>
    <w:qFormat/>
    <w:uiPriority w:val="0"/>
    <w:pPr>
      <w:widowControl/>
      <w:pBdr>
        <w:bottom w:val="thinThickSmallGap" w:color="auto" w:sz="12" w:space="1"/>
      </w:pBdr>
      <w:jc w:val="both"/>
    </w:pPr>
    <w:rPr>
      <w:rFonts w:ascii="宋体" w:hAnsi="宋体"/>
      <w:iCs/>
      <w:kern w:val="0"/>
    </w:rPr>
  </w:style>
  <w:style w:type="character" w:customStyle="1" w:styleId="971">
    <w:name w:val="称呼 Char2"/>
    <w:basedOn w:val="83"/>
    <w:qFormat/>
    <w:uiPriority w:val="0"/>
    <w:rPr>
      <w:rFonts w:ascii="Times New Roman" w:hAnsi="Times New Roman"/>
      <w:kern w:val="2"/>
      <w:sz w:val="21"/>
      <w:szCs w:val="24"/>
    </w:rPr>
  </w:style>
  <w:style w:type="paragraph" w:customStyle="1" w:styleId="972">
    <w:name w:val="font1"/>
    <w:basedOn w:val="1"/>
    <w:autoRedefine/>
    <w:qFormat/>
    <w:uiPriority w:val="0"/>
    <w:pPr>
      <w:widowControl/>
      <w:spacing w:before="100" w:beforeAutospacing="1" w:after="100" w:afterAutospacing="1" w:line="529" w:lineRule="exact"/>
      <w:ind w:firstLine="200" w:firstLineChars="200"/>
      <w:jc w:val="left"/>
    </w:pPr>
    <w:rPr>
      <w:rFonts w:hint="eastAsia" w:ascii="宋体" w:hAnsi="宋体"/>
      <w:kern w:val="0"/>
      <w:sz w:val="24"/>
    </w:rPr>
  </w:style>
  <w:style w:type="paragraph" w:customStyle="1" w:styleId="973">
    <w:name w:val="Char31"/>
    <w:basedOn w:val="1"/>
    <w:autoRedefine/>
    <w:qFormat/>
    <w:uiPriority w:val="0"/>
    <w:pPr>
      <w:widowControl/>
      <w:spacing w:line="360" w:lineRule="auto"/>
      <w:ind w:firstLine="200" w:firstLineChars="200"/>
      <w:jc w:val="left"/>
    </w:pPr>
    <w:rPr>
      <w:kern w:val="0"/>
      <w:sz w:val="24"/>
    </w:rPr>
  </w:style>
  <w:style w:type="paragraph" w:customStyle="1" w:styleId="974">
    <w:name w:val="四号正文"/>
    <w:basedOn w:val="1"/>
    <w:qFormat/>
    <w:uiPriority w:val="0"/>
    <w:pPr>
      <w:widowControl/>
      <w:ind w:firstLine="200" w:firstLineChars="200"/>
      <w:jc w:val="center"/>
    </w:pPr>
    <w:rPr>
      <w:rFonts w:ascii="Times" w:hAnsi="Times"/>
      <w:b/>
      <w:kern w:val="0"/>
      <w:sz w:val="28"/>
    </w:rPr>
  </w:style>
  <w:style w:type="paragraph" w:customStyle="1" w:styleId="975">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976">
    <w:name w:val="xl78"/>
    <w:basedOn w:val="1"/>
    <w:qFormat/>
    <w:uiPriority w:val="0"/>
    <w:pPr>
      <w:widowControl/>
      <w:pBdr>
        <w:right w:val="single" w:color="auto" w:sz="8" w:space="0"/>
      </w:pBdr>
      <w:spacing w:before="100" w:beforeAutospacing="1" w:after="100" w:afterAutospacing="1"/>
      <w:jc w:val="center"/>
    </w:pPr>
    <w:rPr>
      <w:rFonts w:ascii="宋体" w:hAnsi="宋体" w:cs="宋体"/>
      <w:color w:val="0000FF"/>
      <w:kern w:val="0"/>
      <w:sz w:val="24"/>
      <w:u w:val="single"/>
    </w:rPr>
  </w:style>
  <w:style w:type="paragraph" w:customStyle="1" w:styleId="977">
    <w:name w:val="大调查章"/>
    <w:basedOn w:val="1"/>
    <w:qFormat/>
    <w:uiPriority w:val="0"/>
    <w:pPr>
      <w:pageBreakBefore/>
      <w:widowControl/>
      <w:spacing w:line="300" w:lineRule="auto"/>
      <w:jc w:val="center"/>
      <w:outlineLvl w:val="0"/>
    </w:pPr>
    <w:rPr>
      <w:rFonts w:eastAsia="仿宋_GB2312"/>
      <w:b/>
      <w:kern w:val="0"/>
      <w:sz w:val="32"/>
      <w:szCs w:val="20"/>
    </w:rPr>
  </w:style>
  <w:style w:type="paragraph" w:customStyle="1" w:styleId="978">
    <w:name w:val="标准"/>
    <w:basedOn w:val="1"/>
    <w:qFormat/>
    <w:uiPriority w:val="0"/>
    <w:pPr>
      <w:widowControl/>
      <w:adjustRightInd w:val="0"/>
      <w:spacing w:line="360" w:lineRule="atLeast"/>
      <w:jc w:val="center"/>
    </w:pPr>
    <w:rPr>
      <w:rFonts w:ascii="宋体" w:hAnsi="Roman PS"/>
      <w:kern w:val="0"/>
      <w:sz w:val="24"/>
      <w:szCs w:val="20"/>
    </w:rPr>
  </w:style>
  <w:style w:type="paragraph" w:customStyle="1" w:styleId="979">
    <w:name w:val="自正文1"/>
    <w:basedOn w:val="1"/>
    <w:autoRedefine/>
    <w:qFormat/>
    <w:uiPriority w:val="0"/>
    <w:pPr>
      <w:widowControl/>
      <w:tabs>
        <w:tab w:val="left" w:pos="0"/>
      </w:tabs>
      <w:adjustRightInd w:val="0"/>
      <w:snapToGrid w:val="0"/>
      <w:spacing w:line="400" w:lineRule="exact"/>
      <w:ind w:firstLine="480"/>
      <w:jc w:val="left"/>
    </w:pPr>
    <w:rPr>
      <w:rFonts w:ascii="宋体"/>
      <w:b/>
      <w:kern w:val="24"/>
      <w:sz w:val="24"/>
      <w:szCs w:val="20"/>
    </w:rPr>
  </w:style>
  <w:style w:type="paragraph" w:customStyle="1" w:styleId="980">
    <w:name w:val="样式 样式 表文字 + 左  4 字符 + 左  4 字符"/>
    <w:basedOn w:val="1"/>
    <w:qFormat/>
    <w:uiPriority w:val="0"/>
    <w:pPr>
      <w:widowControl/>
      <w:topLinePunct/>
      <w:adjustRightInd w:val="0"/>
      <w:spacing w:line="240" w:lineRule="exact"/>
      <w:jc w:val="center"/>
    </w:pPr>
    <w:rPr>
      <w:rFonts w:cs="宋体"/>
      <w:kern w:val="0"/>
      <w:sz w:val="24"/>
      <w:szCs w:val="20"/>
    </w:rPr>
  </w:style>
  <w:style w:type="paragraph" w:customStyle="1" w:styleId="981">
    <w:name w:val="项目符号2"/>
    <w:basedOn w:val="1"/>
    <w:autoRedefine/>
    <w:qFormat/>
    <w:uiPriority w:val="0"/>
    <w:pPr>
      <w:widowControl/>
      <w:tabs>
        <w:tab w:val="left" w:pos="907"/>
        <w:tab w:val="left" w:pos="980"/>
      </w:tabs>
      <w:spacing w:before="120" w:after="120" w:line="312" w:lineRule="auto"/>
      <w:ind w:left="907" w:hanging="397"/>
      <w:jc w:val="left"/>
    </w:pPr>
    <w:rPr>
      <w:rFonts w:ascii="Arial" w:hAnsi="Arial" w:eastAsia="楷体_GB2312"/>
      <w:kern w:val="0"/>
      <w:sz w:val="28"/>
      <w:szCs w:val="20"/>
    </w:rPr>
  </w:style>
  <w:style w:type="paragraph" w:customStyle="1" w:styleId="982">
    <w:name w:val="样式 hb3 + 左侧:  0 厘米 段前: 0 磅 段后: 0 磅 行距: 固定值 26.45 磅"/>
    <w:basedOn w:val="229"/>
    <w:qFormat/>
    <w:uiPriority w:val="0"/>
    <w:pPr>
      <w:keepNext/>
      <w:keepLines/>
      <w:adjustRightInd w:val="0"/>
      <w:spacing w:beforeLines="50" w:afterLines="0" w:line="529" w:lineRule="exact"/>
    </w:pPr>
    <w:rPr>
      <w:rFonts w:cs="宋体"/>
      <w:bCs/>
      <w:szCs w:val="20"/>
    </w:rPr>
  </w:style>
  <w:style w:type="paragraph" w:customStyle="1" w:styleId="983">
    <w:name w:val="Char Char Char Char Char Char Char Char Char2"/>
    <w:basedOn w:val="1"/>
    <w:autoRedefine/>
    <w:qFormat/>
    <w:uiPriority w:val="0"/>
    <w:pPr>
      <w:widowControl/>
      <w:spacing w:line="360" w:lineRule="auto"/>
      <w:ind w:firstLine="200" w:firstLineChars="200"/>
      <w:jc w:val="left"/>
    </w:pPr>
    <w:rPr>
      <w:rFonts w:eastAsia="Times New Roman" w:cs="宋体"/>
      <w:kern w:val="0"/>
      <w:sz w:val="24"/>
    </w:rPr>
  </w:style>
  <w:style w:type="paragraph" w:customStyle="1" w:styleId="984">
    <w:name w:val="表格文字1"/>
    <w:basedOn w:val="1"/>
    <w:autoRedefine/>
    <w:qFormat/>
    <w:uiPriority w:val="0"/>
    <w:pPr>
      <w:widowControl/>
      <w:tabs>
        <w:tab w:val="left" w:pos="6327"/>
      </w:tabs>
      <w:snapToGrid w:val="0"/>
      <w:spacing w:line="380" w:lineRule="exact"/>
      <w:jc w:val="center"/>
    </w:pPr>
    <w:rPr>
      <w:kern w:val="32"/>
      <w:sz w:val="24"/>
      <w:szCs w:val="20"/>
      <w:lang w:val="de-DE"/>
    </w:rPr>
  </w:style>
  <w:style w:type="paragraph" w:customStyle="1" w:styleId="985">
    <w:name w:val="正文dh"/>
    <w:basedOn w:val="1"/>
    <w:autoRedefine/>
    <w:qFormat/>
    <w:uiPriority w:val="0"/>
    <w:pPr>
      <w:widowControl/>
      <w:spacing w:line="520" w:lineRule="exact"/>
      <w:ind w:firstLine="482"/>
      <w:jc w:val="left"/>
    </w:pPr>
    <w:rPr>
      <w:rFonts w:ascii="宋体"/>
      <w:kern w:val="0"/>
      <w:sz w:val="24"/>
      <w:szCs w:val="20"/>
    </w:rPr>
  </w:style>
  <w:style w:type="paragraph" w:customStyle="1" w:styleId="986">
    <w:name w:val="样式1－表头"/>
    <w:basedOn w:val="1"/>
    <w:autoRedefine/>
    <w:qFormat/>
    <w:uiPriority w:val="0"/>
    <w:pPr>
      <w:widowControl/>
      <w:adjustRightInd w:val="0"/>
      <w:snapToGrid w:val="0"/>
      <w:spacing w:line="440" w:lineRule="exact"/>
      <w:ind w:firstLine="584" w:firstLineChars="200"/>
      <w:jc w:val="left"/>
    </w:pPr>
    <w:rPr>
      <w:bCs/>
      <w:spacing w:val="6"/>
      <w:kern w:val="0"/>
      <w:sz w:val="28"/>
      <w:szCs w:val="28"/>
    </w:rPr>
  </w:style>
  <w:style w:type="paragraph" w:customStyle="1" w:styleId="987">
    <w:name w:val="xl57"/>
    <w:basedOn w:val="1"/>
    <w:qFormat/>
    <w:uiPriority w:val="0"/>
    <w:pPr>
      <w:widowControl/>
      <w:pBdr>
        <w:top w:val="single" w:color="auto" w:sz="4" w:space="0"/>
        <w:left w:val="single" w:color="auto" w:sz="4" w:space="0"/>
        <w:bottom w:val="single" w:color="auto" w:sz="4" w:space="0"/>
      </w:pBdr>
      <w:shd w:val="clear" w:color="0000FF" w:fill="C0C0C0"/>
      <w:spacing w:before="100" w:beforeAutospacing="1" w:after="100" w:afterAutospacing="1"/>
      <w:jc w:val="left"/>
    </w:pPr>
    <w:rPr>
      <w:rFonts w:ascii="Arial Unicode MS" w:hAnsi="Arial Unicode MS" w:eastAsia="Arial Unicode MS"/>
      <w:color w:val="800080"/>
      <w:kern w:val="0"/>
      <w:sz w:val="24"/>
      <w:szCs w:val="20"/>
    </w:rPr>
  </w:style>
  <w:style w:type="paragraph" w:customStyle="1" w:styleId="988">
    <w:name w:val="chenwenyan Char Char Char"/>
    <w:basedOn w:val="1"/>
    <w:autoRedefine/>
    <w:qFormat/>
    <w:uiPriority w:val="0"/>
    <w:pPr>
      <w:widowControl/>
      <w:jc w:val="left"/>
    </w:pPr>
    <w:rPr>
      <w:kern w:val="0"/>
      <w:sz w:val="24"/>
    </w:rPr>
  </w:style>
  <w:style w:type="paragraph" w:customStyle="1" w:styleId="989">
    <w:name w:val="样式 表号 + 居中 段前: 5 磅 段后: 5 磅"/>
    <w:basedOn w:val="7"/>
    <w:qFormat/>
    <w:uiPriority w:val="0"/>
    <w:pPr>
      <w:keepNext w:val="0"/>
      <w:keepLines w:val="0"/>
      <w:widowControl/>
      <w:spacing w:before="0" w:after="0" w:line="240" w:lineRule="auto"/>
      <w:ind w:firstLine="200" w:firstLineChars="200"/>
      <w:jc w:val="center"/>
    </w:pPr>
    <w:rPr>
      <w:rFonts w:cs="宋体"/>
      <w:b w:val="0"/>
      <w:bCs w:val="0"/>
      <w:i/>
      <w:iCs/>
      <w:kern w:val="0"/>
      <w:sz w:val="24"/>
      <w:szCs w:val="24"/>
    </w:rPr>
  </w:style>
  <w:style w:type="paragraph" w:customStyle="1" w:styleId="990">
    <w:name w:val="样式 标题 1 + (中文) 黑体 居中"/>
    <w:basedOn w:val="3"/>
    <w:qFormat/>
    <w:uiPriority w:val="0"/>
    <w:pPr>
      <w:keepLines w:val="0"/>
      <w:widowControl/>
      <w:spacing w:beforeLines="100" w:afterLines="100" w:line="578" w:lineRule="auto"/>
      <w:ind w:firstLine="880" w:firstLineChars="200"/>
      <w:jc w:val="left"/>
    </w:pPr>
    <w:rPr>
      <w:rFonts w:ascii="Cambria" w:hAnsi="Cambria" w:eastAsia="黑体"/>
      <w:bCs w:val="0"/>
      <w:w w:val="90"/>
      <w:kern w:val="32"/>
      <w:sz w:val="36"/>
      <w:szCs w:val="36"/>
    </w:rPr>
  </w:style>
  <w:style w:type="paragraph" w:customStyle="1" w:styleId="991">
    <w:name w:val="样式 表号 + 首行缩进:  0.99 厘米"/>
    <w:basedOn w:val="1"/>
    <w:autoRedefine/>
    <w:qFormat/>
    <w:uiPriority w:val="0"/>
    <w:pPr>
      <w:widowControl/>
      <w:adjustRightInd w:val="0"/>
      <w:snapToGrid w:val="0"/>
      <w:spacing w:line="240" w:lineRule="atLeast"/>
      <w:ind w:firstLine="420"/>
      <w:jc w:val="left"/>
      <w:outlineLvl w:val="4"/>
    </w:pPr>
    <w:rPr>
      <w:rFonts w:ascii="宋体" w:hAnsi="宋体" w:cs="宋体"/>
      <w:kern w:val="0"/>
      <w:sz w:val="24"/>
      <w:szCs w:val="20"/>
    </w:rPr>
  </w:style>
  <w:style w:type="paragraph" w:customStyle="1" w:styleId="992">
    <w:name w:val="样式 标题 2 + (西文) Times New Roman (中文) 宋体 小三 行距: 1.5 倍行距"/>
    <w:basedOn w:val="4"/>
    <w:qFormat/>
    <w:uiPriority w:val="0"/>
    <w:pPr>
      <w:keepLines w:val="0"/>
      <w:widowControl/>
      <w:spacing w:before="240" w:after="60" w:line="240" w:lineRule="auto"/>
      <w:jc w:val="left"/>
    </w:pPr>
    <w:rPr>
      <w:rFonts w:ascii="Times New Roman" w:hAnsi="宋体" w:eastAsia="宋体" w:cs="宋体"/>
      <w:i/>
      <w:iCs/>
      <w:kern w:val="0"/>
      <w:sz w:val="30"/>
      <w:szCs w:val="20"/>
    </w:rPr>
  </w:style>
  <w:style w:type="paragraph" w:customStyle="1" w:styleId="993">
    <w:name w:val="title4"/>
    <w:basedOn w:val="1"/>
    <w:qFormat/>
    <w:uiPriority w:val="0"/>
    <w:pPr>
      <w:widowControl/>
      <w:spacing w:beforeLines="50" w:line="480" w:lineRule="atLeast"/>
      <w:jc w:val="left"/>
    </w:pPr>
    <w:rPr>
      <w:b/>
      <w:kern w:val="0"/>
      <w:sz w:val="28"/>
    </w:rPr>
  </w:style>
  <w:style w:type="paragraph" w:customStyle="1" w:styleId="994">
    <w:name w:val="Char5"/>
    <w:basedOn w:val="1"/>
    <w:qFormat/>
    <w:uiPriority w:val="0"/>
    <w:pPr>
      <w:widowControl/>
      <w:spacing w:line="360" w:lineRule="auto"/>
      <w:ind w:firstLine="200" w:firstLineChars="200"/>
      <w:jc w:val="left"/>
    </w:pPr>
    <w:rPr>
      <w:rFonts w:ascii="宋体" w:hAnsi="宋体" w:cs="宋体"/>
      <w:kern w:val="0"/>
      <w:sz w:val="24"/>
    </w:rPr>
  </w:style>
  <w:style w:type="paragraph" w:customStyle="1" w:styleId="995">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宋体" w:hAnsi="宋体" w:eastAsia="汉鼎简书宋" w:cs="宋体"/>
      <w:kern w:val="0"/>
      <w:sz w:val="20"/>
      <w:szCs w:val="20"/>
    </w:rPr>
  </w:style>
  <w:style w:type="paragraph" w:customStyle="1" w:styleId="996">
    <w:name w:val="表内文字"/>
    <w:basedOn w:val="31"/>
    <w:autoRedefine/>
    <w:qFormat/>
    <w:uiPriority w:val="0"/>
    <w:pPr>
      <w:widowControl/>
      <w:spacing w:beforeLines="50" w:afterLines="50" w:line="240" w:lineRule="exact"/>
      <w:jc w:val="center"/>
    </w:pPr>
    <w:rPr>
      <w:color w:val="000000"/>
      <w:kern w:val="0"/>
      <w:sz w:val="24"/>
      <w:szCs w:val="20"/>
    </w:rPr>
  </w:style>
  <w:style w:type="paragraph" w:customStyle="1" w:styleId="997">
    <w:name w:val="表文11"/>
    <w:basedOn w:val="1"/>
    <w:autoRedefine/>
    <w:qFormat/>
    <w:uiPriority w:val="0"/>
    <w:pPr>
      <w:widowControl/>
      <w:jc w:val="center"/>
    </w:pPr>
    <w:rPr>
      <w:rFonts w:eastAsia="仿宋_GB2312"/>
      <w:kern w:val="0"/>
      <w:sz w:val="22"/>
      <w:szCs w:val="21"/>
    </w:rPr>
  </w:style>
  <w:style w:type="paragraph" w:customStyle="1" w:styleId="998">
    <w:name w:val="样式 hb4 + 段前: 0.5 行 段后: 0.5 行"/>
    <w:basedOn w:val="566"/>
    <w:autoRedefine/>
    <w:qFormat/>
    <w:uiPriority w:val="0"/>
    <w:pPr>
      <w:topLinePunct w:val="0"/>
      <w:spacing w:beforeLines="0" w:afterLines="0" w:line="529" w:lineRule="exact"/>
    </w:pPr>
    <w:rPr>
      <w:rFonts w:ascii="Times New Roman" w:hAnsi="Arial" w:cs="宋体"/>
      <w:kern w:val="24"/>
      <w:szCs w:val="20"/>
    </w:rPr>
  </w:style>
  <w:style w:type="paragraph" w:customStyle="1" w:styleId="999">
    <w:name w:val="xl71"/>
    <w:basedOn w:val="1"/>
    <w:autoRedefine/>
    <w:qFormat/>
    <w:uiPriority w:val="0"/>
    <w:pPr>
      <w:widowControl/>
      <w:pBdr>
        <w:right w:val="single" w:color="auto" w:sz="8" w:space="0"/>
      </w:pBdr>
      <w:spacing w:before="100" w:beforeAutospacing="1" w:after="100" w:afterAutospacing="1"/>
      <w:jc w:val="left"/>
    </w:pPr>
    <w:rPr>
      <w:rFonts w:ascii="宋体" w:hAnsi="宋体" w:cs="宋体"/>
      <w:kern w:val="0"/>
      <w:sz w:val="24"/>
    </w:rPr>
  </w:style>
  <w:style w:type="paragraph" w:customStyle="1" w:styleId="1000">
    <w:name w:val="标题 32"/>
    <w:basedOn w:val="1"/>
    <w:autoRedefine/>
    <w:qFormat/>
    <w:uiPriority w:val="1"/>
    <w:pPr>
      <w:widowControl/>
      <w:autoSpaceDE w:val="0"/>
      <w:autoSpaceDN w:val="0"/>
      <w:ind w:left="960" w:hanging="840"/>
      <w:jc w:val="left"/>
      <w:outlineLvl w:val="3"/>
    </w:pPr>
    <w:rPr>
      <w:rFonts w:ascii="黑体" w:hAnsi="黑体" w:eastAsia="黑体" w:cs="黑体"/>
      <w:b/>
      <w:bCs/>
      <w:kern w:val="0"/>
      <w:sz w:val="27"/>
      <w:szCs w:val="27"/>
      <w:lang w:eastAsia="en-US"/>
    </w:rPr>
  </w:style>
  <w:style w:type="character" w:customStyle="1" w:styleId="1001">
    <w:name w:val="引用 Char3"/>
    <w:basedOn w:val="83"/>
    <w:autoRedefine/>
    <w:qFormat/>
    <w:uiPriority w:val="99"/>
    <w:rPr>
      <w:rFonts w:ascii="Times New Roman" w:hAnsi="Times New Roman"/>
      <w:i/>
      <w:iCs/>
      <w:color w:val="404040" w:themeColor="text1" w:themeTint="BF"/>
      <w:kern w:val="2"/>
      <w:sz w:val="21"/>
      <w:szCs w:val="24"/>
      <w14:textFill>
        <w14:solidFill>
          <w14:schemeClr w14:val="tx1">
            <w14:lumMod w14:val="75000"/>
            <w14:lumOff w14:val="25000"/>
          </w14:schemeClr>
        </w14:solidFill>
      </w14:textFill>
    </w:rPr>
  </w:style>
  <w:style w:type="paragraph" w:customStyle="1" w:styleId="1002">
    <w:name w:val="hb3新"/>
    <w:basedOn w:val="5"/>
    <w:autoRedefine/>
    <w:qFormat/>
    <w:uiPriority w:val="0"/>
    <w:pPr>
      <w:keepLines w:val="0"/>
      <w:widowControl/>
      <w:topLinePunct/>
      <w:adjustRightInd w:val="0"/>
      <w:spacing w:before="240" w:after="60" w:line="240" w:lineRule="auto"/>
      <w:ind w:firstLine="200" w:firstLineChars="200"/>
      <w:jc w:val="left"/>
    </w:pPr>
    <w:rPr>
      <w:rFonts w:ascii="宋体" w:hAnsi="宋体"/>
      <w:bCs w:val="0"/>
      <w:kern w:val="0"/>
      <w:sz w:val="24"/>
      <w:szCs w:val="24"/>
    </w:rPr>
  </w:style>
  <w:style w:type="paragraph" w:customStyle="1" w:styleId="1003">
    <w:name w:val="小标 Char"/>
    <w:basedOn w:val="42"/>
    <w:autoRedefine/>
    <w:qFormat/>
    <w:uiPriority w:val="0"/>
    <w:pPr>
      <w:widowControl/>
      <w:jc w:val="left"/>
    </w:pPr>
    <w:rPr>
      <w:rFonts w:ascii="黑体" w:hAnsi="Courier New" w:eastAsia="黑体" w:cs="Courier New"/>
      <w:b/>
      <w:kern w:val="0"/>
      <w:sz w:val="28"/>
      <w:szCs w:val="28"/>
    </w:rPr>
  </w:style>
  <w:style w:type="paragraph" w:customStyle="1" w:styleId="1004">
    <w:name w:val="正文文本缩进 32"/>
    <w:basedOn w:val="1"/>
    <w:qFormat/>
    <w:uiPriority w:val="0"/>
    <w:pPr>
      <w:widowControl/>
      <w:adjustRightInd w:val="0"/>
      <w:ind w:firstLine="560"/>
      <w:jc w:val="left"/>
    </w:pPr>
    <w:rPr>
      <w:rFonts w:ascii="宋体" w:hAnsi="宋体"/>
      <w:kern w:val="0"/>
      <w:sz w:val="28"/>
      <w:szCs w:val="20"/>
    </w:rPr>
  </w:style>
  <w:style w:type="paragraph" w:customStyle="1" w:styleId="1005">
    <w:name w:val="基准页眉样式"/>
    <w:basedOn w:val="31"/>
    <w:qFormat/>
    <w:uiPriority w:val="0"/>
    <w:pPr>
      <w:widowControl/>
      <w:spacing w:after="0"/>
      <w:jc w:val="center"/>
    </w:pPr>
    <w:rPr>
      <w:kern w:val="0"/>
      <w:sz w:val="24"/>
      <w:szCs w:val="20"/>
    </w:rPr>
  </w:style>
  <w:style w:type="paragraph" w:customStyle="1" w:styleId="1006">
    <w:name w:val="区调节"/>
    <w:basedOn w:val="4"/>
    <w:autoRedefine/>
    <w:qFormat/>
    <w:uiPriority w:val="0"/>
    <w:pPr>
      <w:keepNext w:val="0"/>
      <w:keepLines w:val="0"/>
      <w:pageBreakBefore/>
      <w:widowControl/>
      <w:spacing w:before="320" w:after="200" w:line="720" w:lineRule="auto"/>
      <w:jc w:val="center"/>
      <w:outlineLvl w:val="9"/>
    </w:pPr>
    <w:rPr>
      <w:rFonts w:ascii="仿宋_GB2312" w:hAnsi="Times New Roman" w:eastAsia="宋体"/>
      <w:b w:val="0"/>
      <w:bCs w:val="0"/>
      <w:i/>
      <w:iCs/>
      <w:color w:val="000000"/>
      <w:spacing w:val="4"/>
      <w:kern w:val="0"/>
      <w:sz w:val="28"/>
      <w:szCs w:val="28"/>
    </w:rPr>
  </w:style>
  <w:style w:type="paragraph" w:customStyle="1" w:styleId="1007">
    <w:name w:val="bodyti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1008">
    <w:name w:val="hb4xin"/>
    <w:basedOn w:val="1"/>
    <w:qFormat/>
    <w:uiPriority w:val="0"/>
    <w:pPr>
      <w:keepNext/>
      <w:keepLines/>
      <w:widowControl/>
      <w:spacing w:before="200" w:after="200"/>
      <w:jc w:val="left"/>
      <w:outlineLvl w:val="3"/>
    </w:pPr>
    <w:rPr>
      <w:rFonts w:ascii="宋体" w:hAnsi="宋体" w:cs="宋体"/>
      <w:bCs/>
      <w:kern w:val="0"/>
      <w:sz w:val="24"/>
    </w:rPr>
  </w:style>
  <w:style w:type="character" w:customStyle="1" w:styleId="1009">
    <w:name w:val="脚注文本 Char3"/>
    <w:basedOn w:val="83"/>
    <w:autoRedefine/>
    <w:qFormat/>
    <w:uiPriority w:val="0"/>
    <w:rPr>
      <w:rFonts w:ascii="Times New Roman" w:hAnsi="Times New Roman"/>
      <w:kern w:val="2"/>
      <w:sz w:val="18"/>
      <w:szCs w:val="18"/>
    </w:rPr>
  </w:style>
  <w:style w:type="paragraph" w:customStyle="1" w:styleId="1010">
    <w:name w:val="xl88"/>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color w:val="0000FF"/>
      <w:kern w:val="0"/>
      <w:sz w:val="24"/>
      <w:u w:val="single"/>
    </w:rPr>
  </w:style>
  <w:style w:type="paragraph" w:customStyle="1" w:styleId="1011">
    <w:name w:val="Char4"/>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012">
    <w:name w:val="样式 首行缩进:  2 字符 行距: 固定值 25 磅"/>
    <w:basedOn w:val="1"/>
    <w:qFormat/>
    <w:uiPriority w:val="0"/>
    <w:pPr>
      <w:widowControl/>
      <w:topLinePunct/>
      <w:spacing w:line="529" w:lineRule="exact"/>
      <w:ind w:firstLine="200" w:firstLineChars="200"/>
      <w:jc w:val="left"/>
    </w:pPr>
    <w:rPr>
      <w:rFonts w:eastAsia="汉鼎简书宋" w:cs="宋体"/>
      <w:kern w:val="0"/>
      <w:sz w:val="24"/>
      <w:szCs w:val="20"/>
    </w:rPr>
  </w:style>
  <w:style w:type="paragraph" w:customStyle="1" w:styleId="1013">
    <w:name w:val="样式 标题 3 + 段前: 1 行 行距: 单倍行距1"/>
    <w:basedOn w:val="5"/>
    <w:autoRedefine/>
    <w:qFormat/>
    <w:uiPriority w:val="0"/>
    <w:pPr>
      <w:keepNext w:val="0"/>
      <w:keepLines w:val="0"/>
      <w:widowControl/>
      <w:tabs>
        <w:tab w:val="left" w:pos="1080"/>
      </w:tabs>
      <w:autoSpaceDE w:val="0"/>
      <w:autoSpaceDN w:val="0"/>
      <w:adjustRightInd w:val="0"/>
      <w:snapToGrid w:val="0"/>
      <w:spacing w:beforeLines="100" w:after="0" w:line="240" w:lineRule="auto"/>
      <w:ind w:left="227" w:hanging="227"/>
      <w:jc w:val="left"/>
    </w:pPr>
    <w:rPr>
      <w:rFonts w:ascii="Cambria" w:hAnsi="Cambria" w:eastAsia="黑体" w:cs="宋体"/>
      <w:b w:val="0"/>
      <w:bCs w:val="0"/>
      <w:kern w:val="0"/>
      <w:sz w:val="30"/>
      <w:szCs w:val="20"/>
    </w:rPr>
  </w:style>
  <w:style w:type="paragraph" w:customStyle="1" w:styleId="1014">
    <w:name w:val="样式 一号 加粗 居中 行距: 固定值 36 磅"/>
    <w:basedOn w:val="1"/>
    <w:autoRedefine/>
    <w:qFormat/>
    <w:uiPriority w:val="0"/>
    <w:pPr>
      <w:widowControl/>
      <w:spacing w:line="720" w:lineRule="exact"/>
      <w:jc w:val="center"/>
    </w:pPr>
    <w:rPr>
      <w:rFonts w:eastAsia="汉鼎简书宋" w:cs="宋体"/>
      <w:b/>
      <w:bCs/>
      <w:kern w:val="0"/>
      <w:sz w:val="48"/>
      <w:szCs w:val="48"/>
    </w:rPr>
  </w:style>
  <w:style w:type="paragraph" w:customStyle="1" w:styleId="1015">
    <w:name w:val="表左"/>
    <w:basedOn w:val="1"/>
    <w:autoRedefine/>
    <w:qFormat/>
    <w:uiPriority w:val="0"/>
    <w:pPr>
      <w:widowControl/>
      <w:adjustRightInd w:val="0"/>
      <w:spacing w:line="280" w:lineRule="exact"/>
      <w:ind w:firstLine="567"/>
      <w:jc w:val="center"/>
    </w:pPr>
    <w:rPr>
      <w:rFonts w:ascii="仿宋_GB2312" w:eastAsia="仿宋_GB2312"/>
      <w:color w:val="000000"/>
      <w:kern w:val="0"/>
      <w:sz w:val="24"/>
      <w:szCs w:val="21"/>
    </w:rPr>
  </w:style>
  <w:style w:type="paragraph" w:customStyle="1" w:styleId="1016">
    <w:name w:val="Char Char Char Char Char Char Char Char Char Char Char Char Char Char Char Char Char Char"/>
    <w:basedOn w:val="1"/>
    <w:autoRedefine/>
    <w:qFormat/>
    <w:uiPriority w:val="0"/>
    <w:pPr>
      <w:widowControl/>
      <w:spacing w:line="360" w:lineRule="auto"/>
      <w:ind w:firstLine="200" w:firstLineChars="200"/>
      <w:jc w:val="left"/>
    </w:pPr>
    <w:rPr>
      <w:kern w:val="0"/>
      <w:sz w:val="24"/>
      <w:szCs w:val="21"/>
    </w:rPr>
  </w:style>
  <w:style w:type="paragraph" w:customStyle="1" w:styleId="1017">
    <w:name w:val="正文样式3"/>
    <w:basedOn w:val="1"/>
    <w:qFormat/>
    <w:uiPriority w:val="0"/>
    <w:pPr>
      <w:keepLines/>
      <w:widowControl/>
      <w:adjustRightInd w:val="0"/>
      <w:spacing w:line="20" w:lineRule="atLeast"/>
      <w:jc w:val="center"/>
    </w:pPr>
    <w:rPr>
      <w:kern w:val="0"/>
      <w:sz w:val="24"/>
      <w:szCs w:val="20"/>
    </w:rPr>
  </w:style>
  <w:style w:type="paragraph" w:customStyle="1" w:styleId="1018">
    <w:name w:val="xl54"/>
    <w:basedOn w:val="1"/>
    <w:qFormat/>
    <w:uiPriority w:val="0"/>
    <w:pPr>
      <w:widowControl/>
      <w:pBdr>
        <w:bottom w:val="single" w:color="auto" w:sz="8" w:space="0"/>
      </w:pBdr>
      <w:spacing w:before="100" w:beforeAutospacing="1" w:after="100" w:afterAutospacing="1"/>
      <w:ind w:firstLine="200" w:firstLineChars="200"/>
      <w:jc w:val="center"/>
    </w:pPr>
    <w:rPr>
      <w:rFonts w:ascii="宋体" w:hAnsi="宋体" w:eastAsia="汉鼎简书宋" w:cs="宋体"/>
      <w:b/>
      <w:bCs/>
      <w:kern w:val="0"/>
      <w:sz w:val="28"/>
      <w:szCs w:val="28"/>
    </w:rPr>
  </w:style>
  <w:style w:type="paragraph" w:customStyle="1" w:styleId="1019">
    <w:name w:val="样式 黑体 三号 居中"/>
    <w:basedOn w:val="1"/>
    <w:qFormat/>
    <w:uiPriority w:val="0"/>
    <w:pPr>
      <w:widowControl/>
      <w:topLinePunct/>
      <w:spacing w:line="529" w:lineRule="exact"/>
      <w:ind w:firstLine="420"/>
      <w:jc w:val="center"/>
    </w:pPr>
    <w:rPr>
      <w:rFonts w:ascii="黑体" w:eastAsia="黑体" w:cs="宋体"/>
      <w:kern w:val="0"/>
      <w:sz w:val="32"/>
      <w:szCs w:val="20"/>
    </w:rPr>
  </w:style>
  <w:style w:type="character" w:customStyle="1" w:styleId="1020">
    <w:name w:val="宏文本 Char2"/>
    <w:basedOn w:val="83"/>
    <w:autoRedefine/>
    <w:qFormat/>
    <w:uiPriority w:val="0"/>
    <w:rPr>
      <w:rFonts w:ascii="Courier New" w:hAnsi="Courier New" w:cs="Courier New"/>
      <w:kern w:val="2"/>
      <w:sz w:val="24"/>
      <w:szCs w:val="24"/>
    </w:rPr>
  </w:style>
  <w:style w:type="paragraph" w:customStyle="1" w:styleId="1021">
    <w:name w:val="标题 31"/>
    <w:basedOn w:val="1"/>
    <w:autoRedefine/>
    <w:qFormat/>
    <w:uiPriority w:val="0"/>
    <w:pPr>
      <w:keepNext/>
      <w:keepLines/>
      <w:widowControl/>
      <w:spacing w:before="260" w:after="260" w:line="416" w:lineRule="auto"/>
      <w:jc w:val="left"/>
      <w:outlineLvl w:val="2"/>
    </w:pPr>
    <w:rPr>
      <w:b/>
      <w:bCs/>
      <w:kern w:val="0"/>
      <w:sz w:val="32"/>
      <w:szCs w:val="32"/>
    </w:rPr>
  </w:style>
  <w:style w:type="paragraph" w:customStyle="1" w:styleId="1022">
    <w:name w:val="xl29"/>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right"/>
    </w:pPr>
    <w:rPr>
      <w:rFonts w:ascii="宋体" w:hAnsi="宋体" w:eastAsia="汉鼎简书宋" w:cs="宋体"/>
      <w:kern w:val="0"/>
      <w:sz w:val="20"/>
      <w:szCs w:val="20"/>
    </w:rPr>
  </w:style>
  <w:style w:type="paragraph" w:customStyle="1" w:styleId="1023">
    <w:name w:val="xl80"/>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i/>
      <w:iCs/>
      <w:kern w:val="0"/>
      <w:sz w:val="24"/>
    </w:rPr>
  </w:style>
  <w:style w:type="paragraph" w:customStyle="1" w:styleId="1024">
    <w:name w:val="Char1"/>
    <w:basedOn w:val="1"/>
    <w:autoRedefine/>
    <w:qFormat/>
    <w:uiPriority w:val="0"/>
    <w:pPr>
      <w:widowControl/>
      <w:spacing w:line="529" w:lineRule="exact"/>
      <w:ind w:firstLine="480" w:firstLineChars="200"/>
      <w:jc w:val="left"/>
    </w:pPr>
    <w:rPr>
      <w:rFonts w:ascii="宋体" w:hAnsi="宋体" w:cs="宋体"/>
      <w:kern w:val="0"/>
      <w:sz w:val="24"/>
      <w:szCs w:val="28"/>
    </w:rPr>
  </w:style>
  <w:style w:type="paragraph" w:customStyle="1" w:styleId="1025">
    <w:name w:val="表格，五宋"/>
    <w:autoRedefine/>
    <w:qFormat/>
    <w:uiPriority w:val="0"/>
    <w:pPr>
      <w:adjustRightInd w:val="0"/>
      <w:spacing w:line="360" w:lineRule="exact"/>
      <w:jc w:val="center"/>
    </w:pPr>
    <w:rPr>
      <w:rFonts w:ascii="Times New Roman" w:hAnsi="Times New Roman" w:eastAsia="宋体" w:cs="Times New Roman"/>
      <w:sz w:val="21"/>
      <w:szCs w:val="22"/>
      <w:lang w:val="en-US" w:eastAsia="zh-CN" w:bidi="ar-SA"/>
    </w:rPr>
  </w:style>
  <w:style w:type="paragraph" w:customStyle="1" w:styleId="1026">
    <w:name w:val="正文文本缩进21"/>
    <w:basedOn w:val="1"/>
    <w:autoRedefine/>
    <w:qFormat/>
    <w:uiPriority w:val="0"/>
    <w:pPr>
      <w:widowControl/>
      <w:spacing w:after="120"/>
      <w:ind w:left="420" w:leftChars="200"/>
      <w:jc w:val="left"/>
    </w:pPr>
    <w:rPr>
      <w:rFonts w:eastAsia="Times New Roman"/>
      <w:kern w:val="0"/>
      <w:sz w:val="24"/>
    </w:rPr>
  </w:style>
  <w:style w:type="paragraph" w:customStyle="1" w:styleId="1027">
    <w:name w:val="Char Char Char Char Char Char Char3"/>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028">
    <w:name w:val="立项正文"/>
    <w:basedOn w:val="1"/>
    <w:autoRedefine/>
    <w:qFormat/>
    <w:uiPriority w:val="0"/>
    <w:pPr>
      <w:keepNext/>
      <w:widowControl/>
      <w:spacing w:line="240" w:lineRule="exact"/>
      <w:jc w:val="center"/>
    </w:pPr>
    <w:rPr>
      <w:rFonts w:eastAsia="仿宋_GB2312"/>
      <w:color w:val="000000"/>
      <w:kern w:val="0"/>
      <w:sz w:val="15"/>
      <w:szCs w:val="18"/>
    </w:rPr>
  </w:style>
  <w:style w:type="paragraph" w:customStyle="1" w:styleId="1029">
    <w:name w:val="xl55"/>
    <w:basedOn w:val="1"/>
    <w:autoRedefine/>
    <w:qFormat/>
    <w:uiPriority w:val="0"/>
    <w:pPr>
      <w:widowControl/>
      <w:spacing w:before="100" w:beforeAutospacing="1" w:after="100" w:afterAutospacing="1"/>
      <w:jc w:val="center"/>
    </w:pPr>
    <w:rPr>
      <w:rFonts w:ascii="Arial Unicode MS" w:hAnsi="Arial Unicode MS" w:eastAsia="Arial Unicode MS" w:cs="Arial Unicode MS"/>
      <w:color w:val="FF0000"/>
      <w:kern w:val="0"/>
      <w:sz w:val="24"/>
    </w:rPr>
  </w:style>
  <w:style w:type="paragraph" w:customStyle="1" w:styleId="1030">
    <w:name w:val="标题6"/>
    <w:basedOn w:val="1"/>
    <w:autoRedefine/>
    <w:qFormat/>
    <w:uiPriority w:val="0"/>
    <w:pPr>
      <w:widowControl/>
      <w:jc w:val="center"/>
    </w:pPr>
    <w:rPr>
      <w:rFonts w:ascii="Times" w:hAnsi="Times" w:eastAsia="黑体"/>
      <w:b/>
      <w:kern w:val="0"/>
      <w:sz w:val="28"/>
    </w:rPr>
  </w:style>
  <w:style w:type="character" w:customStyle="1" w:styleId="1031">
    <w:name w:val="正文文本 2 Char2"/>
    <w:basedOn w:val="83"/>
    <w:qFormat/>
    <w:uiPriority w:val="0"/>
    <w:rPr>
      <w:rFonts w:ascii="Times New Roman" w:hAnsi="Times New Roman"/>
      <w:kern w:val="2"/>
      <w:sz w:val="21"/>
      <w:szCs w:val="24"/>
    </w:rPr>
  </w:style>
  <w:style w:type="paragraph" w:customStyle="1" w:styleId="1032">
    <w:name w:val="样式 正文3 +"/>
    <w:basedOn w:val="180"/>
    <w:autoRedefine/>
    <w:qFormat/>
    <w:uiPriority w:val="0"/>
    <w:pPr>
      <w:widowControl/>
      <w:ind w:firstLine="480"/>
      <w:jc w:val="left"/>
    </w:pPr>
    <w:rPr>
      <w:rFonts w:ascii="Times New Roman" w:cs="宋体"/>
      <w:color w:val="FFFFFF"/>
      <w:kern w:val="0"/>
      <w:vertAlign w:val="superscript"/>
    </w:rPr>
  </w:style>
  <w:style w:type="paragraph" w:customStyle="1" w:styleId="1033">
    <w:name w:val="Char13"/>
    <w:basedOn w:val="1"/>
    <w:autoRedefine/>
    <w:qFormat/>
    <w:uiPriority w:val="0"/>
    <w:pPr>
      <w:widowControl/>
      <w:spacing w:after="160" w:line="240" w:lineRule="exact"/>
      <w:jc w:val="left"/>
    </w:pPr>
    <w:rPr>
      <w:color w:val="000000"/>
      <w:kern w:val="0"/>
      <w:sz w:val="24"/>
      <w:szCs w:val="20"/>
      <w:u w:color="000000"/>
    </w:rPr>
  </w:style>
  <w:style w:type="paragraph" w:customStyle="1" w:styleId="1034">
    <w:name w:val="段"/>
    <w:basedOn w:val="217"/>
    <w:qFormat/>
    <w:uiPriority w:val="0"/>
    <w:rPr>
      <w:rFonts w:cs="Times New Roman"/>
      <w:sz w:val="24"/>
      <w:szCs w:val="24"/>
    </w:rPr>
  </w:style>
  <w:style w:type="paragraph" w:customStyle="1" w:styleId="1035">
    <w:name w:val="xl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036">
    <w:name w:val="4"/>
    <w:basedOn w:val="1"/>
    <w:autoRedefine/>
    <w:qFormat/>
    <w:uiPriority w:val="0"/>
    <w:pPr>
      <w:widowControl/>
      <w:ind w:firstLine="420" w:firstLineChars="200"/>
      <w:jc w:val="left"/>
    </w:pPr>
    <w:rPr>
      <w:rFonts w:eastAsia="汉鼎简书宋"/>
      <w:kern w:val="0"/>
      <w:sz w:val="24"/>
      <w:szCs w:val="21"/>
    </w:rPr>
  </w:style>
  <w:style w:type="paragraph" w:customStyle="1" w:styleId="1037">
    <w:name w:val="图号"/>
    <w:basedOn w:val="69"/>
    <w:qFormat/>
    <w:uiPriority w:val="0"/>
    <w:pPr>
      <w:adjustRightInd w:val="0"/>
      <w:spacing w:line="529" w:lineRule="exact"/>
      <w:ind w:left="198"/>
      <w:jc w:val="left"/>
    </w:pPr>
    <w:rPr>
      <w:b/>
      <w:bCs/>
      <w:kern w:val="32"/>
      <w:sz w:val="24"/>
    </w:rPr>
  </w:style>
  <w:style w:type="paragraph" w:customStyle="1" w:styleId="1038">
    <w:name w:val="xl40"/>
    <w:basedOn w:val="1"/>
    <w:autoRedefine/>
    <w:qFormat/>
    <w:uiPriority w:val="0"/>
    <w:pPr>
      <w:widowControl/>
      <w:topLinePunct/>
      <w:spacing w:before="100" w:beforeAutospacing="1" w:after="100" w:afterAutospacing="1" w:line="529" w:lineRule="exact"/>
      <w:ind w:firstLine="200" w:firstLineChars="200"/>
      <w:jc w:val="center"/>
    </w:pPr>
    <w:rPr>
      <w:rFonts w:ascii="Arial Unicode MS" w:hAnsi="Arial Unicode MS" w:eastAsia="Arial Unicode MS"/>
      <w:kern w:val="0"/>
      <w:sz w:val="24"/>
    </w:rPr>
  </w:style>
  <w:style w:type="paragraph" w:customStyle="1" w:styleId="1039">
    <w:name w:val="报告名称"/>
    <w:basedOn w:val="109"/>
    <w:qFormat/>
    <w:uiPriority w:val="0"/>
    <w:pPr>
      <w:widowControl/>
      <w:tabs>
        <w:tab w:val="left" w:pos="3600"/>
      </w:tabs>
      <w:snapToGrid w:val="0"/>
      <w:spacing w:beforeLines="20" w:after="240" w:line="240" w:lineRule="auto"/>
      <w:ind w:firstLine="419" w:firstLineChars="200"/>
      <w:jc w:val="center"/>
      <w:outlineLvl w:val="0"/>
    </w:pPr>
    <w:rPr>
      <w:rFonts w:eastAsia="楷体_GB2312"/>
      <w:b/>
      <w:bCs/>
      <w:spacing w:val="-4"/>
      <w:kern w:val="0"/>
      <w:sz w:val="52"/>
      <w:szCs w:val="28"/>
    </w:rPr>
  </w:style>
  <w:style w:type="paragraph" w:customStyle="1" w:styleId="1040">
    <w:name w:val="hp2"/>
    <w:basedOn w:val="4"/>
    <w:autoRedefine/>
    <w:qFormat/>
    <w:uiPriority w:val="0"/>
    <w:pPr>
      <w:keepLines w:val="0"/>
      <w:widowControl/>
      <w:adjustRightInd w:val="0"/>
      <w:spacing w:before="240" w:after="60" w:line="416" w:lineRule="atLeast"/>
      <w:ind w:firstLine="420"/>
      <w:jc w:val="left"/>
    </w:pPr>
    <w:rPr>
      <w:rFonts w:ascii="宋体" w:hAnsi="宋体" w:eastAsia="宋体" w:cs="宋体"/>
      <w:i/>
      <w:iCs/>
      <w:kern w:val="0"/>
      <w:sz w:val="28"/>
      <w:szCs w:val="28"/>
    </w:rPr>
  </w:style>
  <w:style w:type="paragraph" w:customStyle="1" w:styleId="1041">
    <w:name w:val="样式 表文字 + (符号) 宋体 首行缩进:  0.74 厘米"/>
    <w:basedOn w:val="184"/>
    <w:autoRedefine/>
    <w:qFormat/>
    <w:uiPriority w:val="0"/>
    <w:pPr>
      <w:widowControl/>
      <w:topLinePunct/>
      <w:adjustRightInd w:val="0"/>
    </w:pPr>
    <w:rPr>
      <w:rFonts w:hAnsi="宋体" w:cs="宋体"/>
      <w:kern w:val="0"/>
      <w:sz w:val="21"/>
      <w:szCs w:val="20"/>
    </w:rPr>
  </w:style>
  <w:style w:type="paragraph" w:customStyle="1" w:styleId="1042">
    <w:name w:val="样式 hb3 + 首行缩进:  2 字符"/>
    <w:basedOn w:val="229"/>
    <w:autoRedefine/>
    <w:qFormat/>
    <w:uiPriority w:val="0"/>
    <w:pPr>
      <w:keepNext/>
      <w:keepLines/>
      <w:widowControl w:val="0"/>
      <w:adjustRightInd w:val="0"/>
      <w:spacing w:beforeLines="0" w:afterLines="0" w:line="240" w:lineRule="auto"/>
    </w:pPr>
    <w:rPr>
      <w:rFonts w:ascii="宋体" w:hAnsi="宋体" w:cs="宋体"/>
      <w:bCs/>
      <w:szCs w:val="20"/>
    </w:rPr>
  </w:style>
  <w:style w:type="paragraph" w:customStyle="1" w:styleId="1043">
    <w:name w:val="ALT+Z"/>
    <w:basedOn w:val="1"/>
    <w:autoRedefine/>
    <w:qFormat/>
    <w:uiPriority w:val="0"/>
    <w:pPr>
      <w:widowControl/>
      <w:spacing w:line="500" w:lineRule="exact"/>
      <w:ind w:firstLine="200" w:firstLineChars="200"/>
      <w:jc w:val="left"/>
    </w:pPr>
    <w:rPr>
      <w:kern w:val="0"/>
      <w:sz w:val="24"/>
    </w:rPr>
  </w:style>
  <w:style w:type="paragraph" w:customStyle="1" w:styleId="1044">
    <w:name w:val="引用1"/>
    <w:basedOn w:val="1"/>
    <w:qFormat/>
    <w:uiPriority w:val="0"/>
    <w:pPr>
      <w:widowControl/>
      <w:spacing w:after="200" w:line="276" w:lineRule="auto"/>
      <w:jc w:val="left"/>
    </w:pPr>
    <w:rPr>
      <w:rFonts w:ascii="Calibri" w:hAnsi="Calibri"/>
      <w:i/>
      <w:color w:val="000000"/>
      <w:kern w:val="0"/>
      <w:sz w:val="22"/>
      <w:szCs w:val="20"/>
      <w:lang w:eastAsia="en-US"/>
    </w:rPr>
  </w:style>
  <w:style w:type="paragraph" w:customStyle="1" w:styleId="1045">
    <w:name w:val="Char Char Char Char1"/>
    <w:basedOn w:val="1"/>
    <w:qFormat/>
    <w:uiPriority w:val="0"/>
    <w:pPr>
      <w:widowControl/>
      <w:jc w:val="left"/>
    </w:pPr>
    <w:rPr>
      <w:kern w:val="0"/>
      <w:sz w:val="24"/>
    </w:rPr>
  </w:style>
  <w:style w:type="paragraph" w:customStyle="1" w:styleId="1046">
    <w:name w:val="Char1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1047">
    <w:name w:val="公式"/>
    <w:basedOn w:val="22"/>
    <w:autoRedefine/>
    <w:qFormat/>
    <w:uiPriority w:val="0"/>
    <w:pPr>
      <w:widowControl/>
      <w:tabs>
        <w:tab w:val="right" w:pos="7560"/>
      </w:tabs>
      <w:spacing w:before="0" w:line="360" w:lineRule="auto"/>
    </w:pPr>
    <w:rPr>
      <w:rFonts w:cs="黑体"/>
      <w:b w:val="0"/>
      <w:kern w:val="0"/>
      <w:sz w:val="24"/>
      <w:szCs w:val="21"/>
    </w:rPr>
  </w:style>
  <w:style w:type="paragraph" w:customStyle="1" w:styleId="1048">
    <w:name w:val="Char22"/>
    <w:basedOn w:val="1"/>
    <w:autoRedefine/>
    <w:qFormat/>
    <w:uiPriority w:val="0"/>
    <w:pPr>
      <w:widowControl/>
      <w:spacing w:line="529" w:lineRule="exact"/>
      <w:ind w:firstLine="200" w:firstLineChars="200"/>
      <w:jc w:val="left"/>
    </w:pPr>
    <w:rPr>
      <w:rFonts w:ascii="宋体" w:hAnsi="宋体" w:cs="宋体"/>
      <w:kern w:val="0"/>
      <w:sz w:val="24"/>
    </w:rPr>
  </w:style>
  <w:style w:type="paragraph" w:customStyle="1" w:styleId="1049">
    <w:name w:val="xl69"/>
    <w:basedOn w:val="1"/>
    <w:autoRedefine/>
    <w:qFormat/>
    <w:uiPriority w:val="0"/>
    <w:pPr>
      <w:widowControl/>
      <w:pBdr>
        <w:right w:val="single" w:color="auto" w:sz="8" w:space="0"/>
      </w:pBdr>
      <w:spacing w:before="100" w:beforeAutospacing="1" w:after="100" w:afterAutospacing="1"/>
      <w:jc w:val="center"/>
    </w:pPr>
    <w:rPr>
      <w:rFonts w:ascii="宋体" w:hAnsi="宋体" w:cs="宋体"/>
      <w:kern w:val="0"/>
      <w:sz w:val="24"/>
    </w:rPr>
  </w:style>
  <w:style w:type="paragraph" w:customStyle="1" w:styleId="1050">
    <w:name w:val="font9"/>
    <w:basedOn w:val="1"/>
    <w:autoRedefine/>
    <w:qFormat/>
    <w:uiPriority w:val="0"/>
    <w:pPr>
      <w:widowControl/>
      <w:spacing w:before="100" w:beforeAutospacing="1" w:after="100" w:afterAutospacing="1"/>
      <w:jc w:val="left"/>
    </w:pPr>
    <w:rPr>
      <w:rFonts w:ascii="宋体" w:hAnsi="宋体"/>
      <w:kern w:val="0"/>
      <w:sz w:val="28"/>
      <w:szCs w:val="28"/>
    </w:rPr>
  </w:style>
  <w:style w:type="paragraph" w:customStyle="1" w:styleId="1051">
    <w:name w:val="样式 hb4 + 首行缩进:  2 字符"/>
    <w:basedOn w:val="566"/>
    <w:autoRedefine/>
    <w:qFormat/>
    <w:uiPriority w:val="0"/>
    <w:pPr>
      <w:keepNext w:val="0"/>
      <w:topLinePunct w:val="0"/>
      <w:spacing w:beforeLines="0" w:afterLines="0" w:line="240" w:lineRule="auto"/>
      <w:outlineLvl w:val="9"/>
    </w:pPr>
    <w:rPr>
      <w:rFonts w:ascii="Times New Roman" w:hAnsi="Times New Roman" w:cs="宋体"/>
      <w:b w:val="0"/>
      <w:szCs w:val="20"/>
    </w:rPr>
  </w:style>
  <w:style w:type="paragraph" w:customStyle="1" w:styleId="1052">
    <w:name w:val="xl64"/>
    <w:basedOn w:val="1"/>
    <w:autoRedefine/>
    <w:qFormat/>
    <w:uiPriority w:val="0"/>
    <w:pPr>
      <w:widowControl/>
      <w:pBdr>
        <w:right w:val="single" w:color="auto" w:sz="4" w:space="0"/>
      </w:pBdr>
      <w:spacing w:before="100" w:beforeAutospacing="1" w:after="100" w:afterAutospacing="1"/>
      <w:jc w:val="center"/>
    </w:pPr>
    <w:rPr>
      <w:rFonts w:ascii="Arial Unicode MS" w:hAnsi="Arial Unicode MS" w:eastAsia="Arial Unicode MS"/>
      <w:kern w:val="0"/>
      <w:sz w:val="20"/>
      <w:szCs w:val="20"/>
    </w:rPr>
  </w:style>
  <w:style w:type="paragraph" w:customStyle="1" w:styleId="1053">
    <w:name w:val="表内容小5"/>
    <w:basedOn w:val="1"/>
    <w:autoRedefine/>
    <w:qFormat/>
    <w:uiPriority w:val="0"/>
    <w:pPr>
      <w:widowControl/>
      <w:tabs>
        <w:tab w:val="left" w:pos="4660"/>
      </w:tabs>
      <w:adjustRightInd w:val="0"/>
      <w:snapToGrid w:val="0"/>
      <w:spacing w:line="240" w:lineRule="atLeast"/>
      <w:jc w:val="center"/>
    </w:pPr>
    <w:rPr>
      <w:rFonts w:cs="宋体"/>
      <w:kern w:val="0"/>
      <w:sz w:val="20"/>
      <w:szCs w:val="20"/>
    </w:rPr>
  </w:style>
  <w:style w:type="paragraph" w:customStyle="1" w:styleId="1054">
    <w:name w:val="text"/>
    <w:basedOn w:val="1"/>
    <w:autoRedefine/>
    <w:qFormat/>
    <w:uiPriority w:val="0"/>
    <w:pPr>
      <w:widowControl/>
      <w:spacing w:before="100" w:beforeAutospacing="1" w:after="100" w:afterAutospacing="1"/>
      <w:jc w:val="left"/>
    </w:pPr>
    <w:rPr>
      <w:rFonts w:ascii="宋体" w:hAnsi="宋体"/>
      <w:kern w:val="0"/>
      <w:sz w:val="17"/>
      <w:szCs w:val="17"/>
    </w:rPr>
  </w:style>
  <w:style w:type="paragraph" w:customStyle="1" w:styleId="1055">
    <w:name w:val="标题9"/>
    <w:autoRedefine/>
    <w:qFormat/>
    <w:uiPriority w:val="0"/>
    <w:pPr>
      <w:adjustRightInd w:val="0"/>
      <w:snapToGrid w:val="0"/>
      <w:spacing w:line="360" w:lineRule="auto"/>
      <w:jc w:val="center"/>
    </w:pPr>
    <w:rPr>
      <w:rFonts w:ascii="Times New Roman" w:hAnsi="Times New Roman" w:eastAsia="黑体" w:cs="Times New Roman"/>
      <w:sz w:val="21"/>
      <w:szCs w:val="22"/>
      <w:lang w:val="en-US" w:eastAsia="zh-CN" w:bidi="ar-SA"/>
    </w:rPr>
  </w:style>
  <w:style w:type="paragraph" w:customStyle="1" w:styleId="1056">
    <w:name w:val="设计正文"/>
    <w:basedOn w:val="1"/>
    <w:autoRedefine/>
    <w:qFormat/>
    <w:uiPriority w:val="0"/>
    <w:pPr>
      <w:widowControl/>
      <w:ind w:firstLine="560" w:firstLineChars="200"/>
      <w:jc w:val="left"/>
    </w:pPr>
    <w:rPr>
      <w:rFonts w:ascii="Times" w:hAnsi="Times" w:eastAsia="仿宋_GB2312"/>
      <w:kern w:val="0"/>
      <w:sz w:val="28"/>
      <w:szCs w:val="20"/>
    </w:rPr>
  </w:style>
  <w:style w:type="paragraph" w:customStyle="1" w:styleId="1057">
    <w:name w:val="样式 报告一 + 首行缩进:  2 字符"/>
    <w:basedOn w:val="1058"/>
    <w:autoRedefine/>
    <w:qFormat/>
    <w:uiPriority w:val="0"/>
    <w:pPr>
      <w:keepNext/>
      <w:tabs>
        <w:tab w:val="left" w:pos="3319"/>
      </w:tabs>
      <w:spacing w:line="360" w:lineRule="auto"/>
      <w:ind w:firstLine="544" w:firstLineChars="200"/>
    </w:pPr>
    <w:rPr>
      <w:rFonts w:ascii="仿宋_GB2312"/>
      <w:spacing w:val="-8"/>
      <w:kern w:val="2"/>
    </w:rPr>
  </w:style>
  <w:style w:type="paragraph" w:customStyle="1" w:styleId="1058">
    <w:name w:val="报告一"/>
    <w:basedOn w:val="109"/>
    <w:qFormat/>
    <w:uiPriority w:val="0"/>
    <w:pPr>
      <w:widowControl/>
      <w:spacing w:line="240" w:lineRule="auto"/>
      <w:ind w:firstLine="282" w:firstLineChars="100"/>
      <w:jc w:val="left"/>
      <w:outlineLvl w:val="3"/>
    </w:pPr>
    <w:rPr>
      <w:rFonts w:eastAsia="仿宋_GB2312"/>
      <w:kern w:val="0"/>
      <w:sz w:val="28"/>
      <w:szCs w:val="20"/>
    </w:rPr>
  </w:style>
  <w:style w:type="paragraph" w:customStyle="1" w:styleId="1059">
    <w:name w:val="样式 标题 1 + 加粗"/>
    <w:basedOn w:val="3"/>
    <w:autoRedefine/>
    <w:qFormat/>
    <w:uiPriority w:val="0"/>
    <w:pPr>
      <w:keepLines w:val="0"/>
      <w:widowControl/>
      <w:adjustRightInd w:val="0"/>
      <w:spacing w:beforeLines="100" w:afterLines="100" w:line="300" w:lineRule="auto"/>
      <w:ind w:firstLine="880" w:firstLineChars="200"/>
      <w:jc w:val="left"/>
    </w:pPr>
    <w:rPr>
      <w:rFonts w:ascii="宋体" w:hAnsi="Cambria" w:eastAsia="黑体"/>
      <w:b w:val="0"/>
      <w:bCs w:val="0"/>
      <w:w w:val="90"/>
      <w:kern w:val="32"/>
      <w:sz w:val="36"/>
      <w:szCs w:val="36"/>
    </w:rPr>
  </w:style>
  <w:style w:type="paragraph" w:customStyle="1" w:styleId="1060">
    <w:name w:val="样式 图号 + 宋体"/>
    <w:basedOn w:val="1037"/>
    <w:autoRedefine/>
    <w:qFormat/>
    <w:uiPriority w:val="0"/>
    <w:pPr>
      <w:ind w:firstLine="200" w:firstLineChars="200"/>
    </w:pPr>
    <w:rPr>
      <w:rFonts w:ascii="宋体" w:hAnsi="宋体"/>
    </w:rPr>
  </w:style>
  <w:style w:type="paragraph" w:customStyle="1" w:styleId="1061">
    <w:name w:val="序号"/>
    <w:basedOn w:val="31"/>
    <w:qFormat/>
    <w:uiPriority w:val="0"/>
    <w:pPr>
      <w:widowControl/>
      <w:tabs>
        <w:tab w:val="left" w:pos="902"/>
      </w:tabs>
      <w:spacing w:after="0"/>
      <w:ind w:firstLine="900"/>
      <w:jc w:val="left"/>
    </w:pPr>
    <w:rPr>
      <w:rFonts w:ascii="宋体" w:hAnsi="宋体" w:cs="宋体"/>
      <w:kern w:val="0"/>
      <w:sz w:val="24"/>
      <w:szCs w:val="21"/>
    </w:rPr>
  </w:style>
  <w:style w:type="paragraph" w:customStyle="1" w:styleId="1062">
    <w:name w:val="目录4"/>
    <w:basedOn w:val="1"/>
    <w:qFormat/>
    <w:uiPriority w:val="0"/>
    <w:pPr>
      <w:widowControl/>
      <w:tabs>
        <w:tab w:val="left" w:leader="dot" w:pos="8503"/>
      </w:tabs>
      <w:spacing w:line="317" w:lineRule="atLeast"/>
      <w:ind w:left="419" w:firstLine="629"/>
      <w:jc w:val="left"/>
    </w:pPr>
    <w:rPr>
      <w:rFonts w:ascii="宋体" w:hAnsi="宋体"/>
      <w:color w:val="000000"/>
      <w:kern w:val="0"/>
      <w:sz w:val="24"/>
      <w:szCs w:val="20"/>
      <w:u w:color="000000"/>
    </w:rPr>
  </w:style>
  <w:style w:type="paragraph" w:customStyle="1" w:styleId="1063">
    <w:name w:val="目录标题"/>
    <w:basedOn w:val="1"/>
    <w:autoRedefine/>
    <w:qFormat/>
    <w:uiPriority w:val="0"/>
    <w:pPr>
      <w:widowControl/>
      <w:spacing w:before="215" w:after="419" w:line="436" w:lineRule="atLeast"/>
      <w:ind w:firstLine="419"/>
      <w:jc w:val="center"/>
    </w:pPr>
    <w:rPr>
      <w:rFonts w:ascii="Arial" w:hAnsi="宋体" w:eastAsia="黑体"/>
      <w:color w:val="000000"/>
      <w:spacing w:val="283"/>
      <w:kern w:val="0"/>
      <w:sz w:val="42"/>
      <w:szCs w:val="20"/>
      <w:u w:color="000000"/>
    </w:rPr>
  </w:style>
  <w:style w:type="paragraph" w:customStyle="1" w:styleId="1064">
    <w:name w:val="Char Char Char Char Char Char Char Char Char Char1"/>
    <w:basedOn w:val="1"/>
    <w:semiHidden/>
    <w:qFormat/>
    <w:uiPriority w:val="0"/>
    <w:pPr>
      <w:widowControl/>
      <w:jc w:val="left"/>
    </w:pPr>
    <w:rPr>
      <w:kern w:val="0"/>
      <w:sz w:val="24"/>
    </w:rPr>
  </w:style>
  <w:style w:type="paragraph" w:customStyle="1" w:styleId="1065">
    <w:name w:val="xl70"/>
    <w:basedOn w:val="1"/>
    <w:autoRedefine/>
    <w:qFormat/>
    <w:uiPriority w:val="0"/>
    <w:pPr>
      <w:widowControl/>
      <w:pBdr>
        <w:bottom w:val="single" w:color="auto" w:sz="8" w:space="0"/>
        <w:right w:val="single" w:color="auto" w:sz="8" w:space="0"/>
      </w:pBdr>
      <w:spacing w:before="100" w:beforeAutospacing="1" w:after="100" w:afterAutospacing="1"/>
      <w:jc w:val="center"/>
    </w:pPr>
    <w:rPr>
      <w:kern w:val="0"/>
      <w:sz w:val="24"/>
    </w:rPr>
  </w:style>
  <w:style w:type="paragraph" w:customStyle="1" w:styleId="1066">
    <w:name w:val="Char7 Char Char"/>
    <w:basedOn w:val="1"/>
    <w:qFormat/>
    <w:uiPriority w:val="0"/>
    <w:pPr>
      <w:widowControl/>
      <w:adjustRightInd w:val="0"/>
      <w:spacing w:line="360" w:lineRule="auto"/>
      <w:jc w:val="left"/>
    </w:pPr>
    <w:rPr>
      <w:kern w:val="0"/>
      <w:sz w:val="24"/>
      <w:szCs w:val="20"/>
    </w:rPr>
  </w:style>
  <w:style w:type="paragraph" w:customStyle="1" w:styleId="1067">
    <w:name w:val="xl84"/>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jc w:val="center"/>
    </w:pPr>
    <w:rPr>
      <w:kern w:val="0"/>
      <w:sz w:val="24"/>
    </w:rPr>
  </w:style>
  <w:style w:type="paragraph" w:customStyle="1" w:styleId="1068">
    <w:name w:val="正文样式1"/>
    <w:basedOn w:val="1"/>
    <w:autoRedefine/>
    <w:qFormat/>
    <w:uiPriority w:val="0"/>
    <w:pPr>
      <w:widowControl/>
      <w:adjustRightInd w:val="0"/>
      <w:spacing w:line="480" w:lineRule="atLeast"/>
      <w:ind w:firstLine="567"/>
      <w:jc w:val="left"/>
    </w:pPr>
    <w:rPr>
      <w:kern w:val="0"/>
      <w:sz w:val="28"/>
      <w:szCs w:val="20"/>
    </w:rPr>
  </w:style>
  <w:style w:type="paragraph" w:customStyle="1" w:styleId="1069">
    <w:name w:val="xl5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070">
    <w:name w:val="Char Char Char Char Char Char Char Char Char Char Char Char Char"/>
    <w:basedOn w:val="1"/>
    <w:autoRedefine/>
    <w:semiHidden/>
    <w:qFormat/>
    <w:uiPriority w:val="0"/>
    <w:pPr>
      <w:widowControl/>
      <w:adjustRightInd w:val="0"/>
      <w:snapToGrid w:val="0"/>
      <w:spacing w:line="360" w:lineRule="auto"/>
      <w:ind w:firstLine="200" w:firstLineChars="200"/>
      <w:jc w:val="left"/>
    </w:pPr>
    <w:rPr>
      <w:rFonts w:ascii="宋体" w:hAnsi="宋体" w:cs="宋体"/>
      <w:kern w:val="0"/>
      <w:sz w:val="24"/>
      <w:szCs w:val="26"/>
    </w:rPr>
  </w:style>
  <w:style w:type="paragraph" w:customStyle="1" w:styleId="1071">
    <w:name w:val="font15"/>
    <w:basedOn w:val="1"/>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1072">
    <w:name w:val="样式 标题2 + 自动设置 段前: 0.5 行 段后: 0.5 行"/>
    <w:basedOn w:val="1"/>
    <w:qFormat/>
    <w:uiPriority w:val="0"/>
    <w:pPr>
      <w:keepNext/>
      <w:keepLines/>
      <w:widowControl/>
      <w:spacing w:beforeLines="50" w:afterLines="50" w:line="360" w:lineRule="auto"/>
      <w:jc w:val="left"/>
      <w:outlineLvl w:val="1"/>
    </w:pPr>
    <w:rPr>
      <w:rFonts w:eastAsia="黑体" w:cs="宋体"/>
      <w:b/>
      <w:bCs/>
      <w:kern w:val="44"/>
      <w:sz w:val="32"/>
      <w:szCs w:val="20"/>
    </w:rPr>
  </w:style>
  <w:style w:type="paragraph" w:customStyle="1" w:styleId="1073">
    <w:name w:val="样式B"/>
    <w:basedOn w:val="1"/>
    <w:qFormat/>
    <w:uiPriority w:val="0"/>
    <w:pPr>
      <w:widowControl/>
      <w:adjustRightInd w:val="0"/>
      <w:ind w:firstLine="624"/>
      <w:jc w:val="left"/>
    </w:pPr>
    <w:rPr>
      <w:rFonts w:eastAsia="仿宋_GB2312"/>
      <w:kern w:val="0"/>
      <w:sz w:val="32"/>
      <w:szCs w:val="20"/>
    </w:rPr>
  </w:style>
  <w:style w:type="paragraph" w:customStyle="1" w:styleId="1074">
    <w:name w:val="xl23"/>
    <w:basedOn w:val="1"/>
    <w:autoRedefine/>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jc w:val="center"/>
    </w:pPr>
    <w:rPr>
      <w:rFonts w:ascii="宋体" w:hAnsi="宋体"/>
      <w:color w:val="000000"/>
      <w:kern w:val="0"/>
      <w:sz w:val="28"/>
      <w:szCs w:val="28"/>
    </w:rPr>
  </w:style>
  <w:style w:type="paragraph" w:customStyle="1" w:styleId="1075">
    <w:name w:val="报告编写单位和日期"/>
    <w:basedOn w:val="1"/>
    <w:autoRedefine/>
    <w:qFormat/>
    <w:uiPriority w:val="0"/>
    <w:pPr>
      <w:widowControl/>
      <w:spacing w:line="360" w:lineRule="auto"/>
      <w:jc w:val="center"/>
    </w:pPr>
    <w:rPr>
      <w:rFonts w:eastAsia="仿宋_GB2312"/>
      <w:b/>
      <w:color w:val="000000"/>
      <w:kern w:val="0"/>
      <w:sz w:val="36"/>
      <w:szCs w:val="44"/>
      <w:u w:color="000000"/>
    </w:rPr>
  </w:style>
  <w:style w:type="paragraph" w:customStyle="1" w:styleId="1076">
    <w:name w:val="样式 正文"/>
    <w:basedOn w:val="1"/>
    <w:autoRedefine/>
    <w:qFormat/>
    <w:uiPriority w:val="0"/>
    <w:pPr>
      <w:widowControl/>
      <w:spacing w:line="529" w:lineRule="exact"/>
      <w:ind w:firstLine="200" w:firstLineChars="200"/>
      <w:jc w:val="left"/>
    </w:pPr>
    <w:rPr>
      <w:kern w:val="0"/>
      <w:sz w:val="24"/>
      <w:szCs w:val="20"/>
    </w:rPr>
  </w:style>
  <w:style w:type="paragraph" w:customStyle="1" w:styleId="1077">
    <w:name w:val="样式14"/>
    <w:basedOn w:val="1"/>
    <w:autoRedefine/>
    <w:qFormat/>
    <w:uiPriority w:val="0"/>
    <w:pPr>
      <w:widowControl/>
      <w:jc w:val="left"/>
    </w:pPr>
    <w:rPr>
      <w:kern w:val="0"/>
      <w:sz w:val="24"/>
      <w:szCs w:val="21"/>
    </w:rPr>
  </w:style>
  <w:style w:type="paragraph" w:customStyle="1" w:styleId="1078">
    <w:name w:val="样式 正文 + 左侧:  0 厘米 悬挂缩进: 14.4 字符"/>
    <w:basedOn w:val="1"/>
    <w:autoRedefine/>
    <w:qFormat/>
    <w:uiPriority w:val="0"/>
    <w:pPr>
      <w:widowControl/>
      <w:spacing w:line="529" w:lineRule="exact"/>
      <w:ind w:firstLine="200" w:firstLineChars="200"/>
      <w:jc w:val="left"/>
    </w:pPr>
    <w:rPr>
      <w:rFonts w:cs="宋体"/>
      <w:kern w:val="0"/>
      <w:sz w:val="24"/>
      <w:szCs w:val="20"/>
    </w:rPr>
  </w:style>
  <w:style w:type="paragraph" w:customStyle="1" w:styleId="1079">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080">
    <w:name w:val="Char1 Char Char Char Char Char Char1 Char Char Char11"/>
    <w:basedOn w:val="1"/>
    <w:autoRedefine/>
    <w:qFormat/>
    <w:uiPriority w:val="0"/>
    <w:pPr>
      <w:widowControl/>
      <w:jc w:val="left"/>
    </w:pPr>
    <w:rPr>
      <w:kern w:val="0"/>
      <w:sz w:val="24"/>
      <w:szCs w:val="21"/>
    </w:rPr>
  </w:style>
  <w:style w:type="paragraph" w:customStyle="1" w:styleId="1081">
    <w:name w:val="框图（小五固定行距）"/>
    <w:basedOn w:val="1"/>
    <w:autoRedefine/>
    <w:qFormat/>
    <w:uiPriority w:val="0"/>
    <w:pPr>
      <w:widowControl/>
      <w:spacing w:line="240" w:lineRule="exact"/>
      <w:jc w:val="center"/>
    </w:pPr>
    <w:rPr>
      <w:kern w:val="0"/>
      <w:sz w:val="18"/>
    </w:rPr>
  </w:style>
  <w:style w:type="paragraph" w:customStyle="1" w:styleId="1082">
    <w:name w:val="Char Char19 Char Char"/>
    <w:basedOn w:val="1"/>
    <w:autoRedefine/>
    <w:qFormat/>
    <w:uiPriority w:val="0"/>
    <w:pPr>
      <w:widowControl/>
      <w:spacing w:line="529" w:lineRule="exact"/>
      <w:ind w:firstLine="480" w:firstLineChars="200"/>
      <w:jc w:val="left"/>
    </w:pPr>
    <w:rPr>
      <w:rFonts w:ascii="宋体" w:hAnsi="宋体" w:cs="宋体"/>
      <w:kern w:val="0"/>
      <w:sz w:val="24"/>
    </w:rPr>
  </w:style>
  <w:style w:type="paragraph" w:customStyle="1" w:styleId="1083">
    <w:name w:val="样式 (中文) 汉鼎简书宋"/>
    <w:basedOn w:val="1"/>
    <w:autoRedefine/>
    <w:qFormat/>
    <w:uiPriority w:val="0"/>
    <w:pPr>
      <w:widowControl/>
      <w:spacing w:line="529" w:lineRule="exact"/>
      <w:ind w:firstLine="480" w:firstLineChars="200"/>
      <w:jc w:val="left"/>
    </w:pPr>
    <w:rPr>
      <w:rFonts w:ascii="宋体" w:hAnsi="宋体"/>
      <w:kern w:val="24"/>
      <w:sz w:val="24"/>
      <w:szCs w:val="20"/>
    </w:rPr>
  </w:style>
  <w:style w:type="paragraph" w:customStyle="1" w:styleId="1084">
    <w:name w:val="大标题"/>
    <w:basedOn w:val="1"/>
    <w:qFormat/>
    <w:uiPriority w:val="0"/>
    <w:pPr>
      <w:keepNext/>
      <w:keepLines/>
      <w:widowControl/>
      <w:tabs>
        <w:tab w:val="left" w:pos="1290"/>
        <w:tab w:val="left" w:pos="2190"/>
      </w:tabs>
      <w:spacing w:before="340" w:after="330" w:line="578" w:lineRule="auto"/>
      <w:ind w:left="2190" w:hanging="2190"/>
      <w:jc w:val="center"/>
      <w:outlineLvl w:val="0"/>
    </w:pPr>
    <w:rPr>
      <w:b/>
      <w:bCs/>
      <w:kern w:val="44"/>
      <w:sz w:val="44"/>
      <w:szCs w:val="44"/>
    </w:rPr>
  </w:style>
  <w:style w:type="paragraph" w:customStyle="1" w:styleId="1085">
    <w:name w:val="日期1"/>
    <w:basedOn w:val="1"/>
    <w:autoRedefine/>
    <w:qFormat/>
    <w:uiPriority w:val="0"/>
    <w:pPr>
      <w:widowControl/>
      <w:adjustRightInd w:val="0"/>
      <w:spacing w:line="529" w:lineRule="exact"/>
      <w:ind w:firstLine="420"/>
      <w:jc w:val="left"/>
    </w:pPr>
    <w:rPr>
      <w:rFonts w:ascii="宋体" w:eastAsia="汉鼎简书宋"/>
      <w:b/>
      <w:kern w:val="0"/>
      <w:sz w:val="28"/>
      <w:szCs w:val="20"/>
    </w:rPr>
  </w:style>
  <w:style w:type="paragraph" w:customStyle="1" w:styleId="1086">
    <w:name w:val="纯文本3"/>
    <w:basedOn w:val="1"/>
    <w:autoRedefine/>
    <w:qFormat/>
    <w:uiPriority w:val="0"/>
    <w:pPr>
      <w:widowControl/>
      <w:adjustRightInd w:val="0"/>
      <w:jc w:val="left"/>
    </w:pPr>
    <w:rPr>
      <w:rFonts w:ascii="宋体" w:hAnsi="Courier New"/>
      <w:kern w:val="0"/>
      <w:sz w:val="24"/>
      <w:szCs w:val="20"/>
    </w:rPr>
  </w:style>
  <w:style w:type="paragraph" w:customStyle="1" w:styleId="1087">
    <w:name w:val="正文格式"/>
    <w:basedOn w:val="1"/>
    <w:qFormat/>
    <w:uiPriority w:val="0"/>
    <w:pPr>
      <w:widowControl/>
      <w:spacing w:line="360" w:lineRule="auto"/>
      <w:ind w:firstLine="480" w:firstLineChars="200"/>
      <w:jc w:val="left"/>
    </w:pPr>
    <w:rPr>
      <w:kern w:val="0"/>
      <w:sz w:val="28"/>
      <w:szCs w:val="28"/>
    </w:rPr>
  </w:style>
  <w:style w:type="paragraph" w:customStyle="1" w:styleId="1088">
    <w:name w:val="样式 正文文本 + 段前: 0.5 行"/>
    <w:basedOn w:val="31"/>
    <w:qFormat/>
    <w:uiPriority w:val="0"/>
    <w:pPr>
      <w:widowControl/>
      <w:spacing w:after="0"/>
      <w:jc w:val="left"/>
    </w:pPr>
    <w:rPr>
      <w:rFonts w:eastAsia="仿宋_GB2312"/>
      <w:spacing w:val="-2"/>
      <w:kern w:val="0"/>
      <w:sz w:val="28"/>
      <w:szCs w:val="20"/>
    </w:rPr>
  </w:style>
  <w:style w:type="paragraph" w:customStyle="1" w:styleId="1089">
    <w:name w:val="表格内容自定"/>
    <w:basedOn w:val="1"/>
    <w:autoRedefine/>
    <w:semiHidden/>
    <w:qFormat/>
    <w:uiPriority w:val="0"/>
    <w:pPr>
      <w:widowControl/>
      <w:spacing w:line="280" w:lineRule="exact"/>
      <w:jc w:val="center"/>
    </w:pPr>
    <w:rPr>
      <w:kern w:val="0"/>
      <w:sz w:val="18"/>
      <w:szCs w:val="21"/>
    </w:rPr>
  </w:style>
  <w:style w:type="paragraph" w:customStyle="1" w:styleId="1090">
    <w:name w:val="样式 kk5 + 段前: 0.4 行 段后: 0.4 行"/>
    <w:basedOn w:val="1"/>
    <w:qFormat/>
    <w:uiPriority w:val="0"/>
    <w:pPr>
      <w:keepNext/>
      <w:keepLines/>
      <w:widowControl/>
      <w:spacing w:line="500" w:lineRule="exact"/>
      <w:ind w:firstLine="200" w:firstLineChars="200"/>
      <w:jc w:val="left"/>
      <w:outlineLvl w:val="4"/>
    </w:pPr>
    <w:rPr>
      <w:rFonts w:ascii="宋体" w:hAnsi="宋体" w:cs="宋体"/>
      <w:kern w:val="0"/>
      <w:sz w:val="24"/>
      <w:szCs w:val="20"/>
    </w:rPr>
  </w:style>
  <w:style w:type="paragraph" w:customStyle="1" w:styleId="1091">
    <w:name w:val="框图"/>
    <w:basedOn w:val="1"/>
    <w:autoRedefine/>
    <w:qFormat/>
    <w:uiPriority w:val="0"/>
    <w:pPr>
      <w:widowControl/>
      <w:tabs>
        <w:tab w:val="left" w:pos="1350"/>
      </w:tabs>
      <w:autoSpaceDE w:val="0"/>
      <w:autoSpaceDN w:val="0"/>
      <w:adjustRightInd w:val="0"/>
      <w:snapToGrid w:val="0"/>
      <w:spacing w:line="300" w:lineRule="auto"/>
      <w:jc w:val="center"/>
    </w:pPr>
    <w:rPr>
      <w:rFonts w:ascii="仿宋_GB2312"/>
      <w:kern w:val="0"/>
      <w:sz w:val="18"/>
      <w:szCs w:val="18"/>
    </w:rPr>
  </w:style>
  <w:style w:type="paragraph" w:customStyle="1" w:styleId="1092">
    <w:name w:val="xl33"/>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093">
    <w:name w:val="样式 宋体 小四 段前: 2.5 磅 段后: 2.5 磅 行距: 固定值 24 磅"/>
    <w:basedOn w:val="1"/>
    <w:autoRedefine/>
    <w:qFormat/>
    <w:uiPriority w:val="0"/>
    <w:pPr>
      <w:widowControl/>
      <w:ind w:firstLine="200" w:firstLineChars="200"/>
      <w:jc w:val="left"/>
    </w:pPr>
    <w:rPr>
      <w:rFonts w:ascii="宋体" w:hAnsi="宋体" w:cs="宋体"/>
      <w:spacing w:val="10"/>
      <w:kern w:val="0"/>
      <w:sz w:val="28"/>
      <w:szCs w:val="28"/>
    </w:rPr>
  </w:style>
  <w:style w:type="paragraph" w:customStyle="1" w:styleId="1094">
    <w:name w:val="Char15"/>
    <w:basedOn w:val="1"/>
    <w:autoRedefine/>
    <w:qFormat/>
    <w:uiPriority w:val="0"/>
    <w:pPr>
      <w:widowControl/>
      <w:spacing w:line="560" w:lineRule="exact"/>
      <w:ind w:firstLine="200" w:firstLineChars="200"/>
      <w:jc w:val="left"/>
    </w:pPr>
    <w:rPr>
      <w:rFonts w:ascii="宋体" w:hAnsi="宋体" w:cs="宋体"/>
      <w:kern w:val="0"/>
      <w:sz w:val="24"/>
    </w:rPr>
  </w:style>
  <w:style w:type="paragraph" w:customStyle="1" w:styleId="1095">
    <w:name w:val="font8"/>
    <w:basedOn w:val="1"/>
    <w:autoRedefine/>
    <w:qFormat/>
    <w:uiPriority w:val="0"/>
    <w:pPr>
      <w:widowControl/>
      <w:spacing w:before="100" w:beforeAutospacing="1" w:after="100" w:afterAutospacing="1"/>
      <w:jc w:val="left"/>
    </w:pPr>
    <w:rPr>
      <w:rFonts w:hint="eastAsia" w:ascii="宋体" w:hAnsi="宋体"/>
      <w:kern w:val="0"/>
      <w:sz w:val="28"/>
      <w:szCs w:val="28"/>
    </w:rPr>
  </w:style>
  <w:style w:type="paragraph" w:customStyle="1" w:styleId="1096">
    <w:name w:val="正文仿宋小四"/>
    <w:basedOn w:val="1"/>
    <w:autoRedefine/>
    <w:qFormat/>
    <w:uiPriority w:val="0"/>
    <w:pPr>
      <w:widowControl/>
      <w:adjustRightInd w:val="0"/>
      <w:snapToGrid w:val="0"/>
      <w:spacing w:line="360" w:lineRule="auto"/>
      <w:ind w:firstLine="480" w:firstLineChars="200"/>
      <w:jc w:val="left"/>
    </w:pPr>
    <w:rPr>
      <w:rFonts w:eastAsia="仿宋_GB2312"/>
      <w:kern w:val="0"/>
      <w:sz w:val="24"/>
    </w:rPr>
  </w:style>
  <w:style w:type="paragraph" w:customStyle="1" w:styleId="1097">
    <w:name w:val="样式 标题 3hb3 + 首行缩进:  2 字符"/>
    <w:basedOn w:val="5"/>
    <w:qFormat/>
    <w:uiPriority w:val="0"/>
    <w:pPr>
      <w:keepLines w:val="0"/>
      <w:widowControl/>
      <w:spacing w:before="240" w:after="240" w:line="240" w:lineRule="auto"/>
      <w:jc w:val="left"/>
    </w:pPr>
    <w:rPr>
      <w:rFonts w:ascii="Cambria" w:hAnsi="Cambria" w:cs="宋体"/>
      <w:kern w:val="0"/>
      <w:sz w:val="24"/>
      <w:szCs w:val="20"/>
    </w:rPr>
  </w:style>
  <w:style w:type="paragraph" w:customStyle="1" w:styleId="1098">
    <w:name w:val="1-表内"/>
    <w:basedOn w:val="1"/>
    <w:qFormat/>
    <w:uiPriority w:val="0"/>
    <w:pPr>
      <w:widowControl/>
      <w:spacing w:line="360" w:lineRule="auto"/>
      <w:ind w:firstLine="480" w:firstLineChars="200"/>
      <w:jc w:val="left"/>
    </w:pPr>
    <w:rPr>
      <w:rFonts w:ascii="宋体" w:hAnsi="宋体"/>
      <w:kern w:val="0"/>
      <w:sz w:val="24"/>
      <w:szCs w:val="21"/>
    </w:rPr>
  </w:style>
  <w:style w:type="paragraph" w:customStyle="1" w:styleId="1099">
    <w:name w:val="环保章标题"/>
    <w:basedOn w:val="5"/>
    <w:qFormat/>
    <w:uiPriority w:val="0"/>
    <w:pPr>
      <w:keepLines w:val="0"/>
      <w:widowControl/>
      <w:adjustRightInd w:val="0"/>
      <w:spacing w:before="240" w:after="60" w:line="416" w:lineRule="atLeast"/>
      <w:ind w:firstLine="200" w:firstLineChars="200"/>
      <w:jc w:val="left"/>
    </w:pPr>
    <w:rPr>
      <w:rFonts w:ascii="Cambria" w:hAnsi="Cambria"/>
      <w:kern w:val="0"/>
      <w:sz w:val="28"/>
      <w:szCs w:val="28"/>
    </w:rPr>
  </w:style>
  <w:style w:type="paragraph" w:customStyle="1" w:styleId="1100">
    <w:name w:val="文章总标题"/>
    <w:basedOn w:val="1"/>
    <w:autoRedefine/>
    <w:qFormat/>
    <w:uiPriority w:val="0"/>
    <w:pPr>
      <w:widowControl/>
      <w:spacing w:before="566" w:after="544" w:line="566" w:lineRule="atLeast"/>
      <w:jc w:val="center"/>
    </w:pPr>
    <w:rPr>
      <w:rFonts w:ascii="Arial" w:hAnsi="宋体" w:eastAsia="黑体"/>
      <w:color w:val="000000"/>
      <w:kern w:val="0"/>
      <w:sz w:val="54"/>
      <w:szCs w:val="20"/>
      <w:u w:color="000000"/>
    </w:rPr>
  </w:style>
  <w:style w:type="paragraph" w:customStyle="1" w:styleId="1101">
    <w:name w:val="文档结构图11"/>
    <w:basedOn w:val="1"/>
    <w:autoRedefine/>
    <w:qFormat/>
    <w:uiPriority w:val="0"/>
    <w:pPr>
      <w:widowControl/>
      <w:shd w:val="clear" w:color="auto" w:fill="000080"/>
      <w:tabs>
        <w:tab w:val="left" w:pos="480"/>
        <w:tab w:val="left" w:pos="1680"/>
        <w:tab w:val="left" w:pos="3960"/>
        <w:tab w:val="left" w:pos="5400"/>
        <w:tab w:val="left" w:pos="6840"/>
      </w:tabs>
      <w:adjustRightInd w:val="0"/>
      <w:spacing w:line="240" w:lineRule="atLeast"/>
      <w:ind w:firstLine="482"/>
      <w:jc w:val="left"/>
    </w:pPr>
    <w:rPr>
      <w:rFonts w:eastAsia="创艺简楷体"/>
      <w:kern w:val="0"/>
      <w:sz w:val="28"/>
      <w:szCs w:val="20"/>
    </w:rPr>
  </w:style>
  <w:style w:type="paragraph" w:customStyle="1" w:styleId="1102">
    <w:name w:val="样式 hb4 + 段前: 0.5 行 段后: 0.5 行3"/>
    <w:basedOn w:val="566"/>
    <w:autoRedefine/>
    <w:qFormat/>
    <w:uiPriority w:val="0"/>
    <w:pPr>
      <w:topLinePunct w:val="0"/>
      <w:spacing w:beforeLines="50" w:afterLines="50" w:line="529" w:lineRule="exact"/>
    </w:pPr>
    <w:rPr>
      <w:rFonts w:hAnsi="Arial" w:cs="宋体"/>
      <w:szCs w:val="20"/>
    </w:rPr>
  </w:style>
  <w:style w:type="paragraph" w:customStyle="1" w:styleId="1103">
    <w:name w:val="区调章"/>
    <w:basedOn w:val="3"/>
    <w:autoRedefine/>
    <w:qFormat/>
    <w:uiPriority w:val="0"/>
    <w:pPr>
      <w:keepNext w:val="0"/>
      <w:keepLines w:val="0"/>
      <w:pageBreakBefore/>
      <w:widowControl/>
      <w:spacing w:before="0" w:afterLines="100" w:line="720" w:lineRule="auto"/>
      <w:jc w:val="left"/>
      <w:outlineLvl w:val="9"/>
    </w:pPr>
    <w:rPr>
      <w:rFonts w:ascii="仿宋_GB2312" w:hAnsi="Cambria" w:eastAsia="黑体"/>
      <w:bCs w:val="0"/>
      <w:color w:val="000000"/>
      <w:kern w:val="2"/>
      <w:sz w:val="30"/>
      <w:szCs w:val="28"/>
    </w:rPr>
  </w:style>
  <w:style w:type="paragraph" w:customStyle="1" w:styleId="1104">
    <w:name w:val="表格1"/>
    <w:basedOn w:val="1"/>
    <w:autoRedefine/>
    <w:qFormat/>
    <w:uiPriority w:val="0"/>
    <w:pPr>
      <w:widowControl/>
      <w:adjustRightInd w:val="0"/>
      <w:spacing w:line="280" w:lineRule="exact"/>
      <w:jc w:val="left"/>
    </w:pPr>
    <w:rPr>
      <w:rFonts w:ascii="宋体"/>
      <w:spacing w:val="6"/>
      <w:kern w:val="0"/>
      <w:sz w:val="18"/>
      <w:szCs w:val="20"/>
    </w:rPr>
  </w:style>
  <w:style w:type="paragraph" w:customStyle="1" w:styleId="1105">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106">
    <w:name w:val="一部分"/>
    <w:basedOn w:val="1"/>
    <w:autoRedefine/>
    <w:qFormat/>
    <w:uiPriority w:val="0"/>
    <w:pPr>
      <w:widowControl/>
      <w:spacing w:line="480" w:lineRule="auto"/>
      <w:ind w:firstLine="200" w:firstLineChars="200"/>
      <w:jc w:val="left"/>
    </w:pPr>
    <w:rPr>
      <w:rFonts w:ascii="仿宋_GB2312" w:eastAsia="仿宋_GB2312"/>
      <w:b/>
      <w:bCs/>
      <w:kern w:val="0"/>
      <w:sz w:val="32"/>
      <w:szCs w:val="20"/>
    </w:rPr>
  </w:style>
  <w:style w:type="paragraph" w:customStyle="1" w:styleId="1107">
    <w:name w:val="样式 标题 2 + 段前: 0.5 行 行距: 单倍行距1"/>
    <w:basedOn w:val="4"/>
    <w:autoRedefine/>
    <w:qFormat/>
    <w:uiPriority w:val="0"/>
    <w:pPr>
      <w:keepNext w:val="0"/>
      <w:keepLines w:val="0"/>
      <w:widowControl/>
      <w:tabs>
        <w:tab w:val="left" w:pos="737"/>
      </w:tabs>
      <w:autoSpaceDE w:val="0"/>
      <w:autoSpaceDN w:val="0"/>
      <w:adjustRightInd w:val="0"/>
      <w:snapToGrid w:val="0"/>
      <w:spacing w:beforeLines="100" w:after="0" w:line="240" w:lineRule="auto"/>
      <w:ind w:left="737" w:hanging="737"/>
      <w:jc w:val="left"/>
    </w:pPr>
    <w:rPr>
      <w:rFonts w:ascii="Times New Roman" w:hAnsi="Times New Roman" w:eastAsia="宋体" w:cs="宋体"/>
      <w:b w:val="0"/>
      <w:bCs w:val="0"/>
      <w:i/>
      <w:iCs/>
      <w:kern w:val="0"/>
      <w:sz w:val="28"/>
      <w:szCs w:val="20"/>
    </w:rPr>
  </w:style>
  <w:style w:type="paragraph" w:customStyle="1" w:styleId="1108">
    <w:name w:val="样式 行距: 最小值 20 磅"/>
    <w:basedOn w:val="1"/>
    <w:autoRedefine/>
    <w:qFormat/>
    <w:uiPriority w:val="0"/>
    <w:pPr>
      <w:widowControl/>
      <w:adjustRightInd w:val="0"/>
      <w:spacing w:line="400" w:lineRule="atLeast"/>
      <w:ind w:firstLine="200" w:firstLineChars="200"/>
      <w:jc w:val="left"/>
    </w:pPr>
    <w:rPr>
      <w:rFonts w:eastAsia="汉鼎简书宋"/>
      <w:kern w:val="0"/>
      <w:sz w:val="24"/>
    </w:rPr>
  </w:style>
  <w:style w:type="paragraph" w:customStyle="1" w:styleId="1109">
    <w:name w:val="立项一"/>
    <w:basedOn w:val="1"/>
    <w:autoRedefine/>
    <w:qFormat/>
    <w:uiPriority w:val="0"/>
    <w:pPr>
      <w:keepNext/>
      <w:widowControl/>
      <w:spacing w:line="360" w:lineRule="auto"/>
      <w:jc w:val="center"/>
      <w:outlineLvl w:val="0"/>
    </w:pPr>
    <w:rPr>
      <w:rFonts w:ascii="仿宋_GB2312" w:eastAsia="仿宋_GB2312"/>
      <w:b/>
      <w:kern w:val="0"/>
      <w:sz w:val="24"/>
      <w:szCs w:val="20"/>
    </w:rPr>
  </w:style>
  <w:style w:type="paragraph" w:customStyle="1" w:styleId="1110">
    <w:name w:val="Char Char Char Char Char Char Char Char Char Char Char Char Char Char Char Char Char Char1 Char Char Char Char Char Char Char Char Char Char Char Char1 Char Char Char1"/>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111">
    <w:name w:val="Char33"/>
    <w:basedOn w:val="1"/>
    <w:qFormat/>
    <w:uiPriority w:val="0"/>
    <w:pPr>
      <w:widowControl/>
      <w:spacing w:line="360" w:lineRule="auto"/>
      <w:ind w:firstLine="200" w:firstLineChars="200"/>
      <w:jc w:val="left"/>
    </w:pPr>
    <w:rPr>
      <w:kern w:val="0"/>
      <w:sz w:val="24"/>
      <w:szCs w:val="20"/>
    </w:rPr>
  </w:style>
  <w:style w:type="paragraph" w:customStyle="1" w:styleId="1112">
    <w:name w:val="xl31"/>
    <w:basedOn w:val="1"/>
    <w:autoRedefine/>
    <w:qFormat/>
    <w:uiPriority w:val="0"/>
    <w:pPr>
      <w:widowControl/>
      <w:pBdr>
        <w:bottom w:val="single" w:color="auto" w:sz="4" w:space="0"/>
        <w:right w:val="single" w:color="auto" w:sz="4" w:space="0"/>
      </w:pBdr>
      <w:spacing w:before="100" w:beforeAutospacing="1" w:after="100" w:afterAutospacing="1"/>
      <w:ind w:firstLine="200" w:firstLineChars="200"/>
      <w:jc w:val="left"/>
    </w:pPr>
    <w:rPr>
      <w:rFonts w:ascii="Arial Unicode MS" w:hAnsi="Arial Unicode MS" w:eastAsia="Arial Unicode MS" w:cs="Arial Unicode MS"/>
      <w:kern w:val="0"/>
      <w:sz w:val="24"/>
      <w:szCs w:val="21"/>
    </w:rPr>
  </w:style>
  <w:style w:type="paragraph" w:customStyle="1" w:styleId="1113">
    <w:name w:val="表内文字 Char"/>
    <w:autoRedefine/>
    <w:qFormat/>
    <w:uiPriority w:val="0"/>
    <w:pPr>
      <w:widowControl w:val="0"/>
      <w:spacing w:line="0" w:lineRule="atLeast"/>
      <w:jc w:val="center"/>
    </w:pPr>
    <w:rPr>
      <w:rFonts w:ascii="Times New Roman" w:hAnsi="Times New Roman" w:eastAsia="宋体" w:cs="Times New Roman"/>
      <w:sz w:val="21"/>
      <w:szCs w:val="22"/>
      <w:lang w:val="en-US" w:eastAsia="zh-CN" w:bidi="ar-SA"/>
    </w:rPr>
  </w:style>
  <w:style w:type="paragraph" w:customStyle="1" w:styleId="1114">
    <w:name w:val="投标正文"/>
    <w:basedOn w:val="1"/>
    <w:qFormat/>
    <w:uiPriority w:val="0"/>
    <w:pPr>
      <w:keepNext/>
      <w:widowControl/>
      <w:spacing w:line="360" w:lineRule="auto"/>
      <w:ind w:firstLine="624"/>
      <w:jc w:val="center"/>
    </w:pPr>
    <w:rPr>
      <w:rFonts w:eastAsia="仿宋_GB2312"/>
      <w:b/>
      <w:kern w:val="0"/>
      <w:sz w:val="28"/>
    </w:rPr>
  </w:style>
  <w:style w:type="paragraph" w:customStyle="1" w:styleId="1115">
    <w:name w:val="样式 hb2 + 首行缩进:  2 字符"/>
    <w:basedOn w:val="916"/>
    <w:qFormat/>
    <w:uiPriority w:val="0"/>
    <w:pPr>
      <w:spacing w:before="360" w:after="180" w:line="416" w:lineRule="atLeast"/>
      <w:ind w:firstLine="480"/>
    </w:pPr>
    <w:rPr>
      <w:rFonts w:ascii="Times New Roman" w:hAnsi="Times New Roman" w:cs="宋体"/>
      <w:sz w:val="28"/>
      <w:szCs w:val="20"/>
    </w:rPr>
  </w:style>
  <w:style w:type="paragraph" w:customStyle="1" w:styleId="1116">
    <w:name w:val="样式 首行缩进:  2 字符1"/>
    <w:basedOn w:val="1"/>
    <w:qFormat/>
    <w:uiPriority w:val="0"/>
    <w:pPr>
      <w:widowControl/>
      <w:topLinePunct/>
      <w:spacing w:line="529" w:lineRule="exact"/>
      <w:ind w:firstLine="480" w:firstLineChars="200"/>
      <w:jc w:val="left"/>
    </w:pPr>
    <w:rPr>
      <w:rFonts w:cs="宋体"/>
      <w:kern w:val="0"/>
      <w:sz w:val="24"/>
    </w:rPr>
  </w:style>
  <w:style w:type="paragraph" w:customStyle="1" w:styleId="1117">
    <w:name w:val="5"/>
    <w:basedOn w:val="1"/>
    <w:qFormat/>
    <w:uiPriority w:val="0"/>
    <w:pPr>
      <w:widowControl/>
      <w:snapToGrid w:val="0"/>
      <w:spacing w:line="408" w:lineRule="auto"/>
      <w:ind w:left="-113" w:right="-510" w:firstLine="510"/>
      <w:jc w:val="left"/>
    </w:pPr>
    <w:rPr>
      <w:rFonts w:eastAsia="汉鼎简书宋"/>
      <w:kern w:val="0"/>
      <w:sz w:val="24"/>
      <w:szCs w:val="20"/>
    </w:rPr>
  </w:style>
  <w:style w:type="paragraph" w:customStyle="1" w:styleId="1118">
    <w:name w:val="样式 hb3 + 段前: 5 磅 段后: 5 磅"/>
    <w:basedOn w:val="5"/>
    <w:qFormat/>
    <w:uiPriority w:val="0"/>
    <w:pPr>
      <w:keepLines w:val="0"/>
      <w:widowControl/>
      <w:topLinePunct/>
      <w:spacing w:before="100" w:after="100" w:line="500" w:lineRule="exact"/>
      <w:ind w:firstLine="200" w:firstLineChars="200"/>
      <w:jc w:val="center"/>
    </w:pPr>
    <w:rPr>
      <w:rFonts w:ascii="黑体" w:hAnsi="Cambria" w:cs="宋体"/>
      <w:bCs w:val="0"/>
      <w:kern w:val="0"/>
      <w:sz w:val="30"/>
      <w:szCs w:val="20"/>
    </w:rPr>
  </w:style>
  <w:style w:type="paragraph" w:customStyle="1" w:styleId="1119">
    <w:name w:val="标准条文"/>
    <w:qFormat/>
    <w:uiPriority w:val="0"/>
    <w:pPr>
      <w:spacing w:beforeLines="20" w:afterLines="20"/>
      <w:ind w:firstLine="200" w:firstLineChars="200"/>
    </w:pPr>
    <w:rPr>
      <w:rFonts w:ascii="Times New Roman" w:hAnsi="Times New Roman" w:eastAsia="宋体" w:cs="Times New Roman"/>
      <w:bCs/>
      <w:kern w:val="2"/>
      <w:sz w:val="21"/>
      <w:szCs w:val="24"/>
      <w:lang w:val="en-US" w:eastAsia="zh-CN" w:bidi="ar-SA"/>
    </w:rPr>
  </w:style>
  <w:style w:type="paragraph" w:customStyle="1" w:styleId="1120">
    <w:name w:val="xl7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121">
    <w:name w:val="正文表"/>
    <w:basedOn w:val="1"/>
    <w:qFormat/>
    <w:uiPriority w:val="0"/>
    <w:pPr>
      <w:widowControl/>
      <w:jc w:val="center"/>
    </w:pPr>
    <w:rPr>
      <w:rFonts w:ascii="宋体" w:hAnsi="宋体"/>
      <w:bCs/>
      <w:kern w:val="0"/>
      <w:sz w:val="15"/>
      <w:szCs w:val="18"/>
    </w:rPr>
  </w:style>
  <w:style w:type="paragraph" w:customStyle="1" w:styleId="1122">
    <w:name w:val="样式 样式 样式 标题4 + 段前: 0.5 行 + 段前: 0.5 行 + 段前: 0.5 行"/>
    <w:basedOn w:val="1"/>
    <w:qFormat/>
    <w:uiPriority w:val="0"/>
    <w:pPr>
      <w:widowControl/>
      <w:tabs>
        <w:tab w:val="left" w:pos="1080"/>
        <w:tab w:val="left" w:pos="3450"/>
      </w:tabs>
      <w:autoSpaceDE w:val="0"/>
      <w:autoSpaceDN w:val="0"/>
      <w:adjustRightInd w:val="0"/>
      <w:snapToGrid w:val="0"/>
      <w:spacing w:beforeLines="50" w:line="360" w:lineRule="auto"/>
      <w:ind w:left="170" w:hanging="1405"/>
      <w:jc w:val="left"/>
      <w:outlineLvl w:val="3"/>
    </w:pPr>
    <w:rPr>
      <w:rFonts w:eastAsia="黑体" w:cs="宋体"/>
      <w:kern w:val="0"/>
      <w:sz w:val="28"/>
      <w:szCs w:val="20"/>
    </w:rPr>
  </w:style>
  <w:style w:type="paragraph" w:customStyle="1" w:styleId="1123">
    <w:name w:val="样式2-表格"/>
    <w:basedOn w:val="1"/>
    <w:qFormat/>
    <w:uiPriority w:val="0"/>
    <w:pPr>
      <w:widowControl/>
      <w:autoSpaceDE w:val="0"/>
      <w:autoSpaceDN w:val="0"/>
      <w:adjustRightInd w:val="0"/>
      <w:snapToGrid w:val="0"/>
      <w:spacing w:line="440" w:lineRule="exact"/>
      <w:jc w:val="center"/>
    </w:pPr>
    <w:rPr>
      <w:rFonts w:hAnsi="宋体"/>
      <w:color w:val="000000"/>
      <w:kern w:val="0"/>
      <w:sz w:val="24"/>
      <w:szCs w:val="21"/>
    </w:rPr>
  </w:style>
  <w:style w:type="paragraph" w:customStyle="1" w:styleId="1124">
    <w:name w:val="Bullet"/>
    <w:basedOn w:val="1"/>
    <w:qFormat/>
    <w:uiPriority w:val="0"/>
    <w:pPr>
      <w:widowControl/>
      <w:suppressLineNumbers/>
      <w:tabs>
        <w:tab w:val="left" w:pos="435"/>
      </w:tabs>
      <w:suppressAutoHyphens/>
      <w:spacing w:after="240"/>
      <w:ind w:left="435" w:hanging="435"/>
      <w:jc w:val="left"/>
    </w:pPr>
    <w:rPr>
      <w:kern w:val="0"/>
      <w:sz w:val="23"/>
      <w:szCs w:val="20"/>
      <w:lang w:eastAsia="en-US"/>
    </w:rPr>
  </w:style>
  <w:style w:type="paragraph" w:customStyle="1" w:styleId="1125">
    <w:name w:val="报告目录"/>
    <w:basedOn w:val="1"/>
    <w:qFormat/>
    <w:uiPriority w:val="0"/>
    <w:pPr>
      <w:keepNext/>
      <w:widowControl/>
      <w:jc w:val="center"/>
    </w:pPr>
    <w:rPr>
      <w:rFonts w:eastAsia="仿宋_GB2312"/>
      <w:b/>
      <w:kern w:val="0"/>
      <w:sz w:val="32"/>
      <w:shd w:val="clear" w:color="auto" w:fill="FFFFFF"/>
    </w:rPr>
  </w:style>
  <w:style w:type="paragraph" w:customStyle="1" w:styleId="1126">
    <w:name w:val="图表头"/>
    <w:basedOn w:val="1"/>
    <w:qFormat/>
    <w:uiPriority w:val="0"/>
    <w:pPr>
      <w:widowControl/>
      <w:adjustRightInd w:val="0"/>
      <w:spacing w:line="360" w:lineRule="auto"/>
      <w:jc w:val="center"/>
    </w:pPr>
    <w:rPr>
      <w:rFonts w:ascii="黑体" w:eastAsia="黑体"/>
      <w:spacing w:val="5"/>
      <w:kern w:val="0"/>
      <w:sz w:val="24"/>
    </w:rPr>
  </w:style>
  <w:style w:type="paragraph" w:customStyle="1" w:styleId="1127">
    <w:name w:val="font13"/>
    <w:basedOn w:val="1"/>
    <w:qFormat/>
    <w:uiPriority w:val="0"/>
    <w:pPr>
      <w:widowControl/>
      <w:spacing w:before="100" w:beforeAutospacing="1" w:after="100" w:afterAutospacing="1"/>
      <w:jc w:val="left"/>
    </w:pPr>
    <w:rPr>
      <w:color w:val="000000"/>
      <w:kern w:val="0"/>
      <w:sz w:val="24"/>
    </w:rPr>
  </w:style>
  <w:style w:type="paragraph" w:customStyle="1" w:styleId="1128">
    <w:name w:val="普通文字"/>
    <w:basedOn w:val="1"/>
    <w:qFormat/>
    <w:uiPriority w:val="0"/>
    <w:pPr>
      <w:widowControl/>
      <w:adjustRightInd w:val="0"/>
      <w:snapToGrid w:val="0"/>
      <w:spacing w:line="360" w:lineRule="exact"/>
      <w:jc w:val="left"/>
    </w:pPr>
    <w:rPr>
      <w:rFonts w:eastAsia="汉鼎简书宋"/>
      <w:kern w:val="21"/>
      <w:sz w:val="24"/>
      <w:szCs w:val="21"/>
    </w:rPr>
  </w:style>
  <w:style w:type="paragraph" w:customStyle="1" w:styleId="1129">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left"/>
    </w:pPr>
    <w:rPr>
      <w:rFonts w:ascii="宋体" w:hAnsi="宋体" w:eastAsia="汉鼎简书宋" w:cs="宋体"/>
      <w:kern w:val="0"/>
      <w:sz w:val="20"/>
      <w:szCs w:val="20"/>
    </w:rPr>
  </w:style>
  <w:style w:type="paragraph" w:customStyle="1" w:styleId="1130">
    <w:name w:val="xl8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131">
    <w:name w:val="_Style 3"/>
    <w:basedOn w:val="1"/>
    <w:qFormat/>
    <w:uiPriority w:val="0"/>
    <w:pPr>
      <w:widowControl/>
      <w:jc w:val="left"/>
    </w:pPr>
    <w:rPr>
      <w:kern w:val="0"/>
      <w:sz w:val="24"/>
      <w:szCs w:val="20"/>
    </w:rPr>
  </w:style>
  <w:style w:type="paragraph" w:customStyle="1" w:styleId="1132">
    <w:name w:val="样式 首行缩进:  0.85 厘米3"/>
    <w:basedOn w:val="1"/>
    <w:qFormat/>
    <w:uiPriority w:val="0"/>
    <w:pPr>
      <w:widowControl/>
      <w:spacing w:line="529" w:lineRule="exact"/>
      <w:ind w:firstLine="480" w:firstLineChars="200"/>
      <w:jc w:val="left"/>
    </w:pPr>
    <w:rPr>
      <w:rFonts w:cs="宋体"/>
      <w:kern w:val="0"/>
      <w:sz w:val="24"/>
      <w:szCs w:val="20"/>
    </w:rPr>
  </w:style>
  <w:style w:type="paragraph" w:customStyle="1" w:styleId="1133">
    <w:name w:val="正文居中"/>
    <w:basedOn w:val="1"/>
    <w:qFormat/>
    <w:uiPriority w:val="0"/>
    <w:pPr>
      <w:widowControl/>
      <w:jc w:val="center"/>
    </w:pPr>
    <w:rPr>
      <w:rFonts w:ascii="宋体" w:hAnsi="宋体"/>
      <w:kern w:val="0"/>
      <w:sz w:val="28"/>
      <w:szCs w:val="20"/>
    </w:rPr>
  </w:style>
  <w:style w:type="paragraph" w:customStyle="1" w:styleId="1134">
    <w:name w:val="样式 标题 3 + 段前: 1 行 行距: 单倍行距"/>
    <w:basedOn w:val="5"/>
    <w:qFormat/>
    <w:uiPriority w:val="0"/>
    <w:pPr>
      <w:keepNext w:val="0"/>
      <w:keepLines w:val="0"/>
      <w:widowControl/>
      <w:tabs>
        <w:tab w:val="left" w:pos="1080"/>
      </w:tabs>
      <w:autoSpaceDE w:val="0"/>
      <w:autoSpaceDN w:val="0"/>
      <w:adjustRightInd w:val="0"/>
      <w:snapToGrid w:val="0"/>
      <w:spacing w:beforeLines="100" w:after="0" w:line="240" w:lineRule="auto"/>
      <w:ind w:left="227" w:hanging="227"/>
      <w:jc w:val="left"/>
    </w:pPr>
    <w:rPr>
      <w:rFonts w:ascii="Cambria" w:hAnsi="Cambria" w:eastAsia="黑体" w:cs="宋体"/>
      <w:b w:val="0"/>
      <w:bCs w:val="0"/>
      <w:kern w:val="0"/>
      <w:sz w:val="30"/>
      <w:szCs w:val="20"/>
    </w:rPr>
  </w:style>
  <w:style w:type="paragraph" w:customStyle="1" w:styleId="1135">
    <w:name w:val="样式3附图"/>
    <w:basedOn w:val="109"/>
    <w:qFormat/>
    <w:uiPriority w:val="0"/>
    <w:pPr>
      <w:widowControl/>
      <w:ind w:firstLine="0"/>
      <w:jc w:val="left"/>
    </w:pPr>
    <w:rPr>
      <w:rFonts w:ascii="Times" w:hAnsi="Times" w:eastAsia="仿宋_GB2312"/>
      <w:bCs/>
      <w:spacing w:val="-8"/>
      <w:kern w:val="0"/>
      <w:sz w:val="28"/>
      <w:szCs w:val="20"/>
    </w:rPr>
  </w:style>
  <w:style w:type="paragraph" w:customStyle="1" w:styleId="1136">
    <w:name w:val="正文样式 Char Char"/>
    <w:basedOn w:val="1"/>
    <w:qFormat/>
    <w:uiPriority w:val="0"/>
    <w:pPr>
      <w:widowControl/>
      <w:spacing w:line="360" w:lineRule="auto"/>
      <w:ind w:firstLine="480" w:firstLineChars="200"/>
      <w:jc w:val="left"/>
    </w:pPr>
    <w:rPr>
      <w:rFonts w:ascii="宋体" w:hAnsi="宋体"/>
      <w:kern w:val="0"/>
      <w:sz w:val="24"/>
    </w:rPr>
  </w:style>
  <w:style w:type="paragraph" w:customStyle="1" w:styleId="1137">
    <w:name w:val="样式 居中 行距: 1.5 倍行距"/>
    <w:basedOn w:val="1"/>
    <w:qFormat/>
    <w:uiPriority w:val="0"/>
    <w:pPr>
      <w:widowControl/>
      <w:spacing w:line="360" w:lineRule="auto"/>
      <w:jc w:val="left"/>
    </w:pPr>
    <w:rPr>
      <w:rFonts w:ascii="宋体" w:hAnsi="宋体" w:eastAsia="黑体"/>
      <w:kern w:val="0"/>
      <w:sz w:val="24"/>
      <w:szCs w:val="20"/>
    </w:rPr>
  </w:style>
  <w:style w:type="paragraph" w:customStyle="1" w:styleId="1138">
    <w:name w:val="tll"/>
    <w:basedOn w:val="1"/>
    <w:qFormat/>
    <w:uiPriority w:val="0"/>
    <w:pPr>
      <w:widowControl/>
      <w:autoSpaceDE w:val="0"/>
      <w:autoSpaceDN w:val="0"/>
      <w:adjustRightInd w:val="0"/>
      <w:snapToGrid w:val="0"/>
      <w:jc w:val="left"/>
    </w:pPr>
    <w:rPr>
      <w:rFonts w:hint="eastAsia" w:ascii="仿宋_GB2312" w:hAnsi="Arial" w:eastAsia="仿宋_GB2312"/>
      <w:kern w:val="0"/>
      <w:sz w:val="24"/>
      <w:szCs w:val="21"/>
    </w:rPr>
  </w:style>
  <w:style w:type="paragraph" w:customStyle="1" w:styleId="1139">
    <w:name w:val="文档结构图1"/>
    <w:basedOn w:val="1"/>
    <w:qFormat/>
    <w:uiPriority w:val="0"/>
    <w:pPr>
      <w:widowControl/>
      <w:shd w:val="clear" w:color="auto" w:fill="000080"/>
      <w:tabs>
        <w:tab w:val="left" w:pos="480"/>
        <w:tab w:val="left" w:pos="1680"/>
        <w:tab w:val="left" w:pos="3960"/>
        <w:tab w:val="left" w:pos="5400"/>
        <w:tab w:val="left" w:pos="6840"/>
      </w:tabs>
      <w:adjustRightInd w:val="0"/>
      <w:spacing w:line="240" w:lineRule="atLeast"/>
      <w:ind w:firstLine="482"/>
      <w:jc w:val="left"/>
    </w:pPr>
    <w:rPr>
      <w:rFonts w:eastAsia="创艺简楷体"/>
      <w:kern w:val="0"/>
      <w:sz w:val="28"/>
      <w:szCs w:val="20"/>
    </w:rPr>
  </w:style>
  <w:style w:type="paragraph" w:customStyle="1" w:styleId="1140">
    <w:name w:val="样式 hb4 + 段前: 0.5 行 段后: 0.5 行 行距: 固定值 26 磅"/>
    <w:basedOn w:val="566"/>
    <w:qFormat/>
    <w:uiPriority w:val="0"/>
    <w:pPr>
      <w:topLinePunct w:val="0"/>
      <w:spacing w:before="156" w:after="156" w:line="520" w:lineRule="exact"/>
    </w:pPr>
    <w:rPr>
      <w:rFonts w:ascii="Times New Roman" w:hAnsi="Arial" w:cs="宋体"/>
      <w:kern w:val="24"/>
      <w:szCs w:val="20"/>
    </w:rPr>
  </w:style>
  <w:style w:type="paragraph" w:customStyle="1" w:styleId="1141">
    <w:name w:val="表内图注"/>
    <w:basedOn w:val="1"/>
    <w:qFormat/>
    <w:uiPriority w:val="0"/>
    <w:pPr>
      <w:keepNext/>
      <w:widowControl/>
      <w:adjustRightInd w:val="0"/>
      <w:jc w:val="center"/>
    </w:pPr>
    <w:rPr>
      <w:rFonts w:ascii="Times" w:hAnsi="Times"/>
      <w:b/>
      <w:kern w:val="0"/>
      <w:sz w:val="24"/>
      <w:szCs w:val="21"/>
    </w:rPr>
  </w:style>
  <w:style w:type="paragraph" w:customStyle="1" w:styleId="1142">
    <w:name w:val="xl65"/>
    <w:basedOn w:val="1"/>
    <w:qFormat/>
    <w:uiPriority w:val="0"/>
    <w:pPr>
      <w:widowControl/>
      <w:spacing w:before="100" w:beforeAutospacing="1" w:after="100" w:afterAutospacing="1"/>
      <w:jc w:val="center"/>
    </w:pPr>
    <w:rPr>
      <w:rFonts w:ascii="宋体" w:hAnsi="宋体"/>
      <w:kern w:val="0"/>
      <w:sz w:val="24"/>
      <w:szCs w:val="20"/>
    </w:rPr>
  </w:style>
  <w:style w:type="paragraph" w:customStyle="1" w:styleId="1143">
    <w:name w:val="正文文本缩进11"/>
    <w:basedOn w:val="1"/>
    <w:qFormat/>
    <w:uiPriority w:val="0"/>
    <w:pPr>
      <w:widowControl/>
      <w:spacing w:after="120"/>
      <w:ind w:left="420" w:leftChars="200"/>
      <w:jc w:val="left"/>
    </w:pPr>
    <w:rPr>
      <w:rFonts w:eastAsia="Times New Roman"/>
      <w:kern w:val="0"/>
      <w:sz w:val="24"/>
      <w:szCs w:val="20"/>
    </w:rPr>
  </w:style>
  <w:style w:type="paragraph" w:customStyle="1" w:styleId="1144">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145">
    <w:name w:val="样式 首行缩进:  2 字符 行距: 固定值 15 磅"/>
    <w:basedOn w:val="1"/>
    <w:qFormat/>
    <w:uiPriority w:val="0"/>
    <w:pPr>
      <w:widowControl/>
      <w:spacing w:line="400" w:lineRule="exact"/>
      <w:ind w:firstLine="560" w:firstLineChars="200"/>
      <w:jc w:val="left"/>
    </w:pPr>
    <w:rPr>
      <w:rFonts w:eastAsia="汉鼎简书宋"/>
      <w:kern w:val="0"/>
      <w:sz w:val="28"/>
      <w:szCs w:val="28"/>
    </w:rPr>
  </w:style>
  <w:style w:type="paragraph" w:customStyle="1" w:styleId="1146">
    <w:name w:val="文本"/>
    <w:basedOn w:val="1"/>
    <w:qFormat/>
    <w:uiPriority w:val="0"/>
    <w:pPr>
      <w:widowControl/>
      <w:adjustRightInd w:val="0"/>
      <w:snapToGrid w:val="0"/>
      <w:spacing w:line="500" w:lineRule="exact"/>
      <w:ind w:firstLine="480" w:firstLineChars="200"/>
      <w:jc w:val="left"/>
    </w:pPr>
    <w:rPr>
      <w:rFonts w:ascii="宋体" w:hAnsi="宋体" w:eastAsia="汉鼎简书宋" w:cs="宋体"/>
      <w:kern w:val="0"/>
      <w:sz w:val="24"/>
    </w:rPr>
  </w:style>
  <w:style w:type="paragraph" w:customStyle="1" w:styleId="1147">
    <w:name w:val="Char Char1 Char Char Char Char"/>
    <w:basedOn w:val="25"/>
    <w:qFormat/>
    <w:uiPriority w:val="0"/>
    <w:pPr>
      <w:widowControl/>
      <w:adjustRightInd w:val="0"/>
      <w:spacing w:line="436" w:lineRule="exact"/>
      <w:ind w:left="357"/>
      <w:jc w:val="left"/>
      <w:outlineLvl w:val="3"/>
    </w:pPr>
    <w:rPr>
      <w:rFonts w:ascii="Tahoma" w:hAnsi="Tahoma"/>
      <w:b/>
      <w:kern w:val="0"/>
      <w:sz w:val="24"/>
    </w:rPr>
  </w:style>
  <w:style w:type="paragraph" w:customStyle="1" w:styleId="1148">
    <w:name w:val="xl5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149">
    <w:name w:val="样式 hb4 + 段前: 1.5 行 段后: 1 行"/>
    <w:basedOn w:val="566"/>
    <w:qFormat/>
    <w:uiPriority w:val="0"/>
    <w:pPr>
      <w:spacing w:before="468" w:line="240" w:lineRule="atLeast"/>
    </w:pPr>
    <w:rPr>
      <w:rFonts w:ascii="Times New Roman" w:hAnsi="Times New Roman" w:cs="宋体"/>
      <w:b w:val="0"/>
      <w:bCs/>
      <w:color w:val="000000"/>
    </w:rPr>
  </w:style>
  <w:style w:type="paragraph" w:customStyle="1" w:styleId="1150">
    <w:name w:val="正文缩进2"/>
    <w:basedOn w:val="1"/>
    <w:qFormat/>
    <w:uiPriority w:val="0"/>
    <w:pPr>
      <w:widowControl/>
      <w:spacing w:before="100" w:beforeAutospacing="1" w:after="100" w:afterAutospacing="1" w:line="360" w:lineRule="auto"/>
      <w:ind w:firstLine="480" w:firstLineChars="200"/>
      <w:jc w:val="left"/>
    </w:pPr>
    <w:rPr>
      <w:rFonts w:hint="eastAsia" w:ascii="Calibri" w:hAnsi="Calibri"/>
      <w:color w:val="000000"/>
      <w:kern w:val="0"/>
      <w:sz w:val="18"/>
      <w:szCs w:val="22"/>
    </w:rPr>
  </w:style>
  <w:style w:type="paragraph" w:customStyle="1" w:styleId="115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152">
    <w:name w:val="次级标题"/>
    <w:basedOn w:val="1"/>
    <w:qFormat/>
    <w:uiPriority w:val="0"/>
    <w:pPr>
      <w:keepLines/>
      <w:widowControl/>
      <w:spacing w:beforeLines="30"/>
      <w:ind w:firstLine="200" w:firstLineChars="200"/>
      <w:jc w:val="center"/>
      <w:outlineLvl w:val="1"/>
    </w:pPr>
    <w:rPr>
      <w:rFonts w:ascii="Times" w:hAnsi="Times"/>
      <w:kern w:val="0"/>
      <w:sz w:val="24"/>
    </w:rPr>
  </w:style>
  <w:style w:type="paragraph" w:customStyle="1" w:styleId="1153">
    <w:name w:val="引用11"/>
    <w:basedOn w:val="1"/>
    <w:qFormat/>
    <w:uiPriority w:val="0"/>
    <w:pPr>
      <w:widowControl/>
      <w:spacing w:after="200" w:line="276" w:lineRule="auto"/>
      <w:jc w:val="left"/>
    </w:pPr>
    <w:rPr>
      <w:rFonts w:ascii="Calibri" w:hAnsi="Calibri"/>
      <w:i/>
      <w:color w:val="000000"/>
      <w:kern w:val="0"/>
      <w:sz w:val="22"/>
      <w:szCs w:val="20"/>
      <w:lang w:eastAsia="en-US"/>
    </w:rPr>
  </w:style>
  <w:style w:type="paragraph" w:customStyle="1" w:styleId="115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155">
    <w:name w:val="xl96"/>
    <w:basedOn w:val="1"/>
    <w:qFormat/>
    <w:uiPriority w:val="0"/>
    <w:pPr>
      <w:widowControl/>
      <w:spacing w:before="100" w:beforeAutospacing="1" w:after="100" w:afterAutospacing="1"/>
      <w:jc w:val="center"/>
    </w:pPr>
    <w:rPr>
      <w:kern w:val="0"/>
      <w:sz w:val="24"/>
    </w:rPr>
  </w:style>
  <w:style w:type="paragraph" w:customStyle="1" w:styleId="1156">
    <w:name w:val="xl59"/>
    <w:basedOn w:val="1"/>
    <w:qFormat/>
    <w:uiPriority w:val="0"/>
    <w:pPr>
      <w:widowControl/>
      <w:pBdr>
        <w:top w:val="single" w:color="auto" w:sz="4" w:space="0"/>
        <w:bottom w:val="single" w:color="auto" w:sz="4" w:space="0"/>
        <w:right w:val="single" w:color="auto" w:sz="4" w:space="0"/>
      </w:pBdr>
      <w:shd w:val="clear" w:color="0000FF" w:fill="C0C0C0"/>
      <w:spacing w:before="100" w:beforeAutospacing="1" w:after="100" w:afterAutospacing="1"/>
      <w:jc w:val="left"/>
    </w:pPr>
    <w:rPr>
      <w:rFonts w:ascii="Arial Unicode MS" w:hAnsi="Arial Unicode MS" w:eastAsia="Arial Unicode MS"/>
      <w:color w:val="800080"/>
      <w:kern w:val="0"/>
      <w:sz w:val="24"/>
      <w:szCs w:val="20"/>
    </w:rPr>
  </w:style>
  <w:style w:type="paragraph" w:customStyle="1" w:styleId="1157">
    <w:name w:val="样式 表号 + 左侧:  0 厘米"/>
    <w:basedOn w:val="739"/>
    <w:qFormat/>
    <w:uiPriority w:val="0"/>
    <w:pPr>
      <w:adjustRightInd/>
      <w:snapToGrid/>
      <w:spacing w:line="240" w:lineRule="auto"/>
      <w:jc w:val="left"/>
    </w:pPr>
    <w:rPr>
      <w:rFonts w:ascii="Times New Roman" w:hAnsi="Times New Roman"/>
      <w:kern w:val="2"/>
      <w:szCs w:val="20"/>
    </w:rPr>
  </w:style>
  <w:style w:type="paragraph" w:customStyle="1" w:styleId="1158">
    <w:name w:val="样式 正文格式 + 首行缩进:  2 字符 右侧:  0.15 厘米 行距: 固定值 22 磅"/>
    <w:basedOn w:val="1087"/>
    <w:qFormat/>
    <w:uiPriority w:val="0"/>
    <w:pPr>
      <w:spacing w:line="440" w:lineRule="exact"/>
      <w:ind w:right="85" w:firstLine="560"/>
    </w:pPr>
    <w:rPr>
      <w:rFonts w:cs="宋体"/>
      <w:sz w:val="24"/>
      <w:szCs w:val="20"/>
    </w:rPr>
  </w:style>
  <w:style w:type="paragraph" w:customStyle="1" w:styleId="1159">
    <w:name w:val="Char7"/>
    <w:basedOn w:val="1"/>
    <w:qFormat/>
    <w:uiPriority w:val="0"/>
    <w:pPr>
      <w:widowControl/>
      <w:adjustRightInd w:val="0"/>
      <w:spacing w:line="360" w:lineRule="auto"/>
      <w:jc w:val="left"/>
    </w:pPr>
    <w:rPr>
      <w:kern w:val="0"/>
      <w:sz w:val="24"/>
      <w:szCs w:val="20"/>
    </w:rPr>
  </w:style>
  <w:style w:type="paragraph" w:customStyle="1" w:styleId="1160">
    <w:name w:val="标题3.5"/>
    <w:basedOn w:val="1"/>
    <w:qFormat/>
    <w:uiPriority w:val="0"/>
    <w:pPr>
      <w:widowControl/>
      <w:jc w:val="left"/>
    </w:pPr>
    <w:rPr>
      <w:rFonts w:eastAsia="仿宋_GB2312"/>
      <w:kern w:val="0"/>
      <w:sz w:val="24"/>
    </w:rPr>
  </w:style>
  <w:style w:type="paragraph" w:customStyle="1" w:styleId="1161">
    <w:name w:val="Char Char Char Char Char Char Char"/>
    <w:basedOn w:val="1"/>
    <w:qFormat/>
    <w:uiPriority w:val="0"/>
    <w:pPr>
      <w:widowControl/>
      <w:jc w:val="left"/>
    </w:pPr>
    <w:rPr>
      <w:rFonts w:ascii="Tahoma" w:hAnsi="Tahoma"/>
      <w:kern w:val="0"/>
      <w:sz w:val="24"/>
      <w:szCs w:val="20"/>
    </w:rPr>
  </w:style>
  <w:style w:type="paragraph" w:customStyle="1" w:styleId="1162">
    <w:name w:val="xl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63">
    <w:name w:val="xl5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1164">
    <w:name w:val="大调查文字"/>
    <w:basedOn w:val="73"/>
    <w:qFormat/>
    <w:uiPriority w:val="0"/>
    <w:pPr>
      <w:widowControl/>
      <w:tabs>
        <w:tab w:val="left" w:pos="3780"/>
      </w:tabs>
      <w:overflowPunct/>
      <w:autoSpaceDE/>
      <w:autoSpaceDN/>
      <w:adjustRightInd/>
      <w:spacing w:after="0" w:line="240" w:lineRule="auto"/>
      <w:ind w:firstLine="200" w:firstLineChars="200"/>
      <w:jc w:val="center"/>
    </w:pPr>
    <w:rPr>
      <w:rFonts w:ascii="Times" w:hAnsi="Times" w:eastAsia="仿宋_GB2312" w:cs="宋体"/>
      <w:b/>
      <w:bCs/>
      <w:kern w:val="2"/>
    </w:rPr>
  </w:style>
  <w:style w:type="paragraph" w:customStyle="1" w:styleId="1165">
    <w:name w:val="正文1 Char Char Char"/>
    <w:basedOn w:val="1"/>
    <w:qFormat/>
    <w:uiPriority w:val="0"/>
    <w:pPr>
      <w:widowControl/>
      <w:spacing w:line="560" w:lineRule="exact"/>
      <w:ind w:firstLine="200" w:firstLineChars="200"/>
      <w:jc w:val="left"/>
    </w:pPr>
    <w:rPr>
      <w:rFonts w:ascii="宋体" w:hAnsi="宋体" w:cs="宋体"/>
      <w:kern w:val="0"/>
      <w:sz w:val="24"/>
    </w:rPr>
  </w:style>
  <w:style w:type="paragraph" w:customStyle="1" w:styleId="1166">
    <w:name w:val="表中"/>
    <w:basedOn w:val="1"/>
    <w:qFormat/>
    <w:uiPriority w:val="0"/>
    <w:pPr>
      <w:widowControl/>
      <w:spacing w:line="360" w:lineRule="auto"/>
      <w:jc w:val="center"/>
    </w:pPr>
    <w:rPr>
      <w:rFonts w:ascii="黑体" w:hAnsi="宋体" w:eastAsia="黑体"/>
      <w:b/>
      <w:spacing w:val="6"/>
      <w:kern w:val="0"/>
      <w:sz w:val="24"/>
    </w:rPr>
  </w:style>
  <w:style w:type="paragraph" w:customStyle="1" w:styleId="1167">
    <w:name w:val="样式 宋体 小四 行距: 固定值 25 磅"/>
    <w:basedOn w:val="1"/>
    <w:qFormat/>
    <w:uiPriority w:val="0"/>
    <w:pPr>
      <w:widowControl/>
      <w:tabs>
        <w:tab w:val="left" w:pos="1875"/>
      </w:tabs>
      <w:spacing w:line="500" w:lineRule="exact"/>
      <w:ind w:firstLine="488" w:firstLineChars="200"/>
      <w:jc w:val="left"/>
    </w:pPr>
    <w:rPr>
      <w:rFonts w:ascii="宋体" w:hAnsi="宋体" w:cs="宋体"/>
      <w:spacing w:val="2"/>
      <w:kern w:val="0"/>
      <w:sz w:val="24"/>
    </w:rPr>
  </w:style>
  <w:style w:type="paragraph" w:customStyle="1" w:styleId="1168">
    <w:name w:val="样式 宋体 小四 首行缩进:  0.85 厘米 行距: 固定值 25 磅"/>
    <w:basedOn w:val="1"/>
    <w:qFormat/>
    <w:uiPriority w:val="0"/>
    <w:pPr>
      <w:widowControl/>
      <w:spacing w:line="530" w:lineRule="exact"/>
      <w:ind w:firstLine="482" w:firstLineChars="200"/>
      <w:jc w:val="left"/>
    </w:pPr>
    <w:rPr>
      <w:rFonts w:ascii="宋体" w:cs="宋体"/>
      <w:kern w:val="0"/>
      <w:sz w:val="24"/>
      <w:szCs w:val="20"/>
    </w:rPr>
  </w:style>
  <w:style w:type="paragraph" w:customStyle="1" w:styleId="1169">
    <w:name w:val="清除格式"/>
    <w:basedOn w:val="1"/>
    <w:qFormat/>
    <w:uiPriority w:val="0"/>
    <w:pPr>
      <w:widowControl/>
      <w:jc w:val="left"/>
    </w:pPr>
    <w:rPr>
      <w:rFonts w:ascii="宋体" w:hAnsi="宋体"/>
      <w:kern w:val="0"/>
      <w:sz w:val="24"/>
    </w:rPr>
  </w:style>
  <w:style w:type="paragraph" w:customStyle="1" w:styleId="1170">
    <w:name w:val="正文文"/>
    <w:basedOn w:val="1"/>
    <w:qFormat/>
    <w:uiPriority w:val="0"/>
    <w:pPr>
      <w:widowControl/>
      <w:adjustRightInd w:val="0"/>
      <w:spacing w:line="520" w:lineRule="exact"/>
      <w:ind w:firstLine="480" w:firstLineChars="200"/>
      <w:jc w:val="left"/>
    </w:pPr>
    <w:rPr>
      <w:kern w:val="0"/>
      <w:sz w:val="24"/>
    </w:rPr>
  </w:style>
  <w:style w:type="paragraph" w:customStyle="1" w:styleId="1171">
    <w:name w:val="Char Char Char Char Char Char Char Char Char Char3"/>
    <w:basedOn w:val="1"/>
    <w:qFormat/>
    <w:uiPriority w:val="0"/>
    <w:pPr>
      <w:widowControl/>
      <w:ind w:right="320"/>
      <w:jc w:val="left"/>
    </w:pPr>
    <w:rPr>
      <w:kern w:val="0"/>
      <w:sz w:val="24"/>
      <w:szCs w:val="21"/>
    </w:rPr>
  </w:style>
  <w:style w:type="paragraph" w:customStyle="1" w:styleId="1172">
    <w:name w:val="font16"/>
    <w:basedOn w:val="1"/>
    <w:qFormat/>
    <w:uiPriority w:val="0"/>
    <w:pPr>
      <w:widowControl/>
      <w:spacing w:before="100" w:beforeAutospacing="1" w:after="100" w:afterAutospacing="1"/>
      <w:jc w:val="left"/>
    </w:pPr>
    <w:rPr>
      <w:color w:val="000000"/>
      <w:kern w:val="0"/>
      <w:sz w:val="24"/>
    </w:rPr>
  </w:style>
  <w:style w:type="paragraph" w:customStyle="1" w:styleId="1173">
    <w:name w:val="样式 样式 标题 2 + 居中 段前: 0.5 行 段后: 0.5 行 + 段前: 0.5 行 段后: 0.5 行"/>
    <w:basedOn w:val="1"/>
    <w:qFormat/>
    <w:uiPriority w:val="0"/>
    <w:pPr>
      <w:keepNext/>
      <w:keepLines/>
      <w:widowControl/>
      <w:spacing w:beforeLines="50" w:afterLines="50"/>
      <w:jc w:val="center"/>
      <w:outlineLvl w:val="1"/>
    </w:pPr>
    <w:rPr>
      <w:rFonts w:cs="宋体"/>
      <w:b/>
      <w:bCs/>
      <w:color w:val="000000"/>
      <w:kern w:val="0"/>
      <w:sz w:val="30"/>
      <w:szCs w:val="20"/>
    </w:rPr>
  </w:style>
  <w:style w:type="paragraph" w:customStyle="1" w:styleId="1174">
    <w:name w:val="xl49"/>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175">
    <w:name w:val="正文文本缩进1"/>
    <w:basedOn w:val="1"/>
    <w:qFormat/>
    <w:uiPriority w:val="0"/>
    <w:pPr>
      <w:widowControl/>
      <w:spacing w:after="120"/>
      <w:ind w:left="420" w:leftChars="200"/>
      <w:jc w:val="left"/>
    </w:pPr>
    <w:rPr>
      <w:kern w:val="0"/>
      <w:sz w:val="24"/>
    </w:rPr>
  </w:style>
  <w:style w:type="paragraph" w:customStyle="1" w:styleId="1176">
    <w:name w:val="xl63"/>
    <w:basedOn w:val="1"/>
    <w:qFormat/>
    <w:uiPriority w:val="0"/>
    <w:pPr>
      <w:widowControl/>
      <w:spacing w:before="100" w:after="100"/>
      <w:jc w:val="center"/>
    </w:pPr>
    <w:rPr>
      <w:rFonts w:hint="eastAsia" w:ascii="黑体" w:hAnsi="宋体" w:eastAsia="黑体"/>
      <w:kern w:val="0"/>
      <w:sz w:val="24"/>
      <w:szCs w:val="20"/>
    </w:rPr>
  </w:style>
  <w:style w:type="paragraph" w:customStyle="1" w:styleId="1177">
    <w:name w:val="Char Char Char Char Char Char1 Char"/>
    <w:basedOn w:val="1"/>
    <w:qFormat/>
    <w:uiPriority w:val="0"/>
    <w:pPr>
      <w:widowControl/>
      <w:jc w:val="left"/>
    </w:pPr>
    <w:rPr>
      <w:kern w:val="0"/>
      <w:sz w:val="24"/>
      <w:szCs w:val="21"/>
    </w:rPr>
  </w:style>
  <w:style w:type="paragraph" w:customStyle="1" w:styleId="1178">
    <w:name w:val="图、表头文字"/>
    <w:basedOn w:val="1"/>
    <w:qFormat/>
    <w:uiPriority w:val="0"/>
    <w:pPr>
      <w:widowControl/>
      <w:autoSpaceDE w:val="0"/>
      <w:autoSpaceDN w:val="0"/>
      <w:adjustRightInd w:val="0"/>
      <w:spacing w:before="80" w:after="80"/>
      <w:jc w:val="center"/>
    </w:pPr>
    <w:rPr>
      <w:rFonts w:ascii="黑体" w:eastAsia="黑体"/>
      <w:kern w:val="0"/>
      <w:sz w:val="24"/>
      <w:szCs w:val="20"/>
    </w:rPr>
  </w:style>
  <w:style w:type="paragraph" w:customStyle="1" w:styleId="1179">
    <w:name w:val="样式 纯文本普通文字 Char普通文字 Char Char Char普通文字 Char Char Char Char Ch..."/>
    <w:basedOn w:val="42"/>
    <w:qFormat/>
    <w:uiPriority w:val="0"/>
    <w:pPr>
      <w:widowControl/>
      <w:snapToGrid w:val="0"/>
      <w:spacing w:line="360" w:lineRule="auto"/>
      <w:ind w:firstLine="480" w:firstLineChars="200"/>
      <w:jc w:val="left"/>
    </w:pPr>
    <w:rPr>
      <w:rFonts w:ascii="Times New Roman" w:cs="宋体"/>
      <w:kern w:val="0"/>
      <w:sz w:val="24"/>
      <w:szCs w:val="20"/>
    </w:rPr>
  </w:style>
  <w:style w:type="paragraph" w:customStyle="1" w:styleId="1180">
    <w:name w:val="Char Char Char Char Char Char Char Char Char Char Char Char Char Char Char Char1"/>
    <w:basedOn w:val="1"/>
    <w:qFormat/>
    <w:uiPriority w:val="0"/>
    <w:pPr>
      <w:widowControl/>
      <w:jc w:val="left"/>
    </w:pPr>
    <w:rPr>
      <w:kern w:val="0"/>
      <w:sz w:val="24"/>
      <w:szCs w:val="21"/>
    </w:rPr>
  </w:style>
  <w:style w:type="paragraph" w:customStyle="1" w:styleId="1181">
    <w:name w:val="标题二"/>
    <w:basedOn w:val="3"/>
    <w:qFormat/>
    <w:uiPriority w:val="0"/>
    <w:pPr>
      <w:keepNext w:val="0"/>
      <w:keepLines w:val="0"/>
      <w:widowControl/>
      <w:spacing w:before="0" w:after="0" w:line="360" w:lineRule="auto"/>
      <w:ind w:firstLine="624"/>
      <w:jc w:val="left"/>
      <w:outlineLvl w:val="9"/>
    </w:pPr>
    <w:rPr>
      <w:rFonts w:ascii="Cambria" w:hAnsi="Cambria" w:eastAsia="仿宋_GB2312"/>
      <w:bCs w:val="0"/>
      <w:kern w:val="2"/>
      <w:sz w:val="30"/>
      <w:szCs w:val="24"/>
    </w:rPr>
  </w:style>
  <w:style w:type="paragraph" w:customStyle="1" w:styleId="1182">
    <w:name w:val="目录3"/>
    <w:basedOn w:val="1"/>
    <w:qFormat/>
    <w:uiPriority w:val="0"/>
    <w:pPr>
      <w:widowControl/>
      <w:tabs>
        <w:tab w:val="left" w:leader="dot" w:pos="8503"/>
      </w:tabs>
      <w:spacing w:line="317" w:lineRule="atLeast"/>
      <w:ind w:left="419" w:firstLine="419"/>
      <w:jc w:val="left"/>
    </w:pPr>
    <w:rPr>
      <w:rFonts w:ascii="宋体" w:hAnsi="宋体"/>
      <w:color w:val="000000"/>
      <w:kern w:val="0"/>
      <w:sz w:val="24"/>
      <w:szCs w:val="20"/>
      <w:u w:color="000000"/>
    </w:rPr>
  </w:style>
  <w:style w:type="paragraph" w:customStyle="1" w:styleId="1183">
    <w:name w:val="样式12"/>
    <w:basedOn w:val="180"/>
    <w:qFormat/>
    <w:uiPriority w:val="0"/>
    <w:pPr>
      <w:widowControl/>
      <w:ind w:firstLine="480"/>
      <w:jc w:val="left"/>
    </w:pPr>
    <w:rPr>
      <w:rFonts w:ascii="Times New Roman" w:cs="宋体"/>
      <w:kern w:val="0"/>
    </w:rPr>
  </w:style>
  <w:style w:type="paragraph" w:customStyle="1" w:styleId="1184">
    <w:name w:val="正文 New New New New New"/>
    <w:qFormat/>
    <w:uiPriority w:val="0"/>
    <w:pPr>
      <w:widowControl w:val="0"/>
      <w:spacing w:line="460" w:lineRule="exact"/>
      <w:jc w:val="both"/>
    </w:pPr>
    <w:rPr>
      <w:rFonts w:ascii="Times New Roman" w:hAnsi="Times New Roman" w:eastAsia="宋体" w:cs="Times New Roman"/>
      <w:kern w:val="2"/>
      <w:sz w:val="24"/>
      <w:szCs w:val="24"/>
      <w:lang w:val="en-US" w:eastAsia="zh-CN" w:bidi="ar-SA"/>
    </w:rPr>
  </w:style>
  <w:style w:type="paragraph" w:customStyle="1" w:styleId="1185">
    <w:name w:val="目录2"/>
    <w:basedOn w:val="1"/>
    <w:qFormat/>
    <w:uiPriority w:val="0"/>
    <w:pPr>
      <w:widowControl/>
      <w:tabs>
        <w:tab w:val="left" w:leader="dot" w:pos="8503"/>
      </w:tabs>
      <w:spacing w:line="317" w:lineRule="atLeast"/>
      <w:ind w:left="419" w:firstLine="419"/>
      <w:jc w:val="left"/>
    </w:pPr>
    <w:rPr>
      <w:rFonts w:ascii="宋体" w:hAnsi="宋体"/>
      <w:color w:val="000000"/>
      <w:kern w:val="0"/>
      <w:sz w:val="24"/>
      <w:szCs w:val="20"/>
      <w:u w:color="000000"/>
    </w:rPr>
  </w:style>
  <w:style w:type="paragraph" w:customStyle="1" w:styleId="1186">
    <w:name w:val="标题a"/>
    <w:basedOn w:val="1"/>
    <w:qFormat/>
    <w:uiPriority w:val="0"/>
    <w:pPr>
      <w:keepNext/>
      <w:keepLines/>
      <w:widowControl/>
      <w:autoSpaceDE w:val="0"/>
      <w:autoSpaceDN w:val="0"/>
      <w:adjustRightInd w:val="0"/>
      <w:spacing w:beforeLines="50" w:afterLines="50" w:line="360" w:lineRule="auto"/>
      <w:jc w:val="center"/>
      <w:outlineLvl w:val="0"/>
    </w:pPr>
    <w:rPr>
      <w:rFonts w:ascii="宋体" w:hAnsi="宋体" w:eastAsia="黑体" w:cs="仿宋_GB2312"/>
      <w:b/>
      <w:color w:val="000000"/>
      <w:kern w:val="0"/>
      <w:sz w:val="36"/>
    </w:rPr>
  </w:style>
  <w:style w:type="paragraph" w:customStyle="1" w:styleId="1187">
    <w:name w:val="样式hb4"/>
    <w:basedOn w:val="1"/>
    <w:qFormat/>
    <w:uiPriority w:val="0"/>
    <w:pPr>
      <w:keepNext/>
      <w:keepLines/>
      <w:widowControl/>
      <w:topLinePunct/>
      <w:adjustRightInd w:val="0"/>
      <w:snapToGrid w:val="0"/>
      <w:spacing w:before="156" w:after="156"/>
      <w:jc w:val="left"/>
      <w:outlineLvl w:val="3"/>
    </w:pPr>
    <w:rPr>
      <w:rFonts w:eastAsia="Times New Roman"/>
      <w:bCs/>
      <w:kern w:val="0"/>
      <w:sz w:val="24"/>
    </w:rPr>
  </w:style>
  <w:style w:type="paragraph" w:customStyle="1" w:styleId="1188">
    <w:name w:val="正文表标题"/>
    <w:qFormat/>
    <w:uiPriority w:val="0"/>
    <w:pPr>
      <w:spacing w:line="440" w:lineRule="exact"/>
      <w:jc w:val="center"/>
    </w:pPr>
    <w:rPr>
      <w:rFonts w:ascii="宋体" w:hAnsi="Times New Roman" w:eastAsia="宋体" w:cs="Times New Roman"/>
      <w:bCs/>
      <w:sz w:val="24"/>
      <w:szCs w:val="22"/>
      <w:lang w:val="en-US" w:eastAsia="zh-CN" w:bidi="ar-SA"/>
    </w:rPr>
  </w:style>
  <w:style w:type="paragraph" w:customStyle="1" w:styleId="1189">
    <w:name w:val="样式 标题 3 + (中文) 宋体 黑色"/>
    <w:basedOn w:val="5"/>
    <w:qFormat/>
    <w:uiPriority w:val="0"/>
    <w:pPr>
      <w:keepLines w:val="0"/>
      <w:widowControl/>
      <w:spacing w:before="0" w:after="0" w:line="240" w:lineRule="auto"/>
      <w:jc w:val="left"/>
    </w:pPr>
    <w:rPr>
      <w:rFonts w:ascii="Cambria" w:hAnsi="Cambria" w:cs="宋体"/>
      <w:color w:val="000000"/>
      <w:kern w:val="0"/>
      <w:sz w:val="28"/>
      <w:szCs w:val="20"/>
    </w:rPr>
  </w:style>
  <w:style w:type="paragraph" w:customStyle="1" w:styleId="1190">
    <w:name w:val="报告节"/>
    <w:basedOn w:val="109"/>
    <w:qFormat/>
    <w:uiPriority w:val="0"/>
    <w:pPr>
      <w:widowControl/>
      <w:spacing w:before="240" w:after="240" w:line="240" w:lineRule="auto"/>
      <w:ind w:firstLine="0" w:firstLineChars="100"/>
      <w:jc w:val="left"/>
      <w:outlineLvl w:val="2"/>
    </w:pPr>
    <w:rPr>
      <w:rFonts w:eastAsia="仿宋_GB2312"/>
      <w:b/>
      <w:kern w:val="0"/>
      <w:sz w:val="28"/>
      <w:szCs w:val="20"/>
    </w:rPr>
  </w:style>
  <w:style w:type="paragraph" w:customStyle="1" w:styleId="1191">
    <w:name w:val="区划正文"/>
    <w:basedOn w:val="1"/>
    <w:qFormat/>
    <w:uiPriority w:val="0"/>
    <w:pPr>
      <w:widowControl/>
      <w:adjustRightInd w:val="0"/>
      <w:snapToGrid w:val="0"/>
      <w:spacing w:line="480" w:lineRule="exact"/>
      <w:ind w:firstLine="200" w:firstLineChars="200"/>
      <w:jc w:val="left"/>
    </w:pPr>
    <w:rPr>
      <w:kern w:val="0"/>
      <w:sz w:val="24"/>
      <w:szCs w:val="20"/>
    </w:rPr>
  </w:style>
  <w:style w:type="paragraph" w:customStyle="1" w:styleId="1192">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93">
    <w:name w:val="样式 标题 3 + 段前: 1 行2"/>
    <w:basedOn w:val="5"/>
    <w:qFormat/>
    <w:uiPriority w:val="0"/>
    <w:pPr>
      <w:keepNext w:val="0"/>
      <w:keepLines w:val="0"/>
      <w:widowControl/>
      <w:tabs>
        <w:tab w:val="left" w:pos="1080"/>
      </w:tabs>
      <w:autoSpaceDE w:val="0"/>
      <w:autoSpaceDN w:val="0"/>
      <w:adjustRightInd w:val="0"/>
      <w:snapToGrid w:val="0"/>
      <w:spacing w:beforeLines="50" w:after="0" w:line="300" w:lineRule="auto"/>
      <w:ind w:left="227" w:hanging="227"/>
      <w:jc w:val="left"/>
    </w:pPr>
    <w:rPr>
      <w:rFonts w:ascii="Cambria" w:hAnsi="Cambria" w:eastAsia="黑体" w:cs="宋体"/>
      <w:b w:val="0"/>
      <w:bCs w:val="0"/>
      <w:spacing w:val="10"/>
      <w:kern w:val="0"/>
      <w:sz w:val="30"/>
      <w:szCs w:val="20"/>
    </w:rPr>
  </w:style>
  <w:style w:type="paragraph" w:customStyle="1" w:styleId="1194">
    <w:name w:val="字紧0.3"/>
    <w:basedOn w:val="340"/>
    <w:qFormat/>
    <w:uiPriority w:val="0"/>
    <w:rPr>
      <w:spacing w:val="-6"/>
    </w:rPr>
  </w:style>
  <w:style w:type="paragraph" w:customStyle="1" w:styleId="1195">
    <w:name w:val="正文文字缩进 31"/>
    <w:basedOn w:val="1"/>
    <w:qFormat/>
    <w:uiPriority w:val="0"/>
    <w:pPr>
      <w:widowControl/>
      <w:spacing w:after="120"/>
      <w:ind w:left="420" w:leftChars="200"/>
      <w:jc w:val="left"/>
    </w:pPr>
    <w:rPr>
      <w:kern w:val="0"/>
      <w:sz w:val="16"/>
      <w:szCs w:val="16"/>
    </w:rPr>
  </w:style>
  <w:style w:type="paragraph" w:customStyle="1" w:styleId="1196">
    <w:name w:val="样式 宋体 四号 行距: 固定值 25 磅"/>
    <w:basedOn w:val="1"/>
    <w:autoRedefine/>
    <w:qFormat/>
    <w:uiPriority w:val="0"/>
    <w:pPr>
      <w:widowControl/>
      <w:spacing w:line="500" w:lineRule="exact"/>
      <w:ind w:firstLine="560" w:firstLineChars="200"/>
      <w:jc w:val="left"/>
    </w:pPr>
    <w:rPr>
      <w:rFonts w:ascii="宋体" w:hAnsi="宋体" w:cs="宋体"/>
      <w:kern w:val="0"/>
      <w:sz w:val="24"/>
    </w:rPr>
  </w:style>
  <w:style w:type="paragraph" w:customStyle="1" w:styleId="1197">
    <w:name w:val="Char3"/>
    <w:basedOn w:val="1"/>
    <w:qFormat/>
    <w:uiPriority w:val="0"/>
    <w:pPr>
      <w:widowControl/>
      <w:spacing w:line="360" w:lineRule="auto"/>
      <w:ind w:firstLine="200" w:firstLineChars="200"/>
      <w:jc w:val="left"/>
    </w:pPr>
    <w:rPr>
      <w:kern w:val="0"/>
      <w:sz w:val="24"/>
    </w:rPr>
  </w:style>
  <w:style w:type="paragraph" w:customStyle="1" w:styleId="1198">
    <w:name w:val="Char Char Char Char Char1 Char Char Char Char2"/>
    <w:basedOn w:val="1"/>
    <w:qFormat/>
    <w:uiPriority w:val="0"/>
    <w:pPr>
      <w:widowControl/>
      <w:tabs>
        <w:tab w:val="left" w:pos="1360"/>
      </w:tabs>
      <w:ind w:left="1360" w:hanging="720"/>
      <w:jc w:val="left"/>
    </w:pPr>
    <w:rPr>
      <w:kern w:val="0"/>
      <w:sz w:val="24"/>
    </w:rPr>
  </w:style>
  <w:style w:type="paragraph" w:customStyle="1" w:styleId="1199">
    <w:name w:val="p15"/>
    <w:basedOn w:val="1"/>
    <w:qFormat/>
    <w:uiPriority w:val="0"/>
    <w:pPr>
      <w:widowControl/>
      <w:snapToGrid w:val="0"/>
      <w:spacing w:line="360" w:lineRule="auto"/>
      <w:ind w:firstLine="420"/>
      <w:jc w:val="left"/>
    </w:pPr>
    <w:rPr>
      <w:kern w:val="0"/>
      <w:sz w:val="24"/>
    </w:rPr>
  </w:style>
  <w:style w:type="paragraph" w:customStyle="1" w:styleId="1200">
    <w:name w:val="样式  + 行距: 固定值 27 磅"/>
    <w:basedOn w:val="1"/>
    <w:qFormat/>
    <w:uiPriority w:val="0"/>
    <w:pPr>
      <w:widowControl/>
      <w:spacing w:line="540" w:lineRule="exact"/>
      <w:ind w:firstLine="425"/>
      <w:jc w:val="left"/>
    </w:pPr>
    <w:rPr>
      <w:kern w:val="0"/>
      <w:sz w:val="24"/>
      <w:szCs w:val="20"/>
    </w:rPr>
  </w:style>
  <w:style w:type="paragraph" w:customStyle="1" w:styleId="1201">
    <w:name w:val="Char Char Char Char Char Char Char Char Char Char Char Char Char Char Char1 Char Char Char1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02">
    <w:name w:val="表1"/>
    <w:qFormat/>
    <w:uiPriority w:val="0"/>
    <w:pPr>
      <w:adjustRightInd w:val="0"/>
      <w:snapToGrid w:val="0"/>
      <w:jc w:val="center"/>
    </w:pPr>
    <w:rPr>
      <w:rFonts w:ascii="宋体" w:hAnsi="Times New Roman" w:eastAsia="宋体" w:cs="Times New Roman"/>
      <w:sz w:val="21"/>
      <w:szCs w:val="22"/>
      <w:lang w:val="en-US" w:eastAsia="zh-CN" w:bidi="ar-SA"/>
    </w:rPr>
  </w:style>
  <w:style w:type="paragraph" w:customStyle="1" w:styleId="1203">
    <w:name w:val="样式 hb4 + 首行缩进:  0.85 厘米 段前: 0.5 行 段后: 0.5 行"/>
    <w:basedOn w:val="566"/>
    <w:qFormat/>
    <w:uiPriority w:val="0"/>
    <w:pPr>
      <w:spacing w:before="50" w:after="50"/>
    </w:pPr>
    <w:rPr>
      <w:rFonts w:ascii="Arial Narrow" w:hAnsi="Arial Narrow" w:eastAsia="汉鼎简书宋" w:cs="宋体"/>
      <w:b w:val="0"/>
      <w:szCs w:val="20"/>
    </w:rPr>
  </w:style>
  <w:style w:type="paragraph" w:customStyle="1" w:styleId="1204">
    <w:name w:val="新正文"/>
    <w:basedOn w:val="1"/>
    <w:qFormat/>
    <w:uiPriority w:val="0"/>
    <w:pPr>
      <w:widowControl/>
      <w:tabs>
        <w:tab w:val="left" w:pos="8295"/>
      </w:tabs>
      <w:spacing w:line="460" w:lineRule="exact"/>
      <w:ind w:firstLine="200" w:firstLineChars="200"/>
      <w:jc w:val="left"/>
    </w:pPr>
    <w:rPr>
      <w:rFonts w:ascii="宋体"/>
      <w:kern w:val="0"/>
      <w:sz w:val="24"/>
    </w:rPr>
  </w:style>
  <w:style w:type="paragraph" w:customStyle="1" w:styleId="1205">
    <w:name w:val="Char Char Char Char Char1 Char Char Char Char1"/>
    <w:basedOn w:val="1"/>
    <w:qFormat/>
    <w:uiPriority w:val="0"/>
    <w:pPr>
      <w:widowControl/>
      <w:tabs>
        <w:tab w:val="left" w:pos="1360"/>
      </w:tabs>
      <w:ind w:left="1360" w:hanging="720"/>
      <w:jc w:val="left"/>
    </w:pPr>
    <w:rPr>
      <w:kern w:val="0"/>
      <w:sz w:val="24"/>
    </w:rPr>
  </w:style>
  <w:style w:type="paragraph" w:customStyle="1" w:styleId="1206">
    <w:name w:val="正文文字2"/>
    <w:basedOn w:val="1"/>
    <w:qFormat/>
    <w:uiPriority w:val="0"/>
    <w:pPr>
      <w:widowControl/>
      <w:spacing w:line="360" w:lineRule="auto"/>
      <w:ind w:firstLine="480" w:firstLineChars="200"/>
      <w:jc w:val="left"/>
    </w:pPr>
    <w:rPr>
      <w:kern w:val="0"/>
      <w:sz w:val="24"/>
    </w:rPr>
  </w:style>
  <w:style w:type="paragraph" w:customStyle="1" w:styleId="1207">
    <w:name w:val="样式 样式 样式 标题4- + 段前: 0.5 行 + 段前: 0.5 行 + 段前: 0.5 行1"/>
    <w:basedOn w:val="1208"/>
    <w:qFormat/>
    <w:uiPriority w:val="0"/>
    <w:pPr>
      <w:tabs>
        <w:tab w:val="left" w:pos="1205"/>
        <w:tab w:val="left" w:pos="2315"/>
      </w:tabs>
      <w:spacing w:beforeLines="0"/>
      <w:ind w:left="170" w:firstLine="0"/>
    </w:pPr>
  </w:style>
  <w:style w:type="paragraph" w:customStyle="1" w:styleId="1208">
    <w:name w:val="样式 样式 标题4- + 段前: 0.5 行 + 段前: 0.5 行"/>
    <w:basedOn w:val="1"/>
    <w:autoRedefine/>
    <w:qFormat/>
    <w:uiPriority w:val="0"/>
    <w:pPr>
      <w:widowControl/>
      <w:tabs>
        <w:tab w:val="left" w:pos="1205"/>
        <w:tab w:val="left" w:pos="2315"/>
      </w:tabs>
      <w:autoSpaceDE w:val="0"/>
      <w:autoSpaceDN w:val="0"/>
      <w:adjustRightInd w:val="0"/>
      <w:snapToGrid w:val="0"/>
      <w:spacing w:beforeLines="50" w:line="360" w:lineRule="auto"/>
      <w:ind w:left="1405" w:hanging="170"/>
      <w:jc w:val="left"/>
      <w:outlineLvl w:val="3"/>
    </w:pPr>
    <w:rPr>
      <w:rFonts w:eastAsia="黑体" w:cs="宋体"/>
      <w:spacing w:val="20"/>
      <w:kern w:val="0"/>
      <w:sz w:val="28"/>
      <w:szCs w:val="20"/>
    </w:rPr>
  </w:style>
  <w:style w:type="paragraph" w:customStyle="1" w:styleId="1209">
    <w:name w:val="正文页脚"/>
    <w:basedOn w:val="50"/>
    <w:qFormat/>
    <w:uiPriority w:val="0"/>
    <w:pPr>
      <w:widowControl/>
      <w:pBdr>
        <w:top w:val="single" w:color="auto" w:sz="6" w:space="1"/>
      </w:pBdr>
    </w:pPr>
    <w:rPr>
      <w:rFonts w:ascii="隶书" w:hAnsi="华文中宋" w:eastAsia="隶书"/>
      <w:kern w:val="0"/>
      <w:sz w:val="21"/>
      <w:szCs w:val="21"/>
    </w:rPr>
  </w:style>
  <w:style w:type="paragraph" w:customStyle="1" w:styleId="1210">
    <w:name w:val="样式 标题 4(一)条，(一) + (西文) Arial Narrow (中文) 汉鼎简书宋"/>
    <w:basedOn w:val="6"/>
    <w:qFormat/>
    <w:uiPriority w:val="0"/>
    <w:pPr>
      <w:keepLines w:val="0"/>
      <w:widowControl/>
      <w:spacing w:before="0" w:after="0" w:line="500" w:lineRule="exact"/>
      <w:jc w:val="left"/>
    </w:pPr>
    <w:rPr>
      <w:rFonts w:ascii="Arial Narrow" w:hAnsi="Arial Narrow" w:eastAsia="汉鼎简书宋"/>
      <w:b w:val="0"/>
      <w:bCs w:val="0"/>
      <w:kern w:val="0"/>
      <w:sz w:val="24"/>
      <w:szCs w:val="20"/>
    </w:rPr>
  </w:style>
  <w:style w:type="paragraph" w:customStyle="1" w:styleId="1211">
    <w:name w:val="Char Char Char2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12">
    <w:name w:val="自正文"/>
    <w:basedOn w:val="1"/>
    <w:qFormat/>
    <w:uiPriority w:val="0"/>
    <w:pPr>
      <w:widowControl/>
      <w:spacing w:line="500" w:lineRule="exact"/>
      <w:ind w:firstLine="200" w:firstLineChars="200"/>
      <w:jc w:val="left"/>
    </w:pPr>
    <w:rPr>
      <w:kern w:val="0"/>
      <w:sz w:val="24"/>
      <w:szCs w:val="20"/>
    </w:rPr>
  </w:style>
  <w:style w:type="paragraph" w:customStyle="1" w:styleId="1213">
    <w:name w:val="规划正文"/>
    <w:basedOn w:val="1"/>
    <w:qFormat/>
    <w:uiPriority w:val="0"/>
    <w:pPr>
      <w:widowControl/>
      <w:spacing w:line="460" w:lineRule="exact"/>
      <w:jc w:val="left"/>
    </w:pPr>
    <w:rPr>
      <w:kern w:val="0"/>
      <w:sz w:val="24"/>
    </w:rPr>
  </w:style>
  <w:style w:type="paragraph" w:customStyle="1" w:styleId="1214">
    <w:name w:val="xl67"/>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215">
    <w:name w:val="表格标题"/>
    <w:basedOn w:val="1"/>
    <w:qFormat/>
    <w:uiPriority w:val="0"/>
    <w:pPr>
      <w:keepNext/>
      <w:widowControl/>
      <w:adjustRightInd w:val="0"/>
      <w:snapToGrid w:val="0"/>
      <w:spacing w:line="312" w:lineRule="atLeast"/>
      <w:ind w:firstLine="590" w:firstLineChars="200"/>
      <w:jc w:val="center"/>
    </w:pPr>
    <w:rPr>
      <w:rFonts w:ascii="黑体" w:hAnsi="宋体" w:eastAsia="黑体"/>
      <w:kern w:val="0"/>
      <w:sz w:val="24"/>
      <w:szCs w:val="20"/>
    </w:rPr>
  </w:style>
  <w:style w:type="paragraph" w:customStyle="1" w:styleId="1216">
    <w:name w:val="表格一"/>
    <w:basedOn w:val="1"/>
    <w:qFormat/>
    <w:uiPriority w:val="0"/>
    <w:pPr>
      <w:widowControl/>
      <w:adjustRightInd w:val="0"/>
      <w:ind w:left="-20" w:leftChars="-20" w:right="-20" w:rightChars="-20"/>
      <w:jc w:val="center"/>
    </w:pPr>
    <w:rPr>
      <w:rFonts w:ascii="仿宋_GB2312" w:eastAsia="仿宋_GB2312"/>
      <w:bCs/>
      <w:kern w:val="0"/>
      <w:sz w:val="24"/>
      <w:szCs w:val="21"/>
    </w:rPr>
  </w:style>
  <w:style w:type="paragraph" w:customStyle="1" w:styleId="1217">
    <w:name w:val="设计文字"/>
    <w:basedOn w:val="21"/>
    <w:qFormat/>
    <w:uiPriority w:val="0"/>
    <w:pPr>
      <w:widowControl/>
      <w:spacing w:line="540" w:lineRule="exact"/>
      <w:jc w:val="center"/>
    </w:pPr>
    <w:rPr>
      <w:rFonts w:ascii="Times" w:hAnsi="Times"/>
      <w:b/>
      <w:bCs/>
      <w:kern w:val="0"/>
      <w:sz w:val="28"/>
    </w:rPr>
  </w:style>
  <w:style w:type="paragraph" w:customStyle="1" w:styleId="1218">
    <w:name w:val="样式 hb1 + Times New Roman"/>
    <w:basedOn w:val="370"/>
    <w:qFormat/>
    <w:uiPriority w:val="0"/>
    <w:pPr>
      <w:spacing w:before="0" w:after="0" w:line="480" w:lineRule="exact"/>
      <w:jc w:val="left"/>
    </w:pPr>
    <w:rPr>
      <w:rFonts w:ascii="Times New Roman" w:hAnsi="Times New Roman"/>
      <w:bCs w:val="0"/>
      <w:kern w:val="2"/>
    </w:rPr>
  </w:style>
  <w:style w:type="paragraph" w:customStyle="1" w:styleId="1219">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color w:val="FF0000"/>
      <w:kern w:val="0"/>
      <w:sz w:val="24"/>
    </w:rPr>
  </w:style>
  <w:style w:type="paragraph" w:customStyle="1" w:styleId="1220">
    <w:name w:val="xl76"/>
    <w:basedOn w:val="1"/>
    <w:qFormat/>
    <w:uiPriority w:val="0"/>
    <w:pPr>
      <w:widowControl/>
      <w:pBdr>
        <w:left w:val="single" w:color="auto" w:sz="8" w:space="0"/>
        <w:right w:val="single" w:color="auto" w:sz="8" w:space="0"/>
      </w:pBdr>
      <w:spacing w:before="100" w:beforeAutospacing="1" w:after="100" w:afterAutospacing="1"/>
      <w:jc w:val="center"/>
    </w:pPr>
    <w:rPr>
      <w:rFonts w:ascii="宋体" w:hAnsi="宋体" w:cs="宋体"/>
      <w:color w:val="222222"/>
      <w:kern w:val="0"/>
      <w:sz w:val="24"/>
    </w:rPr>
  </w:style>
  <w:style w:type="paragraph" w:customStyle="1" w:styleId="1221">
    <w:name w:val="xl26"/>
    <w:basedOn w:val="1"/>
    <w:qFormat/>
    <w:uiPriority w:val="0"/>
    <w:pPr>
      <w:widowControl/>
      <w:pBdr>
        <w:bottom w:val="single" w:color="auto" w:sz="4" w:space="0"/>
        <w:right w:val="single" w:color="auto" w:sz="4" w:space="0"/>
      </w:pBdr>
      <w:spacing w:before="100" w:after="100"/>
      <w:jc w:val="center"/>
    </w:pPr>
    <w:rPr>
      <w:rFonts w:ascii="宋体" w:hAnsi="宋体"/>
      <w:kern w:val="0"/>
      <w:sz w:val="24"/>
      <w:szCs w:val="20"/>
    </w:rPr>
  </w:style>
  <w:style w:type="paragraph" w:customStyle="1" w:styleId="1222">
    <w:name w:val="xl8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223">
    <w:name w:val="xl91"/>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kern w:val="0"/>
      <w:sz w:val="24"/>
    </w:rPr>
  </w:style>
  <w:style w:type="paragraph" w:customStyle="1" w:styleId="1224">
    <w:name w:val="纯文本2"/>
    <w:basedOn w:val="1"/>
    <w:qFormat/>
    <w:uiPriority w:val="0"/>
    <w:pPr>
      <w:widowControl/>
      <w:adjustRightInd w:val="0"/>
      <w:jc w:val="left"/>
    </w:pPr>
    <w:rPr>
      <w:rFonts w:ascii="宋体" w:hAnsi="Courier New"/>
      <w:kern w:val="0"/>
      <w:sz w:val="24"/>
      <w:szCs w:val="20"/>
    </w:rPr>
  </w:style>
  <w:style w:type="paragraph" w:customStyle="1" w:styleId="1225">
    <w:name w:val="xl79"/>
    <w:basedOn w:val="1"/>
    <w:qFormat/>
    <w:uiPriority w:val="0"/>
    <w:pPr>
      <w:widowControl/>
      <w:pBdr>
        <w:left w:val="single" w:color="auto" w:sz="8" w:space="0"/>
        <w:right w:val="single" w:color="auto" w:sz="8" w:space="0"/>
      </w:pBdr>
      <w:spacing w:before="100" w:beforeAutospacing="1" w:after="100" w:afterAutospacing="1"/>
      <w:jc w:val="center"/>
    </w:pPr>
    <w:rPr>
      <w:kern w:val="0"/>
      <w:sz w:val="24"/>
    </w:rPr>
  </w:style>
  <w:style w:type="paragraph" w:customStyle="1" w:styleId="1226">
    <w:name w:val="HP-3"/>
    <w:basedOn w:val="1"/>
    <w:qFormat/>
    <w:uiPriority w:val="0"/>
    <w:pPr>
      <w:widowControl/>
      <w:spacing w:before="100" w:beforeAutospacing="1" w:after="100" w:afterAutospacing="1" w:line="530" w:lineRule="exact"/>
      <w:jc w:val="left"/>
      <w:outlineLvl w:val="0"/>
    </w:pPr>
    <w:rPr>
      <w:rFonts w:cs="宋体"/>
      <w:b/>
      <w:kern w:val="0"/>
      <w:sz w:val="30"/>
    </w:rPr>
  </w:style>
  <w:style w:type="paragraph" w:customStyle="1" w:styleId="1227">
    <w:name w:val="xl68"/>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kern w:val="0"/>
      <w:sz w:val="24"/>
    </w:rPr>
  </w:style>
  <w:style w:type="paragraph" w:customStyle="1" w:styleId="1228">
    <w:name w:val="样式 标题 2 + 黑体 段前: 0.5 行"/>
    <w:basedOn w:val="4"/>
    <w:qFormat/>
    <w:uiPriority w:val="0"/>
    <w:pPr>
      <w:keepLines w:val="0"/>
      <w:widowControl/>
      <w:adjustRightInd w:val="0"/>
      <w:snapToGrid w:val="0"/>
      <w:spacing w:beforeLines="50" w:after="0" w:line="240" w:lineRule="auto"/>
      <w:jc w:val="left"/>
    </w:pPr>
    <w:rPr>
      <w:rFonts w:ascii="Times New Roman" w:hAnsi="Times New Roman" w:eastAsia="宋体" w:cs="宋体"/>
      <w:b w:val="0"/>
      <w:bCs w:val="0"/>
      <w:i/>
      <w:iCs/>
      <w:kern w:val="0"/>
      <w:sz w:val="28"/>
      <w:szCs w:val="20"/>
    </w:rPr>
  </w:style>
  <w:style w:type="paragraph" w:customStyle="1" w:styleId="1229">
    <w:name w:val="附表标题"/>
    <w:basedOn w:val="1"/>
    <w:qFormat/>
    <w:uiPriority w:val="0"/>
    <w:pPr>
      <w:widowControl/>
      <w:ind w:firstLine="562"/>
      <w:jc w:val="center"/>
    </w:pPr>
    <w:rPr>
      <w:rFonts w:eastAsia="黑体"/>
      <w:b/>
      <w:bCs/>
      <w:kern w:val="0"/>
      <w:sz w:val="24"/>
      <w:szCs w:val="20"/>
    </w:rPr>
  </w:style>
  <w:style w:type="paragraph" w:customStyle="1" w:styleId="1230">
    <w:name w:val="Char Char Char2"/>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31">
    <w:name w:val="样式24"/>
    <w:basedOn w:val="1"/>
    <w:qFormat/>
    <w:uiPriority w:val="0"/>
    <w:pPr>
      <w:widowControl/>
      <w:adjustRightInd w:val="0"/>
      <w:snapToGrid w:val="0"/>
      <w:spacing w:line="360" w:lineRule="auto"/>
      <w:jc w:val="left"/>
    </w:pPr>
    <w:rPr>
      <w:rFonts w:ascii="黑体" w:hAnsi="宋体" w:eastAsia="黑体"/>
      <w:color w:val="000000"/>
      <w:kern w:val="0"/>
      <w:sz w:val="24"/>
    </w:rPr>
  </w:style>
  <w:style w:type="paragraph" w:customStyle="1" w:styleId="1232">
    <w:name w:val="Char151"/>
    <w:basedOn w:val="1"/>
    <w:qFormat/>
    <w:uiPriority w:val="0"/>
    <w:pPr>
      <w:widowControl/>
      <w:spacing w:line="560" w:lineRule="exact"/>
      <w:ind w:firstLine="200" w:firstLineChars="200"/>
      <w:jc w:val="left"/>
    </w:pPr>
    <w:rPr>
      <w:rFonts w:ascii="宋体" w:hAnsi="宋体" w:cs="宋体"/>
      <w:kern w:val="0"/>
      <w:sz w:val="24"/>
    </w:rPr>
  </w:style>
  <w:style w:type="paragraph" w:customStyle="1" w:styleId="1233">
    <w:name w:val="表头文字"/>
    <w:qFormat/>
    <w:uiPriority w:val="0"/>
    <w:pPr>
      <w:adjustRightInd w:val="0"/>
      <w:snapToGrid w:val="0"/>
      <w:spacing w:beforeLines="50" w:afterLines="20" w:line="480" w:lineRule="exact"/>
      <w:jc w:val="center"/>
    </w:pPr>
    <w:rPr>
      <w:rFonts w:ascii="Times New Roman" w:hAnsi="Times New Roman" w:eastAsia="宋体" w:cs="Times New Roman"/>
      <w:b/>
      <w:sz w:val="30"/>
      <w:szCs w:val="22"/>
      <w:lang w:val="en-US" w:eastAsia="zh-CN" w:bidi="ar-SA"/>
    </w:rPr>
  </w:style>
  <w:style w:type="paragraph" w:customStyle="1" w:styleId="1234">
    <w:name w:val="首行缩进2"/>
    <w:basedOn w:val="1"/>
    <w:qFormat/>
    <w:uiPriority w:val="0"/>
    <w:pPr>
      <w:widowControl/>
      <w:spacing w:line="360" w:lineRule="auto"/>
      <w:ind w:firstLine="482"/>
      <w:jc w:val="left"/>
    </w:pPr>
    <w:rPr>
      <w:kern w:val="0"/>
      <w:sz w:val="24"/>
    </w:rPr>
  </w:style>
  <w:style w:type="paragraph" w:customStyle="1" w:styleId="1235">
    <w:name w:val="Char Char Char Char Char Char Char Char Char Char Char Char1 Char"/>
    <w:basedOn w:val="1"/>
    <w:qFormat/>
    <w:uiPriority w:val="0"/>
    <w:pPr>
      <w:widowControl/>
      <w:jc w:val="left"/>
    </w:pPr>
    <w:rPr>
      <w:kern w:val="0"/>
      <w:sz w:val="24"/>
    </w:rPr>
  </w:style>
  <w:style w:type="paragraph" w:customStyle="1" w:styleId="1236">
    <w:name w:val="xl25"/>
    <w:basedOn w:val="1"/>
    <w:qFormat/>
    <w:uiPriority w:val="0"/>
    <w:pPr>
      <w:widowControl/>
      <w:pBdr>
        <w:bottom w:val="single" w:color="auto" w:sz="8" w:space="0"/>
        <w:right w:val="single" w:color="auto" w:sz="8" w:space="0"/>
      </w:pBdr>
      <w:spacing w:before="100" w:beforeAutospacing="1" w:after="100" w:afterAutospacing="1"/>
      <w:jc w:val="right"/>
    </w:pPr>
    <w:rPr>
      <w:rFonts w:ascii="Arial Unicode MS" w:hAnsi="Arial Unicode MS"/>
      <w:kern w:val="0"/>
      <w:sz w:val="24"/>
      <w:szCs w:val="21"/>
    </w:rPr>
  </w:style>
  <w:style w:type="paragraph" w:customStyle="1" w:styleId="1237">
    <w:name w:val="样式 (中文) 汉鼎简书宋 首行缩进:  0.85 厘米"/>
    <w:basedOn w:val="1"/>
    <w:qFormat/>
    <w:uiPriority w:val="0"/>
    <w:pPr>
      <w:widowControl/>
      <w:spacing w:line="529" w:lineRule="exact"/>
      <w:ind w:firstLine="482"/>
      <w:jc w:val="left"/>
    </w:pPr>
    <w:rPr>
      <w:kern w:val="0"/>
      <w:sz w:val="24"/>
      <w:szCs w:val="20"/>
    </w:rPr>
  </w:style>
  <w:style w:type="paragraph" w:customStyle="1" w:styleId="1238">
    <w:name w:val="样式"/>
    <w:basedOn w:val="1"/>
    <w:qFormat/>
    <w:uiPriority w:val="0"/>
    <w:pPr>
      <w:widowControl/>
      <w:spacing w:after="120"/>
      <w:ind w:left="420" w:leftChars="200"/>
      <w:jc w:val="left"/>
    </w:pPr>
    <w:rPr>
      <w:kern w:val="0"/>
      <w:sz w:val="24"/>
      <w:szCs w:val="21"/>
    </w:rPr>
  </w:style>
  <w:style w:type="paragraph" w:customStyle="1" w:styleId="1239">
    <w:name w:val="正文001"/>
    <w:basedOn w:val="1"/>
    <w:qFormat/>
    <w:uiPriority w:val="0"/>
    <w:pPr>
      <w:widowControl/>
      <w:spacing w:before="60" w:line="420" w:lineRule="exact"/>
      <w:ind w:firstLine="482"/>
      <w:jc w:val="left"/>
    </w:pPr>
    <w:rPr>
      <w:kern w:val="0"/>
      <w:sz w:val="24"/>
      <w:szCs w:val="20"/>
    </w:rPr>
  </w:style>
  <w:style w:type="paragraph" w:customStyle="1" w:styleId="1240">
    <w:name w:val="样式 样式 标题4 + 段前: 0.25 行 行距: 单倍行距 + 段前: 0.5 行"/>
    <w:basedOn w:val="1241"/>
    <w:qFormat/>
    <w:uiPriority w:val="0"/>
    <w:pPr>
      <w:tabs>
        <w:tab w:val="left" w:pos="1157"/>
        <w:tab w:val="left" w:pos="2315"/>
        <w:tab w:val="left" w:pos="3450"/>
      </w:tabs>
      <w:spacing w:beforeLines="0"/>
      <w:ind w:left="1405"/>
    </w:pPr>
    <w:rPr>
      <w:spacing w:val="0"/>
      <w:szCs w:val="28"/>
    </w:rPr>
  </w:style>
  <w:style w:type="paragraph" w:customStyle="1" w:styleId="1241">
    <w:name w:val="样式 标题4 + 段前: 0.25 行 行距: 单倍行距"/>
    <w:basedOn w:val="21"/>
    <w:qFormat/>
    <w:uiPriority w:val="0"/>
    <w:pPr>
      <w:widowControl/>
      <w:tabs>
        <w:tab w:val="left" w:pos="1157"/>
        <w:tab w:val="left" w:pos="3450"/>
      </w:tabs>
      <w:autoSpaceDE w:val="0"/>
      <w:autoSpaceDN w:val="0"/>
      <w:adjustRightInd w:val="0"/>
      <w:snapToGrid w:val="0"/>
      <w:spacing w:beforeLines="50" w:line="360" w:lineRule="auto"/>
      <w:ind w:left="170" w:hanging="1405" w:firstLineChars="0"/>
      <w:jc w:val="left"/>
      <w:outlineLvl w:val="3"/>
    </w:pPr>
    <w:rPr>
      <w:rFonts w:eastAsia="黑体" w:cs="宋体"/>
      <w:spacing w:val="10"/>
      <w:kern w:val="0"/>
      <w:sz w:val="28"/>
      <w:szCs w:val="20"/>
    </w:rPr>
  </w:style>
  <w:style w:type="paragraph" w:customStyle="1" w:styleId="1242">
    <w:name w:val="font5"/>
    <w:basedOn w:val="1"/>
    <w:qFormat/>
    <w:uiPriority w:val="0"/>
    <w:pPr>
      <w:widowControl/>
      <w:spacing w:before="100" w:beforeAutospacing="1" w:after="100" w:afterAutospacing="1"/>
      <w:ind w:firstLine="200" w:firstLineChars="200"/>
      <w:jc w:val="left"/>
    </w:pPr>
    <w:rPr>
      <w:rFonts w:ascii="宋体" w:hAnsi="宋体" w:eastAsia="汉鼎简书宋" w:cs="宋体"/>
      <w:kern w:val="0"/>
      <w:sz w:val="18"/>
      <w:szCs w:val="18"/>
    </w:rPr>
  </w:style>
  <w:style w:type="paragraph" w:customStyle="1" w:styleId="1243">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eastAsia="汉鼎简书宋"/>
      <w:kern w:val="0"/>
      <w:sz w:val="20"/>
      <w:szCs w:val="20"/>
    </w:rPr>
  </w:style>
  <w:style w:type="paragraph" w:customStyle="1" w:styleId="1244">
    <w:name w:val="xl97"/>
    <w:basedOn w:val="1"/>
    <w:autoRedefine/>
    <w:qFormat/>
    <w:uiPriority w:val="0"/>
    <w:pPr>
      <w:widowControl/>
      <w:spacing w:before="100" w:beforeAutospacing="1" w:after="100" w:afterAutospacing="1"/>
      <w:jc w:val="left"/>
    </w:pPr>
    <w:rPr>
      <w:kern w:val="0"/>
      <w:sz w:val="24"/>
    </w:rPr>
  </w:style>
  <w:style w:type="paragraph" w:customStyle="1" w:styleId="1245">
    <w:name w:val="设计封面"/>
    <w:basedOn w:val="1190"/>
    <w:autoRedefine/>
    <w:qFormat/>
    <w:uiPriority w:val="0"/>
    <w:pPr>
      <w:keepNext/>
      <w:widowControl w:val="0"/>
      <w:spacing w:before="0" w:afterLines="50" w:line="360" w:lineRule="auto"/>
      <w:ind w:firstLine="200" w:firstLineChars="200"/>
      <w:jc w:val="center"/>
      <w:outlineLvl w:val="1"/>
    </w:pPr>
    <w:rPr>
      <w:color w:val="000000"/>
      <w:kern w:val="2"/>
      <w:sz w:val="36"/>
      <w:szCs w:val="24"/>
    </w:rPr>
  </w:style>
  <w:style w:type="paragraph" w:customStyle="1" w:styleId="1246">
    <w:name w:val="评价样式1"/>
    <w:basedOn w:val="1"/>
    <w:qFormat/>
    <w:uiPriority w:val="0"/>
    <w:pPr>
      <w:widowControl/>
      <w:spacing w:line="460" w:lineRule="atLeast"/>
      <w:ind w:firstLine="200" w:firstLineChars="200"/>
      <w:jc w:val="left"/>
    </w:pPr>
    <w:rPr>
      <w:rFonts w:ascii="Times" w:hAnsi="Times"/>
      <w:bCs/>
      <w:kern w:val="0"/>
      <w:sz w:val="24"/>
    </w:rPr>
  </w:style>
  <w:style w:type="paragraph" w:customStyle="1" w:styleId="1247">
    <w:name w:val="Char41"/>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48">
    <w:name w:val="样式 标题 1 + 黑色 居中"/>
    <w:basedOn w:val="3"/>
    <w:autoRedefine/>
    <w:qFormat/>
    <w:uiPriority w:val="0"/>
    <w:pPr>
      <w:keepLines w:val="0"/>
      <w:widowControl/>
      <w:spacing w:beforeLines="100" w:afterLines="100" w:line="578" w:lineRule="auto"/>
      <w:jc w:val="left"/>
    </w:pPr>
    <w:rPr>
      <w:rFonts w:ascii="Cambria" w:hAnsi="Cambria" w:eastAsia="黑体" w:cs="宋体"/>
      <w:b w:val="0"/>
      <w:bCs w:val="0"/>
      <w:color w:val="000000"/>
      <w:w w:val="90"/>
      <w:kern w:val="32"/>
      <w:sz w:val="36"/>
      <w:szCs w:val="20"/>
    </w:rPr>
  </w:style>
  <w:style w:type="paragraph" w:customStyle="1" w:styleId="1249">
    <w:name w:val="正文段落 Char Char Char Char Char Char"/>
    <w:basedOn w:val="1"/>
    <w:autoRedefine/>
    <w:qFormat/>
    <w:uiPriority w:val="0"/>
    <w:pPr>
      <w:widowControl/>
      <w:spacing w:line="480" w:lineRule="exact"/>
      <w:ind w:firstLine="480" w:firstLineChars="200"/>
      <w:jc w:val="left"/>
    </w:pPr>
    <w:rPr>
      <w:rFonts w:ascii="宋体" w:hAnsi="宋体" w:eastAsia="汉鼎简书宋"/>
      <w:kern w:val="0"/>
      <w:sz w:val="24"/>
    </w:rPr>
  </w:style>
  <w:style w:type="paragraph" w:customStyle="1" w:styleId="1250">
    <w:name w:val="样式 hb4 + 段前: 0.5 行 段后: 0.5 行2"/>
    <w:basedOn w:val="566"/>
    <w:qFormat/>
    <w:uiPriority w:val="0"/>
    <w:pPr>
      <w:topLinePunct w:val="0"/>
      <w:spacing w:before="156" w:after="156" w:line="529" w:lineRule="exact"/>
    </w:pPr>
    <w:rPr>
      <w:rFonts w:ascii="Times New Roman" w:hAnsi="Arial" w:cs="宋体"/>
      <w:kern w:val="24"/>
      <w:szCs w:val="20"/>
    </w:rPr>
  </w:style>
  <w:style w:type="paragraph" w:customStyle="1" w:styleId="1251">
    <w:name w:val="正文缩进1"/>
    <w:basedOn w:val="1"/>
    <w:qFormat/>
    <w:uiPriority w:val="0"/>
    <w:pPr>
      <w:widowControl/>
      <w:spacing w:before="100" w:beforeAutospacing="1" w:after="100" w:afterAutospacing="1" w:line="360" w:lineRule="auto"/>
      <w:ind w:firstLine="480" w:firstLineChars="200"/>
      <w:jc w:val="left"/>
    </w:pPr>
    <w:rPr>
      <w:rFonts w:hint="eastAsia"/>
      <w:color w:val="000000"/>
      <w:kern w:val="0"/>
      <w:sz w:val="18"/>
      <w:szCs w:val="22"/>
    </w:rPr>
  </w:style>
  <w:style w:type="paragraph" w:customStyle="1" w:styleId="1252">
    <w:name w:val="於"/>
    <w:basedOn w:val="1"/>
    <w:qFormat/>
    <w:uiPriority w:val="0"/>
    <w:pPr>
      <w:widowControl/>
      <w:spacing w:line="360" w:lineRule="auto"/>
      <w:ind w:firstLine="600" w:firstLineChars="200"/>
      <w:jc w:val="left"/>
    </w:pPr>
    <w:rPr>
      <w:kern w:val="0"/>
      <w:sz w:val="30"/>
      <w:szCs w:val="20"/>
    </w:rPr>
  </w:style>
  <w:style w:type="paragraph" w:customStyle="1" w:styleId="1253">
    <w:name w:val="Char21"/>
    <w:basedOn w:val="1"/>
    <w:autoRedefine/>
    <w:qFormat/>
    <w:uiPriority w:val="0"/>
    <w:pPr>
      <w:widowControl/>
      <w:spacing w:line="529" w:lineRule="exact"/>
      <w:ind w:firstLine="200" w:firstLineChars="200"/>
      <w:jc w:val="left"/>
    </w:pPr>
    <w:rPr>
      <w:rFonts w:ascii="宋体" w:hAnsi="宋体" w:cs="宋体"/>
      <w:kern w:val="0"/>
      <w:sz w:val="24"/>
    </w:rPr>
  </w:style>
  <w:style w:type="paragraph" w:customStyle="1" w:styleId="1254">
    <w:name w:val="表格文字（对中）"/>
    <w:basedOn w:val="21"/>
    <w:autoRedefine/>
    <w:qFormat/>
    <w:uiPriority w:val="0"/>
    <w:pPr>
      <w:widowControl/>
      <w:adjustRightInd w:val="0"/>
      <w:snapToGrid w:val="0"/>
      <w:ind w:firstLine="0" w:firstLineChars="0"/>
      <w:jc w:val="center"/>
    </w:pPr>
    <w:rPr>
      <w:kern w:val="0"/>
      <w:sz w:val="24"/>
      <w:szCs w:val="21"/>
    </w:rPr>
  </w:style>
  <w:style w:type="paragraph" w:customStyle="1" w:styleId="1255">
    <w:name w:val="样式 首行缩进:  0.85 厘米2"/>
    <w:basedOn w:val="1"/>
    <w:autoRedefine/>
    <w:qFormat/>
    <w:uiPriority w:val="0"/>
    <w:pPr>
      <w:widowControl/>
      <w:spacing w:line="530" w:lineRule="exact"/>
      <w:ind w:firstLine="482" w:firstLineChars="200"/>
      <w:jc w:val="left"/>
    </w:pPr>
    <w:rPr>
      <w:rFonts w:cs="宋体"/>
      <w:kern w:val="24"/>
      <w:sz w:val="24"/>
      <w:szCs w:val="20"/>
    </w:rPr>
  </w:style>
  <w:style w:type="paragraph" w:customStyle="1" w:styleId="1256">
    <w:name w:val="Char Char Char1 Char Char Char Char Char Char Char Char Char Char Char Char Char Char Char Char Char Char Char"/>
    <w:basedOn w:val="1"/>
    <w:qFormat/>
    <w:uiPriority w:val="0"/>
    <w:pPr>
      <w:widowControl/>
      <w:jc w:val="left"/>
    </w:pPr>
    <w:rPr>
      <w:kern w:val="0"/>
      <w:sz w:val="28"/>
      <w:szCs w:val="28"/>
    </w:rPr>
  </w:style>
  <w:style w:type="paragraph" w:customStyle="1" w:styleId="1257">
    <w:name w:val="Char Char Char2 Char Char Char Char1"/>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258">
    <w:name w:val="样式 小四 首行缩进:  0.74 厘米 行距: 固定值 20 磅"/>
    <w:basedOn w:val="1"/>
    <w:qFormat/>
    <w:uiPriority w:val="0"/>
    <w:pPr>
      <w:widowControl/>
      <w:spacing w:line="440" w:lineRule="exact"/>
      <w:ind w:firstLine="454"/>
      <w:jc w:val="left"/>
    </w:pPr>
    <w:rPr>
      <w:kern w:val="0"/>
      <w:sz w:val="24"/>
      <w:szCs w:val="20"/>
    </w:rPr>
  </w:style>
  <w:style w:type="paragraph" w:customStyle="1" w:styleId="1259">
    <w:name w:val="Char1 Char Char Char2"/>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260">
    <w:name w:val="(1)"/>
    <w:basedOn w:val="1"/>
    <w:qFormat/>
    <w:uiPriority w:val="0"/>
    <w:pPr>
      <w:widowControl/>
      <w:adjustRightInd w:val="0"/>
      <w:snapToGrid w:val="0"/>
      <w:spacing w:line="360" w:lineRule="exact"/>
      <w:jc w:val="left"/>
    </w:pPr>
    <w:rPr>
      <w:rFonts w:ascii="宋体" w:hAnsi="宋体"/>
      <w:kern w:val="0"/>
      <w:sz w:val="24"/>
    </w:rPr>
  </w:style>
  <w:style w:type="paragraph" w:customStyle="1" w:styleId="1261">
    <w:name w:val="a0"/>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1262">
    <w:name w:val="表格内容小5"/>
    <w:basedOn w:val="1"/>
    <w:qFormat/>
    <w:uiPriority w:val="0"/>
    <w:pPr>
      <w:widowControl/>
      <w:spacing w:line="240" w:lineRule="exact"/>
      <w:jc w:val="center"/>
    </w:pPr>
    <w:rPr>
      <w:rFonts w:ascii="宋体" w:hAnsi="宋体"/>
      <w:color w:val="000000"/>
      <w:kern w:val="0"/>
      <w:sz w:val="18"/>
      <w:szCs w:val="21"/>
    </w:rPr>
  </w:style>
  <w:style w:type="paragraph" w:customStyle="1" w:styleId="1263">
    <w:name w:val="样式 样式 标题4 + 段前: 0.25 行 行距: 单倍行距 + 段前: 0.5 行1"/>
    <w:basedOn w:val="1241"/>
    <w:autoRedefine/>
    <w:qFormat/>
    <w:uiPriority w:val="0"/>
    <w:pPr>
      <w:tabs>
        <w:tab w:val="left" w:pos="2315"/>
        <w:tab w:val="clear" w:pos="1157"/>
        <w:tab w:val="clear" w:pos="3450"/>
      </w:tabs>
      <w:ind w:left="1405"/>
    </w:pPr>
  </w:style>
  <w:style w:type="paragraph" w:customStyle="1" w:styleId="1264">
    <w:name w:val="样式 日期 + 黑体"/>
    <w:basedOn w:val="46"/>
    <w:autoRedefine/>
    <w:qFormat/>
    <w:uiPriority w:val="0"/>
    <w:pPr>
      <w:widowControl/>
      <w:spacing w:line="500" w:lineRule="exact"/>
      <w:jc w:val="left"/>
    </w:pPr>
    <w:rPr>
      <w:rFonts w:ascii="黑体" w:hAnsi="黑体" w:eastAsia="黑体"/>
      <w:b/>
      <w:spacing w:val="40"/>
      <w:kern w:val="0"/>
      <w:sz w:val="30"/>
      <w:szCs w:val="30"/>
    </w:rPr>
  </w:style>
  <w:style w:type="paragraph" w:customStyle="1" w:styleId="1265">
    <w:name w:val="表格内文字"/>
    <w:basedOn w:val="7"/>
    <w:autoRedefine/>
    <w:qFormat/>
    <w:uiPriority w:val="0"/>
    <w:pPr>
      <w:keepNext w:val="0"/>
      <w:keepLines w:val="0"/>
      <w:widowControl/>
      <w:tabs>
        <w:tab w:val="left" w:pos="992"/>
      </w:tabs>
      <w:autoSpaceDE w:val="0"/>
      <w:autoSpaceDN w:val="0"/>
      <w:adjustRightInd w:val="0"/>
      <w:spacing w:before="60" w:after="60" w:line="240" w:lineRule="auto"/>
      <w:jc w:val="center"/>
      <w:outlineLvl w:val="9"/>
    </w:pPr>
    <w:rPr>
      <w:rFonts w:ascii="宋体"/>
      <w:b w:val="0"/>
      <w:bCs w:val="0"/>
      <w:i/>
      <w:iCs/>
      <w:kern w:val="0"/>
      <w:sz w:val="21"/>
      <w:szCs w:val="24"/>
    </w:rPr>
  </w:style>
  <w:style w:type="paragraph" w:customStyle="1" w:styleId="1266">
    <w:name w:val="444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67">
    <w:name w:val="font7"/>
    <w:basedOn w:val="1"/>
    <w:autoRedefine/>
    <w:qFormat/>
    <w:uiPriority w:val="0"/>
    <w:pPr>
      <w:widowControl/>
      <w:spacing w:before="100" w:beforeAutospacing="1" w:after="100" w:afterAutospacing="1"/>
      <w:ind w:firstLine="200" w:firstLineChars="200"/>
      <w:jc w:val="left"/>
    </w:pPr>
    <w:rPr>
      <w:rFonts w:ascii="宋体" w:hAnsi="宋体" w:eastAsia="汉鼎简书宋" w:cs="宋体"/>
      <w:kern w:val="0"/>
      <w:sz w:val="20"/>
      <w:szCs w:val="20"/>
    </w:rPr>
  </w:style>
  <w:style w:type="paragraph" w:customStyle="1" w:styleId="1268">
    <w:name w:val="样式 DX正文 + 13.5 磅 首行缩进:  2 字符"/>
    <w:basedOn w:val="1"/>
    <w:qFormat/>
    <w:uiPriority w:val="0"/>
    <w:pPr>
      <w:widowControl/>
      <w:spacing w:line="560" w:lineRule="exact"/>
      <w:ind w:firstLine="200" w:firstLineChars="200"/>
      <w:jc w:val="left"/>
    </w:pPr>
    <w:rPr>
      <w:rFonts w:cs="宋体"/>
      <w:kern w:val="0"/>
      <w:sz w:val="28"/>
      <w:szCs w:val="20"/>
    </w:rPr>
  </w:style>
  <w:style w:type="paragraph" w:customStyle="1" w:styleId="1269">
    <w:name w:val="正文-使用"/>
    <w:basedOn w:val="1"/>
    <w:autoRedefine/>
    <w:qFormat/>
    <w:uiPriority w:val="0"/>
    <w:pPr>
      <w:widowControl/>
      <w:spacing w:line="360" w:lineRule="auto"/>
      <w:ind w:firstLine="482"/>
      <w:jc w:val="left"/>
    </w:pPr>
    <w:rPr>
      <w:kern w:val="0"/>
      <w:sz w:val="24"/>
      <w:szCs w:val="20"/>
    </w:rPr>
  </w:style>
  <w:style w:type="paragraph" w:customStyle="1" w:styleId="1270">
    <w:name w:val="样式 宋体 居中 首行缩进:  0.42 厘米"/>
    <w:basedOn w:val="184"/>
    <w:qFormat/>
    <w:uiPriority w:val="0"/>
    <w:pPr>
      <w:widowControl/>
      <w:topLinePunct/>
      <w:adjustRightInd w:val="0"/>
      <w:ind w:firstLine="240"/>
    </w:pPr>
    <w:rPr>
      <w:rFonts w:ascii="宋体" w:hAnsi="宋体" w:cs="宋体"/>
      <w:kern w:val="0"/>
      <w:sz w:val="21"/>
      <w:szCs w:val="21"/>
    </w:rPr>
  </w:style>
  <w:style w:type="paragraph" w:customStyle="1" w:styleId="1271">
    <w:name w:val="Char6"/>
    <w:basedOn w:val="1"/>
    <w:qFormat/>
    <w:uiPriority w:val="0"/>
    <w:pPr>
      <w:widowControl/>
      <w:jc w:val="left"/>
    </w:pPr>
    <w:rPr>
      <w:kern w:val="0"/>
      <w:sz w:val="24"/>
    </w:rPr>
  </w:style>
  <w:style w:type="paragraph" w:customStyle="1" w:styleId="1272">
    <w:name w:val="xl72"/>
    <w:basedOn w:val="1"/>
    <w:qFormat/>
    <w:uiPriority w:val="0"/>
    <w:pPr>
      <w:widowControl/>
      <w:spacing w:before="100" w:beforeAutospacing="1" w:after="100" w:afterAutospacing="1"/>
      <w:jc w:val="center"/>
    </w:pPr>
    <w:rPr>
      <w:rFonts w:ascii="宋体" w:hAnsi="宋体"/>
      <w:b/>
      <w:bCs/>
      <w:kern w:val="0"/>
      <w:sz w:val="24"/>
    </w:rPr>
  </w:style>
  <w:style w:type="paragraph" w:customStyle="1" w:styleId="1273">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274">
    <w:name w:val="表文"/>
    <w:basedOn w:val="1"/>
    <w:autoRedefine/>
    <w:qFormat/>
    <w:uiPriority w:val="0"/>
    <w:pPr>
      <w:widowControl/>
      <w:snapToGrid w:val="0"/>
      <w:spacing w:beforeLines="20" w:line="240" w:lineRule="exact"/>
      <w:ind w:firstLine="525" w:firstLineChars="250"/>
      <w:jc w:val="left"/>
    </w:pPr>
    <w:rPr>
      <w:rFonts w:ascii="仿宋_GB2312" w:eastAsia="仿宋_GB2312"/>
      <w:color w:val="000000"/>
      <w:kern w:val="0"/>
      <w:sz w:val="24"/>
      <w:szCs w:val="21"/>
    </w:rPr>
  </w:style>
  <w:style w:type="paragraph" w:customStyle="1" w:styleId="1275">
    <w:name w:val="1 Char Char Char Char Char Char Char Char Char Char Char Char Char"/>
    <w:basedOn w:val="1"/>
    <w:semiHidden/>
    <w:qFormat/>
    <w:uiPriority w:val="0"/>
    <w:pPr>
      <w:widowControl/>
      <w:spacing w:line="360" w:lineRule="auto"/>
      <w:jc w:val="left"/>
    </w:pPr>
    <w:rPr>
      <w:kern w:val="0"/>
      <w:sz w:val="24"/>
    </w:rPr>
  </w:style>
  <w:style w:type="paragraph" w:customStyle="1" w:styleId="1276">
    <w:name w:val="Char Char Char Char Char2 Char Char Char Char"/>
    <w:basedOn w:val="1"/>
    <w:semiHidden/>
    <w:qFormat/>
    <w:uiPriority w:val="0"/>
    <w:pPr>
      <w:widowControl/>
      <w:adjustRightInd w:val="0"/>
      <w:snapToGrid w:val="0"/>
      <w:spacing w:line="360" w:lineRule="auto"/>
      <w:ind w:firstLine="200" w:firstLineChars="200"/>
      <w:jc w:val="left"/>
    </w:pPr>
    <w:rPr>
      <w:rFonts w:ascii="宋体" w:hAnsi="宋体" w:cs="宋体"/>
      <w:kern w:val="0"/>
      <w:sz w:val="24"/>
      <w:szCs w:val="26"/>
    </w:rPr>
  </w:style>
  <w:style w:type="paragraph" w:customStyle="1" w:styleId="1277">
    <w:name w:val="样式 宋体 小四 左 行距: 1.5 倍行距"/>
    <w:basedOn w:val="1"/>
    <w:qFormat/>
    <w:uiPriority w:val="0"/>
    <w:pPr>
      <w:widowControl/>
      <w:topLinePunct/>
      <w:spacing w:line="530" w:lineRule="exact"/>
      <w:ind w:firstLine="200" w:firstLineChars="200"/>
      <w:jc w:val="left"/>
    </w:pPr>
    <w:rPr>
      <w:rFonts w:ascii="宋体" w:hAnsi="宋体" w:cs="宋体"/>
      <w:kern w:val="0"/>
      <w:sz w:val="24"/>
      <w:szCs w:val="20"/>
    </w:rPr>
  </w:style>
  <w:style w:type="paragraph" w:customStyle="1" w:styleId="1278">
    <w:name w:val="正文首行缩进2"/>
    <w:basedOn w:val="31"/>
    <w:autoRedefine/>
    <w:qFormat/>
    <w:uiPriority w:val="0"/>
    <w:pPr>
      <w:widowControl/>
      <w:adjustRightInd w:val="0"/>
      <w:ind w:firstLine="420"/>
      <w:jc w:val="left"/>
    </w:pPr>
    <w:rPr>
      <w:kern w:val="0"/>
      <w:sz w:val="24"/>
      <w:szCs w:val="20"/>
    </w:rPr>
  </w:style>
  <w:style w:type="paragraph" w:customStyle="1" w:styleId="1279">
    <w:name w:val="样式 正文缩进 + (西文) 宋体 四号 行距: 固定值 25 磅 首行缩进:  2 字符"/>
    <w:basedOn w:val="21"/>
    <w:autoRedefine/>
    <w:qFormat/>
    <w:uiPriority w:val="0"/>
    <w:pPr>
      <w:widowControl/>
      <w:spacing w:line="500" w:lineRule="exact"/>
      <w:ind w:firstLine="560"/>
      <w:jc w:val="left"/>
    </w:pPr>
    <w:rPr>
      <w:rFonts w:ascii="宋体" w:hAnsi="宋体" w:cs="宋体"/>
      <w:kern w:val="0"/>
      <w:sz w:val="28"/>
    </w:rPr>
  </w:style>
  <w:style w:type="paragraph" w:customStyle="1" w:styleId="1280">
    <w:name w:val="hp1"/>
    <w:basedOn w:val="3"/>
    <w:autoRedefine/>
    <w:qFormat/>
    <w:uiPriority w:val="0"/>
    <w:pPr>
      <w:keepLines w:val="0"/>
      <w:widowControl/>
      <w:adjustRightInd w:val="0"/>
      <w:spacing w:before="240" w:after="60" w:line="578" w:lineRule="atLeast"/>
      <w:ind w:firstLine="482"/>
      <w:jc w:val="center"/>
    </w:pPr>
    <w:rPr>
      <w:rFonts w:ascii="黑体" w:hAnsi="宋体"/>
      <w:kern w:val="32"/>
      <w:sz w:val="32"/>
      <w:szCs w:val="28"/>
    </w:rPr>
  </w:style>
  <w:style w:type="paragraph" w:customStyle="1" w:styleId="1281">
    <w:name w:val="啊啊啊"/>
    <w:basedOn w:val="1"/>
    <w:qFormat/>
    <w:uiPriority w:val="0"/>
    <w:pPr>
      <w:widowControl/>
      <w:spacing w:line="300" w:lineRule="exact"/>
      <w:jc w:val="center"/>
    </w:pPr>
    <w:rPr>
      <w:rFonts w:eastAsia="华文中宋"/>
      <w:kern w:val="0"/>
      <w:sz w:val="24"/>
      <w:szCs w:val="20"/>
    </w:rPr>
  </w:style>
  <w:style w:type="paragraph" w:customStyle="1" w:styleId="1282">
    <w:name w:val="样式 hb3 + 加粗 两端对齐"/>
    <w:basedOn w:val="229"/>
    <w:autoRedefine/>
    <w:qFormat/>
    <w:uiPriority w:val="0"/>
    <w:pPr>
      <w:keepNext/>
      <w:keepLines/>
      <w:widowControl w:val="0"/>
      <w:adjustRightInd w:val="0"/>
      <w:spacing w:beforeLines="0" w:afterLines="0" w:line="240" w:lineRule="auto"/>
      <w:jc w:val="both"/>
    </w:pPr>
    <w:rPr>
      <w:rFonts w:ascii="宋体" w:hAnsi="宋体"/>
      <w:bCs/>
      <w:szCs w:val="20"/>
    </w:rPr>
  </w:style>
  <w:style w:type="paragraph" w:customStyle="1" w:styleId="1283">
    <w:name w:val="样式 标题2 + 自动设置 段前: 0.5 行 段后: 0.5 行2"/>
    <w:basedOn w:val="1"/>
    <w:autoRedefine/>
    <w:qFormat/>
    <w:uiPriority w:val="0"/>
    <w:pPr>
      <w:keepNext/>
      <w:keepLines/>
      <w:widowControl/>
      <w:spacing w:beforeLines="50" w:afterLines="50" w:line="360" w:lineRule="auto"/>
      <w:jc w:val="left"/>
      <w:outlineLvl w:val="1"/>
    </w:pPr>
    <w:rPr>
      <w:rFonts w:eastAsia="黑体" w:cs="宋体"/>
      <w:b/>
      <w:bCs/>
      <w:kern w:val="44"/>
      <w:sz w:val="32"/>
      <w:szCs w:val="20"/>
    </w:rPr>
  </w:style>
  <w:style w:type="paragraph" w:customStyle="1" w:styleId="1284">
    <w:name w:val="标题5，地震报告3级段落名"/>
    <w:basedOn w:val="1"/>
    <w:autoRedefine/>
    <w:qFormat/>
    <w:uiPriority w:val="0"/>
    <w:pPr>
      <w:widowControl/>
      <w:spacing w:before="60" w:line="460" w:lineRule="exact"/>
      <w:ind w:firstLine="200" w:firstLineChars="200"/>
      <w:jc w:val="left"/>
      <w:outlineLvl w:val="4"/>
    </w:pPr>
    <w:rPr>
      <w:rFonts w:ascii="宋体" w:hAnsi="Arial" w:cs="Arial"/>
      <w:b/>
      <w:bCs/>
      <w:w w:val="90"/>
      <w:kern w:val="28"/>
      <w:sz w:val="24"/>
      <w:szCs w:val="32"/>
    </w:rPr>
  </w:style>
  <w:style w:type="paragraph" w:customStyle="1" w:styleId="1285">
    <w:name w:val="文本框文字"/>
    <w:basedOn w:val="42"/>
    <w:qFormat/>
    <w:uiPriority w:val="0"/>
    <w:pPr>
      <w:widowControl/>
      <w:jc w:val="center"/>
    </w:pPr>
    <w:rPr>
      <w:rFonts w:ascii="Times New Roman" w:cs="Courier New"/>
      <w:spacing w:val="10"/>
      <w:kern w:val="0"/>
      <w:sz w:val="24"/>
      <w:szCs w:val="24"/>
    </w:rPr>
  </w:style>
  <w:style w:type="paragraph" w:customStyle="1" w:styleId="1286">
    <w:name w:val="Char43"/>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287">
    <w:name w:val="矿山设计"/>
    <w:basedOn w:val="1"/>
    <w:autoRedefine/>
    <w:qFormat/>
    <w:uiPriority w:val="0"/>
    <w:pPr>
      <w:widowControl/>
      <w:adjustRightInd w:val="0"/>
      <w:spacing w:line="312" w:lineRule="atLeast"/>
      <w:ind w:firstLine="567" w:firstLineChars="200"/>
      <w:jc w:val="left"/>
    </w:pPr>
    <w:rPr>
      <w:kern w:val="0"/>
      <w:sz w:val="28"/>
      <w:szCs w:val="20"/>
    </w:rPr>
  </w:style>
  <w:style w:type="paragraph" w:customStyle="1" w:styleId="1288">
    <w:name w:val="Char7 Char Char Char1"/>
    <w:basedOn w:val="1"/>
    <w:qFormat/>
    <w:uiPriority w:val="0"/>
    <w:pPr>
      <w:widowControl/>
      <w:adjustRightInd w:val="0"/>
      <w:spacing w:line="360" w:lineRule="auto"/>
      <w:jc w:val="left"/>
    </w:pPr>
    <w:rPr>
      <w:kern w:val="0"/>
      <w:sz w:val="24"/>
      <w:szCs w:val="20"/>
    </w:rPr>
  </w:style>
  <w:style w:type="paragraph" w:customStyle="1" w:styleId="1289">
    <w:name w:val="第X节"/>
    <w:basedOn w:val="1"/>
    <w:autoRedefine/>
    <w:qFormat/>
    <w:uiPriority w:val="0"/>
    <w:pPr>
      <w:widowControl/>
      <w:tabs>
        <w:tab w:val="left" w:pos="1080"/>
        <w:tab w:val="left" w:pos="1140"/>
      </w:tabs>
      <w:spacing w:line="360" w:lineRule="auto"/>
      <w:ind w:left="1140" w:hanging="720"/>
      <w:jc w:val="center"/>
    </w:pPr>
    <w:rPr>
      <w:rFonts w:ascii="宋体" w:hAnsi="宋体"/>
      <w:b/>
      <w:kern w:val="0"/>
      <w:sz w:val="28"/>
      <w:szCs w:val="20"/>
    </w:rPr>
  </w:style>
  <w:style w:type="paragraph" w:customStyle="1" w:styleId="1290">
    <w:name w:val="Char Char Char1 Char3"/>
    <w:basedOn w:val="1"/>
    <w:qFormat/>
    <w:uiPriority w:val="0"/>
    <w:pPr>
      <w:widowControl/>
      <w:spacing w:line="360" w:lineRule="auto"/>
      <w:ind w:firstLine="200" w:firstLineChars="200"/>
      <w:jc w:val="left"/>
    </w:pPr>
    <w:rPr>
      <w:rFonts w:ascii="宋体" w:hAnsi="宋体" w:cs="宋体"/>
      <w:kern w:val="0"/>
      <w:sz w:val="24"/>
    </w:rPr>
  </w:style>
  <w:style w:type="paragraph" w:customStyle="1" w:styleId="1291">
    <w:name w:val="规范正文"/>
    <w:basedOn w:val="1"/>
    <w:autoRedefine/>
    <w:qFormat/>
    <w:uiPriority w:val="0"/>
    <w:pPr>
      <w:widowControl/>
      <w:adjustRightInd w:val="0"/>
      <w:snapToGrid w:val="0"/>
      <w:spacing w:beforeLines="50" w:line="324" w:lineRule="auto"/>
      <w:ind w:firstLine="560" w:firstLineChars="200"/>
      <w:jc w:val="left"/>
    </w:pPr>
    <w:rPr>
      <w:rFonts w:ascii="Arial" w:hAnsi="Arial" w:eastAsia="仿宋_GB2312"/>
      <w:kern w:val="0"/>
      <w:sz w:val="24"/>
      <w:szCs w:val="20"/>
    </w:rPr>
  </w:style>
  <w:style w:type="paragraph" w:customStyle="1" w:styleId="1292">
    <w:name w:val="xl35"/>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293">
    <w:name w:val="Char Char Char Char Char Char Char Char Char Char Char Char Char Char Char Char2"/>
    <w:basedOn w:val="1"/>
    <w:autoRedefine/>
    <w:qFormat/>
    <w:uiPriority w:val="0"/>
    <w:pPr>
      <w:widowControl/>
      <w:jc w:val="left"/>
    </w:pPr>
    <w:rPr>
      <w:kern w:val="0"/>
      <w:sz w:val="24"/>
      <w:szCs w:val="21"/>
    </w:rPr>
  </w:style>
  <w:style w:type="paragraph" w:customStyle="1" w:styleId="1294">
    <w:name w:val="二期四级样式"/>
    <w:basedOn w:val="1"/>
    <w:autoRedefine/>
    <w:qFormat/>
    <w:uiPriority w:val="0"/>
    <w:pPr>
      <w:widowControl/>
      <w:tabs>
        <w:tab w:val="left" w:pos="2235"/>
      </w:tabs>
      <w:ind w:left="2235" w:hanging="420"/>
      <w:jc w:val="left"/>
    </w:pPr>
    <w:rPr>
      <w:kern w:val="0"/>
      <w:sz w:val="24"/>
    </w:rPr>
  </w:style>
  <w:style w:type="paragraph" w:customStyle="1" w:styleId="1295">
    <w:name w:val="样式 样式 样式 标题 3 + 段前: 0.5 行 + 段前: 1 行 行距: 单倍行距 + 段前: 1 行"/>
    <w:basedOn w:val="1296"/>
    <w:qFormat/>
    <w:uiPriority w:val="0"/>
    <w:pPr>
      <w:tabs>
        <w:tab w:val="left" w:pos="795"/>
        <w:tab w:val="left" w:pos="1080"/>
      </w:tabs>
      <w:spacing w:before="330"/>
    </w:pPr>
  </w:style>
  <w:style w:type="paragraph" w:customStyle="1" w:styleId="1296">
    <w:name w:val="样式 样式 标题 3 + 段前: 0.5 行 + 段前: 1 行 行距: 单倍行距"/>
    <w:basedOn w:val="1297"/>
    <w:autoRedefine/>
    <w:qFormat/>
    <w:uiPriority w:val="0"/>
    <w:pPr>
      <w:tabs>
        <w:tab w:val="left" w:pos="1080"/>
      </w:tabs>
      <w:spacing w:beforeLines="0"/>
    </w:pPr>
    <w:rPr>
      <w:szCs w:val="20"/>
    </w:rPr>
  </w:style>
  <w:style w:type="paragraph" w:customStyle="1" w:styleId="1297">
    <w:name w:val="样式 标题 3 + 段前: 0.5 行"/>
    <w:basedOn w:val="5"/>
    <w:autoRedefine/>
    <w:qFormat/>
    <w:uiPriority w:val="0"/>
    <w:pPr>
      <w:keepNext w:val="0"/>
      <w:keepLines w:val="0"/>
      <w:widowControl/>
      <w:tabs>
        <w:tab w:val="left" w:pos="1080"/>
      </w:tabs>
      <w:autoSpaceDE w:val="0"/>
      <w:autoSpaceDN w:val="0"/>
      <w:adjustRightInd w:val="0"/>
      <w:snapToGrid w:val="0"/>
      <w:spacing w:beforeLines="100" w:after="0" w:line="240" w:lineRule="auto"/>
      <w:ind w:left="227" w:hanging="227"/>
      <w:jc w:val="left"/>
    </w:pPr>
    <w:rPr>
      <w:rFonts w:ascii="Cambria" w:hAnsi="Cambria" w:eastAsia="黑体" w:cs="宋体"/>
      <w:b w:val="0"/>
      <w:bCs w:val="0"/>
      <w:kern w:val="0"/>
      <w:sz w:val="30"/>
      <w:szCs w:val="30"/>
    </w:rPr>
  </w:style>
  <w:style w:type="paragraph" w:customStyle="1" w:styleId="1298">
    <w:name w:val="样式 正文缩进 + 四号 行距: 固定值 26 磅 首行缩进:  2 字符"/>
    <w:basedOn w:val="21"/>
    <w:autoRedefine/>
    <w:qFormat/>
    <w:uiPriority w:val="0"/>
    <w:pPr>
      <w:widowControl/>
      <w:spacing w:line="520" w:lineRule="exact"/>
      <w:ind w:firstLine="560"/>
      <w:jc w:val="left"/>
    </w:pPr>
    <w:rPr>
      <w:rFonts w:ascii="宋体" w:cs="宋体"/>
      <w:kern w:val="0"/>
      <w:sz w:val="28"/>
    </w:rPr>
  </w:style>
  <w:style w:type="paragraph" w:customStyle="1" w:styleId="1299">
    <w:name w:val="xl5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ind w:firstLine="200" w:firstLineChars="200"/>
      <w:jc w:val="center"/>
    </w:pPr>
    <w:rPr>
      <w:rFonts w:ascii="宋体" w:hAnsi="宋体" w:eastAsia="汉鼎简书宋" w:cs="宋体"/>
      <w:kern w:val="0"/>
      <w:sz w:val="20"/>
      <w:szCs w:val="20"/>
    </w:rPr>
  </w:style>
  <w:style w:type="paragraph" w:customStyle="1" w:styleId="1300">
    <w:name w:val="表名图名"/>
    <w:basedOn w:val="1"/>
    <w:qFormat/>
    <w:uiPriority w:val="0"/>
    <w:pPr>
      <w:keepNext/>
      <w:widowControl/>
      <w:adjustRightInd w:val="0"/>
      <w:spacing w:line="240" w:lineRule="exact"/>
      <w:jc w:val="center"/>
    </w:pPr>
    <w:rPr>
      <w:rFonts w:ascii="宋体" w:hAnsi="Times"/>
      <w:b/>
      <w:kern w:val="0"/>
      <w:sz w:val="20"/>
      <w:szCs w:val="21"/>
    </w:rPr>
  </w:style>
  <w:style w:type="paragraph" w:customStyle="1" w:styleId="1301">
    <w:name w:val="说"/>
    <w:qFormat/>
    <w:uiPriority w:val="0"/>
    <w:pPr>
      <w:spacing w:beforeLines="100"/>
      <w:jc w:val="center"/>
    </w:pPr>
    <w:rPr>
      <w:rFonts w:ascii="Times New Roman" w:hAnsi="Times New Roman" w:eastAsia="华文新魏" w:cs="Times New Roman"/>
      <w:b/>
      <w:kern w:val="2"/>
      <w:sz w:val="80"/>
      <w:szCs w:val="24"/>
      <w:lang w:val="en-US" w:eastAsia="zh-CN" w:bidi="ar-SA"/>
    </w:rPr>
  </w:style>
  <w:style w:type="paragraph" w:customStyle="1" w:styleId="1302">
    <w:name w:val="Char2 Char Char Char Char Char Char"/>
    <w:basedOn w:val="1"/>
    <w:autoRedefine/>
    <w:qFormat/>
    <w:uiPriority w:val="0"/>
    <w:pPr>
      <w:widowControl/>
      <w:jc w:val="left"/>
    </w:pPr>
    <w:rPr>
      <w:rFonts w:ascii="宋体" w:hAnsi="宋体" w:cs="Courier New"/>
      <w:kern w:val="0"/>
      <w:sz w:val="32"/>
      <w:szCs w:val="32"/>
    </w:rPr>
  </w:style>
  <w:style w:type="paragraph" w:customStyle="1" w:styleId="1303">
    <w:name w:val="设计正文1"/>
    <w:basedOn w:val="1056"/>
    <w:autoRedefine/>
    <w:qFormat/>
    <w:uiPriority w:val="0"/>
    <w:pPr>
      <w:tabs>
        <w:tab w:val="left" w:pos="927"/>
      </w:tabs>
      <w:ind w:firstLine="567" w:firstLineChars="0"/>
    </w:pPr>
    <w:rPr>
      <w:rFonts w:ascii="Times New Roman" w:hAnsi="Times New Roman" w:eastAsia="宋体"/>
      <w:b/>
    </w:rPr>
  </w:style>
  <w:style w:type="paragraph" w:customStyle="1" w:styleId="1304">
    <w:name w:val="Char Char Char1 Char Char Char Char1"/>
    <w:basedOn w:val="1"/>
    <w:autoRedefine/>
    <w:semiHidden/>
    <w:qFormat/>
    <w:uiPriority w:val="0"/>
    <w:pPr>
      <w:widowControl/>
      <w:spacing w:line="336" w:lineRule="auto"/>
      <w:ind w:firstLine="200" w:firstLineChars="200"/>
      <w:jc w:val="left"/>
    </w:pPr>
    <w:rPr>
      <w:rFonts w:ascii="宋体" w:hAnsi="宋体" w:eastAsia="汉鼎简书宋" w:cs="宋体"/>
      <w:kern w:val="0"/>
      <w:sz w:val="24"/>
    </w:rPr>
  </w:style>
  <w:style w:type="paragraph" w:customStyle="1" w:styleId="1305">
    <w:name w:val="Char42"/>
    <w:basedOn w:val="1"/>
    <w:qFormat/>
    <w:uiPriority w:val="0"/>
    <w:pPr>
      <w:widowControl/>
      <w:spacing w:line="360" w:lineRule="auto"/>
      <w:ind w:firstLine="200" w:firstLineChars="200"/>
      <w:jc w:val="left"/>
    </w:pPr>
    <w:rPr>
      <w:rFonts w:ascii="宋体" w:hAnsi="宋体" w:cs="宋体"/>
      <w:kern w:val="0"/>
      <w:sz w:val="24"/>
    </w:rPr>
  </w:style>
  <w:style w:type="paragraph" w:customStyle="1" w:styleId="1306">
    <w:name w:val="样式 纯文本 + (符号) 宋体 小四 行距: 固定值 23 磅"/>
    <w:basedOn w:val="42"/>
    <w:qFormat/>
    <w:uiPriority w:val="0"/>
    <w:pPr>
      <w:widowControl/>
      <w:ind w:firstLine="200" w:firstLineChars="200"/>
      <w:jc w:val="left"/>
    </w:pPr>
    <w:rPr>
      <w:rFonts w:hAnsi="宋体" w:cs="Courier New"/>
      <w:kern w:val="0"/>
      <w:sz w:val="24"/>
      <w:szCs w:val="20"/>
    </w:rPr>
  </w:style>
  <w:style w:type="paragraph" w:customStyle="1" w:styleId="1307">
    <w:name w:val="样式 四号 行距: 固定值 35 磅"/>
    <w:basedOn w:val="1"/>
    <w:autoRedefine/>
    <w:qFormat/>
    <w:uiPriority w:val="0"/>
    <w:pPr>
      <w:widowControl/>
      <w:spacing w:line="700" w:lineRule="exact"/>
      <w:jc w:val="left"/>
    </w:pPr>
    <w:rPr>
      <w:rFonts w:cs="宋体"/>
      <w:kern w:val="0"/>
      <w:sz w:val="28"/>
      <w:szCs w:val="20"/>
    </w:rPr>
  </w:style>
  <w:style w:type="paragraph" w:customStyle="1" w:styleId="1308">
    <w:name w:val="Char Char Char Char Char Char Char Char Char Char Char Char Char Char Char1 Char Char Char1 Char Char Char1"/>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309">
    <w:name w:val="样式 样式 标题 3 + 段前: 0.3 行 + 首行缩进:  0 厘米"/>
    <w:basedOn w:val="1"/>
    <w:autoRedefine/>
    <w:qFormat/>
    <w:uiPriority w:val="0"/>
    <w:pPr>
      <w:keepLines/>
      <w:widowControl/>
      <w:spacing w:before="60" w:after="60" w:line="360" w:lineRule="auto"/>
      <w:jc w:val="left"/>
      <w:outlineLvl w:val="2"/>
    </w:pPr>
    <w:rPr>
      <w:rFonts w:cs="宋体"/>
      <w:b/>
      <w:spacing w:val="16"/>
      <w:w w:val="95"/>
      <w:kern w:val="0"/>
      <w:sz w:val="24"/>
      <w:szCs w:val="20"/>
    </w:rPr>
  </w:style>
  <w:style w:type="paragraph" w:customStyle="1" w:styleId="1310">
    <w:name w:val="标题5"/>
    <w:basedOn w:val="1"/>
    <w:qFormat/>
    <w:uiPriority w:val="0"/>
    <w:pPr>
      <w:widowControl/>
      <w:spacing w:line="300" w:lineRule="auto"/>
      <w:ind w:firstLine="200" w:firstLineChars="200"/>
      <w:jc w:val="center"/>
    </w:pPr>
    <w:rPr>
      <w:rFonts w:ascii="Times" w:hAnsi="Times" w:eastAsia="黑体"/>
      <w:b/>
      <w:kern w:val="0"/>
      <w:sz w:val="24"/>
    </w:rPr>
  </w:style>
  <w:style w:type="paragraph" w:customStyle="1" w:styleId="1311">
    <w:name w:val="ÕýÎÄ"/>
    <w:autoRedefine/>
    <w:qFormat/>
    <w:uiPriority w:val="0"/>
    <w:pPr>
      <w:widowControl w:val="0"/>
      <w:overflowPunct w:val="0"/>
      <w:autoSpaceDE w:val="0"/>
      <w:autoSpaceDN w:val="0"/>
      <w:adjustRightInd w:val="0"/>
      <w:spacing w:line="357" w:lineRule="atLeast"/>
      <w:jc w:val="both"/>
    </w:pPr>
    <w:rPr>
      <w:rFonts w:ascii="Times New Roman" w:hAnsi="Times New Roman" w:eastAsia="宋体" w:cs="Times New Roman"/>
      <w:color w:val="000000"/>
      <w:sz w:val="21"/>
      <w:szCs w:val="22"/>
      <w:lang w:val="en-US" w:eastAsia="zh-CN" w:bidi="ar-SA"/>
    </w:rPr>
  </w:style>
  <w:style w:type="paragraph" w:customStyle="1" w:styleId="1312">
    <w:name w:val="样章"/>
    <w:basedOn w:val="1"/>
    <w:autoRedefine/>
    <w:qFormat/>
    <w:uiPriority w:val="0"/>
    <w:pPr>
      <w:keepNext/>
      <w:widowControl/>
      <w:spacing w:line="480" w:lineRule="auto"/>
      <w:jc w:val="center"/>
    </w:pPr>
    <w:rPr>
      <w:rFonts w:ascii="Times" w:hAnsi="Times" w:eastAsia="仿宋_GB2312"/>
      <w:b/>
      <w:bCs/>
      <w:kern w:val="0"/>
      <w:sz w:val="72"/>
    </w:rPr>
  </w:style>
  <w:style w:type="paragraph" w:customStyle="1" w:styleId="1313">
    <w:name w:val="xl60"/>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kern w:val="0"/>
      <w:sz w:val="24"/>
      <w:szCs w:val="20"/>
    </w:rPr>
  </w:style>
  <w:style w:type="paragraph" w:customStyle="1" w:styleId="1314">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15">
    <w:name w:val="正文首行缩进11"/>
    <w:basedOn w:val="31"/>
    <w:autoRedefine/>
    <w:qFormat/>
    <w:uiPriority w:val="0"/>
    <w:pPr>
      <w:widowControl/>
      <w:adjustRightInd w:val="0"/>
      <w:snapToGrid w:val="0"/>
      <w:spacing w:after="0" w:line="480" w:lineRule="atLeast"/>
      <w:ind w:firstLine="420"/>
      <w:jc w:val="center"/>
    </w:pPr>
    <w:rPr>
      <w:color w:val="FF6600"/>
      <w:kern w:val="0"/>
      <w:sz w:val="28"/>
      <w:szCs w:val="20"/>
    </w:rPr>
  </w:style>
  <w:style w:type="paragraph" w:customStyle="1" w:styleId="1316">
    <w:name w:val="Normal1"/>
    <w:autoRedefine/>
    <w:qFormat/>
    <w:uiPriority w:val="0"/>
    <w:pPr>
      <w:widowControl w:val="0"/>
      <w:adjustRightInd w:val="0"/>
      <w:spacing w:line="312" w:lineRule="atLeast"/>
      <w:jc w:val="both"/>
    </w:pPr>
    <w:rPr>
      <w:rFonts w:ascii="宋体" w:hAnsi="Times New Roman" w:eastAsia="宋体" w:cs="Times New Roman"/>
      <w:sz w:val="34"/>
      <w:szCs w:val="22"/>
      <w:lang w:val="en-US" w:eastAsia="zh-CN" w:bidi="ar-SA"/>
    </w:rPr>
  </w:style>
  <w:style w:type="paragraph" w:customStyle="1" w:styleId="1317">
    <w:name w:val="正文样式一"/>
    <w:basedOn w:val="1"/>
    <w:autoRedefine/>
    <w:qFormat/>
    <w:uiPriority w:val="0"/>
    <w:pPr>
      <w:widowControl/>
      <w:adjustRightInd w:val="0"/>
      <w:spacing w:line="400" w:lineRule="atLeast"/>
      <w:ind w:firstLine="510"/>
      <w:jc w:val="left"/>
    </w:pPr>
    <w:rPr>
      <w:kern w:val="0"/>
      <w:sz w:val="24"/>
      <w:szCs w:val="20"/>
    </w:rPr>
  </w:style>
  <w:style w:type="paragraph" w:customStyle="1" w:styleId="131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319">
    <w:name w:val="样式 样式 设计正文 + 首行缩进:  0.71 字符 + 首行缩进:  2 字符"/>
    <w:basedOn w:val="1"/>
    <w:autoRedefine/>
    <w:qFormat/>
    <w:uiPriority w:val="0"/>
    <w:pPr>
      <w:keepNext/>
      <w:widowControl/>
      <w:spacing w:line="360" w:lineRule="auto"/>
      <w:ind w:firstLine="560" w:firstLineChars="200"/>
      <w:jc w:val="left"/>
    </w:pPr>
    <w:rPr>
      <w:rFonts w:eastAsia="仿宋_GB2312"/>
      <w:bCs/>
      <w:kern w:val="0"/>
      <w:sz w:val="28"/>
      <w:szCs w:val="20"/>
    </w:rPr>
  </w:style>
  <w:style w:type="paragraph" w:customStyle="1" w:styleId="1320">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321">
    <w:name w:val="设计节"/>
    <w:basedOn w:val="1"/>
    <w:qFormat/>
    <w:uiPriority w:val="0"/>
    <w:pPr>
      <w:keepNext/>
      <w:keepLines/>
      <w:widowControl/>
      <w:snapToGrid w:val="0"/>
      <w:spacing w:beforeLines="20" w:line="720" w:lineRule="auto"/>
      <w:ind w:firstLine="200" w:firstLineChars="200"/>
      <w:jc w:val="left"/>
      <w:outlineLvl w:val="1"/>
    </w:pPr>
    <w:rPr>
      <w:rFonts w:ascii="仿宋_GB2312" w:eastAsia="仿宋_GB2312"/>
      <w:b/>
      <w:kern w:val="0"/>
      <w:sz w:val="28"/>
      <w:szCs w:val="20"/>
    </w:rPr>
  </w:style>
  <w:style w:type="paragraph" w:customStyle="1" w:styleId="1322">
    <w:name w:val="正文缩"/>
    <w:basedOn w:val="1"/>
    <w:autoRedefine/>
    <w:qFormat/>
    <w:uiPriority w:val="0"/>
    <w:pPr>
      <w:widowControl/>
      <w:adjustRightInd w:val="0"/>
      <w:spacing w:line="480" w:lineRule="atLeast"/>
      <w:ind w:firstLine="567"/>
      <w:jc w:val="left"/>
    </w:pPr>
    <w:rPr>
      <w:rFonts w:ascii="宋体"/>
      <w:spacing w:val="6"/>
      <w:kern w:val="0"/>
      <w:sz w:val="28"/>
      <w:szCs w:val="20"/>
    </w:rPr>
  </w:style>
  <w:style w:type="paragraph" w:customStyle="1" w:styleId="1323">
    <w:name w:val="小标题"/>
    <w:basedOn w:val="1"/>
    <w:autoRedefine/>
    <w:qFormat/>
    <w:uiPriority w:val="0"/>
    <w:pPr>
      <w:widowControl/>
      <w:ind w:firstLine="200" w:firstLineChars="200"/>
      <w:jc w:val="left"/>
      <w:outlineLvl w:val="1"/>
    </w:pPr>
    <w:rPr>
      <w:rFonts w:ascii="黑体" w:hAnsi="宋体" w:eastAsia="黑体"/>
      <w:b/>
      <w:kern w:val="0"/>
      <w:sz w:val="28"/>
      <w:szCs w:val="28"/>
    </w:rPr>
  </w:style>
  <w:style w:type="paragraph" w:customStyle="1" w:styleId="1324">
    <w:name w:val="简单回函地址"/>
    <w:basedOn w:val="1"/>
    <w:qFormat/>
    <w:uiPriority w:val="0"/>
    <w:pPr>
      <w:widowControl/>
      <w:jc w:val="left"/>
    </w:pPr>
    <w:rPr>
      <w:kern w:val="0"/>
      <w:sz w:val="24"/>
    </w:rPr>
  </w:style>
  <w:style w:type="paragraph" w:customStyle="1" w:styleId="1325">
    <w:name w:val="Char Char Char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1326">
    <w:name w:val="图的标题"/>
    <w:basedOn w:val="1"/>
    <w:qFormat/>
    <w:uiPriority w:val="0"/>
    <w:pPr>
      <w:widowControl/>
      <w:jc w:val="center"/>
    </w:pPr>
    <w:rPr>
      <w:rFonts w:eastAsia="仿宋_GB2312"/>
      <w:kern w:val="0"/>
      <w:sz w:val="18"/>
    </w:rPr>
  </w:style>
  <w:style w:type="paragraph" w:customStyle="1" w:styleId="1327">
    <w:name w:val="正文k"/>
    <w:basedOn w:val="1"/>
    <w:autoRedefine/>
    <w:qFormat/>
    <w:uiPriority w:val="0"/>
    <w:pPr>
      <w:keepNext/>
      <w:keepLines/>
      <w:widowControl/>
      <w:adjustRightInd w:val="0"/>
      <w:spacing w:line="500" w:lineRule="exact"/>
      <w:ind w:firstLine="200" w:firstLineChars="200"/>
      <w:jc w:val="left"/>
    </w:pPr>
    <w:rPr>
      <w:rFonts w:ascii="宋体" w:hAnsi="宋体" w:cs="宋体"/>
      <w:b/>
      <w:bCs/>
      <w:kern w:val="0"/>
      <w:sz w:val="24"/>
    </w:rPr>
  </w:style>
  <w:style w:type="paragraph" w:customStyle="1" w:styleId="1328">
    <w:name w:val="Char7 Char Char Char"/>
    <w:basedOn w:val="1"/>
    <w:autoRedefine/>
    <w:qFormat/>
    <w:uiPriority w:val="0"/>
    <w:pPr>
      <w:widowControl/>
      <w:adjustRightInd w:val="0"/>
      <w:spacing w:line="360" w:lineRule="auto"/>
      <w:jc w:val="left"/>
    </w:pPr>
    <w:rPr>
      <w:kern w:val="0"/>
      <w:sz w:val="24"/>
      <w:szCs w:val="20"/>
    </w:rPr>
  </w:style>
  <w:style w:type="paragraph" w:customStyle="1" w:styleId="1329">
    <w:name w:val="Plain Text1"/>
    <w:basedOn w:val="1"/>
    <w:qFormat/>
    <w:uiPriority w:val="0"/>
    <w:pPr>
      <w:widowControl/>
      <w:tabs>
        <w:tab w:val="left" w:pos="1845"/>
      </w:tabs>
      <w:spacing w:line="240" w:lineRule="exact"/>
      <w:jc w:val="center"/>
    </w:pPr>
    <w:rPr>
      <w:kern w:val="0"/>
      <w:sz w:val="18"/>
    </w:rPr>
  </w:style>
  <w:style w:type="paragraph" w:customStyle="1" w:styleId="1330">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000000"/>
      <w:kern w:val="0"/>
      <w:sz w:val="24"/>
    </w:rPr>
  </w:style>
  <w:style w:type="paragraph" w:customStyle="1" w:styleId="1331">
    <w:name w:val="中文报告书样式"/>
    <w:basedOn w:val="1"/>
    <w:autoRedefine/>
    <w:qFormat/>
    <w:uiPriority w:val="0"/>
    <w:pPr>
      <w:widowControl/>
      <w:adjustRightInd w:val="0"/>
      <w:spacing w:line="360" w:lineRule="auto"/>
      <w:ind w:firstLine="482"/>
      <w:jc w:val="left"/>
    </w:pPr>
    <w:rPr>
      <w:kern w:val="24"/>
      <w:sz w:val="24"/>
      <w:szCs w:val="20"/>
    </w:rPr>
  </w:style>
  <w:style w:type="paragraph" w:customStyle="1" w:styleId="1332">
    <w:name w:val="PP 行"/>
    <w:basedOn w:val="52"/>
    <w:autoRedefine/>
    <w:qFormat/>
    <w:uiPriority w:val="0"/>
    <w:rPr>
      <w:szCs w:val="20"/>
    </w:rPr>
  </w:style>
  <w:style w:type="paragraph" w:customStyle="1" w:styleId="1333">
    <w:name w:val="投标一)"/>
    <w:basedOn w:val="1"/>
    <w:autoRedefine/>
    <w:qFormat/>
    <w:uiPriority w:val="0"/>
    <w:pPr>
      <w:keepNext/>
      <w:widowControl/>
      <w:ind w:firstLine="200" w:firstLineChars="200"/>
      <w:jc w:val="left"/>
    </w:pPr>
    <w:rPr>
      <w:rFonts w:eastAsia="仿宋_GB2312"/>
      <w:kern w:val="0"/>
      <w:sz w:val="28"/>
      <w:szCs w:val="20"/>
    </w:rPr>
  </w:style>
  <w:style w:type="paragraph" w:customStyle="1" w:styleId="1334">
    <w:name w:val="表格文字5"/>
    <w:basedOn w:val="1"/>
    <w:autoRedefine/>
    <w:qFormat/>
    <w:uiPriority w:val="0"/>
    <w:pPr>
      <w:widowControl/>
      <w:suppressLineNumbers/>
      <w:autoSpaceDE w:val="0"/>
      <w:autoSpaceDN w:val="0"/>
      <w:adjustRightInd w:val="0"/>
      <w:spacing w:before="40" w:after="40"/>
      <w:ind w:firstLine="510"/>
      <w:jc w:val="center"/>
      <w:outlineLvl w:val="0"/>
    </w:pPr>
    <w:rPr>
      <w:rFonts w:ascii="宋体"/>
      <w:kern w:val="0"/>
      <w:sz w:val="24"/>
      <w:szCs w:val="20"/>
    </w:rPr>
  </w:style>
  <w:style w:type="paragraph" w:customStyle="1" w:styleId="1335">
    <w:name w:val="样式 五号 居中"/>
    <w:basedOn w:val="1"/>
    <w:autoRedefine/>
    <w:semiHidden/>
    <w:qFormat/>
    <w:uiPriority w:val="0"/>
    <w:pPr>
      <w:widowControl/>
      <w:spacing w:line="360" w:lineRule="auto"/>
      <w:ind w:firstLine="200" w:firstLineChars="200"/>
      <w:jc w:val="center"/>
    </w:pPr>
    <w:rPr>
      <w:rFonts w:eastAsia="仿宋_GB2312" w:cs="宋体"/>
      <w:b/>
      <w:kern w:val="0"/>
      <w:sz w:val="24"/>
      <w:szCs w:val="20"/>
    </w:rPr>
  </w:style>
  <w:style w:type="paragraph" w:customStyle="1" w:styleId="1336">
    <w:name w:val="MTDisplayEquation"/>
    <w:basedOn w:val="1"/>
    <w:autoRedefine/>
    <w:qFormat/>
    <w:uiPriority w:val="0"/>
    <w:pPr>
      <w:widowControl/>
      <w:tabs>
        <w:tab w:val="center" w:pos="4520"/>
        <w:tab w:val="right" w:pos="9020"/>
      </w:tabs>
      <w:adjustRightInd w:val="0"/>
      <w:snapToGrid w:val="0"/>
      <w:spacing w:line="360" w:lineRule="auto"/>
      <w:ind w:firstLine="562" w:firstLineChars="200"/>
      <w:jc w:val="left"/>
    </w:pPr>
    <w:rPr>
      <w:rFonts w:ascii="仿宋_GB2312" w:hAnsi="宋体" w:eastAsia="仿宋_GB2312" w:cs="宋体"/>
      <w:b/>
      <w:kern w:val="0"/>
      <w:sz w:val="28"/>
      <w:szCs w:val="28"/>
    </w:rPr>
  </w:style>
  <w:style w:type="paragraph" w:customStyle="1" w:styleId="1337">
    <w:name w:val="Char23"/>
    <w:basedOn w:val="1"/>
    <w:autoRedefine/>
    <w:qFormat/>
    <w:uiPriority w:val="0"/>
    <w:pPr>
      <w:widowControl/>
      <w:spacing w:line="529" w:lineRule="exact"/>
      <w:ind w:firstLine="200" w:firstLineChars="200"/>
      <w:jc w:val="left"/>
    </w:pPr>
    <w:rPr>
      <w:rFonts w:ascii="宋体" w:hAnsi="宋体" w:cs="宋体"/>
      <w:kern w:val="0"/>
      <w:sz w:val="24"/>
    </w:rPr>
  </w:style>
  <w:style w:type="paragraph" w:customStyle="1" w:styleId="1338">
    <w:name w:val="二标题"/>
    <w:basedOn w:val="1"/>
    <w:autoRedefine/>
    <w:qFormat/>
    <w:uiPriority w:val="0"/>
    <w:pPr>
      <w:keepNext/>
      <w:keepLines/>
      <w:widowControl/>
      <w:tabs>
        <w:tab w:val="left" w:pos="1275"/>
      </w:tabs>
      <w:spacing w:before="260" w:after="260" w:line="416" w:lineRule="auto"/>
      <w:ind w:left="1275" w:hanging="1275"/>
      <w:jc w:val="center"/>
      <w:outlineLvl w:val="2"/>
    </w:pPr>
    <w:rPr>
      <w:rFonts w:ascii="宋体" w:hAnsi="宋体"/>
      <w:kern w:val="0"/>
      <w:sz w:val="32"/>
      <w:szCs w:val="32"/>
    </w:rPr>
  </w:style>
  <w:style w:type="paragraph" w:customStyle="1" w:styleId="1339">
    <w:name w:val="设计（一）"/>
    <w:basedOn w:val="109"/>
    <w:qFormat/>
    <w:uiPriority w:val="0"/>
    <w:pPr>
      <w:keepNext/>
      <w:widowControl/>
      <w:spacing w:afterLines="20" w:line="240" w:lineRule="auto"/>
      <w:ind w:firstLine="560" w:firstLineChars="200"/>
      <w:jc w:val="left"/>
    </w:pPr>
    <w:rPr>
      <w:rFonts w:eastAsia="仿宋_GB2312"/>
      <w:b/>
      <w:kern w:val="0"/>
      <w:sz w:val="28"/>
      <w:szCs w:val="24"/>
    </w:rPr>
  </w:style>
  <w:style w:type="paragraph" w:customStyle="1" w:styleId="1340">
    <w:name w:val="报告正文（首行缩进两字）"/>
    <w:basedOn w:val="21"/>
    <w:autoRedefine/>
    <w:qFormat/>
    <w:uiPriority w:val="0"/>
    <w:pPr>
      <w:widowControl/>
      <w:tabs>
        <w:tab w:val="left" w:pos="5943"/>
      </w:tabs>
      <w:ind w:firstLine="487"/>
      <w:jc w:val="left"/>
    </w:pPr>
    <w:rPr>
      <w:rFonts w:hint="eastAsia" w:ascii="宋体" w:hAnsi="宋体"/>
      <w:kern w:val="0"/>
      <w:sz w:val="24"/>
    </w:rPr>
  </w:style>
  <w:style w:type="paragraph" w:customStyle="1" w:styleId="1341">
    <w:name w:val="表后空行"/>
    <w:basedOn w:val="1"/>
    <w:autoRedefine/>
    <w:qFormat/>
    <w:uiPriority w:val="0"/>
    <w:pPr>
      <w:widowControl/>
      <w:overflowPunct w:val="0"/>
      <w:adjustRightInd w:val="0"/>
      <w:jc w:val="left"/>
    </w:pPr>
    <w:rPr>
      <w:kern w:val="28"/>
      <w:sz w:val="10"/>
      <w:szCs w:val="20"/>
    </w:rPr>
  </w:style>
  <w:style w:type="paragraph" w:customStyle="1" w:styleId="1342">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1343">
    <w:name w:val="Char Char Char Char Char Char Char2"/>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344">
    <w:name w:val="二期三级样式"/>
    <w:basedOn w:val="1"/>
    <w:qFormat/>
    <w:uiPriority w:val="0"/>
    <w:pPr>
      <w:widowControl/>
      <w:tabs>
        <w:tab w:val="left" w:pos="1815"/>
      </w:tabs>
      <w:ind w:left="1815" w:hanging="420"/>
      <w:jc w:val="left"/>
    </w:pPr>
    <w:rPr>
      <w:kern w:val="0"/>
      <w:sz w:val="24"/>
    </w:rPr>
  </w:style>
  <w:style w:type="paragraph" w:customStyle="1" w:styleId="1345">
    <w:name w:val="Char1 Char Char Char4"/>
    <w:basedOn w:val="1"/>
    <w:qFormat/>
    <w:uiPriority w:val="0"/>
    <w:pPr>
      <w:widowControl/>
      <w:spacing w:line="360" w:lineRule="auto"/>
      <w:ind w:firstLine="200" w:firstLineChars="200"/>
      <w:jc w:val="left"/>
    </w:pPr>
    <w:rPr>
      <w:rFonts w:ascii="宋体" w:hAnsi="宋体" w:cs="宋体"/>
      <w:kern w:val="0"/>
      <w:sz w:val="24"/>
    </w:rPr>
  </w:style>
  <w:style w:type="paragraph" w:customStyle="1" w:styleId="1346">
    <w:name w:val="正文k Char Char Char"/>
    <w:basedOn w:val="1"/>
    <w:qFormat/>
    <w:uiPriority w:val="0"/>
    <w:pPr>
      <w:keepNext/>
      <w:keepLines/>
      <w:widowControl/>
      <w:adjustRightInd w:val="0"/>
      <w:spacing w:line="500" w:lineRule="exact"/>
      <w:ind w:firstLine="200" w:firstLineChars="200"/>
      <w:jc w:val="left"/>
    </w:pPr>
    <w:rPr>
      <w:rFonts w:ascii="宋体" w:hAnsi="宋体" w:cs="宋体"/>
      <w:b/>
      <w:bCs/>
      <w:kern w:val="0"/>
      <w:sz w:val="24"/>
      <w:szCs w:val="28"/>
    </w:rPr>
  </w:style>
  <w:style w:type="paragraph" w:customStyle="1" w:styleId="1347">
    <w:name w:val="Char Char Char Char Char Char Char4"/>
    <w:basedOn w:val="1"/>
    <w:autoRedefine/>
    <w:qFormat/>
    <w:uiPriority w:val="0"/>
    <w:pPr>
      <w:widowControl/>
      <w:jc w:val="left"/>
    </w:pPr>
    <w:rPr>
      <w:rFonts w:ascii="Tahoma" w:hAnsi="Tahoma"/>
      <w:kern w:val="0"/>
      <w:sz w:val="24"/>
      <w:szCs w:val="20"/>
    </w:rPr>
  </w:style>
  <w:style w:type="paragraph" w:customStyle="1" w:styleId="1348">
    <w:name w:val="Body"/>
    <w:autoRedefine/>
    <w:qFormat/>
    <w:uiPriority w:val="0"/>
    <w:pPr>
      <w:spacing w:after="120"/>
      <w:ind w:left="1418"/>
    </w:pPr>
    <w:rPr>
      <w:rFonts w:ascii="Arial" w:hAnsi="Arial" w:eastAsia="宋体" w:cs="Times New Roman"/>
      <w:sz w:val="22"/>
      <w:szCs w:val="22"/>
      <w:lang w:val="en-US" w:eastAsia="en-US" w:bidi="ar-SA"/>
    </w:rPr>
  </w:style>
  <w:style w:type="paragraph" w:customStyle="1" w:styleId="1349">
    <w:name w:val="标题C"/>
    <w:basedOn w:val="1"/>
    <w:qFormat/>
    <w:uiPriority w:val="0"/>
    <w:pPr>
      <w:widowControl/>
      <w:snapToGrid w:val="0"/>
      <w:spacing w:before="240" w:after="240"/>
      <w:jc w:val="left"/>
      <w:outlineLvl w:val="2"/>
    </w:pPr>
    <w:rPr>
      <w:rFonts w:eastAsia="黑体"/>
      <w:b/>
      <w:kern w:val="0"/>
      <w:sz w:val="28"/>
    </w:rPr>
  </w:style>
  <w:style w:type="paragraph" w:customStyle="1" w:styleId="1350">
    <w:name w:val="6 Char Char Char Char Char Char1 Char"/>
    <w:basedOn w:val="1"/>
    <w:autoRedefine/>
    <w:qFormat/>
    <w:uiPriority w:val="0"/>
    <w:pPr>
      <w:widowControl/>
      <w:jc w:val="left"/>
    </w:pPr>
    <w:rPr>
      <w:kern w:val="0"/>
      <w:sz w:val="24"/>
    </w:rPr>
  </w:style>
  <w:style w:type="paragraph" w:customStyle="1" w:styleId="1351">
    <w:name w:val="Char Char Char 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1352">
    <w:name w:val="样式 四号 首行缩进:  2 字符"/>
    <w:basedOn w:val="1"/>
    <w:autoRedefine/>
    <w:qFormat/>
    <w:uiPriority w:val="0"/>
    <w:pPr>
      <w:widowControl/>
      <w:spacing w:line="480" w:lineRule="atLeast"/>
      <w:ind w:firstLine="200" w:firstLineChars="200"/>
      <w:jc w:val="left"/>
    </w:pPr>
    <w:rPr>
      <w:kern w:val="0"/>
      <w:sz w:val="24"/>
      <w:szCs w:val="20"/>
    </w:rPr>
  </w:style>
  <w:style w:type="paragraph" w:customStyle="1" w:styleId="1353">
    <w:name w:val="02"/>
    <w:basedOn w:val="1"/>
    <w:autoRedefine/>
    <w:qFormat/>
    <w:uiPriority w:val="0"/>
    <w:pPr>
      <w:keepNext/>
      <w:keepLines/>
      <w:widowControl/>
      <w:spacing w:before="100" w:line="360" w:lineRule="auto"/>
      <w:jc w:val="left"/>
      <w:outlineLvl w:val="1"/>
    </w:pPr>
    <w:rPr>
      <w:rFonts w:ascii="黑体" w:hAnsi="黑体" w:eastAsia="黑体"/>
      <w:color w:val="333333"/>
      <w:kern w:val="0"/>
      <w:sz w:val="24"/>
      <w:szCs w:val="20"/>
    </w:rPr>
  </w:style>
  <w:style w:type="paragraph" w:customStyle="1" w:styleId="1354">
    <w:name w:val="WPS Plain"/>
    <w:autoRedefine/>
    <w:semiHidden/>
    <w:qFormat/>
    <w:uiPriority w:val="0"/>
    <w:rPr>
      <w:rFonts w:ascii="Times New Roman" w:hAnsi="Times New Roman" w:eastAsia="宋体" w:cs="Times New Roman"/>
      <w:sz w:val="24"/>
      <w:szCs w:val="24"/>
      <w:lang w:val="en-US" w:eastAsia="zh-CN" w:bidi="ar-SA"/>
    </w:rPr>
  </w:style>
  <w:style w:type="paragraph" w:customStyle="1" w:styleId="1355">
    <w:name w:val="xl82"/>
    <w:basedOn w:val="1"/>
    <w:qFormat/>
    <w:uiPriority w:val="0"/>
    <w:pPr>
      <w:widowControl/>
      <w:pBdr>
        <w:bottom w:val="single" w:color="auto" w:sz="8" w:space="0"/>
        <w:right w:val="single" w:color="auto" w:sz="8" w:space="0"/>
      </w:pBdr>
      <w:spacing w:before="100" w:beforeAutospacing="1" w:after="100" w:afterAutospacing="1"/>
      <w:jc w:val="left"/>
    </w:pPr>
    <w:rPr>
      <w:rFonts w:ascii="宋体" w:hAnsi="宋体" w:cs="宋体"/>
      <w:kern w:val="0"/>
      <w:sz w:val="24"/>
    </w:rPr>
  </w:style>
  <w:style w:type="paragraph" w:customStyle="1" w:styleId="1356">
    <w:name w:val="标题样式2"/>
    <w:basedOn w:val="4"/>
    <w:autoRedefine/>
    <w:qFormat/>
    <w:uiPriority w:val="0"/>
    <w:pPr>
      <w:keepNext w:val="0"/>
      <w:keepLines w:val="0"/>
      <w:widowControl/>
      <w:tabs>
        <w:tab w:val="left" w:pos="4142"/>
        <w:tab w:val="left" w:pos="6833"/>
        <w:tab w:val="left" w:pos="9030"/>
        <w:tab w:val="left" w:pos="9287"/>
      </w:tabs>
      <w:overflowPunct w:val="0"/>
      <w:topLinePunct/>
      <w:autoSpaceDE w:val="0"/>
      <w:autoSpaceDN w:val="0"/>
      <w:adjustRightInd w:val="0"/>
      <w:snapToGrid w:val="0"/>
      <w:spacing w:beforeLines="5" w:afterLines="5" w:line="360" w:lineRule="atLeast"/>
      <w:jc w:val="center"/>
      <w:outlineLvl w:val="9"/>
    </w:pPr>
    <w:rPr>
      <w:rFonts w:ascii="黑体" w:hAnsi="Times New Roman" w:eastAsia="宋体"/>
      <w:b w:val="0"/>
      <w:i/>
      <w:iCs/>
      <w:kern w:val="0"/>
      <w:sz w:val="24"/>
      <w:szCs w:val="20"/>
    </w:rPr>
  </w:style>
  <w:style w:type="paragraph" w:customStyle="1" w:styleId="1357">
    <w:name w:val="标题样式3"/>
    <w:basedOn w:val="5"/>
    <w:autoRedefine/>
    <w:qFormat/>
    <w:uiPriority w:val="0"/>
    <w:pPr>
      <w:keepLines w:val="0"/>
      <w:widowControl/>
      <w:spacing w:before="0" w:after="0" w:line="240" w:lineRule="auto"/>
      <w:jc w:val="left"/>
    </w:pPr>
    <w:rPr>
      <w:rFonts w:ascii="黑体" w:hAnsi="Cambria" w:eastAsia="黑体"/>
      <w:bCs w:val="0"/>
      <w:kern w:val="0"/>
      <w:sz w:val="24"/>
      <w:szCs w:val="24"/>
    </w:rPr>
  </w:style>
  <w:style w:type="paragraph" w:customStyle="1" w:styleId="1358">
    <w:name w:val="注解"/>
    <w:basedOn w:val="1"/>
    <w:autoRedefine/>
    <w:qFormat/>
    <w:uiPriority w:val="0"/>
    <w:pPr>
      <w:widowControl/>
      <w:topLinePunct/>
      <w:spacing w:after="120" w:line="240" w:lineRule="exact"/>
      <w:jc w:val="left"/>
    </w:pPr>
    <w:rPr>
      <w:rFonts w:ascii="Arial Narrow" w:hAnsi="Arial Narrow"/>
      <w:kern w:val="0"/>
      <w:sz w:val="24"/>
    </w:rPr>
  </w:style>
  <w:style w:type="paragraph" w:customStyle="1" w:styleId="1359">
    <w:name w:val="样式 样式 样式 标题4- + 段前: 0.5 行 + 段前: 0.5 行 + 段前: 0.5 行"/>
    <w:basedOn w:val="1208"/>
    <w:qFormat/>
    <w:uiPriority w:val="0"/>
    <w:pPr>
      <w:tabs>
        <w:tab w:val="left" w:pos="908"/>
        <w:tab w:val="clear" w:pos="1205"/>
        <w:tab w:val="clear" w:pos="2315"/>
      </w:tabs>
      <w:spacing w:beforeLines="0"/>
      <w:ind w:left="0" w:firstLine="0"/>
    </w:pPr>
    <w:rPr>
      <w:spacing w:val="0"/>
    </w:rPr>
  </w:style>
  <w:style w:type="paragraph" w:customStyle="1" w:styleId="1360">
    <w:name w:val="表格字"/>
    <w:basedOn w:val="1"/>
    <w:qFormat/>
    <w:uiPriority w:val="0"/>
    <w:pPr>
      <w:widowControl/>
      <w:spacing w:line="300" w:lineRule="atLeast"/>
      <w:jc w:val="center"/>
    </w:pPr>
    <w:rPr>
      <w:rFonts w:ascii="宋体" w:hAnsi="宋体"/>
      <w:kern w:val="0"/>
      <w:sz w:val="24"/>
    </w:rPr>
  </w:style>
  <w:style w:type="paragraph" w:customStyle="1" w:styleId="1361">
    <w:name w:val="样式 表头 + 首行缩进:  2 字符"/>
    <w:basedOn w:val="118"/>
    <w:qFormat/>
    <w:uiPriority w:val="0"/>
    <w:pPr>
      <w:widowControl/>
      <w:adjustRightInd/>
      <w:spacing w:before="120" w:after="120" w:line="400" w:lineRule="exact"/>
    </w:pPr>
    <w:rPr>
      <w:rFonts w:ascii="宋体" w:hAnsi="宋体" w:eastAsia="宋体" w:cs="宋体"/>
      <w:b/>
      <w:bCs/>
      <w:kern w:val="32"/>
    </w:rPr>
  </w:style>
  <w:style w:type="paragraph" w:customStyle="1" w:styleId="1362">
    <w:name w:val="e"/>
    <w:basedOn w:val="1"/>
    <w:autoRedefine/>
    <w:qFormat/>
    <w:uiPriority w:val="0"/>
    <w:pPr>
      <w:widowControl/>
      <w:jc w:val="left"/>
    </w:pPr>
    <w:rPr>
      <w:kern w:val="0"/>
      <w:sz w:val="24"/>
    </w:rPr>
  </w:style>
  <w:style w:type="paragraph" w:customStyle="1" w:styleId="1363">
    <w:name w:val="_Style 6"/>
    <w:basedOn w:val="1"/>
    <w:autoRedefine/>
    <w:qFormat/>
    <w:uiPriority w:val="0"/>
    <w:pPr>
      <w:widowControl/>
      <w:jc w:val="left"/>
    </w:pPr>
    <w:rPr>
      <w:kern w:val="0"/>
      <w:sz w:val="24"/>
      <w:szCs w:val="20"/>
    </w:rPr>
  </w:style>
  <w:style w:type="paragraph" w:customStyle="1" w:styleId="1364">
    <w:name w:val="03"/>
    <w:basedOn w:val="4"/>
    <w:qFormat/>
    <w:uiPriority w:val="0"/>
    <w:pPr>
      <w:keepLines w:val="0"/>
      <w:widowControl/>
      <w:spacing w:beforeLines="50" w:afterLines="50" w:line="240" w:lineRule="auto"/>
      <w:jc w:val="left"/>
      <w:outlineLvl w:val="0"/>
    </w:pPr>
    <w:rPr>
      <w:rFonts w:ascii="宋体" w:hAnsi="宋体" w:eastAsia="宋体"/>
      <w:bCs w:val="0"/>
      <w:i/>
      <w:iCs/>
      <w:kern w:val="0"/>
      <w:sz w:val="24"/>
      <w:szCs w:val="20"/>
    </w:rPr>
  </w:style>
  <w:style w:type="paragraph" w:customStyle="1" w:styleId="1365">
    <w:name w:val="样式 样式 样式4 四级 + 加粗 段前: 0.5 行 + 段前: 0.5 行"/>
    <w:basedOn w:val="1"/>
    <w:autoRedefine/>
    <w:qFormat/>
    <w:uiPriority w:val="0"/>
    <w:pPr>
      <w:keepNext/>
      <w:keepLines/>
      <w:widowControl/>
      <w:spacing w:beforeLines="50" w:line="360" w:lineRule="auto"/>
      <w:ind w:firstLine="200" w:firstLineChars="200"/>
      <w:jc w:val="left"/>
      <w:outlineLvl w:val="3"/>
    </w:pPr>
    <w:rPr>
      <w:rFonts w:ascii="Arial" w:hAnsi="Arial" w:cs="宋体"/>
      <w:bCs/>
      <w:kern w:val="0"/>
      <w:sz w:val="24"/>
    </w:rPr>
  </w:style>
  <w:style w:type="paragraph" w:customStyle="1" w:styleId="1366">
    <w:name w:val="TOC 标题11"/>
    <w:basedOn w:val="3"/>
    <w:autoRedefine/>
    <w:qFormat/>
    <w:uiPriority w:val="39"/>
    <w:pPr>
      <w:keepLines w:val="0"/>
      <w:widowControl/>
      <w:topLinePunct/>
      <w:spacing w:before="480" w:after="0" w:line="529" w:lineRule="exact"/>
      <w:ind w:firstLine="200" w:firstLineChars="200"/>
      <w:jc w:val="left"/>
      <w:outlineLvl w:val="9"/>
    </w:pPr>
    <w:rPr>
      <w:rFonts w:ascii="Cambria" w:hAnsi="Cambria"/>
      <w:color w:val="365F91"/>
      <w:kern w:val="2"/>
      <w:sz w:val="28"/>
      <w:szCs w:val="28"/>
    </w:rPr>
  </w:style>
  <w:style w:type="paragraph" w:customStyle="1" w:styleId="1367">
    <w:name w:val="Char152"/>
    <w:basedOn w:val="1"/>
    <w:qFormat/>
    <w:uiPriority w:val="0"/>
    <w:pPr>
      <w:widowControl/>
      <w:spacing w:line="560" w:lineRule="exact"/>
      <w:ind w:firstLine="200" w:firstLineChars="200"/>
      <w:jc w:val="left"/>
    </w:pPr>
    <w:rPr>
      <w:rFonts w:ascii="宋体" w:hAnsi="宋体" w:cs="宋体"/>
      <w:kern w:val="0"/>
      <w:sz w:val="24"/>
    </w:rPr>
  </w:style>
  <w:style w:type="paragraph" w:customStyle="1" w:styleId="1368">
    <w:name w:val="大纲"/>
    <w:basedOn w:val="1"/>
    <w:autoRedefine/>
    <w:qFormat/>
    <w:uiPriority w:val="0"/>
    <w:pPr>
      <w:widowControl/>
      <w:spacing w:line="529" w:lineRule="exact"/>
      <w:ind w:firstLine="197" w:firstLineChars="41"/>
      <w:jc w:val="center"/>
    </w:pPr>
    <w:rPr>
      <w:rFonts w:ascii="仿宋_GB2312" w:eastAsia="仿宋_GB2312" w:cs="宋体"/>
      <w:kern w:val="0"/>
      <w:sz w:val="48"/>
      <w:szCs w:val="20"/>
    </w:rPr>
  </w:style>
  <w:style w:type="paragraph" w:customStyle="1" w:styleId="1369">
    <w:name w:val="表格文字左"/>
    <w:basedOn w:val="1"/>
    <w:autoRedefine/>
    <w:qFormat/>
    <w:uiPriority w:val="0"/>
    <w:pPr>
      <w:widowControl/>
      <w:adjustRightInd w:val="0"/>
      <w:snapToGrid w:val="0"/>
      <w:jc w:val="left"/>
    </w:pPr>
    <w:rPr>
      <w:rFonts w:ascii="Arial" w:hAnsi="Arial"/>
      <w:spacing w:val="6"/>
      <w:kern w:val="0"/>
      <w:sz w:val="24"/>
      <w:szCs w:val="26"/>
      <w:lang w:eastAsia="zh-TW"/>
    </w:rPr>
  </w:style>
  <w:style w:type="paragraph" w:customStyle="1" w:styleId="1370">
    <w:name w:val="样式 首行缩进 + 首行缩进:  2 字符"/>
    <w:basedOn w:val="1"/>
    <w:autoRedefine/>
    <w:qFormat/>
    <w:uiPriority w:val="0"/>
    <w:pPr>
      <w:widowControl/>
      <w:spacing w:line="529" w:lineRule="exact"/>
      <w:ind w:firstLine="200" w:firstLineChars="200"/>
      <w:jc w:val="left"/>
    </w:pPr>
    <w:rPr>
      <w:rFonts w:ascii="宋体" w:hAnsi="Times" w:cs="宋体"/>
      <w:kern w:val="44"/>
      <w:sz w:val="24"/>
      <w:szCs w:val="20"/>
    </w:rPr>
  </w:style>
  <w:style w:type="paragraph" w:customStyle="1" w:styleId="1371">
    <w:name w:val="默认段落字体 Para Char Char Char Char Char Char Char Char Char Char"/>
    <w:basedOn w:val="5"/>
    <w:autoRedefine/>
    <w:qFormat/>
    <w:uiPriority w:val="0"/>
    <w:pPr>
      <w:keepLines w:val="0"/>
      <w:widowControl/>
      <w:tabs>
        <w:tab w:val="left" w:pos="360"/>
        <w:tab w:val="left" w:pos="900"/>
      </w:tabs>
      <w:snapToGrid w:val="0"/>
      <w:spacing w:before="120" w:after="120" w:line="240" w:lineRule="auto"/>
      <w:ind w:left="542" w:leftChars="-12" w:firstLine="200" w:firstLineChars="200"/>
      <w:jc w:val="left"/>
    </w:pPr>
    <w:rPr>
      <w:rFonts w:ascii="宋体" w:hAnsi="Cambria"/>
      <w:bCs w:val="0"/>
      <w:spacing w:val="5"/>
      <w:kern w:val="0"/>
      <w:sz w:val="26"/>
      <w:szCs w:val="20"/>
    </w:rPr>
  </w:style>
  <w:style w:type="paragraph" w:customStyle="1" w:styleId="1372">
    <w:name w:val="正文段落"/>
    <w:basedOn w:val="1"/>
    <w:autoRedefine/>
    <w:qFormat/>
    <w:uiPriority w:val="0"/>
    <w:pPr>
      <w:widowControl/>
      <w:topLinePunct/>
      <w:autoSpaceDN w:val="0"/>
      <w:adjustRightInd w:val="0"/>
      <w:spacing w:line="500" w:lineRule="exact"/>
      <w:ind w:right="210" w:rightChars="100" w:firstLine="480" w:firstLineChars="200"/>
      <w:jc w:val="left"/>
    </w:pPr>
    <w:rPr>
      <w:rFonts w:ascii="宋体" w:hAnsi="宋体" w:eastAsia="汉鼎简书宋"/>
      <w:kern w:val="0"/>
      <w:sz w:val="24"/>
    </w:rPr>
  </w:style>
  <w:style w:type="paragraph" w:customStyle="1" w:styleId="1373">
    <w:name w:val="font11"/>
    <w:basedOn w:val="1"/>
    <w:autoRedefine/>
    <w:qFormat/>
    <w:uiPriority w:val="0"/>
    <w:pPr>
      <w:widowControl/>
      <w:spacing w:before="100" w:beforeAutospacing="1" w:after="100" w:afterAutospacing="1"/>
      <w:jc w:val="left"/>
    </w:pPr>
    <w:rPr>
      <w:rFonts w:ascii="Arial Narrow" w:hAnsi="Arial Narrow" w:cs="宋体"/>
      <w:kern w:val="0"/>
      <w:sz w:val="20"/>
      <w:szCs w:val="20"/>
    </w:rPr>
  </w:style>
  <w:style w:type="paragraph" w:customStyle="1" w:styleId="1374">
    <w:name w:val="xl2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75">
    <w:name w:val="样式 标题 3 + 首行缩进:  0.35 厘米2"/>
    <w:basedOn w:val="5"/>
    <w:autoRedefine/>
    <w:qFormat/>
    <w:uiPriority w:val="0"/>
    <w:pPr>
      <w:keepLines w:val="0"/>
      <w:widowControl/>
      <w:tabs>
        <w:tab w:val="left" w:pos="1080"/>
      </w:tabs>
      <w:snapToGrid w:val="0"/>
      <w:spacing w:before="120" w:after="0" w:line="440" w:lineRule="atLeast"/>
      <w:ind w:firstLine="480" w:firstLineChars="200"/>
      <w:jc w:val="left"/>
    </w:pPr>
    <w:rPr>
      <w:rFonts w:ascii="黑体" w:hAnsi="Cambria" w:eastAsia="黑体" w:cs="宋体"/>
      <w:kern w:val="0"/>
      <w:sz w:val="24"/>
      <w:szCs w:val="24"/>
    </w:rPr>
  </w:style>
  <w:style w:type="paragraph" w:customStyle="1" w:styleId="1376">
    <w:name w:val="样式 表文字 + 宋体"/>
    <w:basedOn w:val="184"/>
    <w:autoRedefine/>
    <w:qFormat/>
    <w:uiPriority w:val="0"/>
    <w:pPr>
      <w:widowControl/>
      <w:topLinePunct/>
      <w:adjustRightInd w:val="0"/>
    </w:pPr>
    <w:rPr>
      <w:rFonts w:ascii="宋体" w:hAnsi="宋体" w:cs="宋体"/>
      <w:kern w:val="0"/>
      <w:sz w:val="21"/>
      <w:szCs w:val="20"/>
    </w:rPr>
  </w:style>
  <w:style w:type="paragraph" w:customStyle="1" w:styleId="1377">
    <w:name w:val="pic-info"/>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78">
    <w:name w:val="xl77"/>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222222"/>
      <w:kern w:val="0"/>
      <w:sz w:val="24"/>
    </w:rPr>
  </w:style>
  <w:style w:type="paragraph" w:customStyle="1" w:styleId="1379">
    <w:name w:val="Char Char Char1 Char1"/>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380">
    <w:name w:val="标题样式1"/>
    <w:basedOn w:val="3"/>
    <w:autoRedefine/>
    <w:qFormat/>
    <w:uiPriority w:val="0"/>
    <w:pPr>
      <w:keepLines w:val="0"/>
      <w:widowControl/>
      <w:adjustRightInd w:val="0"/>
      <w:spacing w:before="0" w:after="0" w:line="360" w:lineRule="auto"/>
      <w:jc w:val="left"/>
    </w:pPr>
    <w:rPr>
      <w:rFonts w:ascii="黑体" w:hAnsi="Cambria" w:eastAsia="黑体"/>
      <w:bCs w:val="0"/>
      <w:kern w:val="32"/>
      <w:sz w:val="24"/>
      <w:szCs w:val="20"/>
    </w:rPr>
  </w:style>
  <w:style w:type="paragraph" w:customStyle="1" w:styleId="1381">
    <w:name w:val="样式 样式 目录 3 + 首行缩进:  2 字符 + 首行缩进:  6 字符"/>
    <w:basedOn w:val="944"/>
    <w:autoRedefine/>
    <w:qFormat/>
    <w:uiPriority w:val="0"/>
    <w:pPr>
      <w:tabs>
        <w:tab w:val="left" w:pos="2169"/>
      </w:tabs>
      <w:ind w:firstLine="1324"/>
    </w:pPr>
  </w:style>
  <w:style w:type="paragraph" w:customStyle="1" w:styleId="1382">
    <w:name w:val="Char Char Char Char2"/>
    <w:basedOn w:val="1"/>
    <w:autoRedefine/>
    <w:qFormat/>
    <w:uiPriority w:val="0"/>
    <w:pPr>
      <w:widowControl/>
      <w:spacing w:line="360" w:lineRule="auto"/>
      <w:ind w:firstLine="200" w:firstLineChars="200"/>
      <w:jc w:val="left"/>
    </w:pPr>
    <w:rPr>
      <w:rFonts w:ascii="宋体" w:hAnsi="宋体" w:cs="宋体"/>
      <w:kern w:val="0"/>
      <w:sz w:val="24"/>
    </w:rPr>
  </w:style>
  <w:style w:type="paragraph" w:customStyle="1" w:styleId="1383">
    <w:name w:val="宁扬"/>
    <w:basedOn w:val="1"/>
    <w:autoRedefine/>
    <w:qFormat/>
    <w:uiPriority w:val="0"/>
    <w:pPr>
      <w:widowControl/>
      <w:spacing w:line="500" w:lineRule="exact"/>
      <w:ind w:firstLine="200" w:firstLineChars="200"/>
      <w:jc w:val="left"/>
    </w:pPr>
    <w:rPr>
      <w:rFonts w:ascii="仿宋_GB2312" w:eastAsia="仿宋_GB2312"/>
      <w:kern w:val="0"/>
      <w:sz w:val="28"/>
    </w:rPr>
  </w:style>
  <w:style w:type="table" w:customStyle="1" w:styleId="1384">
    <w:name w:val="三线表3"/>
    <w:basedOn w:val="7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5">
    <w:name w:val="三线表4"/>
    <w:basedOn w:val="7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6">
    <w:name w:val="表格样式"/>
    <w:basedOn w:val="75"/>
    <w:autoRedefine/>
    <w:semiHidden/>
    <w:qFormat/>
    <w:uiPriority w:val="0"/>
    <w:pPr>
      <w:snapToGrid w:val="0"/>
      <w:jc w:val="center"/>
    </w:pPr>
    <w:rPr>
      <w:rFonts w:eastAsia="仿宋_GB2312"/>
      <w:szCs w:val="21"/>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
    <w:trPr>
      <w:jc w:val="center"/>
    </w:trPr>
    <w:tcPr>
      <w:vAlign w:val="center"/>
    </w:tcPr>
  </w:style>
  <w:style w:type="table" w:customStyle="1" w:styleId="1387">
    <w:name w:val="环评表格"/>
    <w:basedOn w:val="75"/>
    <w:autoRedefine/>
    <w:qFormat/>
    <w:uiPriority w:val="0"/>
    <w:pPr>
      <w:adjustRightInd w:val="0"/>
      <w:snapToGrid w:val="0"/>
      <w:spacing w:line="240" w:lineRule="exact"/>
      <w:jc w:val="center"/>
    </w:pPr>
    <w:rPr>
      <w:rFonts w:eastAsia="汉鼎简书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
    <w:tcPr>
      <w:vAlign w:val="center"/>
    </w:tcPr>
  </w:style>
  <w:style w:type="table" w:customStyle="1" w:styleId="1388">
    <w:name w:val="三线表1"/>
    <w:basedOn w:val="7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89">
    <w:name w:val="三线表2"/>
    <w:basedOn w:val="7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0">
    <w:name w:val="网格型2"/>
    <w:basedOn w:val="75"/>
    <w:autoRedefine/>
    <w:qFormat/>
    <w:uiPriority w:val="0"/>
    <w:pPr>
      <w:widowControl w:val="0"/>
      <w:adjustRightInd w:val="0"/>
      <w:spacing w:line="529" w:lineRule="exact"/>
      <w:ind w:firstLine="48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391">
    <w:name w:val="网格型1"/>
    <w:basedOn w:val="75"/>
    <w:autoRedefine/>
    <w:qFormat/>
    <w:uiPriority w:val="0"/>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92">
    <w:name w:val="样式13"/>
    <w:basedOn w:val="1183"/>
    <w:link w:val="1393"/>
    <w:autoRedefine/>
    <w:qFormat/>
    <w:uiPriority w:val="0"/>
    <w:pPr>
      <w:widowControl w:val="0"/>
      <w:pBdr>
        <w:bottom w:val="thickThinSmallGap" w:color="auto" w:sz="12" w:space="1"/>
      </w:pBdr>
      <w:snapToGrid w:val="0"/>
      <w:spacing w:line="240" w:lineRule="auto"/>
      <w:ind w:firstLine="0" w:firstLineChars="0"/>
    </w:pPr>
    <w:rPr>
      <w:rFonts w:ascii="华文中宋" w:hAnsi="华文中宋" w:eastAsia="华文中宋" w:cs="Times New Roman"/>
      <w:b/>
      <w:kern w:val="2"/>
      <w:sz w:val="18"/>
      <w:szCs w:val="18"/>
    </w:rPr>
  </w:style>
  <w:style w:type="character" w:customStyle="1" w:styleId="1393">
    <w:name w:val="样式13 Char"/>
    <w:link w:val="1392"/>
    <w:autoRedefine/>
    <w:qFormat/>
    <w:uiPriority w:val="0"/>
    <w:rPr>
      <w:rFonts w:ascii="华文中宋" w:hAnsi="华文中宋" w:eastAsia="华文中宋"/>
      <w:b/>
      <w:kern w:val="2"/>
      <w:sz w:val="18"/>
      <w:szCs w:val="18"/>
    </w:rPr>
  </w:style>
  <w:style w:type="paragraph" w:customStyle="1" w:styleId="1394">
    <w:name w:val="已访问的超级链接"/>
    <w:autoRedefine/>
    <w:qFormat/>
    <w:uiPriority w:val="0"/>
    <w:rPr>
      <w:rFonts w:ascii="Times New Roman" w:hAnsi="Times New Roman" w:eastAsia="宋体" w:cs="Times New Roman"/>
      <w:sz w:val="24"/>
      <w:szCs w:val="24"/>
      <w:lang w:val="en-US" w:eastAsia="zh-CN" w:bidi="ar-SA"/>
    </w:rPr>
  </w:style>
  <w:style w:type="table" w:customStyle="1" w:styleId="1395">
    <w:name w:val="三线表5"/>
    <w:basedOn w:val="75"/>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396">
    <w:name w:val="hb1 Char"/>
    <w:autoRedefine/>
    <w:qFormat/>
    <w:uiPriority w:val="0"/>
    <w:rPr>
      <w:rFonts w:ascii="Arial Narrow" w:hAnsi="Arial Narrow" w:eastAsia="宋体" w:cs="黑体"/>
      <w:b/>
      <w:bCs/>
      <w:kern w:val="44"/>
      <w:sz w:val="32"/>
      <w:szCs w:val="32"/>
    </w:rPr>
  </w:style>
  <w:style w:type="character" w:customStyle="1" w:styleId="1397">
    <w:name w:val="hb2 Char"/>
    <w:link w:val="916"/>
    <w:autoRedefine/>
    <w:qFormat/>
    <w:uiPriority w:val="0"/>
    <w:rPr>
      <w:rFonts w:ascii="Cambria" w:hAnsi="Cambria"/>
      <w:b/>
      <w:bCs/>
      <w:i/>
      <w:iCs/>
      <w:sz w:val="24"/>
      <w:szCs w:val="24"/>
    </w:rPr>
  </w:style>
  <w:style w:type="paragraph" w:customStyle="1" w:styleId="1398">
    <w:name w:val="1"/>
    <w:basedOn w:val="1"/>
    <w:autoRedefine/>
    <w:qFormat/>
    <w:uiPriority w:val="0"/>
    <w:pPr>
      <w:topLinePunct/>
      <w:spacing w:line="300" w:lineRule="auto"/>
      <w:ind w:firstLine="480" w:firstLineChars="200"/>
    </w:pPr>
    <w:rPr>
      <w:sz w:val="24"/>
      <w:szCs w:val="20"/>
    </w:rPr>
  </w:style>
  <w:style w:type="character" w:customStyle="1" w:styleId="1399">
    <w:name w:val="Char Char"/>
    <w:autoRedefine/>
    <w:qFormat/>
    <w:uiPriority w:val="0"/>
    <w:rPr>
      <w:rFonts w:ascii="宋体" w:hAnsi="宋体" w:eastAsia="宋体" w:cs="宋体"/>
      <w:b/>
      <w:bCs/>
      <w:kern w:val="2"/>
      <w:sz w:val="32"/>
      <w:szCs w:val="32"/>
      <w:lang w:val="en-US" w:eastAsia="zh-CN" w:bidi="ar-SA"/>
    </w:rPr>
  </w:style>
  <w:style w:type="character" w:customStyle="1" w:styleId="1400">
    <w:name w:val="正文（首行缩进两字） Char Char Char"/>
    <w:autoRedefine/>
    <w:qFormat/>
    <w:uiPriority w:val="0"/>
    <w:rPr>
      <w:rFonts w:ascii="宋体" w:hAnsi="宋体" w:eastAsia="宋体" w:cs="宋体"/>
      <w:kern w:val="2"/>
      <w:sz w:val="21"/>
      <w:szCs w:val="21"/>
      <w:lang w:val="en-US" w:eastAsia="zh-CN" w:bidi="ar-SA"/>
    </w:rPr>
  </w:style>
  <w:style w:type="paragraph" w:customStyle="1" w:styleId="1401">
    <w:name w:val="3"/>
    <w:basedOn w:val="1"/>
    <w:autoRedefine/>
    <w:qFormat/>
    <w:uiPriority w:val="0"/>
    <w:pPr>
      <w:adjustRightInd w:val="0"/>
      <w:spacing w:line="529" w:lineRule="exact"/>
      <w:ind w:right="-16" w:firstLine="200" w:firstLineChars="200"/>
      <w:jc w:val="left"/>
    </w:pPr>
    <w:rPr>
      <w:rFonts w:eastAsia="汉鼎简书宋"/>
      <w:kern w:val="0"/>
      <w:sz w:val="24"/>
    </w:rPr>
  </w:style>
  <w:style w:type="paragraph" w:customStyle="1" w:styleId="1402">
    <w:name w:val="正文文本 21"/>
    <w:basedOn w:val="1"/>
    <w:autoRedefine/>
    <w:qFormat/>
    <w:uiPriority w:val="0"/>
    <w:pPr>
      <w:adjustRightInd w:val="0"/>
      <w:spacing w:line="520" w:lineRule="exact"/>
      <w:ind w:firstLine="567"/>
      <w:jc w:val="left"/>
    </w:pPr>
    <w:rPr>
      <w:kern w:val="0"/>
      <w:sz w:val="28"/>
      <w:szCs w:val="20"/>
    </w:rPr>
  </w:style>
  <w:style w:type="character" w:customStyle="1" w:styleId="1403">
    <w:name w:val="表标题 Char"/>
    <w:autoRedefine/>
    <w:qFormat/>
    <w:uiPriority w:val="0"/>
    <w:rPr>
      <w:rFonts w:ascii="宋体" w:hAnsi="宋体" w:eastAsia="汉鼎简书宋" w:cs="宋体"/>
      <w:spacing w:val="30"/>
      <w:kern w:val="32"/>
      <w:sz w:val="30"/>
      <w:szCs w:val="30"/>
      <w:lang w:val="en-US" w:eastAsia="zh-CN" w:bidi="ar-SA"/>
    </w:rPr>
  </w:style>
  <w:style w:type="paragraph" w:customStyle="1" w:styleId="1404">
    <w:name w:val="二级标题"/>
    <w:basedOn w:val="1"/>
    <w:autoRedefine/>
    <w:qFormat/>
    <w:uiPriority w:val="0"/>
    <w:pPr>
      <w:spacing w:line="360" w:lineRule="auto"/>
      <w:ind w:firstLine="200" w:firstLineChars="200"/>
    </w:pPr>
    <w:rPr>
      <w:rFonts w:ascii="宋体" w:hAnsi="宋体"/>
      <w:sz w:val="24"/>
    </w:rPr>
  </w:style>
  <w:style w:type="paragraph" w:customStyle="1" w:styleId="1405">
    <w:name w:val="三级标题"/>
    <w:basedOn w:val="1"/>
    <w:autoRedefine/>
    <w:qFormat/>
    <w:uiPriority w:val="0"/>
    <w:rPr>
      <w:rFonts w:ascii="宋体" w:hAnsi="宋体" w:eastAsia="黑体"/>
      <w:bCs/>
      <w:sz w:val="28"/>
    </w:rPr>
  </w:style>
  <w:style w:type="character" w:customStyle="1" w:styleId="1406">
    <w:name w:val="Char Char51"/>
    <w:autoRedefine/>
    <w:qFormat/>
    <w:uiPriority w:val="0"/>
    <w:rPr>
      <w:rFonts w:ascii="Arial" w:hAnsi="Arial" w:eastAsia="黑体"/>
      <w:b/>
      <w:bCs/>
      <w:sz w:val="28"/>
      <w:szCs w:val="28"/>
      <w:lang w:val="en-US" w:eastAsia="zh-CN" w:bidi="ar-SA"/>
    </w:rPr>
  </w:style>
  <w:style w:type="character" w:customStyle="1" w:styleId="1407">
    <w:name w:val="普通文字 Char Char Char Char1"/>
    <w:autoRedefine/>
    <w:qFormat/>
    <w:uiPriority w:val="0"/>
    <w:rPr>
      <w:rFonts w:ascii="宋体" w:eastAsia="宋体"/>
      <w:kern w:val="2"/>
      <w:sz w:val="28"/>
      <w:lang w:val="en-US" w:eastAsia="zh-CN" w:bidi="ar-SA"/>
    </w:rPr>
  </w:style>
  <w:style w:type="paragraph" w:customStyle="1" w:styleId="1408">
    <w:name w:val="2"/>
    <w:basedOn w:val="1"/>
    <w:autoRedefine/>
    <w:semiHidden/>
    <w:qFormat/>
    <w:uiPriority w:val="0"/>
    <w:pPr>
      <w:adjustRightInd w:val="0"/>
      <w:spacing w:line="360" w:lineRule="exact"/>
      <w:ind w:firstLine="480" w:firstLineChars="200"/>
    </w:pPr>
    <w:rPr>
      <w:rFonts w:ascii="宋体" w:hAnsi="宋体" w:eastAsia="汉鼎简书宋"/>
      <w:bCs/>
      <w:kern w:val="0"/>
      <w:sz w:val="18"/>
      <w:szCs w:val="20"/>
      <w:u w:val="single"/>
    </w:rPr>
  </w:style>
  <w:style w:type="table" w:customStyle="1" w:styleId="1409">
    <w:name w:val="网格型11"/>
    <w:basedOn w:val="75"/>
    <w:autoRedefine/>
    <w:qFormat/>
    <w:uiPriority w:val="0"/>
    <w:pPr>
      <w:widowControl w:val="0"/>
      <w:adjustRightInd w:val="0"/>
      <w:spacing w:line="529" w:lineRule="exact"/>
      <w:ind w:firstLine="48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10">
    <w:name w:val="标题2 Char"/>
    <w:autoRedefine/>
    <w:qFormat/>
    <w:uiPriority w:val="0"/>
    <w:rPr>
      <w:rFonts w:eastAsia="宋体"/>
      <w:b/>
      <w:bCs/>
      <w:kern w:val="44"/>
      <w:sz w:val="44"/>
      <w:szCs w:val="44"/>
      <w:lang w:val="en-US" w:eastAsia="zh-CN" w:bidi="ar-SA"/>
    </w:rPr>
  </w:style>
  <w:style w:type="character" w:customStyle="1" w:styleId="1411">
    <w:name w:val="L4 Char"/>
    <w:autoRedefine/>
    <w:qFormat/>
    <w:uiPriority w:val="0"/>
    <w:rPr>
      <w:rFonts w:ascii="Arial" w:hAnsi="Arial" w:eastAsia="黑体"/>
      <w:b/>
      <w:bCs/>
      <w:sz w:val="28"/>
      <w:szCs w:val="28"/>
      <w:lang w:val="en-US" w:eastAsia="zh-CN" w:bidi="ar-SA"/>
    </w:rPr>
  </w:style>
  <w:style w:type="character" w:customStyle="1" w:styleId="1412">
    <w:name w:val="H5 Char"/>
    <w:autoRedefine/>
    <w:qFormat/>
    <w:uiPriority w:val="0"/>
    <w:rPr>
      <w:b/>
      <w:bCs/>
      <w:sz w:val="28"/>
      <w:szCs w:val="28"/>
    </w:rPr>
  </w:style>
  <w:style w:type="character" w:customStyle="1" w:styleId="1413">
    <w:name w:val="标题 1 Char Char"/>
    <w:autoRedefine/>
    <w:qFormat/>
    <w:uiPriority w:val="0"/>
    <w:rPr>
      <w:rFonts w:ascii="Times" w:hAnsi="Times" w:eastAsia="黑体"/>
      <w:b/>
      <w:bCs/>
      <w:kern w:val="44"/>
      <w:sz w:val="32"/>
      <w:szCs w:val="44"/>
      <w:lang w:val="en-US" w:eastAsia="zh-CN" w:bidi="ar-SA"/>
    </w:rPr>
  </w:style>
  <w:style w:type="character" w:customStyle="1" w:styleId="1414">
    <w:name w:val="H1 Char1"/>
    <w:autoRedefine/>
    <w:qFormat/>
    <w:uiPriority w:val="0"/>
    <w:rPr>
      <w:rFonts w:eastAsia="宋体"/>
      <w:b/>
      <w:bCs/>
      <w:kern w:val="44"/>
      <w:sz w:val="44"/>
      <w:szCs w:val="44"/>
      <w:lang w:val="en-US" w:eastAsia="zh-CN" w:bidi="ar-SA"/>
    </w:rPr>
  </w:style>
  <w:style w:type="character" w:customStyle="1" w:styleId="1415">
    <w:name w:val="节，一 Char"/>
    <w:autoRedefine/>
    <w:qFormat/>
    <w:uiPriority w:val="0"/>
    <w:rPr>
      <w:rFonts w:ascii="Arial" w:hAnsi="Arial" w:eastAsia="黑体"/>
      <w:b/>
      <w:bCs/>
      <w:kern w:val="2"/>
      <w:sz w:val="32"/>
      <w:szCs w:val="32"/>
      <w:lang w:val="en-US" w:eastAsia="zh-CN" w:bidi="ar-SA"/>
    </w:rPr>
  </w:style>
  <w:style w:type="character" w:customStyle="1" w:styleId="1416">
    <w:name w:val="(一) Char1"/>
    <w:autoRedefine/>
    <w:qFormat/>
    <w:uiPriority w:val="0"/>
    <w:rPr>
      <w:rFonts w:ascii="Arial" w:hAnsi="Arial" w:eastAsia="黑体"/>
      <w:b/>
      <w:bCs/>
      <w:kern w:val="2"/>
      <w:sz w:val="28"/>
      <w:szCs w:val="28"/>
      <w:lang w:val="en-US" w:eastAsia="zh-CN" w:bidi="ar-SA"/>
    </w:rPr>
  </w:style>
  <w:style w:type="character" w:customStyle="1" w:styleId="1417">
    <w:name w:val="H5 Char1"/>
    <w:autoRedefine/>
    <w:qFormat/>
    <w:uiPriority w:val="0"/>
    <w:rPr>
      <w:rFonts w:eastAsia="宋体"/>
      <w:b/>
      <w:bCs/>
      <w:kern w:val="2"/>
      <w:sz w:val="28"/>
      <w:szCs w:val="28"/>
      <w:lang w:val="en-US" w:eastAsia="zh-CN" w:bidi="ar-SA"/>
    </w:rPr>
  </w:style>
  <w:style w:type="character" w:customStyle="1" w:styleId="1418">
    <w:name w:val="正文文字 Char Char1"/>
    <w:autoRedefine/>
    <w:qFormat/>
    <w:uiPriority w:val="0"/>
    <w:rPr>
      <w:rFonts w:ascii="宋体" w:hAnsi="宋体" w:eastAsia="宋体"/>
      <w:kern w:val="2"/>
      <w:sz w:val="24"/>
      <w:szCs w:val="24"/>
      <w:lang w:val="en-US" w:eastAsia="zh-CN" w:bidi="ar-SA"/>
    </w:rPr>
  </w:style>
  <w:style w:type="character" w:customStyle="1" w:styleId="1419">
    <w:name w:val="正文（首行缩进两字） Char2"/>
    <w:autoRedefine/>
    <w:qFormat/>
    <w:uiPriority w:val="0"/>
    <w:rPr>
      <w:rFonts w:eastAsia="宋体"/>
      <w:kern w:val="2"/>
      <w:sz w:val="21"/>
      <w:lang w:val="en-US" w:eastAsia="zh-CN" w:bidi="ar-SA"/>
    </w:rPr>
  </w:style>
  <w:style w:type="character" w:customStyle="1" w:styleId="1420">
    <w:name w:val="z-窗体底端 Char2"/>
    <w:basedOn w:val="83"/>
    <w:autoRedefine/>
    <w:semiHidden/>
    <w:qFormat/>
    <w:uiPriority w:val="99"/>
    <w:rPr>
      <w:rFonts w:ascii="Arial" w:hAnsi="Arial" w:cs="Arial"/>
      <w:vanish/>
      <w:kern w:val="2"/>
      <w:sz w:val="16"/>
      <w:szCs w:val="16"/>
    </w:rPr>
  </w:style>
  <w:style w:type="character" w:customStyle="1" w:styleId="1421">
    <w:name w:val="页眉d Char Char"/>
    <w:autoRedefine/>
    <w:qFormat/>
    <w:uiPriority w:val="0"/>
    <w:rPr>
      <w:rFonts w:ascii="华文中宋" w:hAnsi="华文中宋" w:eastAsia="华文中宋"/>
      <w:b/>
      <w:i/>
      <w:w w:val="90"/>
      <w:sz w:val="18"/>
      <w:szCs w:val="18"/>
      <w:lang w:val="en-US" w:eastAsia="zh-CN" w:bidi="ar-SA"/>
    </w:rPr>
  </w:style>
  <w:style w:type="character" w:customStyle="1" w:styleId="1422">
    <w:name w:val="123YJ Char Char"/>
    <w:autoRedefine/>
    <w:qFormat/>
    <w:uiPriority w:val="0"/>
    <w:rPr>
      <w:rFonts w:eastAsia="宋体"/>
      <w:kern w:val="2"/>
      <w:sz w:val="18"/>
      <w:szCs w:val="18"/>
      <w:lang w:val="en-US" w:eastAsia="zh-CN" w:bidi="ar-SA"/>
    </w:rPr>
  </w:style>
  <w:style w:type="paragraph" w:customStyle="1" w:styleId="1423">
    <w:name w:val="标题11"/>
    <w:basedOn w:val="1"/>
    <w:autoRedefine/>
    <w:qFormat/>
    <w:uiPriority w:val="0"/>
    <w:pPr>
      <w:keepNext/>
      <w:keepLines/>
      <w:spacing w:beforeLines="50" w:afterLines="50" w:line="360" w:lineRule="auto"/>
      <w:outlineLvl w:val="0"/>
    </w:pPr>
    <w:rPr>
      <w:rFonts w:eastAsia="黑体"/>
      <w:b/>
      <w:color w:val="000000"/>
      <w:kern w:val="44"/>
      <w:sz w:val="36"/>
      <w:szCs w:val="20"/>
    </w:rPr>
  </w:style>
  <w:style w:type="character" w:customStyle="1" w:styleId="1424">
    <w:name w:val="Char5 Char"/>
    <w:autoRedefine/>
    <w:qFormat/>
    <w:uiPriority w:val="0"/>
    <w:rPr>
      <w:rFonts w:ascii="Arial" w:hAnsi="Arial" w:eastAsia="黑体"/>
      <w:b/>
      <w:sz w:val="24"/>
      <w:lang w:val="en-US" w:eastAsia="zh-CN" w:bidi="ar-SA"/>
    </w:rPr>
  </w:style>
  <w:style w:type="paragraph" w:customStyle="1" w:styleId="1425">
    <w:name w:val="注释标题1"/>
    <w:basedOn w:val="21"/>
    <w:autoRedefine/>
    <w:qFormat/>
    <w:uiPriority w:val="0"/>
    <w:pPr>
      <w:tabs>
        <w:tab w:val="left" w:pos="420"/>
      </w:tabs>
      <w:spacing w:line="360" w:lineRule="auto"/>
      <w:ind w:left="420" w:hanging="420"/>
    </w:pPr>
    <w:rPr>
      <w:szCs w:val="18"/>
    </w:rPr>
  </w:style>
  <w:style w:type="character" w:customStyle="1" w:styleId="1426">
    <w:name w:val="H1 Char2"/>
    <w:autoRedefine/>
    <w:qFormat/>
    <w:uiPriority w:val="0"/>
    <w:rPr>
      <w:rFonts w:eastAsia="宋体"/>
      <w:b/>
      <w:bCs/>
      <w:kern w:val="44"/>
      <w:sz w:val="44"/>
      <w:szCs w:val="44"/>
      <w:lang w:val="en-US" w:eastAsia="zh-CN" w:bidi="ar-SA"/>
    </w:rPr>
  </w:style>
  <w:style w:type="character" w:customStyle="1" w:styleId="1427">
    <w:name w:val="节，一 Char1"/>
    <w:qFormat/>
    <w:uiPriority w:val="0"/>
    <w:rPr>
      <w:rFonts w:ascii="Arial" w:hAnsi="Arial" w:eastAsia="黑体"/>
      <w:b/>
      <w:bCs/>
      <w:kern w:val="2"/>
      <w:sz w:val="32"/>
      <w:szCs w:val="32"/>
      <w:lang w:val="en-US" w:eastAsia="zh-CN" w:bidi="ar-SA"/>
    </w:rPr>
  </w:style>
  <w:style w:type="character" w:customStyle="1" w:styleId="1428">
    <w:name w:val="(一) Char2"/>
    <w:qFormat/>
    <w:uiPriority w:val="0"/>
    <w:rPr>
      <w:rFonts w:ascii="Arial" w:hAnsi="Arial" w:eastAsia="黑体"/>
      <w:b/>
      <w:bCs/>
      <w:kern w:val="2"/>
      <w:sz w:val="28"/>
      <w:szCs w:val="28"/>
      <w:lang w:val="en-US" w:eastAsia="zh-CN" w:bidi="ar-SA"/>
    </w:rPr>
  </w:style>
  <w:style w:type="character" w:customStyle="1" w:styleId="1429">
    <w:name w:val="g Char"/>
    <w:qFormat/>
    <w:uiPriority w:val="0"/>
    <w:rPr>
      <w:rFonts w:eastAsia="宋体"/>
      <w:kern w:val="2"/>
      <w:sz w:val="18"/>
      <w:szCs w:val="18"/>
      <w:lang w:val="en-US" w:eastAsia="zh-CN" w:bidi="ar-SA"/>
    </w:rPr>
  </w:style>
  <w:style w:type="character" w:customStyle="1" w:styleId="1430">
    <w:name w:val="报正段落 Char"/>
    <w:link w:val="1431"/>
    <w:qFormat/>
    <w:uiPriority w:val="0"/>
    <w:rPr>
      <w:sz w:val="26"/>
      <w:szCs w:val="28"/>
    </w:rPr>
  </w:style>
  <w:style w:type="paragraph" w:customStyle="1" w:styleId="1431">
    <w:name w:val="报正段落"/>
    <w:basedOn w:val="1"/>
    <w:link w:val="1430"/>
    <w:autoRedefine/>
    <w:qFormat/>
    <w:uiPriority w:val="0"/>
    <w:pPr>
      <w:spacing w:line="520" w:lineRule="exact"/>
      <w:ind w:firstLine="200" w:firstLineChars="200"/>
      <w:jc w:val="left"/>
    </w:pPr>
    <w:rPr>
      <w:rFonts w:ascii="Calibri" w:hAnsi="Calibri"/>
      <w:kern w:val="0"/>
      <w:sz w:val="26"/>
      <w:szCs w:val="28"/>
    </w:rPr>
  </w:style>
  <w:style w:type="character" w:customStyle="1" w:styleId="1432">
    <w:name w:val="3号宋体正文 Char Char"/>
    <w:link w:val="1433"/>
    <w:autoRedefine/>
    <w:qFormat/>
    <w:uiPriority w:val="0"/>
    <w:rPr>
      <w:rFonts w:eastAsia="仿宋_GB2312"/>
      <w:spacing w:val="20"/>
      <w:sz w:val="32"/>
      <w:szCs w:val="24"/>
    </w:rPr>
  </w:style>
  <w:style w:type="paragraph" w:customStyle="1" w:styleId="1433">
    <w:name w:val="3号宋体正文"/>
    <w:basedOn w:val="1"/>
    <w:link w:val="1432"/>
    <w:autoRedefine/>
    <w:qFormat/>
    <w:uiPriority w:val="0"/>
    <w:pPr>
      <w:adjustRightInd w:val="0"/>
      <w:snapToGrid w:val="0"/>
      <w:spacing w:line="360" w:lineRule="auto"/>
      <w:ind w:firstLine="737" w:firstLineChars="200"/>
      <w:jc w:val="left"/>
    </w:pPr>
    <w:rPr>
      <w:rFonts w:ascii="Calibri" w:hAnsi="Calibri" w:eastAsia="仿宋_GB2312"/>
      <w:spacing w:val="20"/>
      <w:kern w:val="0"/>
      <w:sz w:val="32"/>
    </w:rPr>
  </w:style>
  <w:style w:type="paragraph" w:customStyle="1" w:styleId="1434">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435">
    <w:name w:val="Ò³Ã¼ Char"/>
    <w:autoRedefine/>
    <w:qFormat/>
    <w:uiPriority w:val="0"/>
    <w:rPr>
      <w:rFonts w:eastAsia="仿宋_GB2312"/>
      <w:kern w:val="2"/>
      <w:sz w:val="18"/>
      <w:szCs w:val="18"/>
      <w:lang w:val="en-US" w:eastAsia="zh-CN" w:bidi="ar-SA"/>
    </w:rPr>
  </w:style>
  <w:style w:type="paragraph" w:customStyle="1" w:styleId="1436">
    <w:name w:val="z正文"/>
    <w:basedOn w:val="1"/>
    <w:autoRedefine/>
    <w:qFormat/>
    <w:uiPriority w:val="0"/>
    <w:pPr>
      <w:spacing w:line="500" w:lineRule="exact"/>
      <w:ind w:firstLine="200" w:firstLineChars="200"/>
    </w:pPr>
    <w:rPr>
      <w:sz w:val="24"/>
    </w:rPr>
  </w:style>
  <w:style w:type="paragraph" w:customStyle="1" w:styleId="1437">
    <w:name w:val="我的表格"/>
    <w:basedOn w:val="32"/>
    <w:autoRedefine/>
    <w:qFormat/>
    <w:uiPriority w:val="0"/>
    <w:pPr>
      <w:tabs>
        <w:tab w:val="left" w:pos="540"/>
        <w:tab w:val="left" w:pos="1260"/>
      </w:tabs>
      <w:snapToGrid w:val="0"/>
      <w:spacing w:after="0" w:line="260" w:lineRule="exact"/>
      <w:ind w:left="0" w:leftChars="0"/>
      <w:jc w:val="center"/>
    </w:pPr>
    <w:rPr>
      <w:rFonts w:eastAsia="华文中宋"/>
      <w:color w:val="000000"/>
      <w:szCs w:val="18"/>
      <w:lang w:val="zh-CN"/>
    </w:rPr>
  </w:style>
  <w:style w:type="paragraph" w:customStyle="1" w:styleId="1438">
    <w:name w:val="Char Char Char Char Char Char Char Char Char Char Char Char Char Char1"/>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character" w:customStyle="1" w:styleId="1439">
    <w:name w:val="15"/>
    <w:autoRedefine/>
    <w:qFormat/>
    <w:uiPriority w:val="0"/>
    <w:rPr>
      <w:rFonts w:hint="default" w:ascii="Calibri" w:hAnsi="Calibri" w:eastAsia="宋体"/>
      <w:b/>
      <w:bCs/>
      <w:sz w:val="32"/>
      <w:szCs w:val="32"/>
    </w:rPr>
  </w:style>
  <w:style w:type="character" w:customStyle="1" w:styleId="1440">
    <w:name w:val="正文01 Char Char"/>
    <w:link w:val="1441"/>
    <w:autoRedefine/>
    <w:qFormat/>
    <w:uiPriority w:val="0"/>
    <w:rPr>
      <w:sz w:val="24"/>
    </w:rPr>
  </w:style>
  <w:style w:type="paragraph" w:customStyle="1" w:styleId="1441">
    <w:name w:val="正文01"/>
    <w:basedOn w:val="1"/>
    <w:link w:val="1440"/>
    <w:autoRedefine/>
    <w:qFormat/>
    <w:uiPriority w:val="0"/>
    <w:pPr>
      <w:adjustRightInd w:val="0"/>
      <w:snapToGrid w:val="0"/>
      <w:spacing w:line="360" w:lineRule="auto"/>
      <w:ind w:firstLine="200" w:firstLineChars="200"/>
    </w:pPr>
    <w:rPr>
      <w:rFonts w:ascii="Calibri" w:hAnsi="Calibri"/>
      <w:kern w:val="0"/>
      <w:sz w:val="24"/>
      <w:szCs w:val="20"/>
    </w:rPr>
  </w:style>
  <w:style w:type="character" w:customStyle="1" w:styleId="1442">
    <w:name w:val="正文内容 Char"/>
    <w:autoRedefine/>
    <w:qFormat/>
    <w:uiPriority w:val="0"/>
    <w:rPr>
      <w:kern w:val="2"/>
      <w:sz w:val="24"/>
      <w:szCs w:val="24"/>
    </w:rPr>
  </w:style>
  <w:style w:type="paragraph" w:customStyle="1" w:styleId="1443">
    <w:name w:val="样式 正文文本缩进 2 + 三号"/>
    <w:basedOn w:val="74"/>
    <w:autoRedefine/>
    <w:qFormat/>
    <w:uiPriority w:val="0"/>
    <w:pPr>
      <w:widowControl w:val="0"/>
      <w:spacing w:line="240" w:lineRule="auto"/>
      <w:jc w:val="both"/>
    </w:pPr>
    <w:rPr>
      <w:kern w:val="2"/>
      <w:sz w:val="32"/>
      <w:szCs w:val="32"/>
      <w:lang w:val="zh-CN"/>
    </w:rPr>
  </w:style>
  <w:style w:type="paragraph" w:customStyle="1" w:styleId="1444">
    <w:name w:val="大孤山-正文"/>
    <w:basedOn w:val="73"/>
    <w:link w:val="1445"/>
    <w:autoRedefine/>
    <w:qFormat/>
    <w:uiPriority w:val="0"/>
    <w:pPr>
      <w:overflowPunct/>
      <w:autoSpaceDE/>
      <w:autoSpaceDN/>
      <w:snapToGrid w:val="0"/>
      <w:spacing w:after="0"/>
      <w:ind w:firstLine="200" w:firstLineChars="200"/>
    </w:pPr>
    <w:rPr>
      <w:color w:val="000000"/>
      <w:sz w:val="24"/>
      <w:szCs w:val="28"/>
      <w:lang w:val="zh-CN"/>
    </w:rPr>
  </w:style>
  <w:style w:type="character" w:customStyle="1" w:styleId="1445">
    <w:name w:val="大孤山-正文 Char"/>
    <w:link w:val="1444"/>
    <w:autoRedefine/>
    <w:qFormat/>
    <w:uiPriority w:val="0"/>
    <w:rPr>
      <w:rFonts w:ascii="Times New Roman" w:hAnsi="Times New Roman"/>
      <w:color w:val="000000"/>
      <w:sz w:val="24"/>
      <w:szCs w:val="28"/>
      <w:lang w:val="zh-CN" w:eastAsia="zh-CN"/>
    </w:rPr>
  </w:style>
  <w:style w:type="character" w:customStyle="1" w:styleId="1446">
    <w:name w:val="正文-南方 Char"/>
    <w:link w:val="245"/>
    <w:autoRedefine/>
    <w:qFormat/>
    <w:uiPriority w:val="0"/>
    <w:rPr>
      <w:rFonts w:ascii="Times New Roman" w:hAnsi="Times New Roman"/>
      <w:sz w:val="24"/>
      <w:szCs w:val="28"/>
      <w:lang w:val="zh-CN"/>
    </w:rPr>
  </w:style>
  <w:style w:type="paragraph" w:customStyle="1" w:styleId="1447">
    <w:name w:val="表头-南方"/>
    <w:basedOn w:val="1"/>
    <w:link w:val="1448"/>
    <w:autoRedefine/>
    <w:qFormat/>
    <w:uiPriority w:val="0"/>
    <w:pPr>
      <w:adjustRightInd w:val="0"/>
      <w:snapToGrid w:val="0"/>
      <w:spacing w:line="360" w:lineRule="auto"/>
      <w:jc w:val="center"/>
    </w:pPr>
    <w:rPr>
      <w:rFonts w:hAnsi="Calibri"/>
      <w:b/>
      <w:kern w:val="0"/>
      <w:sz w:val="24"/>
      <w:lang w:val="zh-CN"/>
    </w:rPr>
  </w:style>
  <w:style w:type="character" w:customStyle="1" w:styleId="1448">
    <w:name w:val="表头-南方 Char"/>
    <w:link w:val="1447"/>
    <w:autoRedefine/>
    <w:qFormat/>
    <w:uiPriority w:val="0"/>
    <w:rPr>
      <w:rFonts w:ascii="Times New Roman"/>
      <w:b/>
      <w:sz w:val="24"/>
      <w:szCs w:val="24"/>
      <w:lang w:val="zh-CN" w:eastAsia="zh-CN"/>
    </w:rPr>
  </w:style>
  <w:style w:type="table" w:customStyle="1" w:styleId="1449">
    <w:name w:val="标准表格"/>
    <w:basedOn w:val="75"/>
    <w:autoRedefine/>
    <w:qFormat/>
    <w:uiPriority w:val="99"/>
    <w:pPr>
      <w:spacing w:before="74"/>
      <w:jc w:val="center"/>
    </w:pPr>
    <w:rPr>
      <w:sz w:val="18"/>
    </w:rPr>
    <w:tblPr>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
    <w:trPr>
      <w:jc w:val="center"/>
    </w:trPr>
    <w:tcPr>
      <w:shd w:val="clear" w:color="auto" w:fill="FFFFFF" w:themeFill="background1"/>
      <w:vAlign w:val="center"/>
    </w:tcPr>
    <w:tblStylePr w:type="firstRow">
      <w:pPr>
        <w:wordWrap/>
        <w:spacing w:beforeLines="0" w:beforeAutospacing="0" w:afterLines="0" w:afterAutospacing="0" w:line="240" w:lineRule="auto"/>
        <w:ind w:left="0" w:leftChars="0" w:right="0" w:rightChars="0" w:firstLine="0" w:firstLineChars="0"/>
        <w:jc w:val="center"/>
      </w:pPr>
      <w:rPr>
        <w:rFonts w:eastAsia="宋体"/>
        <w:sz w:val="18"/>
      </w:rPr>
    </w:tblStylePr>
    <w:tblStylePr w:type="firstCol">
      <w:pPr>
        <w:jc w:val="center"/>
      </w:pPr>
    </w:tblStylePr>
  </w:style>
  <w:style w:type="character" w:customStyle="1" w:styleId="1450">
    <w:name w:val="【正文】1.75倍 Char"/>
    <w:link w:val="1451"/>
    <w:autoRedefine/>
    <w:qFormat/>
    <w:uiPriority w:val="0"/>
    <w:rPr>
      <w:rFonts w:cs="宋体"/>
      <w:kern w:val="2"/>
      <w:sz w:val="24"/>
    </w:rPr>
  </w:style>
  <w:style w:type="paragraph" w:customStyle="1" w:styleId="1451">
    <w:name w:val="【正文】1.75倍"/>
    <w:basedOn w:val="1"/>
    <w:link w:val="1450"/>
    <w:autoRedefine/>
    <w:qFormat/>
    <w:uiPriority w:val="0"/>
    <w:pPr>
      <w:widowControl/>
      <w:spacing w:line="420" w:lineRule="auto"/>
      <w:ind w:firstLine="480" w:firstLineChars="200"/>
    </w:pPr>
    <w:rPr>
      <w:rFonts w:ascii="Calibri" w:hAnsi="Calibri" w:cs="宋体"/>
      <w:sz w:val="24"/>
      <w:szCs w:val="20"/>
    </w:rPr>
  </w:style>
  <w:style w:type="character" w:customStyle="1" w:styleId="1452">
    <w:name w:val="ft5"/>
    <w:basedOn w:val="83"/>
    <w:autoRedefine/>
    <w:qFormat/>
    <w:uiPriority w:val="0"/>
  </w:style>
  <w:style w:type="character" w:customStyle="1" w:styleId="1453">
    <w:name w:val="ft19"/>
    <w:basedOn w:val="83"/>
    <w:autoRedefine/>
    <w:qFormat/>
    <w:uiPriority w:val="0"/>
  </w:style>
  <w:style w:type="character" w:customStyle="1" w:styleId="1454">
    <w:name w:val="表、图标题名 Char"/>
    <w:link w:val="1455"/>
    <w:autoRedefine/>
    <w:qFormat/>
    <w:uiPriority w:val="0"/>
    <w:rPr>
      <w:b/>
      <w:bCs/>
      <w:kern w:val="2"/>
      <w:sz w:val="24"/>
      <w:szCs w:val="21"/>
    </w:rPr>
  </w:style>
  <w:style w:type="paragraph" w:customStyle="1" w:styleId="1455">
    <w:name w:val="表、图标题名"/>
    <w:basedOn w:val="1"/>
    <w:link w:val="1454"/>
    <w:autoRedefine/>
    <w:qFormat/>
    <w:uiPriority w:val="0"/>
    <w:pPr>
      <w:widowControl/>
      <w:jc w:val="center"/>
    </w:pPr>
    <w:rPr>
      <w:rFonts w:ascii="Calibri" w:hAnsi="Calibri"/>
      <w:b/>
      <w:bCs/>
      <w:sz w:val="24"/>
      <w:szCs w:val="21"/>
    </w:rPr>
  </w:style>
  <w:style w:type="paragraph" w:customStyle="1" w:styleId="1456">
    <w:name w:val="页脚1"/>
    <w:basedOn w:val="1"/>
    <w:autoRedefine/>
    <w:qFormat/>
    <w:uiPriority w:val="0"/>
    <w:pPr>
      <w:pBdr>
        <w:top w:val="single" w:color="auto" w:sz="4" w:space="1"/>
      </w:pBdr>
      <w:tabs>
        <w:tab w:val="center" w:pos="4153"/>
        <w:tab w:val="right" w:pos="8306"/>
      </w:tabs>
      <w:ind w:left="-12" w:right="-15"/>
      <w:jc w:val="right"/>
    </w:pPr>
    <w:rPr>
      <w:bCs/>
      <w:sz w:val="18"/>
    </w:rPr>
  </w:style>
  <w:style w:type="character" w:customStyle="1" w:styleId="1457">
    <w:name w:val="标题 3 Char1"/>
    <w:autoRedefine/>
    <w:qFormat/>
    <w:uiPriority w:val="0"/>
    <w:rPr>
      <w:rFonts w:ascii="Times New Roman" w:hAnsi="Times New Roman" w:eastAsia="宋体" w:cs="Times New Roman"/>
      <w:b/>
      <w:bCs/>
      <w:sz w:val="32"/>
      <w:szCs w:val="32"/>
    </w:rPr>
  </w:style>
  <w:style w:type="character" w:customStyle="1" w:styleId="1458">
    <w:name w:val="正文（首行缩进两字） Char Char"/>
    <w:autoRedefine/>
    <w:qFormat/>
    <w:uiPriority w:val="0"/>
    <w:rPr>
      <w:rFonts w:ascii="宋体" w:hAnsi="宋体" w:eastAsia="宋体" w:cs="宋体"/>
      <w:kern w:val="2"/>
      <w:sz w:val="21"/>
      <w:szCs w:val="21"/>
      <w:lang w:val="en-US" w:eastAsia="zh-CN" w:bidi="ar-SA"/>
    </w:rPr>
  </w:style>
  <w:style w:type="character" w:customStyle="1" w:styleId="1459">
    <w:name w:val="Char Char Char1"/>
    <w:autoRedefine/>
    <w:qFormat/>
    <w:uiPriority w:val="0"/>
    <w:rPr>
      <w:rFonts w:ascii="宋体" w:hAnsi="宋体" w:eastAsia="宋体" w:cs="宋体"/>
      <w:b/>
      <w:bCs/>
      <w:kern w:val="2"/>
      <w:sz w:val="32"/>
      <w:szCs w:val="32"/>
      <w:lang w:val="en-US" w:eastAsia="zh-CN" w:bidi="ar-SA"/>
    </w:rPr>
  </w:style>
  <w:style w:type="character" w:customStyle="1" w:styleId="1460">
    <w:name w:val="Char Char6"/>
    <w:autoRedefine/>
    <w:qFormat/>
    <w:uiPriority w:val="0"/>
    <w:rPr>
      <w:rFonts w:eastAsia="宋体"/>
      <w:b/>
      <w:bCs/>
      <w:kern w:val="2"/>
      <w:sz w:val="28"/>
      <w:szCs w:val="28"/>
      <w:lang w:val="en-US" w:eastAsia="zh-CN" w:bidi="ar-SA"/>
    </w:rPr>
  </w:style>
  <w:style w:type="character" w:customStyle="1" w:styleId="1461">
    <w:name w:val="标题 2 Char Char Char Char1"/>
    <w:autoRedefine/>
    <w:qFormat/>
    <w:uiPriority w:val="0"/>
    <w:rPr>
      <w:rFonts w:ascii="Arial" w:hAnsi="Arial" w:eastAsia="宋体"/>
      <w:b/>
      <w:bCs/>
      <w:kern w:val="2"/>
      <w:sz w:val="28"/>
      <w:szCs w:val="32"/>
      <w:lang w:val="en-US" w:eastAsia="zh-CN" w:bidi="ar-SA"/>
    </w:rPr>
  </w:style>
  <w:style w:type="character" w:customStyle="1" w:styleId="1462">
    <w:name w:val="标题 7 Char1"/>
    <w:autoRedefine/>
    <w:qFormat/>
    <w:uiPriority w:val="0"/>
    <w:rPr>
      <w:rFonts w:ascii="Times New Roman" w:hAnsi="Times New Roman" w:eastAsia="汉鼎简书宋" w:cs="Times New Roman"/>
      <w:bCs/>
      <w:kern w:val="32"/>
      <w:sz w:val="24"/>
      <w:szCs w:val="24"/>
    </w:rPr>
  </w:style>
  <w:style w:type="character" w:customStyle="1" w:styleId="1463">
    <w:name w:val="标题 8 Char1"/>
    <w:autoRedefine/>
    <w:qFormat/>
    <w:uiPriority w:val="0"/>
    <w:rPr>
      <w:rFonts w:ascii="Arial" w:hAnsi="Arial" w:eastAsia="黑体" w:cs="Arial"/>
      <w:kern w:val="22"/>
      <w:sz w:val="24"/>
      <w:szCs w:val="24"/>
    </w:rPr>
  </w:style>
  <w:style w:type="character" w:customStyle="1" w:styleId="1464">
    <w:name w:val="标题 9 Char1"/>
    <w:autoRedefine/>
    <w:qFormat/>
    <w:uiPriority w:val="0"/>
    <w:rPr>
      <w:rFonts w:ascii="Arial" w:hAnsi="Arial" w:eastAsia="黑体" w:cs="Arial"/>
      <w:kern w:val="22"/>
      <w:sz w:val="24"/>
      <w:szCs w:val="24"/>
    </w:rPr>
  </w:style>
  <w:style w:type="character" w:customStyle="1" w:styleId="1465">
    <w:name w:val="正文文字 Char Char"/>
    <w:autoRedefine/>
    <w:qFormat/>
    <w:uiPriority w:val="0"/>
    <w:rPr>
      <w:rFonts w:ascii="宋体" w:hAnsi="宋体" w:eastAsia="宋体"/>
      <w:kern w:val="2"/>
      <w:sz w:val="24"/>
      <w:szCs w:val="24"/>
      <w:lang w:val="en-US" w:eastAsia="zh-CN" w:bidi="ar-SA"/>
    </w:rPr>
  </w:style>
  <w:style w:type="character" w:customStyle="1" w:styleId="1466">
    <w:name w:val="表格文字 Char"/>
    <w:autoRedefine/>
    <w:qFormat/>
    <w:uiPriority w:val="0"/>
    <w:rPr>
      <w:rFonts w:ascii="Times New Roman" w:hAnsi="Times New Roman" w:eastAsia="宋体" w:cs="Times New Roman"/>
      <w:sz w:val="24"/>
      <w:szCs w:val="20"/>
    </w:rPr>
  </w:style>
  <w:style w:type="paragraph" w:customStyle="1" w:styleId="1467">
    <w:name w:val="缩进"/>
    <w:basedOn w:val="1"/>
    <w:autoRedefine/>
    <w:qFormat/>
    <w:uiPriority w:val="0"/>
    <w:pPr>
      <w:autoSpaceDE w:val="0"/>
      <w:autoSpaceDN w:val="0"/>
      <w:adjustRightInd w:val="0"/>
      <w:spacing w:line="400" w:lineRule="atLeast"/>
      <w:ind w:firstLine="420"/>
    </w:pPr>
    <w:rPr>
      <w:sz w:val="24"/>
      <w:szCs w:val="20"/>
    </w:rPr>
  </w:style>
  <w:style w:type="character" w:customStyle="1" w:styleId="1468">
    <w:name w:val="正文文字缩进 2 Char Char Char Char"/>
    <w:autoRedefine/>
    <w:qFormat/>
    <w:uiPriority w:val="0"/>
    <w:rPr>
      <w:rFonts w:eastAsia="宋体"/>
      <w:kern w:val="2"/>
      <w:sz w:val="28"/>
      <w:szCs w:val="28"/>
      <w:lang w:val="en-US" w:eastAsia="zh-CN" w:bidi="ar-SA"/>
    </w:rPr>
  </w:style>
  <w:style w:type="character" w:customStyle="1" w:styleId="1469">
    <w:name w:val="正文文字缩进 2 Char"/>
    <w:autoRedefine/>
    <w:qFormat/>
    <w:uiPriority w:val="0"/>
    <w:rPr>
      <w:rFonts w:eastAsia="宋体"/>
      <w:color w:val="0000FF"/>
      <w:kern w:val="2"/>
      <w:sz w:val="24"/>
      <w:szCs w:val="28"/>
      <w:lang w:val="en-US" w:eastAsia="zh-CN" w:bidi="ar-SA"/>
    </w:rPr>
  </w:style>
  <w:style w:type="character" w:customStyle="1" w:styleId="1470">
    <w:name w:val="正文文字缩进 Char2"/>
    <w:autoRedefine/>
    <w:qFormat/>
    <w:uiPriority w:val="0"/>
    <w:rPr>
      <w:rFonts w:eastAsia="宋体"/>
      <w:kern w:val="2"/>
      <w:sz w:val="21"/>
      <w:szCs w:val="24"/>
      <w:lang w:val="en-US" w:eastAsia="zh-CN" w:bidi="ar-SA"/>
    </w:rPr>
  </w:style>
  <w:style w:type="character" w:customStyle="1" w:styleId="1471">
    <w:name w:val="正文文字缩进 2 Char1"/>
    <w:autoRedefine/>
    <w:qFormat/>
    <w:uiPriority w:val="0"/>
    <w:rPr>
      <w:rFonts w:eastAsia="宋体"/>
      <w:color w:val="0000FF"/>
      <w:kern w:val="2"/>
      <w:sz w:val="24"/>
      <w:szCs w:val="28"/>
      <w:lang w:val="en-US" w:eastAsia="zh-CN" w:bidi="ar-SA"/>
    </w:rPr>
  </w:style>
  <w:style w:type="character" w:customStyle="1" w:styleId="1472">
    <w:name w:val="正文文字缩进 21 Char"/>
    <w:autoRedefine/>
    <w:qFormat/>
    <w:uiPriority w:val="0"/>
    <w:rPr>
      <w:rFonts w:eastAsia="宋体"/>
      <w:kern w:val="2"/>
      <w:sz w:val="24"/>
      <w:szCs w:val="24"/>
      <w:lang w:val="en-US" w:eastAsia="zh-CN" w:bidi="ar-SA"/>
    </w:rPr>
  </w:style>
  <w:style w:type="character" w:customStyle="1" w:styleId="1473">
    <w:name w:val="H5 Char2"/>
    <w:autoRedefine/>
    <w:qFormat/>
    <w:uiPriority w:val="0"/>
    <w:rPr>
      <w:rFonts w:eastAsia="宋体"/>
      <w:color w:val="000000"/>
      <w:sz w:val="28"/>
      <w:szCs w:val="28"/>
      <w:lang w:val="en-US" w:eastAsia="zh-CN" w:bidi="ar-SA"/>
    </w:rPr>
  </w:style>
  <w:style w:type="character" w:customStyle="1" w:styleId="1474">
    <w:name w:val="正文文字缩进 21 Char1"/>
    <w:autoRedefine/>
    <w:qFormat/>
    <w:uiPriority w:val="0"/>
    <w:rPr>
      <w:rFonts w:eastAsia="宋体"/>
      <w:kern w:val="2"/>
      <w:sz w:val="24"/>
      <w:szCs w:val="24"/>
      <w:lang w:val="en-US" w:eastAsia="zh-CN" w:bidi="ar-SA"/>
    </w:rPr>
  </w:style>
  <w:style w:type="character" w:customStyle="1" w:styleId="1475">
    <w:name w:val="图注 Char"/>
    <w:autoRedefine/>
    <w:qFormat/>
    <w:uiPriority w:val="0"/>
    <w:rPr>
      <w:rFonts w:ascii="宋体" w:hAnsi="宋体" w:eastAsia="汉鼎简书宋"/>
      <w:kern w:val="2"/>
      <w:sz w:val="24"/>
      <w:szCs w:val="24"/>
      <w:lang w:val="en-US" w:eastAsia="zh-CN" w:bidi="ar-SA"/>
    </w:rPr>
  </w:style>
  <w:style w:type="character" w:customStyle="1" w:styleId="1476">
    <w:name w:val="纯文本 Char2"/>
    <w:autoRedefine/>
    <w:qFormat/>
    <w:uiPriority w:val="0"/>
    <w:rPr>
      <w:rFonts w:ascii="宋体" w:hAnsi="Courier New" w:eastAsia="宋体" w:cs="Courier New"/>
      <w:bCs/>
      <w:sz w:val="21"/>
      <w:szCs w:val="21"/>
      <w:lang w:val="en-US" w:eastAsia="zh-CN" w:bidi="ar-SA"/>
    </w:rPr>
  </w:style>
  <w:style w:type="character" w:customStyle="1" w:styleId="1477">
    <w:name w:val="页脚 Char3"/>
    <w:autoRedefine/>
    <w:qFormat/>
    <w:uiPriority w:val="99"/>
    <w:rPr>
      <w:rFonts w:eastAsia="宋体"/>
      <w:kern w:val="2"/>
      <w:sz w:val="18"/>
      <w:szCs w:val="18"/>
      <w:lang w:val="en-US" w:eastAsia="zh-CN" w:bidi="ar-SA"/>
    </w:rPr>
  </w:style>
  <w:style w:type="character" w:customStyle="1" w:styleId="1478">
    <w:name w:val="列出段落 Char"/>
    <w:basedOn w:val="83"/>
    <w:link w:val="234"/>
    <w:autoRedefine/>
    <w:qFormat/>
    <w:uiPriority w:val="1"/>
    <w:rPr>
      <w:rFonts w:ascii="Times New Roman" w:hAnsi="Times New Roman"/>
      <w:kern w:val="2"/>
      <w:sz w:val="21"/>
      <w:szCs w:val="24"/>
    </w:rPr>
  </w:style>
  <w:style w:type="paragraph" w:customStyle="1" w:styleId="1479">
    <w:name w:val="Char14"/>
    <w:basedOn w:val="1"/>
    <w:autoRedefine/>
    <w:qFormat/>
    <w:uiPriority w:val="0"/>
    <w:pPr>
      <w:autoSpaceDE w:val="0"/>
      <w:autoSpaceDN w:val="0"/>
      <w:adjustRightInd w:val="0"/>
      <w:snapToGrid w:val="0"/>
      <w:spacing w:before="50" w:after="50" w:line="360" w:lineRule="auto"/>
      <w:ind w:firstLine="560" w:firstLineChars="200"/>
    </w:pPr>
    <w:rPr>
      <w:rFonts w:eastAsia="Times New Roman"/>
      <w:sz w:val="28"/>
      <w:szCs w:val="28"/>
    </w:rPr>
  </w:style>
  <w:style w:type="paragraph" w:customStyle="1" w:styleId="1480">
    <w:name w:val="Char16"/>
    <w:basedOn w:val="1"/>
    <w:autoRedefine/>
    <w:qFormat/>
    <w:uiPriority w:val="0"/>
    <w:pPr>
      <w:autoSpaceDE w:val="0"/>
      <w:autoSpaceDN w:val="0"/>
      <w:adjustRightInd w:val="0"/>
      <w:snapToGrid w:val="0"/>
      <w:spacing w:before="50" w:after="50" w:line="360" w:lineRule="auto"/>
      <w:ind w:firstLine="560" w:firstLineChars="200"/>
    </w:pPr>
    <w:rPr>
      <w:rFonts w:eastAsia="Times New Roman"/>
      <w:sz w:val="28"/>
      <w:szCs w:val="28"/>
    </w:rPr>
  </w:style>
  <w:style w:type="paragraph" w:customStyle="1" w:styleId="1481">
    <w:name w:val="Char17"/>
    <w:basedOn w:val="1"/>
    <w:autoRedefine/>
    <w:qFormat/>
    <w:uiPriority w:val="0"/>
    <w:pPr>
      <w:autoSpaceDE w:val="0"/>
      <w:autoSpaceDN w:val="0"/>
      <w:adjustRightInd w:val="0"/>
      <w:snapToGrid w:val="0"/>
      <w:spacing w:before="50" w:after="50" w:line="360" w:lineRule="auto"/>
      <w:ind w:firstLine="560" w:firstLineChars="200"/>
    </w:pPr>
    <w:rPr>
      <w:rFonts w:eastAsia="Times New Roman"/>
      <w:sz w:val="28"/>
      <w:szCs w:val="28"/>
    </w:rPr>
  </w:style>
  <w:style w:type="paragraph" w:customStyle="1" w:styleId="1482">
    <w:name w:val="Char18"/>
    <w:basedOn w:val="1"/>
    <w:autoRedefine/>
    <w:qFormat/>
    <w:uiPriority w:val="0"/>
    <w:pPr>
      <w:autoSpaceDE w:val="0"/>
      <w:autoSpaceDN w:val="0"/>
      <w:adjustRightInd w:val="0"/>
      <w:snapToGrid w:val="0"/>
      <w:spacing w:before="50" w:after="50" w:line="360" w:lineRule="auto"/>
      <w:ind w:firstLine="560" w:firstLineChars="200"/>
    </w:pPr>
    <w:rPr>
      <w:rFonts w:eastAsia="Times New Roman"/>
      <w:sz w:val="28"/>
      <w:szCs w:val="28"/>
    </w:rPr>
  </w:style>
  <w:style w:type="table" w:customStyle="1" w:styleId="1483">
    <w:name w:val="三线表8"/>
    <w:basedOn w:val="75"/>
    <w:autoRedefine/>
    <w:qFormat/>
    <w:uiPriority w:val="0"/>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84">
    <w:name w:val="Char19"/>
    <w:basedOn w:val="1"/>
    <w:autoRedefine/>
    <w:qFormat/>
    <w:uiPriority w:val="0"/>
    <w:pPr>
      <w:autoSpaceDE w:val="0"/>
      <w:autoSpaceDN w:val="0"/>
      <w:adjustRightInd w:val="0"/>
      <w:snapToGrid w:val="0"/>
      <w:spacing w:before="50" w:after="50" w:line="360" w:lineRule="auto"/>
      <w:ind w:firstLine="560" w:firstLineChars="200"/>
    </w:pPr>
    <w:rPr>
      <w:rFonts w:eastAsia="Times New Roman"/>
      <w:sz w:val="28"/>
      <w:szCs w:val="28"/>
    </w:rPr>
  </w:style>
  <w:style w:type="paragraph" w:customStyle="1" w:styleId="1485">
    <w:name w:val="contentfon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486">
    <w:name w:val="正文-Bo"/>
    <w:link w:val="1503"/>
    <w:autoRedefine/>
    <w:qFormat/>
    <w:uiPriority w:val="0"/>
    <w:pPr>
      <w:widowControl w:val="0"/>
      <w:snapToGrid w:val="0"/>
      <w:spacing w:line="540" w:lineRule="exact"/>
      <w:ind w:firstLine="200" w:firstLineChars="200"/>
      <w:jc w:val="both"/>
    </w:pPr>
    <w:rPr>
      <w:rFonts w:ascii="Times New Roman" w:hAnsi="Times New Roman" w:eastAsia="华文仿宋" w:cstheme="minorBidi"/>
      <w:kern w:val="2"/>
      <w:sz w:val="24"/>
      <w:szCs w:val="22"/>
      <w:lang w:val="en-US" w:eastAsia="zh-CN" w:bidi="ar-SA"/>
    </w:rPr>
  </w:style>
  <w:style w:type="paragraph" w:customStyle="1" w:styleId="1487">
    <w:name w:val="表头-Bo"/>
    <w:basedOn w:val="1488"/>
    <w:link w:val="1501"/>
    <w:autoRedefine/>
    <w:qFormat/>
    <w:uiPriority w:val="0"/>
    <w:pPr>
      <w:widowControl w:val="0"/>
      <w:spacing w:line="240" w:lineRule="auto"/>
      <w:ind w:firstLine="0" w:firstLineChars="0"/>
      <w:jc w:val="center"/>
    </w:pPr>
    <w:rPr>
      <w:rFonts w:ascii="Times New Roman" w:hAnsi="Times New Roman" w:eastAsia="华文仿宋" w:cstheme="minorBidi"/>
      <w:kern w:val="2"/>
      <w:sz w:val="21"/>
      <w:szCs w:val="22"/>
      <w:lang w:val="en-US" w:eastAsia="zh-CN" w:bidi="ar-SA"/>
    </w:rPr>
  </w:style>
  <w:style w:type="paragraph" w:customStyle="1" w:styleId="1488">
    <w:name w:val="表头-le"/>
    <w:link w:val="1502"/>
    <w:autoRedefine/>
    <w:qFormat/>
    <w:uiPriority w:val="0"/>
    <w:pPr>
      <w:widowControl w:val="0"/>
      <w:spacing w:line="240" w:lineRule="auto"/>
      <w:ind w:firstLine="0" w:firstLineChars="0"/>
      <w:jc w:val="center"/>
    </w:pPr>
    <w:rPr>
      <w:rFonts w:ascii="Times New Roman" w:hAnsi="Times New Roman" w:eastAsia="宋体" w:cstheme="minorBidi"/>
      <w:b/>
      <w:kern w:val="2"/>
      <w:sz w:val="21"/>
      <w:szCs w:val="22"/>
      <w:lang w:val="en-US" w:eastAsia="zh-CN" w:bidi="ar-SA"/>
    </w:rPr>
  </w:style>
  <w:style w:type="paragraph" w:customStyle="1" w:styleId="1489">
    <w:name w:val="表文-Bo"/>
    <w:basedOn w:val="1487"/>
    <w:link w:val="1500"/>
    <w:autoRedefine/>
    <w:qFormat/>
    <w:uiPriority w:val="0"/>
    <w:pPr>
      <w:widowControl w:val="0"/>
      <w:spacing w:line="240" w:lineRule="auto"/>
      <w:ind w:firstLine="0" w:firstLineChars="0"/>
      <w:jc w:val="center"/>
    </w:pPr>
    <w:rPr>
      <w:rFonts w:ascii="Times New Roman" w:hAnsi="Times New Roman" w:eastAsia="华文仿宋" w:cstheme="minorBidi"/>
      <w:color w:val="000000" w:themeColor="text1"/>
      <w:kern w:val="2"/>
      <w:sz w:val="21"/>
      <w:szCs w:val="22"/>
      <w:lang w:val="en-US" w:eastAsia="zh-CN" w:bidi="ar-SA"/>
      <w14:textFill>
        <w14:solidFill>
          <w14:schemeClr w14:val="tx1"/>
        </w14:solidFill>
      </w14:textFill>
    </w:rPr>
  </w:style>
  <w:style w:type="paragraph" w:customStyle="1" w:styleId="1490">
    <w:name w:val="图标-Bo"/>
    <w:basedOn w:val="1491"/>
    <w:link w:val="1498"/>
    <w:autoRedefine/>
    <w:qFormat/>
    <w:uiPriority w:val="0"/>
    <w:pPr>
      <w:widowControl w:val="0"/>
      <w:spacing w:line="360" w:lineRule="auto"/>
      <w:ind w:firstLine="0" w:firstLineChars="0"/>
      <w:jc w:val="center"/>
    </w:pPr>
    <w:rPr>
      <w:rFonts w:ascii="Times New Roman" w:hAnsi="Times New Roman" w:eastAsia="华文仿宋" w:cstheme="minorBidi"/>
      <w:b/>
      <w:kern w:val="2"/>
      <w:sz w:val="24"/>
      <w:szCs w:val="22"/>
      <w:lang w:val="en-US" w:eastAsia="zh-CN" w:bidi="ar-SA"/>
    </w:rPr>
  </w:style>
  <w:style w:type="paragraph" w:customStyle="1" w:styleId="1491">
    <w:name w:val="图标-le"/>
    <w:link w:val="1499"/>
    <w:autoRedefine/>
    <w:qFormat/>
    <w:uiPriority w:val="0"/>
    <w:pPr>
      <w:widowControl w:val="0"/>
      <w:spacing w:line="360" w:lineRule="auto"/>
      <w:ind w:firstLine="0" w:firstLineChars="0"/>
      <w:jc w:val="center"/>
    </w:pPr>
    <w:rPr>
      <w:rFonts w:ascii="Times New Roman" w:hAnsi="Times New Roman" w:eastAsia="宋体" w:cstheme="minorBidi"/>
      <w:kern w:val="2"/>
      <w:sz w:val="24"/>
      <w:szCs w:val="22"/>
      <w:lang w:val="en-US" w:eastAsia="zh-CN" w:bidi="ar-SA"/>
    </w:rPr>
  </w:style>
  <w:style w:type="paragraph" w:customStyle="1" w:styleId="1492">
    <w:name w:val="标题3-Bo"/>
    <w:qFormat/>
    <w:uiPriority w:val="0"/>
    <w:pPr>
      <w:keepNext/>
      <w:keepLines/>
      <w:widowControl w:val="0"/>
      <w:spacing w:before="0" w:after="0" w:line="540" w:lineRule="exact"/>
      <w:ind w:firstLine="0" w:firstLineChars="0"/>
      <w:jc w:val="both"/>
      <w:outlineLvl w:val="2"/>
    </w:pPr>
    <w:rPr>
      <w:rFonts w:ascii="Times New Roman" w:hAnsi="Times New Roman" w:eastAsia="华文仿宋" w:cstheme="minorBidi"/>
      <w:b/>
      <w:bCs/>
      <w:kern w:val="2"/>
      <w:sz w:val="30"/>
      <w:szCs w:val="32"/>
      <w:lang w:val="en-US" w:eastAsia="zh-CN" w:bidi="ar-SA"/>
    </w:rPr>
  </w:style>
  <w:style w:type="paragraph" w:customStyle="1" w:styleId="1493">
    <w:name w:val="标题4-Bo"/>
    <w:autoRedefine/>
    <w:qFormat/>
    <w:uiPriority w:val="0"/>
    <w:pPr>
      <w:keepNext/>
      <w:keepLines/>
      <w:widowControl w:val="0"/>
      <w:spacing w:before="0" w:after="0" w:line="540" w:lineRule="exact"/>
      <w:ind w:firstLine="0" w:firstLineChars="0"/>
      <w:jc w:val="left"/>
      <w:outlineLvl w:val="3"/>
    </w:pPr>
    <w:rPr>
      <w:rFonts w:ascii="Times New Roman" w:hAnsi="Times New Roman" w:eastAsia="华文仿宋" w:cstheme="majorBidi"/>
      <w:b/>
      <w:bCs/>
      <w:kern w:val="2"/>
      <w:sz w:val="28"/>
      <w:szCs w:val="28"/>
      <w:lang w:val="en-US" w:eastAsia="zh-CN" w:bidi="ar-SA"/>
    </w:rPr>
  </w:style>
  <w:style w:type="paragraph" w:customStyle="1" w:styleId="1494">
    <w:name w:val="标题2-Bo"/>
    <w:basedOn w:val="1495"/>
    <w:autoRedefine/>
    <w:qFormat/>
    <w:uiPriority w:val="0"/>
    <w:pPr>
      <w:keepNext/>
      <w:keepLines/>
      <w:widowControl w:val="0"/>
      <w:spacing w:line="540" w:lineRule="exact"/>
      <w:ind w:firstLine="0" w:firstLineChars="0"/>
      <w:jc w:val="both"/>
      <w:outlineLvl w:val="1"/>
    </w:pPr>
    <w:rPr>
      <w:rFonts w:ascii="Times New Roman" w:hAnsi="Times New Roman" w:eastAsia="华文仿宋" w:cstheme="minorBidi"/>
      <w:kern w:val="44"/>
      <w:sz w:val="32"/>
      <w:szCs w:val="44"/>
      <w:lang w:val="en-US" w:eastAsia="zh-CN" w:bidi="ar-SA"/>
    </w:rPr>
  </w:style>
  <w:style w:type="paragraph" w:customStyle="1" w:styleId="1495">
    <w:name w:val="标题1-Bo"/>
    <w:autoRedefine/>
    <w:qFormat/>
    <w:uiPriority w:val="0"/>
    <w:pPr>
      <w:keepNext/>
      <w:keepLines/>
      <w:widowControl w:val="0"/>
      <w:spacing w:line="540" w:lineRule="exact"/>
      <w:ind w:firstLine="0" w:firstLineChars="0"/>
      <w:jc w:val="both"/>
      <w:outlineLvl w:val="0"/>
    </w:pPr>
    <w:rPr>
      <w:rFonts w:ascii="Times New Roman" w:hAnsi="Times New Roman" w:eastAsia="华文仿宋" w:cstheme="minorBidi"/>
      <w:b/>
      <w:bCs/>
      <w:kern w:val="44"/>
      <w:sz w:val="36"/>
      <w:szCs w:val="44"/>
      <w:lang w:val="en-US" w:eastAsia="zh-CN" w:bidi="ar-SA"/>
    </w:rPr>
  </w:style>
  <w:style w:type="table" w:customStyle="1" w:styleId="1496">
    <w:name w:val="报告表格1"/>
    <w:autoRedefine/>
    <w:qFormat/>
    <w:uiPriority w:val="0"/>
    <w:pPr>
      <w:jc w:val="center"/>
    </w:pPr>
    <w:tblPr>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rPr>
      <w:trHeight w:val="70" w:hRule="atLeast"/>
      <w:jc w:val="center"/>
    </w:trPr>
    <w:tcPr>
      <w:vAlign w:val="center"/>
    </w:tcPr>
  </w:style>
  <w:style w:type="paragraph" w:customStyle="1" w:styleId="1497">
    <w:name w:val=" Char"/>
    <w:basedOn w:val="1"/>
    <w:autoRedefine/>
    <w:qFormat/>
    <w:uiPriority w:val="0"/>
    <w:rPr>
      <w:sz w:val="32"/>
      <w:szCs w:val="32"/>
    </w:rPr>
  </w:style>
  <w:style w:type="character" w:customStyle="1" w:styleId="1498">
    <w:name w:val="图标-Bo 字符"/>
    <w:basedOn w:val="1499"/>
    <w:link w:val="1490"/>
    <w:autoRedefine/>
    <w:qFormat/>
    <w:uiPriority w:val="0"/>
    <w:rPr>
      <w:rFonts w:ascii="Times New Roman" w:hAnsi="Times New Roman" w:eastAsia="华文仿宋" w:cstheme="minorBidi"/>
      <w:b/>
      <w:kern w:val="2"/>
      <w:sz w:val="24"/>
      <w:szCs w:val="22"/>
      <w:lang w:val="en-US" w:eastAsia="zh-CN" w:bidi="ar-SA"/>
    </w:rPr>
  </w:style>
  <w:style w:type="character" w:customStyle="1" w:styleId="1499">
    <w:name w:val="图标-le 字符"/>
    <w:basedOn w:val="83"/>
    <w:link w:val="1491"/>
    <w:autoRedefine/>
    <w:qFormat/>
    <w:uiPriority w:val="0"/>
    <w:rPr>
      <w:rFonts w:ascii="Times New Roman" w:hAnsi="Times New Roman" w:eastAsia="宋体" w:cstheme="minorBidi"/>
      <w:kern w:val="2"/>
      <w:sz w:val="24"/>
      <w:szCs w:val="22"/>
      <w:lang w:val="en-US" w:eastAsia="zh-CN" w:bidi="ar-SA"/>
    </w:rPr>
  </w:style>
  <w:style w:type="character" w:customStyle="1" w:styleId="1500">
    <w:name w:val="表文-Bo 字符"/>
    <w:basedOn w:val="1501"/>
    <w:link w:val="1489"/>
    <w:autoRedefine/>
    <w:qFormat/>
    <w:uiPriority w:val="0"/>
    <w:rPr>
      <w:rFonts w:ascii="Times New Roman" w:hAnsi="Times New Roman" w:eastAsia="华文仿宋" w:cstheme="minorBidi"/>
      <w:color w:val="000000" w:themeColor="text1"/>
      <w:kern w:val="2"/>
      <w:sz w:val="21"/>
      <w:szCs w:val="22"/>
      <w:lang w:val="en-US" w:eastAsia="zh-CN" w:bidi="ar-SA"/>
      <w14:textFill>
        <w14:solidFill>
          <w14:schemeClr w14:val="tx1"/>
        </w14:solidFill>
      </w14:textFill>
    </w:rPr>
  </w:style>
  <w:style w:type="character" w:customStyle="1" w:styleId="1501">
    <w:name w:val="表头-Bo 字符"/>
    <w:basedOn w:val="1502"/>
    <w:link w:val="1487"/>
    <w:autoRedefine/>
    <w:qFormat/>
    <w:uiPriority w:val="0"/>
    <w:rPr>
      <w:rFonts w:ascii="Times New Roman" w:hAnsi="Times New Roman" w:eastAsia="华文仿宋" w:cstheme="minorBidi"/>
      <w:kern w:val="2"/>
      <w:sz w:val="21"/>
      <w:szCs w:val="22"/>
      <w:lang w:val="en-US" w:eastAsia="zh-CN" w:bidi="ar-SA"/>
    </w:rPr>
  </w:style>
  <w:style w:type="character" w:customStyle="1" w:styleId="1502">
    <w:name w:val="表头-le 字符"/>
    <w:basedOn w:val="83"/>
    <w:link w:val="1488"/>
    <w:autoRedefine/>
    <w:qFormat/>
    <w:uiPriority w:val="0"/>
    <w:rPr>
      <w:rFonts w:ascii="Times New Roman" w:hAnsi="Times New Roman" w:eastAsia="宋体" w:cstheme="minorBidi"/>
      <w:b/>
      <w:kern w:val="2"/>
      <w:sz w:val="21"/>
      <w:szCs w:val="22"/>
      <w:lang w:val="en-US" w:eastAsia="zh-CN" w:bidi="ar-SA"/>
    </w:rPr>
  </w:style>
  <w:style w:type="character" w:customStyle="1" w:styleId="1503">
    <w:name w:val="正文-Bo 字符"/>
    <w:basedOn w:val="83"/>
    <w:link w:val="1486"/>
    <w:autoRedefine/>
    <w:qFormat/>
    <w:uiPriority w:val="0"/>
    <w:rPr>
      <w:rFonts w:ascii="Times New Roman" w:hAnsi="Times New Roman" w:eastAsia="华文仿宋" w:cstheme="minorBidi"/>
      <w:kern w:val="2"/>
      <w:sz w:val="24"/>
      <w:szCs w:val="22"/>
      <w:lang w:val="en-US" w:eastAsia="zh-CN" w:bidi="ar-SA"/>
    </w:rPr>
  </w:style>
  <w:style w:type="paragraph" w:customStyle="1" w:styleId="1504">
    <w:name w:val="环表头"/>
    <w:basedOn w:val="1"/>
    <w:autoRedefine/>
    <w:qFormat/>
    <w:uiPriority w:val="0"/>
    <w:pPr>
      <w:widowControl/>
      <w:suppressAutoHyphens/>
      <w:adjustRightInd w:val="0"/>
      <w:spacing w:before="156" w:beforeLines="50" w:line="500" w:lineRule="exact"/>
      <w:jc w:val="center"/>
      <w:textAlignment w:val="baseline"/>
    </w:pPr>
    <w:rPr>
      <w:rFonts w:eastAsia="仿宋_GB2312"/>
      <w:b/>
      <w:color w:val="000000"/>
      <w:kern w:val="0"/>
      <w:sz w:val="28"/>
      <w:szCs w:val="28"/>
    </w:rPr>
  </w:style>
  <w:style w:type="paragraph" w:customStyle="1" w:styleId="1505">
    <w:name w:val="G表内文字"/>
    <w:basedOn w:val="1"/>
    <w:next w:val="677"/>
    <w:autoRedefine/>
    <w:qFormat/>
    <w:uiPriority w:val="0"/>
    <w:pPr>
      <w:jc w:val="center"/>
    </w:pPr>
    <w:rPr>
      <w:rFonts w:ascii="Times New Roman" w:eastAsia="Times New Roman"/>
      <w:sz w:val="21"/>
    </w:rPr>
  </w:style>
  <w:style w:type="paragraph" w:customStyle="1" w:styleId="1506">
    <w:name w:val="君邦正文"/>
    <w:autoRedefine/>
    <w:qFormat/>
    <w:uiPriority w:val="0"/>
    <w:pPr>
      <w:snapToGrid w:val="0"/>
      <w:spacing w:after="60" w:line="360" w:lineRule="auto"/>
      <w:ind w:firstLine="480" w:firstLineChars="200"/>
      <w:jc w:val="both"/>
    </w:pPr>
    <w:rPr>
      <w:rFonts w:ascii="Times New Roman" w:hAnsi="Times New Roman" w:eastAsia="Times New Roman" w:cs="Times New Roman"/>
      <w:bCs/>
      <w:snapToGrid w:val="0"/>
      <w:sz w:val="24"/>
      <w:lang w:val="en-US" w:eastAsia="zh-CN" w:bidi="ar-SA"/>
    </w:rPr>
  </w:style>
  <w:style w:type="paragraph" w:customStyle="1" w:styleId="1507">
    <w:name w:val="正文A"/>
    <w:basedOn w:val="42"/>
    <w:qFormat/>
    <w:uiPriority w:val="0"/>
    <w:pPr>
      <w:snapToGrid w:val="0"/>
      <w:spacing w:line="360" w:lineRule="auto"/>
      <w:ind w:firstLine="201" w:firstLineChars="201"/>
    </w:pPr>
    <w:rPr>
      <w:rFonts w:ascii="Times New Roman" w:hAnsi="Times New Roman"/>
      <w:sz w:val="24"/>
      <w:szCs w:val="21"/>
    </w:rPr>
  </w:style>
  <w:style w:type="paragraph" w:customStyle="1" w:styleId="1508">
    <w:name w:val="sn表题与图表"/>
    <w:basedOn w:val="1509"/>
    <w:autoRedefine/>
    <w:qFormat/>
    <w:uiPriority w:val="0"/>
    <w:pPr>
      <w:snapToGrid w:val="0"/>
      <w:spacing w:line="240" w:lineRule="auto"/>
      <w:ind w:firstLine="0" w:firstLineChars="0"/>
      <w:jc w:val="center"/>
    </w:pPr>
    <w:rPr>
      <w:snapToGrid w:val="0"/>
      <w:szCs w:val="21"/>
    </w:rPr>
  </w:style>
  <w:style w:type="paragraph" w:customStyle="1" w:styleId="1509">
    <w:name w:val="sn正文"/>
    <w:basedOn w:val="1"/>
    <w:autoRedefine/>
    <w:qFormat/>
    <w:uiPriority w:val="0"/>
    <w:pPr>
      <w:spacing w:line="360" w:lineRule="auto"/>
      <w:ind w:firstLine="480" w:firstLineChars="200"/>
    </w:pPr>
    <w:rPr>
      <w:kern w:val="0"/>
      <w:sz w:val="24"/>
      <w:szCs w:val="24"/>
    </w:rPr>
  </w:style>
  <w:style w:type="paragraph" w:customStyle="1" w:styleId="1510">
    <w:name w:val="样式 样式 样式 四号 左侧:  1.53 厘米 + 首行缩进:  2 字符 + 居中 左侧:  2 字符 首行缩进:  2..."/>
    <w:basedOn w:val="1511"/>
    <w:qFormat/>
    <w:uiPriority w:val="0"/>
    <w:pPr>
      <w:spacing w:line="240" w:lineRule="auto"/>
      <w:ind w:firstLine="0" w:firstLineChars="0"/>
      <w:jc w:val="center"/>
    </w:pPr>
  </w:style>
  <w:style w:type="paragraph" w:customStyle="1" w:styleId="1511">
    <w:name w:val="样式 样式 四号 左侧:  1.53 厘米 + 首行缩进:  2 字符"/>
    <w:basedOn w:val="1512"/>
    <w:autoRedefine/>
    <w:qFormat/>
    <w:uiPriority w:val="0"/>
    <w:pPr>
      <w:ind w:left="200" w:leftChars="200"/>
    </w:pPr>
    <w:rPr>
      <w:szCs w:val="20"/>
    </w:rPr>
  </w:style>
  <w:style w:type="paragraph" w:customStyle="1" w:styleId="1512">
    <w:name w:val="样式 四号 左侧:  1.53 厘米"/>
    <w:basedOn w:val="1"/>
    <w:autoRedefine/>
    <w:qFormat/>
    <w:uiPriority w:val="0"/>
    <w:pPr>
      <w:adjustRightInd w:val="0"/>
    </w:pPr>
    <w:rPr>
      <w:w w:val="90"/>
      <w:sz w:val="28"/>
      <w:szCs w:val="28"/>
    </w:rPr>
  </w:style>
  <w:style w:type="paragraph" w:customStyle="1" w:styleId="1513">
    <w:name w:val="表格内"/>
    <w:autoRedefine/>
    <w:qFormat/>
    <w:uiPriority w:val="0"/>
    <w:pPr>
      <w:tabs>
        <w:tab w:val="left" w:pos="720"/>
      </w:tabs>
      <w:jc w:val="center"/>
    </w:pPr>
    <w:rPr>
      <w:rFonts w:ascii="Times New Roman" w:hAnsi="Times New Roman" w:eastAsia="宋体" w:cs="Times New Roman"/>
      <w:sz w:val="21"/>
      <w:lang w:val="en-US" w:eastAsia="zh-CN" w:bidi="ar-SA"/>
    </w:rPr>
  </w:style>
  <w:style w:type="paragraph" w:customStyle="1" w:styleId="1514">
    <w:name w:val="报告正文小四"/>
    <w:basedOn w:val="1"/>
    <w:qFormat/>
    <w:uiPriority w:val="0"/>
    <w:pPr>
      <w:adjustRightInd w:val="0"/>
      <w:snapToGrid w:val="0"/>
      <w:spacing w:line="360" w:lineRule="auto"/>
      <w:ind w:firstLine="420"/>
      <w:jc w:val="left"/>
    </w:pPr>
    <w:rPr>
      <w:kern w:val="0"/>
      <w:sz w:val="24"/>
      <w:szCs w:val="20"/>
    </w:rPr>
  </w:style>
  <w:style w:type="paragraph" w:customStyle="1" w:styleId="1515">
    <w:name w:val="表格7，单倍"/>
    <w:basedOn w:val="97"/>
    <w:qFormat/>
    <w:uiPriority w:val="0"/>
  </w:style>
  <w:style w:type="paragraph" w:customStyle="1" w:styleId="1516">
    <w:name w:val="Normal_4_3"/>
    <w:qFormat/>
    <w:uiPriority w:val="0"/>
    <w:pPr>
      <w:spacing w:before="120" w:after="240"/>
      <w:jc w:val="both"/>
    </w:pPr>
    <w:rPr>
      <w:rFonts w:ascii="Calibri" w:hAnsi="Calibri" w:eastAsia="Calibri" w:cs="Times New Roman"/>
      <w:sz w:val="22"/>
      <w:szCs w:val="22"/>
      <w:lang w:val="ru-RU" w:eastAsia="en-US" w:bidi="ar-SA"/>
    </w:rPr>
  </w:style>
  <w:style w:type="paragraph" w:customStyle="1" w:styleId="1517">
    <w:name w:val="Table Text"/>
    <w:basedOn w:val="1"/>
    <w:semiHidden/>
    <w:qFormat/>
    <w:uiPriority w:val="0"/>
    <w:rPr>
      <w:rFonts w:ascii="Arial" w:hAnsi="Arial" w:eastAsia="Arial" w:cs="Arial"/>
      <w:sz w:val="21"/>
      <w:szCs w:val="21"/>
      <w:lang w:val="en-US" w:eastAsia="en-US" w:bidi="ar-SA"/>
    </w:rPr>
  </w:style>
  <w:style w:type="paragraph" w:customStyle="1" w:styleId="1518">
    <w:name w:val="JWoo14"/>
    <w:basedOn w:val="1"/>
    <w:qFormat/>
    <w:uiPriority w:val="0"/>
    <w:pPr>
      <w:widowControl/>
      <w:spacing w:before="120" w:after="120" w:line="360" w:lineRule="auto"/>
      <w:ind w:firstLine="200" w:firstLineChars="200"/>
      <w:jc w:val="left"/>
    </w:pPr>
    <w:rPr>
      <w:w w:val="101"/>
      <w:kern w:val="0"/>
      <w:sz w:val="24"/>
      <w:szCs w:val="20"/>
    </w:rPr>
  </w:style>
  <w:style w:type="paragraph" w:customStyle="1" w:styleId="1519">
    <w:name w:val="养猪报告正文"/>
    <w:basedOn w:val="1520"/>
    <w:qFormat/>
    <w:uiPriority w:val="0"/>
    <w:pPr>
      <w:ind w:firstLine="480"/>
    </w:pPr>
  </w:style>
  <w:style w:type="paragraph" w:customStyle="1" w:styleId="1520">
    <w:name w:val="报告书正文"/>
    <w:basedOn w:val="1"/>
    <w:qFormat/>
    <w:uiPriority w:val="0"/>
    <w:pPr>
      <w:spacing w:line="360" w:lineRule="auto"/>
      <w:ind w:firstLine="480" w:firstLineChars="200"/>
    </w:pPr>
    <w:rPr>
      <w:rFonts w:eastAsia="宋体"/>
      <w:kern w:val="2"/>
      <w:sz w:val="24"/>
      <w:szCs w:val="24"/>
      <w:lang w:val="en-US" w:eastAsia="zh-CN" w:bidi="ar-SA"/>
    </w:rPr>
  </w:style>
  <w:style w:type="paragraph" w:customStyle="1" w:styleId="1521">
    <w:name w:val="报告 正文"/>
    <w:basedOn w:val="1"/>
    <w:qFormat/>
    <w:uiPriority w:val="0"/>
    <w:pPr>
      <w:adjustRightInd w:val="0"/>
      <w:spacing w:line="360" w:lineRule="auto"/>
      <w:ind w:firstLine="480" w:firstLineChars="200"/>
    </w:pPr>
    <w:rPr>
      <w:rFonts w:ascii="宋体" w:hAnsi="宋体"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26.jpeg"/><Relationship Id="rId55" Type="http://schemas.openxmlformats.org/officeDocument/2006/relationships/image" Target="media/image25.png"/><Relationship Id="rId54" Type="http://schemas.openxmlformats.org/officeDocument/2006/relationships/image" Target="media/image24.png"/><Relationship Id="rId53" Type="http://schemas.openxmlformats.org/officeDocument/2006/relationships/image" Target="media/image23.png"/><Relationship Id="rId52" Type="http://schemas.openxmlformats.org/officeDocument/2006/relationships/image" Target="media/image22.png"/><Relationship Id="rId51" Type="http://schemas.openxmlformats.org/officeDocument/2006/relationships/image" Target="media/image21.wmf"/><Relationship Id="rId50" Type="http://schemas.openxmlformats.org/officeDocument/2006/relationships/image" Target="media/image20.wmf"/><Relationship Id="rId5" Type="http://schemas.openxmlformats.org/officeDocument/2006/relationships/footer" Target="footer2.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jpe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emf"/><Relationship Id="rId41" Type="http://schemas.openxmlformats.org/officeDocument/2006/relationships/oleObject" Target="embeddings/oleObject2.bin"/><Relationship Id="rId40" Type="http://schemas.openxmlformats.org/officeDocument/2006/relationships/image" Target="media/image11.emf"/><Relationship Id="rId4" Type="http://schemas.openxmlformats.org/officeDocument/2006/relationships/footer" Target="footer1.xml"/><Relationship Id="rId39" Type="http://schemas.openxmlformats.org/officeDocument/2006/relationships/oleObject" Target="embeddings/oleObject1.bin"/><Relationship Id="rId38" Type="http://schemas.openxmlformats.org/officeDocument/2006/relationships/image" Target="media/image10.png"/><Relationship Id="rId37" Type="http://schemas.openxmlformats.org/officeDocument/2006/relationships/image" Target="media/image9.wmf"/><Relationship Id="rId36" Type="http://schemas.openxmlformats.org/officeDocument/2006/relationships/image" Target="media/image8.jpe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jpeg"/><Relationship Id="rId32" Type="http://schemas.openxmlformats.org/officeDocument/2006/relationships/image" Target="media/image4.wmf"/><Relationship Id="rId31" Type="http://schemas.openxmlformats.org/officeDocument/2006/relationships/image" Target="media/image3.wmf"/><Relationship Id="rId30" Type="http://schemas.openxmlformats.org/officeDocument/2006/relationships/image" Target="media/image2.wmf"/><Relationship Id="rId3" Type="http://schemas.openxmlformats.org/officeDocument/2006/relationships/header" Target="header1.xml"/><Relationship Id="rId29" Type="http://schemas.openxmlformats.org/officeDocument/2006/relationships/image" Target="media/image1.wmf"/><Relationship Id="rId28" Type="http://schemas.openxmlformats.org/officeDocument/2006/relationships/theme" Target="theme/theme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168</Pages>
  <Words>7060</Words>
  <Characters>8289</Characters>
  <Lines>1597</Lines>
  <Paragraphs>449</Paragraphs>
  <TotalTime>21</TotalTime>
  <ScaleCrop>false</ScaleCrop>
  <LinksUpToDate>false</LinksUpToDate>
  <CharactersWithSpaces>8403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2021-09-15T08:06:00Z</dcterms:created>
  <dc:creator>User</dc:creator>
  <cp:lastModifiedBy>赵志会  </cp:lastModifiedBy>
  <dcterms:modified xsi:type="dcterms:W3CDTF">2025-12-05T00:44:34Z</dcterms:modified>
  <dc:title>前  言</dc:title>
  <cp:revision>204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MTWinEqns">
    <vt:bool>true</vt:bool>
  </property>
  <property fmtid="{D5CDD505-2E9C-101B-9397-08002B2CF9AE}" pid="4" name="ICV">
    <vt:lpwstr>25143756BDA845EDA8412CEEA11575DA_13</vt:lpwstr>
  </property>
  <property fmtid="{D5CDD505-2E9C-101B-9397-08002B2CF9AE}" pid="5" name="KSOTemplateDocerSaveRecord">
    <vt:lpwstr>eyJoZGlkIjoiZWM1YWQ1NGI5OTQxYzU1MDYwYzA4ZDkwZjJlMzE3NDIiLCJ1c2VySWQiOiI1MjQzMDE3MzMifQ==</vt:lpwstr>
  </property>
</Properties>
</file>