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684D59">
      <w:pPr>
        <w:pStyle w:val="42"/>
        <w:ind w:firstLine="2640" w:firstLineChars="600"/>
        <w:jc w:val="both"/>
        <w:rPr>
          <w:rFonts w:ascii="方正小标宋简体" w:eastAsia="方正小标宋简体"/>
          <w:b w:val="0"/>
          <w:bCs w:val="0"/>
          <w:color w:val="000000" w:themeColor="text1"/>
          <w:sz w:val="44"/>
          <w:szCs w:val="44"/>
          <w14:textFill>
            <w14:solidFill>
              <w14:schemeClr w14:val="tx1"/>
            </w14:solidFill>
          </w14:textFill>
        </w:rPr>
      </w:pPr>
      <w:r>
        <w:rPr>
          <w:rFonts w:hint="eastAsia" w:ascii="方正小标宋简体" w:hAnsi="Times New Roman" w:eastAsia="方正小标宋简体"/>
          <w:b w:val="0"/>
          <w:bCs w:val="0"/>
          <w:color w:val="000000" w:themeColor="text1"/>
          <w:sz w:val="44"/>
          <w:szCs w:val="44"/>
          <w:lang w:eastAsia="zh-CN"/>
          <w14:textFill>
            <w14:solidFill>
              <w14:schemeClr w14:val="tx1"/>
            </w14:solidFill>
          </w14:textFill>
        </w:rPr>
        <w:t>北票市</w:t>
      </w:r>
      <w:r>
        <w:rPr>
          <w:rFonts w:hint="eastAsia" w:ascii="方正小标宋简体" w:hAnsi="Times New Roman" w:eastAsia="方正小标宋简体"/>
          <w:b w:val="0"/>
          <w:bCs w:val="0"/>
          <w:color w:val="000000" w:themeColor="text1"/>
          <w:sz w:val="44"/>
          <w:szCs w:val="44"/>
          <w14:textFill>
            <w14:solidFill>
              <w14:schemeClr w14:val="tx1"/>
            </w14:solidFill>
          </w14:textFill>
        </w:rPr>
        <w:t>住房和城乡建设</w:t>
      </w:r>
      <w:r>
        <w:rPr>
          <w:rFonts w:hint="eastAsia" w:ascii="方正小标宋简体" w:hAnsi="Times New Roman" w:eastAsia="方正小标宋简体"/>
          <w:b w:val="0"/>
          <w:bCs w:val="0"/>
          <w:color w:val="000000" w:themeColor="text1"/>
          <w:sz w:val="44"/>
          <w:szCs w:val="44"/>
          <w:lang w:eastAsia="zh-CN"/>
          <w14:textFill>
            <w14:solidFill>
              <w14:schemeClr w14:val="tx1"/>
            </w14:solidFill>
          </w14:textFill>
        </w:rPr>
        <w:t>局</w:t>
      </w:r>
      <w:r>
        <w:rPr>
          <w:rFonts w:hint="eastAsia" w:ascii="方正小标宋简体" w:hAnsi="Times New Roman" w:eastAsia="方正小标宋简体"/>
          <w:b w:val="0"/>
          <w:bCs w:val="0"/>
          <w:color w:val="000000" w:themeColor="text1"/>
          <w:sz w:val="44"/>
          <w:szCs w:val="44"/>
          <w14:textFill>
            <w14:solidFill>
              <w14:schemeClr w14:val="tx1"/>
            </w14:solidFill>
          </w14:textFill>
        </w:rPr>
        <w:t>行政处罚裁量权基准</w:t>
      </w:r>
    </w:p>
    <w:p w14:paraId="2EF4D9A3">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方正小标宋简体" w:hAnsi="Times New Roman" w:eastAsia="方正小标宋简体" w:cstheme="majorBidi"/>
          <w:b/>
          <w:bCs/>
          <w:color w:val="000000" w:themeColor="text1"/>
          <w:kern w:val="0"/>
          <w:sz w:val="28"/>
          <w:szCs w:val="28"/>
          <w14:textFill>
            <w14:solidFill>
              <w14:schemeClr w14:val="tx1"/>
            </w14:solidFill>
          </w14:textFill>
        </w:rPr>
      </w:pPr>
    </w:p>
    <w:p w14:paraId="149970F7">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方正小标宋简体" w:hAnsi="Times New Roman" w:eastAsia="方正小标宋简体" w:cstheme="majorBidi"/>
          <w:b/>
          <w:bCs/>
          <w:color w:val="000000" w:themeColor="text1"/>
          <w:kern w:val="0"/>
          <w:sz w:val="28"/>
          <w:szCs w:val="28"/>
          <w14:textFill>
            <w14:solidFill>
              <w14:schemeClr w14:val="tx1"/>
            </w14:solidFill>
          </w14:textFill>
        </w:rPr>
      </w:pPr>
    </w:p>
    <w:p w14:paraId="7A2E66F6">
      <w:pPr>
        <w:pStyle w:val="9"/>
        <w:keepNext w:val="0"/>
        <w:keepLines w:val="0"/>
        <w:pageBreakBefore w:val="0"/>
        <w:kinsoku/>
        <w:wordWrap/>
        <w:overflowPunct/>
        <w:topLinePunct w:val="0"/>
        <w:autoSpaceDE/>
        <w:autoSpaceDN/>
        <w:bidi w:val="0"/>
        <w:adjustRightInd/>
        <w:snapToGrid/>
        <w:spacing w:line="420" w:lineRule="exact"/>
        <w:jc w:val="center"/>
        <w:textAlignment w:val="auto"/>
        <w:outlineLvl w:val="0"/>
        <w:rPr>
          <w:b/>
          <w:color w:val="000000" w:themeColor="text1"/>
          <w14:textFill>
            <w14:solidFill>
              <w14:schemeClr w14:val="tx1"/>
            </w14:solidFill>
          </w14:textFill>
        </w:rPr>
      </w:pPr>
      <w:r>
        <w:rPr>
          <w:rFonts w:hint="eastAsia"/>
          <w:b/>
          <w:color w:val="000000" w:themeColor="text1"/>
          <w14:textFill>
            <w14:solidFill>
              <w14:schemeClr w14:val="tx1"/>
            </w14:solidFill>
          </w14:textFill>
        </w:rPr>
        <w:t>一、</w:t>
      </w:r>
      <w:r>
        <w:rPr>
          <w:rFonts w:hint="eastAsia" w:ascii="仿宋_GB2312" w:hAnsi="宋体" w:eastAsia="仿宋_GB2312"/>
          <w:color w:val="000000" w:themeColor="text1"/>
          <w:kern w:val="0"/>
          <w:szCs w:val="21"/>
          <w:lang w:eastAsia="zh-CN"/>
          <w14:textFill>
            <w14:solidFill>
              <w14:schemeClr w14:val="tx1"/>
            </w14:solidFill>
          </w14:textFill>
        </w:rPr>
        <w:t>《中华人民共和国招标投标法》</w:t>
      </w:r>
      <w:r>
        <w:rPr>
          <w:b/>
          <w:color w:val="000000" w:themeColor="text1"/>
          <w14:textFill>
            <w14:solidFill>
              <w14:schemeClr w14:val="tx1"/>
            </w14:solidFill>
          </w14:textFill>
        </w:rPr>
        <w:ptab w:relativeTo="margin" w:alignment="right" w:leader="dot"/>
      </w:r>
      <w:r>
        <w:rPr>
          <w:rFonts w:hint="eastAsia"/>
          <w:b/>
          <w:color w:val="000000" w:themeColor="text1"/>
          <w14:textFill>
            <w14:solidFill>
              <w14:schemeClr w14:val="tx1"/>
            </w14:solidFill>
          </w14:textFill>
        </w:rPr>
        <w:t>2</w:t>
      </w:r>
    </w:p>
    <w:p w14:paraId="00F31955">
      <w:pPr>
        <w:pStyle w:val="9"/>
        <w:keepNext w:val="0"/>
        <w:keepLines w:val="0"/>
        <w:pageBreakBefore w:val="0"/>
        <w:kinsoku/>
        <w:wordWrap/>
        <w:overflowPunct/>
        <w:topLinePunct w:val="0"/>
        <w:autoSpaceDE/>
        <w:autoSpaceDN/>
        <w:bidi w:val="0"/>
        <w:adjustRightInd/>
        <w:snapToGrid/>
        <w:spacing w:line="420" w:lineRule="exact"/>
        <w:jc w:val="center"/>
        <w:textAlignment w:val="auto"/>
        <w:outlineLvl w:val="0"/>
        <w:rPr>
          <w:rFonts w:hint="default" w:eastAsiaTheme="minorEastAsia"/>
          <w:b/>
          <w:color w:val="000000" w:themeColor="text1"/>
          <w:lang w:val="en-US" w:eastAsia="zh-CN"/>
          <w14:textFill>
            <w14:solidFill>
              <w14:schemeClr w14:val="tx1"/>
            </w14:solidFill>
          </w14:textFill>
        </w:rPr>
      </w:pPr>
      <w:r>
        <w:rPr>
          <w:rFonts w:hint="eastAsia"/>
          <w:b/>
          <w:color w:val="000000" w:themeColor="text1"/>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《建设工程质量管理条例》</w:t>
      </w:r>
      <w:r>
        <w:rPr>
          <w:color w:val="000000" w:themeColor="text1"/>
          <w14:textFill>
            <w14:solidFill>
              <w14:schemeClr w14:val="tx1"/>
            </w14:solidFill>
          </w14:textFill>
        </w:rPr>
        <w:ptab w:relativeTo="margin" w:alignment="right" w:leader="dot"/>
      </w:r>
      <w:r>
        <w:rPr>
          <w:rFonts w:hint="eastAsia"/>
          <w:b/>
          <w:color w:val="000000" w:themeColor="text1"/>
          <w:lang w:val="en-US" w:eastAsia="zh-CN"/>
          <w14:textFill>
            <w14:solidFill>
              <w14:schemeClr w14:val="tx1"/>
            </w14:solidFill>
          </w14:textFill>
        </w:rPr>
        <w:t>14</w:t>
      </w:r>
    </w:p>
    <w:p w14:paraId="08A87F57">
      <w:pPr>
        <w:pStyle w:val="9"/>
        <w:keepNext w:val="0"/>
        <w:keepLines w:val="0"/>
        <w:pageBreakBefore w:val="0"/>
        <w:kinsoku/>
        <w:wordWrap/>
        <w:overflowPunct/>
        <w:topLinePunct w:val="0"/>
        <w:autoSpaceDE/>
        <w:autoSpaceDN/>
        <w:bidi w:val="0"/>
        <w:adjustRightInd/>
        <w:snapToGrid/>
        <w:spacing w:line="420" w:lineRule="exact"/>
        <w:jc w:val="center"/>
        <w:textAlignment w:val="auto"/>
        <w:outlineLvl w:val="0"/>
        <w:rPr>
          <w:rFonts w:hint="default" w:eastAsiaTheme="minorEastAsia"/>
          <w:b/>
          <w:color w:val="000000" w:themeColor="text1"/>
          <w:lang w:val="en-US" w:eastAsia="zh-CN"/>
          <w14:textFill>
            <w14:solidFill>
              <w14:schemeClr w14:val="tx1"/>
            </w14:solidFill>
          </w14:textFill>
        </w:rPr>
      </w:pPr>
      <w:r>
        <w:rPr>
          <w:rFonts w:hint="eastAsia"/>
          <w:b/>
          <w:color w:val="000000" w:themeColor="text1"/>
          <w14:textFill>
            <w14:solidFill>
              <w14:schemeClr w14:val="tx1"/>
            </w14:solidFill>
          </w14:textFill>
        </w:rPr>
        <w:t>三、</w:t>
      </w:r>
      <w:r>
        <w:rPr>
          <w:rFonts w:hint="eastAsia" w:ascii="仿宋_GB2312" w:hAnsi="宋体" w:eastAsia="仿宋_GB2312"/>
          <w:color w:val="000000" w:themeColor="text1"/>
          <w:kern w:val="0"/>
          <w:szCs w:val="21"/>
          <w14:textFill>
            <w14:solidFill>
              <w14:schemeClr w14:val="tx1"/>
            </w14:solidFill>
          </w14:textFill>
        </w:rPr>
        <w:t>《建筑工程施工许可管理办法》</w:t>
      </w:r>
      <w:r>
        <w:rPr>
          <w:b/>
          <w:color w:val="000000" w:themeColor="text1"/>
          <w14:textFill>
            <w14:solidFill>
              <w14:schemeClr w14:val="tx1"/>
            </w14:solidFill>
          </w14:textFill>
        </w:rPr>
        <w:ptab w:relativeTo="margin" w:alignment="right" w:leader="dot"/>
      </w:r>
      <w:r>
        <w:rPr>
          <w:rFonts w:hint="eastAsia"/>
          <w:b/>
          <w:color w:val="000000" w:themeColor="text1"/>
          <w:lang w:val="en-US" w:eastAsia="zh-CN"/>
          <w14:textFill>
            <w14:solidFill>
              <w14:schemeClr w14:val="tx1"/>
            </w14:solidFill>
          </w14:textFill>
        </w:rPr>
        <w:t>46</w:t>
      </w:r>
    </w:p>
    <w:p w14:paraId="2030A190">
      <w:pPr>
        <w:pStyle w:val="9"/>
        <w:keepNext w:val="0"/>
        <w:keepLines w:val="0"/>
        <w:pageBreakBefore w:val="0"/>
        <w:tabs>
          <w:tab w:val="left" w:pos="222"/>
        </w:tabs>
        <w:kinsoku/>
        <w:wordWrap/>
        <w:overflowPunct/>
        <w:topLinePunct w:val="0"/>
        <w:autoSpaceDE/>
        <w:autoSpaceDN/>
        <w:bidi w:val="0"/>
        <w:adjustRightInd/>
        <w:snapToGrid/>
        <w:spacing w:line="420" w:lineRule="exact"/>
        <w:jc w:val="left"/>
        <w:textAlignment w:val="auto"/>
        <w:outlineLvl w:val="0"/>
        <w:rPr>
          <w:rFonts w:hint="default"/>
          <w:b/>
          <w:color w:val="000000" w:themeColor="text1"/>
          <w:lang w:val="en-US" w:eastAsia="zh-CN"/>
          <w14:textFill>
            <w14:solidFill>
              <w14:schemeClr w14:val="tx1"/>
            </w14:solidFill>
          </w14:textFill>
        </w:rPr>
      </w:pPr>
      <w:r>
        <w:rPr>
          <w:rFonts w:hint="eastAsia"/>
          <w:b/>
          <w:color w:val="000000" w:themeColor="text1"/>
          <w:lang w:eastAsia="zh-CN"/>
          <w14:textFill>
            <w14:solidFill>
              <w14:schemeClr w14:val="tx1"/>
            </w14:solidFill>
          </w14:textFill>
        </w:rPr>
        <w:t>四</w:t>
      </w:r>
      <w:r>
        <w:rPr>
          <w:rFonts w:hint="eastAsia"/>
          <w:b/>
          <w:color w:val="000000" w:themeColor="text1"/>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《建设工程安全生产管理条例》</w:t>
      </w:r>
      <w:r>
        <w:rPr>
          <w:b/>
          <w:color w:val="000000" w:themeColor="text1"/>
          <w14:textFill>
            <w14:solidFill>
              <w14:schemeClr w14:val="tx1"/>
            </w14:solidFill>
          </w14:textFill>
        </w:rPr>
        <w:ptab w:relativeTo="margin" w:alignment="right" w:leader="dot"/>
      </w:r>
      <w:r>
        <w:rPr>
          <w:rFonts w:hint="eastAsia"/>
          <w:b/>
          <w:color w:val="000000" w:themeColor="text1"/>
          <w:lang w:val="en-US" w:eastAsia="zh-CN"/>
          <w14:textFill>
            <w14:solidFill>
              <w14:schemeClr w14:val="tx1"/>
            </w14:solidFill>
          </w14:textFill>
        </w:rPr>
        <w:t>48</w:t>
      </w:r>
    </w:p>
    <w:p w14:paraId="110EBE0C">
      <w:pPr>
        <w:pStyle w:val="9"/>
        <w:keepNext w:val="0"/>
        <w:keepLines w:val="0"/>
        <w:pageBreakBefore w:val="0"/>
        <w:tabs>
          <w:tab w:val="left" w:pos="222"/>
        </w:tabs>
        <w:kinsoku/>
        <w:wordWrap/>
        <w:overflowPunct/>
        <w:topLinePunct w:val="0"/>
        <w:autoSpaceDE/>
        <w:autoSpaceDN/>
        <w:bidi w:val="0"/>
        <w:adjustRightInd/>
        <w:snapToGrid/>
        <w:spacing w:line="420" w:lineRule="exact"/>
        <w:jc w:val="left"/>
        <w:textAlignment w:val="auto"/>
        <w:outlineLvl w:val="0"/>
        <w:rPr>
          <w:rFonts w:hint="default" w:eastAsiaTheme="minorEastAsia"/>
          <w:b/>
          <w:color w:val="000000" w:themeColor="text1"/>
          <w:lang w:val="en-US" w:eastAsia="zh-CN"/>
          <w14:textFill>
            <w14:solidFill>
              <w14:schemeClr w14:val="tx1"/>
            </w14:solidFill>
          </w14:textFill>
        </w:rPr>
      </w:pPr>
      <w:r>
        <w:rPr>
          <w:rFonts w:hint="eastAsia"/>
          <w:b/>
          <w:color w:val="000000" w:themeColor="text1"/>
          <w:lang w:eastAsia="zh-CN"/>
          <w14:textFill>
            <w14:solidFill>
              <w14:schemeClr w14:val="tx1"/>
            </w14:solidFill>
          </w14:textFill>
        </w:rPr>
        <w:t>五、</w:t>
      </w:r>
      <w:r>
        <w:rPr>
          <w:rFonts w:hint="eastAsia" w:ascii="仿宋_GB2312" w:hAnsi="宋体" w:eastAsia="仿宋_GB2312"/>
          <w:color w:val="000000" w:themeColor="text1"/>
          <w:kern w:val="0"/>
          <w:szCs w:val="21"/>
          <w:lang w:eastAsia="zh-CN"/>
          <w14:textFill>
            <w14:solidFill>
              <w14:schemeClr w14:val="tx1"/>
            </w14:solidFill>
          </w14:textFill>
        </w:rPr>
        <w:t>《中华人民共和国安全生产法》………………………………………………………………………………………………………………………………</w:t>
      </w:r>
      <w:r>
        <w:rPr>
          <w:rFonts w:hint="eastAsia" w:ascii="仿宋_GB2312" w:hAnsi="宋体" w:eastAsia="仿宋_GB2312"/>
          <w:color w:val="000000" w:themeColor="text1"/>
          <w:kern w:val="0"/>
          <w:szCs w:val="21"/>
          <w:lang w:val="en-US" w:eastAsia="zh-CN"/>
          <w14:textFill>
            <w14:solidFill>
              <w14:schemeClr w14:val="tx1"/>
            </w14:solidFill>
          </w14:textFill>
        </w:rPr>
        <w:t>55</w:t>
      </w:r>
    </w:p>
    <w:p w14:paraId="66B9AE46">
      <w:pPr>
        <w:pStyle w:val="9"/>
        <w:keepNext w:val="0"/>
        <w:keepLines w:val="0"/>
        <w:pageBreakBefore w:val="0"/>
        <w:kinsoku/>
        <w:wordWrap/>
        <w:overflowPunct/>
        <w:topLinePunct w:val="0"/>
        <w:autoSpaceDE/>
        <w:autoSpaceDN/>
        <w:bidi w:val="0"/>
        <w:adjustRightInd/>
        <w:snapToGrid/>
        <w:spacing w:line="420" w:lineRule="exact"/>
        <w:jc w:val="both"/>
        <w:textAlignment w:val="auto"/>
        <w:outlineLvl w:val="0"/>
        <w:rPr>
          <w:rFonts w:hint="default" w:eastAsia="仿宋_GB2312"/>
          <w:b/>
          <w:color w:val="000000" w:themeColor="text1"/>
          <w:lang w:val="en-US" w:eastAsia="zh-CN"/>
          <w14:textFill>
            <w14:solidFill>
              <w14:schemeClr w14:val="tx1"/>
            </w14:solidFill>
          </w14:textFill>
        </w:rPr>
      </w:pPr>
      <w:r>
        <w:rPr>
          <w:rFonts w:hint="eastAsia"/>
          <w:b/>
          <w:color w:val="000000" w:themeColor="text1"/>
          <w:lang w:eastAsia="zh-CN"/>
          <w14:textFill>
            <w14:solidFill>
              <w14:schemeClr w14:val="tx1"/>
            </w14:solidFill>
          </w14:textFill>
        </w:rPr>
        <w:t>六、</w:t>
      </w:r>
      <w:r>
        <w:rPr>
          <w:rFonts w:ascii="仿宋_GB2312" w:hAnsi="宋体" w:eastAsia="仿宋_GB2312"/>
          <w:color w:val="000000" w:themeColor="text1"/>
          <w:kern w:val="0"/>
          <w:szCs w:val="21"/>
          <w14:textFill>
            <w14:solidFill>
              <w14:schemeClr w14:val="tx1"/>
            </w14:solidFill>
          </w14:textFill>
        </w:rPr>
        <w:t>《建筑起重机械安全监督管理</w:t>
      </w:r>
      <w:r>
        <w:rPr>
          <w:rFonts w:hint="eastAsia" w:ascii="仿宋_GB2312" w:hAnsi="宋体" w:eastAsia="仿宋_GB2312"/>
          <w:color w:val="000000" w:themeColor="text1"/>
          <w:kern w:val="0"/>
          <w:szCs w:val="21"/>
          <w:lang w:eastAsia="zh-CN"/>
          <w14:textFill>
            <w14:solidFill>
              <w14:schemeClr w14:val="tx1"/>
            </w14:solidFill>
          </w14:textFill>
        </w:rPr>
        <w:t>规定》…………………………………………………………………………………………………………………………</w:t>
      </w:r>
      <w:r>
        <w:rPr>
          <w:rFonts w:hint="eastAsia" w:ascii="仿宋_GB2312" w:hAnsi="宋体" w:eastAsia="仿宋_GB2312"/>
          <w:color w:val="000000" w:themeColor="text1"/>
          <w:kern w:val="0"/>
          <w:szCs w:val="21"/>
          <w:lang w:val="en-US" w:eastAsia="zh-CN"/>
          <w14:textFill>
            <w14:solidFill>
              <w14:schemeClr w14:val="tx1"/>
            </w14:solidFill>
          </w14:textFill>
        </w:rPr>
        <w:t>68</w:t>
      </w:r>
    </w:p>
    <w:p w14:paraId="7997C745">
      <w:pPr>
        <w:pStyle w:val="9"/>
        <w:keepNext w:val="0"/>
        <w:keepLines w:val="0"/>
        <w:pageBreakBefore w:val="0"/>
        <w:kinsoku/>
        <w:wordWrap/>
        <w:overflowPunct/>
        <w:topLinePunct w:val="0"/>
        <w:autoSpaceDE/>
        <w:autoSpaceDN/>
        <w:bidi w:val="0"/>
        <w:adjustRightInd/>
        <w:snapToGrid/>
        <w:spacing w:line="420" w:lineRule="exact"/>
        <w:jc w:val="center"/>
        <w:textAlignment w:val="auto"/>
        <w:outlineLvl w:val="0"/>
        <w:rPr>
          <w:rFonts w:hint="default" w:eastAsiaTheme="minorEastAsia"/>
          <w:b/>
          <w:color w:val="000000" w:themeColor="text1"/>
          <w:lang w:val="en-US" w:eastAsia="zh-CN"/>
          <w14:textFill>
            <w14:solidFill>
              <w14:schemeClr w14:val="tx1"/>
            </w14:solidFill>
          </w14:textFill>
        </w:rPr>
      </w:pPr>
      <w:r>
        <w:rPr>
          <w:rFonts w:hint="eastAsia"/>
          <w:b/>
          <w:color w:val="000000" w:themeColor="text1"/>
          <w:lang w:eastAsia="zh-CN"/>
          <w14:textFill>
            <w14:solidFill>
              <w14:schemeClr w14:val="tx1"/>
            </w14:solidFill>
          </w14:textFill>
        </w:rPr>
        <w:t>七</w:t>
      </w:r>
      <w:r>
        <w:rPr>
          <w:rFonts w:hint="eastAsia"/>
          <w:b/>
          <w:color w:val="000000" w:themeColor="text1"/>
          <w14:textFill>
            <w14:solidFill>
              <w14:schemeClr w14:val="tx1"/>
            </w14:solidFill>
          </w14:textFill>
        </w:rPr>
        <w:t>、</w:t>
      </w:r>
      <w:r>
        <w:rPr>
          <w:rFonts w:hint="eastAsia" w:ascii="仿宋_GB2312" w:hAnsi="宋体" w:eastAsia="仿宋_GB2312" w:cs="Times New Roman"/>
          <w:color w:val="000000" w:themeColor="text1"/>
          <w:szCs w:val="21"/>
          <w14:textFill>
            <w14:solidFill>
              <w14:schemeClr w14:val="tx1"/>
            </w14:solidFill>
          </w14:textFill>
        </w:rPr>
        <w:t>《物业管理条例》</w:t>
      </w:r>
      <w:r>
        <w:rPr>
          <w:b/>
          <w:color w:val="000000" w:themeColor="text1"/>
          <w14:textFill>
            <w14:solidFill>
              <w14:schemeClr w14:val="tx1"/>
            </w14:solidFill>
          </w14:textFill>
        </w:rPr>
        <w:ptab w:relativeTo="margin" w:alignment="right" w:leader="dot"/>
      </w:r>
      <w:r>
        <w:rPr>
          <w:rFonts w:hint="eastAsia"/>
          <w:b/>
          <w:color w:val="000000" w:themeColor="text1"/>
          <w:lang w:val="en-US" w:eastAsia="zh-CN"/>
          <w14:textFill>
            <w14:solidFill>
              <w14:schemeClr w14:val="tx1"/>
            </w14:solidFill>
          </w14:textFill>
        </w:rPr>
        <w:t>78</w:t>
      </w:r>
    </w:p>
    <w:p w14:paraId="140B01E4">
      <w:pPr>
        <w:pStyle w:val="9"/>
        <w:keepNext w:val="0"/>
        <w:keepLines w:val="0"/>
        <w:pageBreakBefore w:val="0"/>
        <w:kinsoku/>
        <w:wordWrap/>
        <w:overflowPunct/>
        <w:topLinePunct w:val="0"/>
        <w:autoSpaceDE/>
        <w:autoSpaceDN/>
        <w:bidi w:val="0"/>
        <w:adjustRightInd/>
        <w:snapToGrid/>
        <w:spacing w:line="420" w:lineRule="exact"/>
        <w:jc w:val="center"/>
        <w:textAlignment w:val="auto"/>
        <w:outlineLvl w:val="0"/>
        <w:rPr>
          <w:rFonts w:hint="default" w:eastAsiaTheme="minorEastAsia"/>
          <w:b/>
          <w:color w:val="000000" w:themeColor="text1"/>
          <w:lang w:val="en-US" w:eastAsia="zh-CN"/>
          <w14:textFill>
            <w14:solidFill>
              <w14:schemeClr w14:val="tx1"/>
            </w14:solidFill>
          </w14:textFill>
        </w:rPr>
      </w:pPr>
      <w:r>
        <w:rPr>
          <w:rFonts w:hint="eastAsia"/>
          <w:b/>
          <w:color w:val="000000" w:themeColor="text1"/>
          <w:lang w:eastAsia="zh-CN"/>
          <w14:textFill>
            <w14:solidFill>
              <w14:schemeClr w14:val="tx1"/>
            </w14:solidFill>
          </w14:textFill>
        </w:rPr>
        <w:t>八</w:t>
      </w:r>
      <w:r>
        <w:rPr>
          <w:rFonts w:hint="eastAsia"/>
          <w:b/>
          <w:color w:val="000000" w:themeColor="text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《住宅专项维修资金管理办法》</w:t>
      </w:r>
      <w:r>
        <w:rPr>
          <w:b/>
          <w:color w:val="000000" w:themeColor="text1"/>
          <w14:textFill>
            <w14:solidFill>
              <w14:schemeClr w14:val="tx1"/>
            </w14:solidFill>
          </w14:textFill>
        </w:rPr>
        <w:ptab w:relativeTo="margin" w:alignment="right" w:leader="dot"/>
      </w:r>
      <w:r>
        <w:rPr>
          <w:rFonts w:hint="eastAsia"/>
          <w:b/>
          <w:color w:val="000000" w:themeColor="text1"/>
          <w:lang w:val="en-US" w:eastAsia="zh-CN"/>
          <w14:textFill>
            <w14:solidFill>
              <w14:schemeClr w14:val="tx1"/>
            </w14:solidFill>
          </w14:textFill>
        </w:rPr>
        <w:t>83</w:t>
      </w:r>
    </w:p>
    <w:p w14:paraId="7F8F211F">
      <w:pPr>
        <w:pStyle w:val="9"/>
        <w:keepNext w:val="0"/>
        <w:keepLines w:val="0"/>
        <w:pageBreakBefore w:val="0"/>
        <w:kinsoku/>
        <w:wordWrap/>
        <w:overflowPunct/>
        <w:topLinePunct w:val="0"/>
        <w:autoSpaceDE/>
        <w:autoSpaceDN/>
        <w:bidi w:val="0"/>
        <w:adjustRightInd/>
        <w:snapToGrid/>
        <w:spacing w:line="420" w:lineRule="exact"/>
        <w:jc w:val="center"/>
        <w:textAlignment w:val="auto"/>
        <w:outlineLvl w:val="0"/>
        <w:rPr>
          <w:rFonts w:hint="default"/>
          <w:lang w:val="en-US" w:eastAsia="zh-CN"/>
        </w:rPr>
      </w:pPr>
      <w:r>
        <w:rPr>
          <w:rFonts w:hint="eastAsia"/>
          <w:b/>
          <w:color w:val="000000" w:themeColor="text1"/>
          <w:lang w:eastAsia="zh-CN"/>
          <w14:textFill>
            <w14:solidFill>
              <w14:schemeClr w14:val="tx1"/>
            </w14:solidFill>
          </w14:textFill>
        </w:rPr>
        <w:t>九</w:t>
      </w:r>
      <w:r>
        <w:rPr>
          <w:rFonts w:hint="eastAsia"/>
          <w:b/>
          <w:color w:val="000000" w:themeColor="text1"/>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《城镇燃气管理条例》</w:t>
      </w:r>
      <w:r>
        <w:rPr>
          <w:b/>
          <w:color w:val="000000" w:themeColor="text1"/>
          <w14:textFill>
            <w14:solidFill>
              <w14:schemeClr w14:val="tx1"/>
            </w14:solidFill>
          </w14:textFill>
        </w:rPr>
        <w:ptab w:relativeTo="margin" w:alignment="right" w:leader="dot"/>
      </w:r>
      <w:r>
        <w:rPr>
          <w:rFonts w:hint="eastAsia"/>
          <w:b/>
          <w:color w:val="000000" w:themeColor="text1"/>
          <w:lang w:val="en-US" w:eastAsia="zh-CN"/>
          <w14:textFill>
            <w14:solidFill>
              <w14:schemeClr w14:val="tx1"/>
            </w14:solidFill>
          </w14:textFill>
        </w:rPr>
        <w:t>84</w:t>
      </w:r>
    </w:p>
    <w:p w14:paraId="63E99C9C">
      <w:pPr>
        <w:tabs>
          <w:tab w:val="right" w:pos="14298"/>
        </w:tabs>
        <w:rPr>
          <w:rFonts w:hint="default" w:asciiTheme="minorHAnsi" w:hAnsiTheme="minorHAnsi" w:eastAsiaTheme="minorEastAsia" w:cstheme="minorBidi"/>
          <w:b/>
          <w:color w:val="000000" w:themeColor="text1"/>
          <w:kern w:val="0"/>
          <w:sz w:val="22"/>
          <w:szCs w:val="22"/>
          <w:lang w:val="en-US" w:eastAsia="zh-CN" w:bidi="ar-SA"/>
          <w14:textFill>
            <w14:solidFill>
              <w14:schemeClr w14:val="tx1"/>
            </w14:solidFill>
          </w14:textFill>
        </w:rPr>
      </w:pPr>
      <w:r>
        <w:rPr>
          <w:rFonts w:hint="eastAsia" w:asciiTheme="minorHAnsi" w:hAnsiTheme="minorHAnsi" w:eastAsiaTheme="minorEastAsia" w:cstheme="minorBidi"/>
          <w:b/>
          <w:color w:val="000000" w:themeColor="text1"/>
          <w:kern w:val="0"/>
          <w:sz w:val="22"/>
          <w:szCs w:val="22"/>
          <w:lang w:val="en-US" w:eastAsia="zh-CN" w:bidi="ar-SA"/>
          <w14:textFill>
            <w14:solidFill>
              <w14:schemeClr w14:val="tx1"/>
            </w14:solidFill>
          </w14:textFill>
        </w:rPr>
        <w:t>十、</w:t>
      </w:r>
      <w:r>
        <w:rPr>
          <w:rFonts w:hint="default" w:ascii="仿宋_GB2312" w:hAnsi="宋体" w:eastAsia="仿宋_GB2312" w:cs="宋体"/>
          <w:color w:val="000000" w:themeColor="text1"/>
          <w:kern w:val="0"/>
          <w:sz w:val="22"/>
          <w:szCs w:val="21"/>
          <w:lang w:val="en-US" w:eastAsia="zh-CN" w:bidi="ar-SA"/>
          <w14:textFill>
            <w14:solidFill>
              <w14:schemeClr w14:val="tx1"/>
            </w14:solidFill>
          </w14:textFill>
        </w:rPr>
        <w:t>《辽宁省城镇燃气管理条例》</w:t>
      </w:r>
      <w:r>
        <w:rPr>
          <w:rFonts w:hint="eastAsia" w:ascii="仿宋_GB2312" w:hAnsi="宋体" w:eastAsia="仿宋_GB2312" w:cs="宋体"/>
          <w:color w:val="000000" w:themeColor="text1"/>
          <w:kern w:val="0"/>
          <w:sz w:val="22"/>
          <w:szCs w:val="21"/>
          <w:u w:val="dotted"/>
          <w:lang w:val="en-US" w:eastAsia="zh-CN" w:bidi="ar-SA"/>
          <w14:textFill>
            <w14:solidFill>
              <w14:schemeClr w14:val="tx1"/>
            </w14:solidFill>
          </w14:textFill>
        </w:rPr>
        <w:t xml:space="preserve">                                                                                                  </w:t>
      </w:r>
      <w:r>
        <w:rPr>
          <w:rFonts w:hint="eastAsia" w:ascii="仿宋_GB2312" w:hAnsi="宋体" w:eastAsia="仿宋_GB2312" w:cs="宋体"/>
          <w:color w:val="000000" w:themeColor="text1"/>
          <w:kern w:val="0"/>
          <w:sz w:val="22"/>
          <w:szCs w:val="21"/>
          <w:lang w:val="en-US" w:eastAsia="zh-CN" w:bidi="ar-SA"/>
          <w14:textFill>
            <w14:solidFill>
              <w14:schemeClr w14:val="tx1"/>
            </w14:solidFill>
          </w14:textFill>
        </w:rPr>
        <w:t>95</w:t>
      </w:r>
    </w:p>
    <w:p w14:paraId="05CE3353">
      <w:pPr>
        <w:rPr>
          <w:rFonts w:hint="default" w:ascii="仿宋_GB2312" w:hAnsi="宋体" w:eastAsia="仿宋_GB2312" w:cs="宋体"/>
          <w:color w:val="000000" w:themeColor="text1"/>
          <w:kern w:val="0"/>
          <w:sz w:val="22"/>
          <w:szCs w:val="21"/>
          <w:u w:val="dotted"/>
          <w:lang w:val="en-US" w:eastAsia="zh-CN" w:bidi="ar-SA"/>
          <w14:textFill>
            <w14:solidFill>
              <w14:schemeClr w14:val="tx1"/>
            </w14:solidFill>
          </w14:textFill>
        </w:rPr>
      </w:pPr>
    </w:p>
    <w:p w14:paraId="2763E6BD">
      <w:pPr>
        <w:rPr>
          <w:rFonts w:hint="default" w:ascii="仿宋_GB2312" w:hAnsi="宋体" w:eastAsia="仿宋_GB2312" w:cs="宋体"/>
          <w:color w:val="000000" w:themeColor="text1"/>
          <w:kern w:val="0"/>
          <w:sz w:val="22"/>
          <w:szCs w:val="21"/>
          <w:u w:val="dotted"/>
          <w:lang w:val="en-US" w:eastAsia="zh-CN" w:bidi="ar-SA"/>
          <w14:textFill>
            <w14:solidFill>
              <w14:schemeClr w14:val="tx1"/>
            </w14:solidFill>
          </w14:textFill>
        </w:rPr>
      </w:pPr>
    </w:p>
    <w:tbl>
      <w:tblPr>
        <w:tblStyle w:val="13"/>
        <w:tblW w:w="14085" w:type="dxa"/>
        <w:jc w:val="center"/>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
        <w:gridCol w:w="518"/>
        <w:gridCol w:w="1376"/>
        <w:gridCol w:w="112"/>
        <w:gridCol w:w="1016"/>
        <w:gridCol w:w="4354"/>
        <w:gridCol w:w="912"/>
        <w:gridCol w:w="750"/>
        <w:gridCol w:w="1657"/>
        <w:gridCol w:w="3375"/>
      </w:tblGrid>
      <w:tr w14:paraId="04F1FB3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533" w:type="dxa"/>
            <w:gridSpan w:val="2"/>
            <w:tcBorders>
              <w:tl2br w:val="nil"/>
              <w:tr2bl w:val="nil"/>
            </w:tcBorders>
            <w:tcMar>
              <w:top w:w="15" w:type="dxa"/>
              <w:left w:w="15" w:type="dxa"/>
              <w:bottom w:w="15" w:type="dxa"/>
              <w:right w:w="15" w:type="dxa"/>
            </w:tcMar>
            <w:vAlign w:val="center"/>
          </w:tcPr>
          <w:p w14:paraId="0AF6D0DA">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lang w:val="en-US" w:eastAsia="zh-CN"/>
                <w14:textFill>
                  <w14:solidFill>
                    <w14:schemeClr w14:val="tx1"/>
                  </w14:solidFill>
                </w14:textFill>
              </w:rPr>
              <w:t>序号</w:t>
            </w:r>
          </w:p>
        </w:tc>
        <w:tc>
          <w:tcPr>
            <w:tcW w:w="1376" w:type="dxa"/>
            <w:tcBorders>
              <w:tl2br w:val="nil"/>
              <w:tr2bl w:val="nil"/>
            </w:tcBorders>
            <w:tcMar>
              <w:top w:w="15" w:type="dxa"/>
              <w:left w:w="15" w:type="dxa"/>
              <w:bottom w:w="15" w:type="dxa"/>
              <w:right w:w="15" w:type="dxa"/>
            </w:tcMar>
            <w:vAlign w:val="center"/>
          </w:tcPr>
          <w:p w14:paraId="0994A6F6">
            <w:pPr>
              <w:keepNext w:val="0"/>
              <w:keepLines w:val="0"/>
              <w:pageBreakBefore w:val="0"/>
              <w:kinsoku/>
              <w:overflowPunct/>
              <w:topLinePunct w:val="0"/>
              <w:autoSpaceDE/>
              <w:autoSpaceDN/>
              <w:bidi w:val="0"/>
              <w:adjustRightInd/>
              <w:spacing w:line="260" w:lineRule="exact"/>
              <w:ind w:firstLine="211" w:firstLineChars="100"/>
              <w:jc w:val="center"/>
              <w:rPr>
                <w:rFonts w:hint="eastAsia"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违法行为</w:t>
            </w:r>
          </w:p>
        </w:tc>
        <w:tc>
          <w:tcPr>
            <w:tcW w:w="1128" w:type="dxa"/>
            <w:gridSpan w:val="2"/>
            <w:tcBorders>
              <w:tl2br w:val="nil"/>
              <w:tr2bl w:val="nil"/>
            </w:tcBorders>
            <w:tcMar>
              <w:top w:w="15" w:type="dxa"/>
              <w:left w:w="15" w:type="dxa"/>
              <w:bottom w:w="15" w:type="dxa"/>
              <w:right w:w="15" w:type="dxa"/>
            </w:tcMar>
            <w:vAlign w:val="center"/>
          </w:tcPr>
          <w:p w14:paraId="5C038C9C">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违反条款</w:t>
            </w:r>
          </w:p>
        </w:tc>
        <w:tc>
          <w:tcPr>
            <w:tcW w:w="4354" w:type="dxa"/>
            <w:tcBorders>
              <w:tl2br w:val="nil"/>
              <w:tr2bl w:val="nil"/>
            </w:tcBorders>
            <w:tcMar>
              <w:top w:w="15" w:type="dxa"/>
              <w:left w:w="15" w:type="dxa"/>
              <w:bottom w:w="15" w:type="dxa"/>
              <w:right w:w="15" w:type="dxa"/>
            </w:tcMar>
            <w:vAlign w:val="center"/>
          </w:tcPr>
          <w:p w14:paraId="3D0003DD">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处罚依据</w:t>
            </w:r>
          </w:p>
        </w:tc>
        <w:tc>
          <w:tcPr>
            <w:tcW w:w="3319" w:type="dxa"/>
            <w:gridSpan w:val="3"/>
            <w:tcBorders>
              <w:tl2br w:val="nil"/>
              <w:tr2bl w:val="nil"/>
            </w:tcBorders>
            <w:tcMar>
              <w:top w:w="15" w:type="dxa"/>
              <w:left w:w="15" w:type="dxa"/>
              <w:bottom w:w="15" w:type="dxa"/>
              <w:right w:w="15" w:type="dxa"/>
            </w:tcMar>
            <w:vAlign w:val="center"/>
          </w:tcPr>
          <w:p w14:paraId="19081430">
            <w:pPr>
              <w:keepNext w:val="0"/>
              <w:keepLines w:val="0"/>
              <w:pageBreakBefore w:val="0"/>
              <w:widowControl/>
              <w:kinsoku/>
              <w:overflowPunct/>
              <w:topLinePunct w:val="0"/>
              <w:autoSpaceDE/>
              <w:autoSpaceDN/>
              <w:bidi w:val="0"/>
              <w:adjustRightInd/>
              <w:spacing w:line="260" w:lineRule="exact"/>
              <w:ind w:firstLine="211" w:firstLineChars="100"/>
              <w:jc w:val="center"/>
              <w:textAlignment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kern w:val="0"/>
              </w:rPr>
              <w:t>违法情节或危害后果</w:t>
            </w:r>
          </w:p>
        </w:tc>
        <w:tc>
          <w:tcPr>
            <w:tcW w:w="3375" w:type="dxa"/>
            <w:tcBorders>
              <w:tl2br w:val="nil"/>
              <w:tr2bl w:val="nil"/>
            </w:tcBorders>
            <w:tcMar>
              <w:top w:w="15" w:type="dxa"/>
              <w:left w:w="15" w:type="dxa"/>
              <w:bottom w:w="15" w:type="dxa"/>
              <w:right w:w="15" w:type="dxa"/>
            </w:tcMar>
            <w:vAlign w:val="center"/>
          </w:tcPr>
          <w:p w14:paraId="79128A53">
            <w:pPr>
              <w:keepNext w:val="0"/>
              <w:keepLines w:val="0"/>
              <w:pageBreakBefore w:val="0"/>
              <w:widowControl/>
              <w:kinsoku/>
              <w:overflowPunct/>
              <w:topLinePunct w:val="0"/>
              <w:autoSpaceDE/>
              <w:autoSpaceDN/>
              <w:bidi w:val="0"/>
              <w:adjustRightInd/>
              <w:spacing w:line="260" w:lineRule="exact"/>
              <w:ind w:firstLine="211" w:firstLineChars="100"/>
              <w:jc w:val="center"/>
              <w:textAlignment w:val="center"/>
              <w:rPr>
                <w:rFonts w:hint="eastAsia"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lang w:val="en-US" w:eastAsia="zh-CN"/>
                <w14:textFill>
                  <w14:solidFill>
                    <w14:schemeClr w14:val="tx1"/>
                  </w14:solidFill>
                </w14:textFill>
              </w:rPr>
              <w:t>裁量</w:t>
            </w:r>
            <w:r>
              <w:rPr>
                <w:rFonts w:hint="eastAsia" w:ascii="宋体" w:hAnsi="宋体" w:eastAsia="宋体" w:cs="宋体"/>
                <w:b/>
                <w:bCs/>
                <w:color w:val="000000" w:themeColor="text1"/>
                <w:kern w:val="0"/>
                <w:szCs w:val="21"/>
                <w14:textFill>
                  <w14:solidFill>
                    <w14:schemeClr w14:val="tx1"/>
                  </w14:solidFill>
                </w14:textFill>
              </w:rPr>
              <w:t>基准</w:t>
            </w:r>
          </w:p>
        </w:tc>
      </w:tr>
      <w:tr w14:paraId="7463E7B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1" w:hRule="atLeast"/>
          <w:jc w:val="center"/>
        </w:trPr>
        <w:tc>
          <w:tcPr>
            <w:tcW w:w="533" w:type="dxa"/>
            <w:gridSpan w:val="2"/>
            <w:vMerge w:val="restart"/>
            <w:tcBorders>
              <w:tl2br w:val="nil"/>
              <w:tr2bl w:val="nil"/>
            </w:tcBorders>
            <w:tcMar>
              <w:top w:w="15" w:type="dxa"/>
              <w:left w:w="15" w:type="dxa"/>
              <w:bottom w:w="15" w:type="dxa"/>
              <w:right w:w="15" w:type="dxa"/>
            </w:tcMar>
            <w:vAlign w:val="center"/>
          </w:tcPr>
          <w:p w14:paraId="70D91B8D">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w:t>
            </w:r>
          </w:p>
        </w:tc>
        <w:tc>
          <w:tcPr>
            <w:tcW w:w="1376" w:type="dxa"/>
            <w:vMerge w:val="restart"/>
            <w:tcBorders>
              <w:tl2br w:val="nil"/>
              <w:tr2bl w:val="nil"/>
            </w:tcBorders>
            <w:tcMar>
              <w:top w:w="15" w:type="dxa"/>
              <w:left w:w="15" w:type="dxa"/>
              <w:bottom w:w="15" w:type="dxa"/>
              <w:right w:w="15" w:type="dxa"/>
            </w:tcMar>
            <w:vAlign w:val="center"/>
          </w:tcPr>
          <w:p w14:paraId="391DC0F9">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必须进行招标的项目而不招标的，将必须进行招标的项目化整为零或者以其他任何方式规避招标的</w:t>
            </w:r>
          </w:p>
        </w:tc>
        <w:tc>
          <w:tcPr>
            <w:tcW w:w="1128" w:type="dxa"/>
            <w:gridSpan w:val="2"/>
            <w:vMerge w:val="restart"/>
            <w:tcBorders>
              <w:tl2br w:val="nil"/>
              <w:tr2bl w:val="nil"/>
            </w:tcBorders>
            <w:tcMar>
              <w:top w:w="15" w:type="dxa"/>
              <w:left w:w="15" w:type="dxa"/>
              <w:bottom w:w="15" w:type="dxa"/>
              <w:right w:w="15" w:type="dxa"/>
            </w:tcMar>
            <w:vAlign w:val="center"/>
          </w:tcPr>
          <w:p w14:paraId="2571B3E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64F39E7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4771281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《中华人民共和国招标投标法》（国务院令第613号）</w:t>
            </w:r>
            <w:r>
              <w:rPr>
                <w:rFonts w:hint="eastAsia" w:ascii="仿宋_GB2312" w:hAnsi="宋体" w:eastAsia="仿宋_GB2312"/>
                <w:color w:val="000000" w:themeColor="text1"/>
                <w:kern w:val="0"/>
                <w:szCs w:val="21"/>
                <w14:textFill>
                  <w14:solidFill>
                    <w14:schemeClr w14:val="tx1"/>
                  </w14:solidFill>
                </w14:textFill>
              </w:rPr>
              <w:t>第三条/第四条</w:t>
            </w:r>
          </w:p>
          <w:p w14:paraId="71FAFFD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61199A20">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《工程建设项目施工招标投标办法》第六十八条</w:t>
            </w:r>
          </w:p>
          <w:p w14:paraId="2560B76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vMerge w:val="restart"/>
            <w:tcBorders>
              <w:tl2br w:val="nil"/>
              <w:tr2bl w:val="nil"/>
            </w:tcBorders>
            <w:tcMar>
              <w:top w:w="15" w:type="dxa"/>
              <w:left w:w="15" w:type="dxa"/>
              <w:bottom w:w="15" w:type="dxa"/>
              <w:right w:w="15" w:type="dxa"/>
            </w:tcMar>
            <w:vAlign w:val="center"/>
          </w:tcPr>
          <w:p w14:paraId="69D56DB7">
            <w:pPr>
              <w:keepNext w:val="0"/>
              <w:keepLines w:val="0"/>
              <w:pageBreakBefore w:val="0"/>
              <w:widowControl/>
              <w:kinsoku/>
              <w:overflowPunct/>
              <w:topLinePunct w:val="0"/>
              <w:autoSpaceDE/>
              <w:autoSpaceDN/>
              <w:bidi w:val="0"/>
              <w:adjustRightInd/>
              <w:spacing w:line="260" w:lineRule="exact"/>
              <w:jc w:val="left"/>
              <w:textAlignment w:val="center"/>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《中华人民共和国招标投标法》</w:t>
            </w:r>
            <w:r>
              <w:rPr>
                <w:rFonts w:hint="eastAsia" w:ascii="仿宋_GB2312" w:hAnsi="宋体" w:eastAsia="仿宋_GB2312"/>
                <w:b/>
                <w:bCs/>
                <w:color w:val="000000" w:themeColor="text1"/>
                <w:kern w:val="0"/>
                <w:szCs w:val="21"/>
                <w14:textFill>
                  <w14:solidFill>
                    <w14:schemeClr w14:val="tx1"/>
                  </w14:solidFill>
                </w14:textFill>
              </w:rPr>
              <w:t>第四十九条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p>
          <w:p w14:paraId="470A3587">
            <w:pPr>
              <w:keepNext w:val="0"/>
              <w:keepLines w:val="0"/>
              <w:pageBreakBefore w:val="0"/>
              <w:widowControl/>
              <w:kinsoku/>
              <w:overflowPunct/>
              <w:topLinePunct w:val="0"/>
              <w:autoSpaceDE/>
              <w:autoSpaceDN/>
              <w:bidi w:val="0"/>
              <w:adjustRightInd/>
              <w:spacing w:line="260" w:lineRule="exact"/>
              <w:ind w:firstLine="420" w:firstLineChars="200"/>
              <w:jc w:val="left"/>
              <w:rPr>
                <w:rFonts w:hint="eastAsia" w:ascii="仿宋_GB2312" w:hAnsi="宋体" w:eastAsia="仿宋_GB2312"/>
                <w:color w:val="000000" w:themeColor="text1"/>
                <w:kern w:val="0"/>
                <w:szCs w:val="21"/>
                <w14:textFill>
                  <w14:solidFill>
                    <w14:schemeClr w14:val="tx1"/>
                  </w14:solidFill>
                </w14:textFill>
              </w:rPr>
            </w:pPr>
          </w:p>
          <w:p w14:paraId="3BACEDAD">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《工程建设项目施工招标投标办法》</w:t>
            </w:r>
            <w:r>
              <w:rPr>
                <w:rFonts w:hint="eastAsia" w:ascii="仿宋_GB2312" w:hAnsi="宋体" w:eastAsia="仿宋_GB2312"/>
                <w:b/>
                <w:bCs/>
                <w:color w:val="000000" w:themeColor="text1"/>
                <w:kern w:val="0"/>
                <w:szCs w:val="21"/>
                <w14:textFill>
                  <w14:solidFill>
                    <w14:schemeClr w14:val="tx1"/>
                  </w14:solidFill>
                </w14:textFill>
              </w:rPr>
              <w:t>第六十八条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必须进行招标的项目而不招标的，将必须进行招标的项目化整为零或者以其他任何方式规避招标的，有关行政监督部门责令限期改正，可以处项目合同金额千分之五以上千分之十以下的罚款；对全部或者部分使用国有资金的项目，项目审批部门可以暂停项目执行或者暂停资金拨付；对单位直接负责的主管人员和其他直接责任人员依法给予处分。</w:t>
            </w:r>
          </w:p>
        </w:tc>
        <w:tc>
          <w:tcPr>
            <w:tcW w:w="912" w:type="dxa"/>
            <w:tcBorders>
              <w:tl2br w:val="nil"/>
              <w:tr2bl w:val="nil"/>
            </w:tcBorders>
            <w:tcMar>
              <w:top w:w="15" w:type="dxa"/>
              <w:left w:w="15" w:type="dxa"/>
              <w:bottom w:w="15" w:type="dxa"/>
              <w:right w:w="15" w:type="dxa"/>
            </w:tcMar>
            <w:vAlign w:val="center"/>
          </w:tcPr>
          <w:p w14:paraId="5DD90B0C">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62C13E53">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项目尚未开工，及时纠正的。</w:t>
            </w:r>
          </w:p>
        </w:tc>
        <w:tc>
          <w:tcPr>
            <w:tcW w:w="3375" w:type="dxa"/>
            <w:tcBorders>
              <w:tl2br w:val="nil"/>
              <w:tr2bl w:val="nil"/>
            </w:tcBorders>
            <w:tcMar>
              <w:top w:w="15" w:type="dxa"/>
              <w:left w:w="15" w:type="dxa"/>
              <w:bottom w:w="15" w:type="dxa"/>
              <w:right w:w="15" w:type="dxa"/>
            </w:tcMar>
            <w:vAlign w:val="center"/>
          </w:tcPr>
          <w:p w14:paraId="5DFBEC57">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责令限期改正，可以处项目合同金额千分之五的罚款。</w:t>
            </w:r>
          </w:p>
        </w:tc>
      </w:tr>
      <w:tr w14:paraId="22687E0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 w:hRule="atLeast"/>
          <w:jc w:val="center"/>
        </w:trPr>
        <w:tc>
          <w:tcPr>
            <w:tcW w:w="533" w:type="dxa"/>
            <w:gridSpan w:val="2"/>
            <w:vMerge w:val="continue"/>
            <w:tcBorders>
              <w:tl2br w:val="nil"/>
              <w:tr2bl w:val="nil"/>
            </w:tcBorders>
            <w:vAlign w:val="center"/>
          </w:tcPr>
          <w:p w14:paraId="730BB969">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66C4C9CB">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6FB1433F">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282BE860">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373F82CD">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02AEE5AF">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项目已经开工，及时纠正的。</w:t>
            </w:r>
          </w:p>
        </w:tc>
        <w:tc>
          <w:tcPr>
            <w:tcW w:w="3375" w:type="dxa"/>
            <w:tcBorders>
              <w:tl2br w:val="nil"/>
              <w:tr2bl w:val="nil"/>
            </w:tcBorders>
            <w:tcMar>
              <w:top w:w="15" w:type="dxa"/>
              <w:left w:w="15" w:type="dxa"/>
              <w:bottom w:w="15" w:type="dxa"/>
              <w:right w:w="15" w:type="dxa"/>
            </w:tcMar>
            <w:vAlign w:val="center"/>
          </w:tcPr>
          <w:p w14:paraId="0ED4DA7A">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责令限期改正，可以处项目合同金额千分之五以上千分之七以下的罚款。</w:t>
            </w:r>
          </w:p>
        </w:tc>
      </w:tr>
      <w:tr w14:paraId="07CB3AA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3" w:type="dxa"/>
            <w:gridSpan w:val="2"/>
            <w:vMerge w:val="continue"/>
            <w:tcBorders>
              <w:tl2br w:val="nil"/>
              <w:tr2bl w:val="nil"/>
            </w:tcBorders>
            <w:vAlign w:val="center"/>
          </w:tcPr>
          <w:p w14:paraId="54265C47">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0DB895D2">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3F46E0F1">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33EE8BEB">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vMerge w:val="restart"/>
            <w:tcBorders>
              <w:tl2br w:val="nil"/>
              <w:tr2bl w:val="nil"/>
            </w:tcBorders>
            <w:tcMar>
              <w:top w:w="15" w:type="dxa"/>
              <w:left w:w="15" w:type="dxa"/>
              <w:bottom w:w="15" w:type="dxa"/>
              <w:right w:w="15" w:type="dxa"/>
            </w:tcMar>
            <w:vAlign w:val="center"/>
          </w:tcPr>
          <w:p w14:paraId="676D3E0F">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030BD2DB">
            <w:pPr>
              <w:keepNext w:val="0"/>
              <w:keepLines w:val="0"/>
              <w:pageBreakBefore w:val="0"/>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（1）逾期未改正，未造成严重后果的。</w:t>
            </w:r>
          </w:p>
        </w:tc>
        <w:tc>
          <w:tcPr>
            <w:tcW w:w="3375" w:type="dxa"/>
            <w:tcBorders>
              <w:tl2br w:val="nil"/>
              <w:tr2bl w:val="nil"/>
            </w:tcBorders>
            <w:tcMar>
              <w:top w:w="15" w:type="dxa"/>
              <w:left w:w="15" w:type="dxa"/>
              <w:bottom w:w="15" w:type="dxa"/>
              <w:right w:w="15" w:type="dxa"/>
            </w:tcMar>
            <w:vAlign w:val="center"/>
          </w:tcPr>
          <w:p w14:paraId="3F9E1A7F">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责令限期改正，可以处项目合同金额千分之七以上千分之九以下的罚款。</w:t>
            </w:r>
          </w:p>
        </w:tc>
      </w:tr>
      <w:tr w14:paraId="590381C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4" w:hRule="atLeast"/>
          <w:jc w:val="center"/>
        </w:trPr>
        <w:tc>
          <w:tcPr>
            <w:tcW w:w="533" w:type="dxa"/>
            <w:gridSpan w:val="2"/>
            <w:vMerge w:val="continue"/>
            <w:tcBorders>
              <w:tl2br w:val="nil"/>
              <w:tr2bl w:val="nil"/>
            </w:tcBorders>
            <w:vAlign w:val="center"/>
          </w:tcPr>
          <w:p w14:paraId="5B4A8E22">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547E3EE5">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1C914473">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669BA3FA">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vMerge w:val="continue"/>
            <w:tcBorders>
              <w:tl2br w:val="nil"/>
              <w:tr2bl w:val="nil"/>
            </w:tcBorders>
            <w:tcMar>
              <w:top w:w="15" w:type="dxa"/>
              <w:left w:w="15" w:type="dxa"/>
              <w:bottom w:w="15" w:type="dxa"/>
              <w:right w:w="15" w:type="dxa"/>
            </w:tcMar>
            <w:vAlign w:val="center"/>
          </w:tcPr>
          <w:p w14:paraId="51607B76">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tcMar>
              <w:top w:w="15" w:type="dxa"/>
              <w:left w:w="15" w:type="dxa"/>
              <w:bottom w:w="15" w:type="dxa"/>
              <w:right w:w="15" w:type="dxa"/>
            </w:tcMar>
            <w:vAlign w:val="center"/>
          </w:tcPr>
          <w:p w14:paraId="0D6AEFC2">
            <w:pPr>
              <w:keepNext w:val="0"/>
              <w:keepLines w:val="0"/>
              <w:pageBreakBefore w:val="0"/>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（2）逾期未改正，造成严重后果的。</w:t>
            </w:r>
          </w:p>
        </w:tc>
        <w:tc>
          <w:tcPr>
            <w:tcW w:w="3375" w:type="dxa"/>
            <w:tcBorders>
              <w:tl2br w:val="nil"/>
              <w:tr2bl w:val="nil"/>
            </w:tcBorders>
            <w:tcMar>
              <w:top w:w="15" w:type="dxa"/>
              <w:left w:w="15" w:type="dxa"/>
              <w:bottom w:w="15" w:type="dxa"/>
              <w:right w:w="15" w:type="dxa"/>
            </w:tcMar>
            <w:vAlign w:val="center"/>
          </w:tcPr>
          <w:p w14:paraId="1F0F81AC">
            <w:pPr>
              <w:keepNext w:val="0"/>
              <w:keepLines w:val="0"/>
              <w:pageBreakBefore w:val="0"/>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责令限期改正，可以处项目合同金额千分之九以上千分之十以下的罚款。</w:t>
            </w:r>
          </w:p>
          <w:p w14:paraId="596B1A84">
            <w:pPr>
              <w:keepNext w:val="0"/>
              <w:keepLines w:val="0"/>
              <w:pageBreakBefore w:val="0"/>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r>
      <w:tr w14:paraId="1D6436A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5" w:hRule="atLeast"/>
          <w:jc w:val="center"/>
        </w:trPr>
        <w:tc>
          <w:tcPr>
            <w:tcW w:w="533" w:type="dxa"/>
            <w:gridSpan w:val="2"/>
            <w:vMerge w:val="restart"/>
            <w:tcBorders>
              <w:tl2br w:val="nil"/>
              <w:tr2bl w:val="nil"/>
            </w:tcBorders>
            <w:tcMar>
              <w:top w:w="15" w:type="dxa"/>
              <w:left w:w="15" w:type="dxa"/>
              <w:bottom w:w="15" w:type="dxa"/>
              <w:right w:w="15" w:type="dxa"/>
            </w:tcMar>
            <w:vAlign w:val="center"/>
          </w:tcPr>
          <w:p w14:paraId="5C6077C8">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2</w:t>
            </w:r>
          </w:p>
        </w:tc>
        <w:tc>
          <w:tcPr>
            <w:tcW w:w="1376" w:type="dxa"/>
            <w:vMerge w:val="restart"/>
            <w:tcBorders>
              <w:tl2br w:val="nil"/>
              <w:tr2bl w:val="nil"/>
            </w:tcBorders>
            <w:tcMar>
              <w:top w:w="15" w:type="dxa"/>
              <w:left w:w="15" w:type="dxa"/>
              <w:bottom w:w="15" w:type="dxa"/>
              <w:right w:w="15" w:type="dxa"/>
            </w:tcMar>
            <w:vAlign w:val="center"/>
          </w:tcPr>
          <w:p w14:paraId="0854393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招标代理机构泄露应当保密的与招标投标活动有关的情况和资料的，或者与招标人、投标人串通损害国家利益、社会公共利益或者他人合法权益的</w:t>
            </w:r>
          </w:p>
        </w:tc>
        <w:tc>
          <w:tcPr>
            <w:tcW w:w="1128" w:type="dxa"/>
            <w:gridSpan w:val="2"/>
            <w:vMerge w:val="restart"/>
            <w:tcBorders>
              <w:tl2br w:val="nil"/>
              <w:tr2bl w:val="nil"/>
            </w:tcBorders>
            <w:tcMar>
              <w:top w:w="15" w:type="dxa"/>
              <w:left w:w="15" w:type="dxa"/>
              <w:bottom w:w="15" w:type="dxa"/>
              <w:right w:w="15" w:type="dxa"/>
            </w:tcMar>
            <w:vAlign w:val="center"/>
          </w:tcPr>
          <w:p w14:paraId="2A7BBF8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0117BC4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6C04FDB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《中华人民共和国招标投标法》（国务院令第613号）</w:t>
            </w:r>
            <w:r>
              <w:rPr>
                <w:rFonts w:hint="eastAsia" w:ascii="仿宋_GB2312" w:hAnsi="宋体" w:eastAsia="仿宋_GB2312"/>
                <w:color w:val="000000" w:themeColor="text1"/>
                <w:kern w:val="0"/>
                <w:szCs w:val="21"/>
                <w14:textFill>
                  <w14:solidFill>
                    <w14:schemeClr w14:val="tx1"/>
                  </w14:solidFill>
                </w14:textFill>
              </w:rPr>
              <w:t>第十五条/第二十二条/第三十二条第二款</w:t>
            </w:r>
          </w:p>
          <w:p w14:paraId="119959A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21CD2475">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《工程建设项目施工招标投标办法》第六十九条</w:t>
            </w:r>
          </w:p>
          <w:p w14:paraId="6AF80B9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vMerge w:val="restart"/>
            <w:tcBorders>
              <w:tl2br w:val="nil"/>
              <w:tr2bl w:val="nil"/>
            </w:tcBorders>
            <w:tcMar>
              <w:top w:w="15" w:type="dxa"/>
              <w:left w:w="15" w:type="dxa"/>
              <w:bottom w:w="15" w:type="dxa"/>
              <w:right w:w="15" w:type="dxa"/>
            </w:tcMar>
            <w:vAlign w:val="center"/>
          </w:tcPr>
          <w:p w14:paraId="650655D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《中华人民共和国招标投标法》</w:t>
            </w:r>
            <w:r>
              <w:rPr>
                <w:rFonts w:hint="eastAsia" w:ascii="仿宋_GB2312" w:hAnsi="宋体" w:eastAsia="仿宋_GB2312"/>
                <w:b/>
                <w:bCs/>
                <w:color w:val="000000" w:themeColor="text1"/>
                <w:kern w:val="0"/>
                <w:szCs w:val="21"/>
                <w14:textFill>
                  <w14:solidFill>
                    <w14:schemeClr w14:val="tx1"/>
                  </w14:solidFill>
                </w14:textFill>
              </w:rPr>
              <w:t>第五十条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p>
          <w:p w14:paraId="00F969E5">
            <w:pPr>
              <w:keepNext w:val="0"/>
              <w:keepLines w:val="0"/>
              <w:pageBreakBefore w:val="0"/>
              <w:widowControl/>
              <w:kinsoku/>
              <w:overflowPunct/>
              <w:topLinePunct w:val="0"/>
              <w:autoSpaceDE/>
              <w:autoSpaceDN/>
              <w:bidi w:val="0"/>
              <w:adjustRightInd/>
              <w:spacing w:line="260" w:lineRule="exact"/>
              <w:ind w:firstLine="420" w:firstLineChars="2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前款所列行为影响中标结果的，中标无效。</w:t>
            </w:r>
          </w:p>
        </w:tc>
        <w:tc>
          <w:tcPr>
            <w:tcW w:w="912" w:type="dxa"/>
            <w:tcBorders>
              <w:tl2br w:val="nil"/>
              <w:tr2bl w:val="nil"/>
            </w:tcBorders>
            <w:tcMar>
              <w:top w:w="15" w:type="dxa"/>
              <w:left w:w="15" w:type="dxa"/>
              <w:bottom w:w="15" w:type="dxa"/>
              <w:right w:w="15" w:type="dxa"/>
            </w:tcMar>
            <w:vAlign w:val="center"/>
          </w:tcPr>
          <w:p w14:paraId="41A16EFB">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384B0CA8">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未影响中标结果的。</w:t>
            </w:r>
          </w:p>
        </w:tc>
        <w:tc>
          <w:tcPr>
            <w:tcW w:w="3375" w:type="dxa"/>
            <w:tcBorders>
              <w:tl2br w:val="nil"/>
              <w:tr2bl w:val="nil"/>
            </w:tcBorders>
            <w:tcMar>
              <w:top w:w="15" w:type="dxa"/>
              <w:left w:w="15" w:type="dxa"/>
              <w:bottom w:w="15" w:type="dxa"/>
              <w:right w:w="15" w:type="dxa"/>
            </w:tcMar>
            <w:vAlign w:val="center"/>
          </w:tcPr>
          <w:p w14:paraId="3E849E5B">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对招标代理机构处五万元的罚款，对单位直接负责的主管人员和其他直接责任人员处单位罚款金额的百分之五的罚款；有违法所得的，并处没收违法所得。</w:t>
            </w:r>
          </w:p>
        </w:tc>
      </w:tr>
      <w:tr w14:paraId="4C76488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32" w:hRule="atLeast"/>
          <w:jc w:val="center"/>
        </w:trPr>
        <w:tc>
          <w:tcPr>
            <w:tcW w:w="533" w:type="dxa"/>
            <w:gridSpan w:val="2"/>
            <w:vMerge w:val="continue"/>
            <w:tcBorders>
              <w:tl2br w:val="nil"/>
              <w:tr2bl w:val="nil"/>
            </w:tcBorders>
            <w:vAlign w:val="center"/>
          </w:tcPr>
          <w:p w14:paraId="09BF7AA0">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34D9C1C9">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45A37C59">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737082BA">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3C6ED1E5">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01172A49">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影响中标结果，但中标人不是该违法行为的受益人的。</w:t>
            </w:r>
          </w:p>
        </w:tc>
        <w:tc>
          <w:tcPr>
            <w:tcW w:w="3375" w:type="dxa"/>
            <w:tcBorders>
              <w:tl2br w:val="nil"/>
              <w:tr2bl w:val="nil"/>
            </w:tcBorders>
            <w:tcMar>
              <w:top w:w="15" w:type="dxa"/>
              <w:left w:w="15" w:type="dxa"/>
              <w:bottom w:w="15" w:type="dxa"/>
              <w:right w:w="15" w:type="dxa"/>
            </w:tcMar>
            <w:vAlign w:val="center"/>
          </w:tcPr>
          <w:p w14:paraId="6F7FC567">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中标无效;对招标代理机构处五万元以上十万元以下的罚款，对单位直接负责的主管人员和其他直接责任人员处单位罚款金额的百分之五以上百分之七点五以下的罚款；有违法所得的，并处没收违法所得。</w:t>
            </w:r>
          </w:p>
        </w:tc>
      </w:tr>
      <w:tr w14:paraId="4833CC2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4" w:hRule="atLeast"/>
          <w:jc w:val="center"/>
        </w:trPr>
        <w:tc>
          <w:tcPr>
            <w:tcW w:w="533" w:type="dxa"/>
            <w:gridSpan w:val="2"/>
            <w:vMerge w:val="continue"/>
            <w:tcBorders>
              <w:tl2br w:val="nil"/>
              <w:tr2bl w:val="nil"/>
            </w:tcBorders>
            <w:vAlign w:val="center"/>
          </w:tcPr>
          <w:p w14:paraId="04DEF128">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4E6D5C84">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5E881A77">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12DEDD65">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vMerge w:val="restart"/>
            <w:tcBorders>
              <w:tl2br w:val="nil"/>
              <w:tr2bl w:val="nil"/>
            </w:tcBorders>
            <w:tcMar>
              <w:top w:w="15" w:type="dxa"/>
              <w:left w:w="15" w:type="dxa"/>
              <w:bottom w:w="15" w:type="dxa"/>
              <w:right w:w="15" w:type="dxa"/>
            </w:tcMar>
            <w:vAlign w:val="center"/>
          </w:tcPr>
          <w:p w14:paraId="707E7BF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27D93E26">
            <w:pPr>
              <w:keepNext w:val="0"/>
              <w:keepLines w:val="0"/>
              <w:pageBreakBefore w:val="0"/>
              <w:widowControl/>
              <w:kinsoku/>
              <w:overflowPunct/>
              <w:topLinePunct w:val="0"/>
              <w:autoSpaceDE/>
              <w:autoSpaceDN/>
              <w:bidi w:val="0"/>
              <w:adjustRightInd/>
              <w:spacing w:before="100" w:beforeAutospacing="1" w:after="100" w:afterAutospacing="1"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（1）影响中标结果，且中标人为该违法行为的受益人，但未对国家或社会公共利益造成重大损失或严重后果的。</w:t>
            </w:r>
          </w:p>
        </w:tc>
        <w:tc>
          <w:tcPr>
            <w:tcW w:w="3375" w:type="dxa"/>
            <w:tcBorders>
              <w:tl2br w:val="nil"/>
              <w:tr2bl w:val="nil"/>
            </w:tcBorders>
            <w:tcMar>
              <w:top w:w="15" w:type="dxa"/>
              <w:left w:w="15" w:type="dxa"/>
              <w:bottom w:w="15" w:type="dxa"/>
              <w:right w:w="15" w:type="dxa"/>
            </w:tcMar>
            <w:vAlign w:val="center"/>
          </w:tcPr>
          <w:p w14:paraId="4158E69D">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中标无效；对招标代理机构处十万元以上二十万元以下的罚款，对单位直接负责的主管人员和其他直接责任人员处单位罚款金额百分之七点五以上百分之八点五以下的罚款；有违法所得的，并处没收违法所得。</w:t>
            </w:r>
          </w:p>
        </w:tc>
      </w:tr>
      <w:tr w14:paraId="0BE5ABF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3" w:hRule="atLeast"/>
          <w:jc w:val="center"/>
        </w:trPr>
        <w:tc>
          <w:tcPr>
            <w:tcW w:w="533" w:type="dxa"/>
            <w:gridSpan w:val="2"/>
            <w:vMerge w:val="continue"/>
            <w:tcBorders>
              <w:tl2br w:val="nil"/>
              <w:tr2bl w:val="nil"/>
            </w:tcBorders>
            <w:vAlign w:val="center"/>
          </w:tcPr>
          <w:p w14:paraId="7CA7947D">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10C4F5A1">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55AABCD6">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232C1B93">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vMerge w:val="continue"/>
            <w:tcBorders>
              <w:tl2br w:val="nil"/>
              <w:tr2bl w:val="nil"/>
            </w:tcBorders>
            <w:tcMar>
              <w:top w:w="15" w:type="dxa"/>
              <w:left w:w="15" w:type="dxa"/>
              <w:bottom w:w="15" w:type="dxa"/>
              <w:right w:w="15" w:type="dxa"/>
            </w:tcMar>
            <w:vAlign w:val="center"/>
          </w:tcPr>
          <w:p w14:paraId="28FF23C2">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tcMar>
              <w:top w:w="15" w:type="dxa"/>
              <w:left w:w="15" w:type="dxa"/>
              <w:bottom w:w="15" w:type="dxa"/>
              <w:right w:w="15" w:type="dxa"/>
            </w:tcMar>
            <w:vAlign w:val="center"/>
          </w:tcPr>
          <w:p w14:paraId="0DAC60A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4D31F6E7">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（2）影响中标结果，且中标人为该违法行为的受益人的，且对国家利益、社会公共利益或者他人合法权益造成重大损失，造成重大后果，情节严重的。</w:t>
            </w:r>
          </w:p>
          <w:p w14:paraId="55082918">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3375" w:type="dxa"/>
            <w:tcBorders>
              <w:tl2br w:val="nil"/>
              <w:tr2bl w:val="nil"/>
            </w:tcBorders>
            <w:tcMar>
              <w:top w:w="15" w:type="dxa"/>
              <w:left w:w="15" w:type="dxa"/>
              <w:bottom w:w="15" w:type="dxa"/>
              <w:right w:w="15" w:type="dxa"/>
            </w:tcMar>
            <w:vAlign w:val="center"/>
          </w:tcPr>
          <w:p w14:paraId="176B97A5">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标无效;对招标代理机构处二十万元以上二十五万元以下的罚款，对单位直接负责的主管人员和其他直接责任人员处单位罚款金额百分之八点五以上百分之十以下的罚款；有违法所得的，并处没收违法所得；禁止其一年至二年内代理依法必须进行招标的项目并予以公告。</w:t>
            </w:r>
          </w:p>
        </w:tc>
      </w:tr>
      <w:tr w14:paraId="4789F46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0" w:hRule="atLeast"/>
          <w:jc w:val="center"/>
        </w:trPr>
        <w:tc>
          <w:tcPr>
            <w:tcW w:w="533" w:type="dxa"/>
            <w:gridSpan w:val="2"/>
            <w:vMerge w:val="restart"/>
            <w:tcBorders>
              <w:tl2br w:val="nil"/>
              <w:tr2bl w:val="nil"/>
            </w:tcBorders>
            <w:vAlign w:val="center"/>
          </w:tcPr>
          <w:p w14:paraId="2C5A91FA">
            <w:pPr>
              <w:keepNext w:val="0"/>
              <w:keepLines w:val="0"/>
              <w:pageBreakBefore w:val="0"/>
              <w:widowControl/>
              <w:kinsoku/>
              <w:overflowPunct/>
              <w:topLinePunct w:val="0"/>
              <w:autoSpaceDE/>
              <w:autoSpaceDN/>
              <w:bidi w:val="0"/>
              <w:adjustRightInd/>
              <w:spacing w:line="260" w:lineRule="exact"/>
              <w:rPr>
                <w:rFonts w:ascii="仿宋_GB2312" w:hAnsi="宋体" w:eastAsia="仿宋_GB2312" w:cs="Times New Roman"/>
                <w:color w:val="000000" w:themeColor="text1"/>
                <w:szCs w:val="21"/>
                <w14:textFill>
                  <w14:solidFill>
                    <w14:schemeClr w14:val="tx1"/>
                  </w14:solidFill>
                </w14:textFill>
              </w:rPr>
            </w:pPr>
          </w:p>
          <w:p w14:paraId="34A52605">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3</w:t>
            </w:r>
          </w:p>
        </w:tc>
        <w:tc>
          <w:tcPr>
            <w:tcW w:w="1376" w:type="dxa"/>
            <w:vMerge w:val="restart"/>
            <w:tcBorders>
              <w:tl2br w:val="nil"/>
              <w:tr2bl w:val="nil"/>
            </w:tcBorders>
            <w:vAlign w:val="center"/>
          </w:tcPr>
          <w:p w14:paraId="2CD5F225">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招标人以不合理的条件限制或者排斥潜在投标人的，对潜在投标人实行歧视待遇的，强制要求投标人组成联合体共同投标的，或者限制投标人之间竞争的</w:t>
            </w:r>
          </w:p>
        </w:tc>
        <w:tc>
          <w:tcPr>
            <w:tcW w:w="1128" w:type="dxa"/>
            <w:gridSpan w:val="2"/>
            <w:vMerge w:val="restart"/>
            <w:tcBorders>
              <w:tl2br w:val="nil"/>
              <w:tr2bl w:val="nil"/>
            </w:tcBorders>
            <w:vAlign w:val="center"/>
          </w:tcPr>
          <w:p w14:paraId="15923FC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525A52E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6D752A6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《中华人民共和国招标投标法》（国务院令第613号）</w:t>
            </w:r>
            <w:r>
              <w:rPr>
                <w:rFonts w:hint="eastAsia" w:ascii="仿宋_GB2312" w:hAnsi="宋体" w:eastAsia="仿宋_GB2312"/>
                <w:color w:val="000000" w:themeColor="text1"/>
                <w:kern w:val="0"/>
                <w:szCs w:val="21"/>
                <w14:textFill>
                  <w14:solidFill>
                    <w14:schemeClr w14:val="tx1"/>
                  </w14:solidFill>
                </w14:textFill>
              </w:rPr>
              <w:t>第十八条第二款／第三十一条第四款</w:t>
            </w:r>
          </w:p>
          <w:p w14:paraId="4C52BFB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494E471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vMerge w:val="restart"/>
            <w:tcBorders>
              <w:tl2br w:val="nil"/>
              <w:tr2bl w:val="nil"/>
            </w:tcBorders>
            <w:vAlign w:val="center"/>
          </w:tcPr>
          <w:p w14:paraId="3384A57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70EA881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20F07CD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《中华人民共和国招标投标法》</w:t>
            </w:r>
            <w:r>
              <w:rPr>
                <w:rFonts w:hint="eastAsia" w:ascii="仿宋_GB2312" w:hAnsi="宋体" w:eastAsia="仿宋_GB2312"/>
                <w:b/>
                <w:bCs/>
                <w:color w:val="000000" w:themeColor="text1"/>
                <w:kern w:val="0"/>
                <w:szCs w:val="21"/>
                <w14:textFill>
                  <w14:solidFill>
                    <w14:schemeClr w14:val="tx1"/>
                  </w14:solidFill>
                </w14:textFill>
              </w:rPr>
              <w:t>第五十一条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招标人以不合理的条件限制或者排斥潜在投标人的，对潜在投标人实行歧视待遇的，强制要求投标人组成联合体共同投标的，或者限制投标人之间竞争的，责令改正，可以处一万元以上五万元以下的罚款。</w:t>
            </w:r>
          </w:p>
          <w:p w14:paraId="2E6068C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6E5CF02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42CF2498">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2F3A2863">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已发出邀请招标文件，但尚未组织评标。</w:t>
            </w:r>
          </w:p>
        </w:tc>
        <w:tc>
          <w:tcPr>
            <w:tcW w:w="3375" w:type="dxa"/>
            <w:tcBorders>
              <w:tl2br w:val="nil"/>
              <w:tr2bl w:val="nil"/>
            </w:tcBorders>
            <w:tcMar>
              <w:top w:w="15" w:type="dxa"/>
              <w:left w:w="15" w:type="dxa"/>
              <w:bottom w:w="15" w:type="dxa"/>
              <w:right w:w="15" w:type="dxa"/>
            </w:tcMar>
            <w:vAlign w:val="center"/>
          </w:tcPr>
          <w:p w14:paraId="16A41E9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责令改正，可以处一万元以上两万元以下的罚款。</w:t>
            </w:r>
          </w:p>
        </w:tc>
      </w:tr>
      <w:tr w14:paraId="6577747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5" w:hRule="atLeast"/>
          <w:jc w:val="center"/>
        </w:trPr>
        <w:tc>
          <w:tcPr>
            <w:tcW w:w="533" w:type="dxa"/>
            <w:gridSpan w:val="2"/>
            <w:vMerge w:val="continue"/>
            <w:tcBorders>
              <w:tl2br w:val="nil"/>
              <w:tr2bl w:val="nil"/>
            </w:tcBorders>
            <w:vAlign w:val="center"/>
          </w:tcPr>
          <w:p w14:paraId="3E96DE6C">
            <w:pPr>
              <w:keepNext w:val="0"/>
              <w:keepLines w:val="0"/>
              <w:pageBreakBefore w:val="0"/>
              <w:widowControl/>
              <w:kinsoku/>
              <w:overflowPunct/>
              <w:topLinePunct w:val="0"/>
              <w:autoSpaceDE/>
              <w:autoSpaceDN/>
              <w:bidi w:val="0"/>
              <w:adjustRightInd/>
              <w:spacing w:line="260" w:lineRule="exact"/>
              <w:jc w:val="center"/>
              <w:textAlignment w:val="center"/>
              <w:rPr>
                <w:rFonts w:ascii="Times New Roman" w:hAnsi="Times New Roman" w:eastAsia="宋体"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4FDB737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1D81074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53BBDC0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643260D5">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04FE20E5">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已组织评标或者签订合同，但未履行合同约定事项。</w:t>
            </w:r>
          </w:p>
        </w:tc>
        <w:tc>
          <w:tcPr>
            <w:tcW w:w="3375" w:type="dxa"/>
            <w:tcBorders>
              <w:tl2br w:val="nil"/>
              <w:tr2bl w:val="nil"/>
            </w:tcBorders>
            <w:tcMar>
              <w:top w:w="15" w:type="dxa"/>
              <w:left w:w="15" w:type="dxa"/>
              <w:bottom w:w="15" w:type="dxa"/>
              <w:right w:w="15" w:type="dxa"/>
            </w:tcMar>
            <w:vAlign w:val="center"/>
          </w:tcPr>
          <w:p w14:paraId="542D8749">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责令改正，可以处二万元以上四万元以下的罚款。</w:t>
            </w:r>
          </w:p>
        </w:tc>
      </w:tr>
      <w:tr w14:paraId="2756D33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5" w:hRule="atLeast"/>
          <w:jc w:val="center"/>
        </w:trPr>
        <w:tc>
          <w:tcPr>
            <w:tcW w:w="533" w:type="dxa"/>
            <w:gridSpan w:val="2"/>
            <w:vMerge w:val="continue"/>
            <w:tcBorders>
              <w:tl2br w:val="nil"/>
              <w:tr2bl w:val="nil"/>
            </w:tcBorders>
            <w:vAlign w:val="center"/>
          </w:tcPr>
          <w:p w14:paraId="6E11514D">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27C13CE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11CEFA4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6368F64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65FD3CCF">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553F603F">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履行合同约定事项</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w:t>
            </w:r>
            <w:r>
              <w:rPr>
                <w:rFonts w:hint="eastAsia" w:ascii="仿宋_GB2312" w:hAnsi="宋体" w:eastAsia="仿宋_GB2312"/>
                <w:color w:val="000000" w:themeColor="text1"/>
                <w:kern w:val="0"/>
                <w:szCs w:val="21"/>
                <w14:textFill>
                  <w14:solidFill>
                    <w14:schemeClr w14:val="tx1"/>
                  </w14:solidFill>
                </w14:textFill>
              </w:rPr>
              <w:t>其他情节恶劣，或造成严重后果的违法行为。</w:t>
            </w:r>
          </w:p>
        </w:tc>
        <w:tc>
          <w:tcPr>
            <w:tcW w:w="3375" w:type="dxa"/>
            <w:tcBorders>
              <w:tl2br w:val="nil"/>
              <w:tr2bl w:val="nil"/>
            </w:tcBorders>
            <w:tcMar>
              <w:top w:w="15" w:type="dxa"/>
              <w:left w:w="15" w:type="dxa"/>
              <w:bottom w:w="15" w:type="dxa"/>
              <w:right w:w="15" w:type="dxa"/>
            </w:tcMar>
            <w:vAlign w:val="center"/>
          </w:tcPr>
          <w:p w14:paraId="6BEF73A2">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责令改正，可以处四万元以上五万元以下的罚款。</w:t>
            </w:r>
          </w:p>
          <w:p w14:paraId="4990BA5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r>
      <w:tr w14:paraId="3D5BF01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0" w:hRule="atLeast"/>
          <w:jc w:val="center"/>
        </w:trPr>
        <w:tc>
          <w:tcPr>
            <w:tcW w:w="533" w:type="dxa"/>
            <w:gridSpan w:val="2"/>
            <w:vMerge w:val="restart"/>
            <w:tcBorders>
              <w:tl2br w:val="nil"/>
              <w:tr2bl w:val="nil"/>
            </w:tcBorders>
            <w:tcMar>
              <w:top w:w="15" w:type="dxa"/>
              <w:left w:w="15" w:type="dxa"/>
              <w:bottom w:w="15" w:type="dxa"/>
              <w:right w:w="15" w:type="dxa"/>
            </w:tcMar>
            <w:vAlign w:val="center"/>
          </w:tcPr>
          <w:p w14:paraId="721A6DC8">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4</w:t>
            </w:r>
          </w:p>
        </w:tc>
        <w:tc>
          <w:tcPr>
            <w:tcW w:w="1376" w:type="dxa"/>
            <w:vMerge w:val="restart"/>
            <w:tcBorders>
              <w:tl2br w:val="nil"/>
              <w:tr2bl w:val="nil"/>
            </w:tcBorders>
            <w:tcMar>
              <w:top w:w="15" w:type="dxa"/>
              <w:left w:w="15" w:type="dxa"/>
              <w:bottom w:w="15" w:type="dxa"/>
              <w:right w:w="15" w:type="dxa"/>
            </w:tcMar>
            <w:vAlign w:val="center"/>
          </w:tcPr>
          <w:p w14:paraId="3497C537">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依法必须进行招标的项目的招标人向他人透露已获取招标文件的潜在投标人的名称、数量或者可能影响公平竞争的有关招标投标的其他情况的，或者泄露标底</w:t>
            </w:r>
          </w:p>
        </w:tc>
        <w:tc>
          <w:tcPr>
            <w:tcW w:w="1128" w:type="dxa"/>
            <w:gridSpan w:val="2"/>
            <w:vMerge w:val="restart"/>
            <w:tcBorders>
              <w:tl2br w:val="nil"/>
              <w:tr2bl w:val="nil"/>
            </w:tcBorders>
            <w:shd w:val="clear" w:color="auto" w:fill="auto"/>
            <w:tcMar>
              <w:top w:w="15" w:type="dxa"/>
              <w:left w:w="15" w:type="dxa"/>
              <w:bottom w:w="15" w:type="dxa"/>
              <w:right w:w="15" w:type="dxa"/>
            </w:tcMar>
            <w:vAlign w:val="center"/>
          </w:tcPr>
          <w:p w14:paraId="18234D2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35A1EC3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《中华人民共和国招标投标法》（国务院令第613号）</w:t>
            </w:r>
            <w:r>
              <w:rPr>
                <w:rFonts w:hint="eastAsia" w:ascii="仿宋_GB2312" w:hAnsi="宋体" w:eastAsia="仿宋_GB2312"/>
                <w:color w:val="000000" w:themeColor="text1"/>
                <w:kern w:val="0"/>
                <w:szCs w:val="21"/>
                <w14:textFill>
                  <w14:solidFill>
                    <w14:schemeClr w14:val="tx1"/>
                  </w14:solidFill>
                </w14:textFill>
              </w:rPr>
              <w:t>第二十二条</w:t>
            </w:r>
          </w:p>
        </w:tc>
        <w:tc>
          <w:tcPr>
            <w:tcW w:w="4354" w:type="dxa"/>
            <w:vMerge w:val="restart"/>
            <w:tcBorders>
              <w:tl2br w:val="nil"/>
              <w:tr2bl w:val="nil"/>
            </w:tcBorders>
            <w:tcMar>
              <w:top w:w="15" w:type="dxa"/>
              <w:left w:w="15" w:type="dxa"/>
              <w:bottom w:w="15" w:type="dxa"/>
              <w:right w:w="15" w:type="dxa"/>
            </w:tcMar>
            <w:vAlign w:val="center"/>
          </w:tcPr>
          <w:p w14:paraId="605DCAA4">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《中华人民共和国招标投标法》</w:t>
            </w:r>
            <w:r>
              <w:rPr>
                <w:rFonts w:hint="eastAsia" w:ascii="仿宋_GB2312" w:hAnsi="宋体" w:eastAsia="仿宋_GB2312"/>
                <w:b/>
                <w:bCs/>
                <w:color w:val="000000" w:themeColor="text1"/>
                <w:kern w:val="0"/>
                <w:szCs w:val="21"/>
                <w14:textFill>
                  <w14:solidFill>
                    <w14:schemeClr w14:val="tx1"/>
                  </w14:solidFill>
                </w14:textFill>
              </w:rPr>
              <w:t>第五十二条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负责人员依法给予处分；构成犯罪的，依法追究刑事责任。</w:t>
            </w:r>
          </w:p>
        </w:tc>
        <w:tc>
          <w:tcPr>
            <w:tcW w:w="912" w:type="dxa"/>
            <w:tcBorders>
              <w:tl2br w:val="nil"/>
              <w:tr2bl w:val="nil"/>
            </w:tcBorders>
            <w:tcMar>
              <w:top w:w="15" w:type="dxa"/>
              <w:left w:w="15" w:type="dxa"/>
              <w:bottom w:w="15" w:type="dxa"/>
              <w:right w:w="15" w:type="dxa"/>
            </w:tcMar>
            <w:vAlign w:val="center"/>
          </w:tcPr>
          <w:p w14:paraId="07DB038B">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50A8976C">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尚未影响到招标活动正常进行的。</w:t>
            </w:r>
          </w:p>
        </w:tc>
        <w:tc>
          <w:tcPr>
            <w:tcW w:w="3375" w:type="dxa"/>
            <w:tcBorders>
              <w:tl2br w:val="nil"/>
              <w:tr2bl w:val="nil"/>
            </w:tcBorders>
            <w:tcMar>
              <w:top w:w="15" w:type="dxa"/>
              <w:left w:w="15" w:type="dxa"/>
              <w:bottom w:w="15" w:type="dxa"/>
              <w:right w:w="15" w:type="dxa"/>
            </w:tcMar>
            <w:vAlign w:val="center"/>
          </w:tcPr>
          <w:p w14:paraId="20A88A86">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给予警告，可以并处一万元以上三万元以下的罚款。</w:t>
            </w:r>
          </w:p>
        </w:tc>
      </w:tr>
      <w:tr w14:paraId="2B25CB9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5" w:hRule="atLeast"/>
          <w:jc w:val="center"/>
        </w:trPr>
        <w:tc>
          <w:tcPr>
            <w:tcW w:w="533" w:type="dxa"/>
            <w:gridSpan w:val="2"/>
            <w:vMerge w:val="continue"/>
            <w:tcBorders>
              <w:tl2br w:val="nil"/>
              <w:tr2bl w:val="nil"/>
            </w:tcBorders>
            <w:vAlign w:val="center"/>
          </w:tcPr>
          <w:p w14:paraId="5C78C832">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0A0825F7">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shd w:val="clear" w:color="auto" w:fill="auto"/>
            <w:vAlign w:val="center"/>
          </w:tcPr>
          <w:p w14:paraId="1CDCCD69">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047E03D2">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0AFF49FB">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54B3DA60">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影响到招标活动正常进行的。</w:t>
            </w:r>
          </w:p>
        </w:tc>
        <w:tc>
          <w:tcPr>
            <w:tcW w:w="3375" w:type="dxa"/>
            <w:tcBorders>
              <w:tl2br w:val="nil"/>
              <w:tr2bl w:val="nil"/>
            </w:tcBorders>
            <w:tcMar>
              <w:top w:w="15" w:type="dxa"/>
              <w:left w:w="15" w:type="dxa"/>
              <w:bottom w:w="15" w:type="dxa"/>
              <w:right w:w="15" w:type="dxa"/>
            </w:tcMar>
            <w:vAlign w:val="center"/>
          </w:tcPr>
          <w:p w14:paraId="7FFB2432">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给予警告，可以并处三万元以上七万元以下的罚款。</w:t>
            </w:r>
          </w:p>
        </w:tc>
      </w:tr>
      <w:tr w14:paraId="2A15313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60" w:hRule="atLeast"/>
          <w:jc w:val="center"/>
        </w:trPr>
        <w:tc>
          <w:tcPr>
            <w:tcW w:w="533" w:type="dxa"/>
            <w:gridSpan w:val="2"/>
            <w:vMerge w:val="continue"/>
            <w:tcBorders>
              <w:tl2br w:val="nil"/>
              <w:tr2bl w:val="nil"/>
            </w:tcBorders>
            <w:vAlign w:val="center"/>
          </w:tcPr>
          <w:p w14:paraId="23FFB406">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1518A9B7">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shd w:val="clear" w:color="auto" w:fill="auto"/>
            <w:vAlign w:val="center"/>
          </w:tcPr>
          <w:p w14:paraId="78B23413">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1939B0EE">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17110C21">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323FC557">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导致中标结果无效的</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w:t>
            </w:r>
            <w:r>
              <w:rPr>
                <w:rFonts w:hint="eastAsia" w:ascii="仿宋_GB2312" w:hAnsi="宋体" w:eastAsia="仿宋_GB2312"/>
                <w:color w:val="000000" w:themeColor="text1"/>
                <w:kern w:val="0"/>
                <w:szCs w:val="21"/>
                <w14:textFill>
                  <w14:solidFill>
                    <w14:schemeClr w14:val="tx1"/>
                  </w14:solidFill>
                </w14:textFill>
              </w:rPr>
              <w:t>其他情节恶劣，或造成严重后果的。</w:t>
            </w:r>
          </w:p>
        </w:tc>
        <w:tc>
          <w:tcPr>
            <w:tcW w:w="3375" w:type="dxa"/>
            <w:tcBorders>
              <w:tl2br w:val="nil"/>
              <w:tr2bl w:val="nil"/>
            </w:tcBorders>
            <w:tcMar>
              <w:top w:w="15" w:type="dxa"/>
              <w:left w:w="15" w:type="dxa"/>
              <w:bottom w:w="15" w:type="dxa"/>
              <w:right w:w="15" w:type="dxa"/>
            </w:tcMar>
            <w:vAlign w:val="center"/>
          </w:tcPr>
          <w:p w14:paraId="020FFC79">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给予警告，可以并处七万元以上十万元以下的罚款。</w:t>
            </w:r>
          </w:p>
        </w:tc>
      </w:tr>
      <w:tr w14:paraId="1A51DF5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1" w:hRule="atLeast"/>
          <w:jc w:val="center"/>
        </w:trPr>
        <w:tc>
          <w:tcPr>
            <w:tcW w:w="533" w:type="dxa"/>
            <w:gridSpan w:val="2"/>
            <w:vMerge w:val="restart"/>
            <w:tcBorders>
              <w:tl2br w:val="nil"/>
              <w:tr2bl w:val="nil"/>
            </w:tcBorders>
            <w:tcMar>
              <w:top w:w="15" w:type="dxa"/>
              <w:left w:w="15" w:type="dxa"/>
              <w:bottom w:w="15" w:type="dxa"/>
              <w:right w:w="15" w:type="dxa"/>
            </w:tcMar>
            <w:vAlign w:val="center"/>
          </w:tcPr>
          <w:p w14:paraId="3D758EC7">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5</w:t>
            </w:r>
          </w:p>
        </w:tc>
        <w:tc>
          <w:tcPr>
            <w:tcW w:w="1376" w:type="dxa"/>
            <w:vMerge w:val="restart"/>
            <w:tcBorders>
              <w:tl2br w:val="nil"/>
              <w:tr2bl w:val="nil"/>
            </w:tcBorders>
            <w:tcMar>
              <w:top w:w="15" w:type="dxa"/>
              <w:left w:w="15" w:type="dxa"/>
              <w:bottom w:w="15" w:type="dxa"/>
              <w:right w:w="15" w:type="dxa"/>
            </w:tcMar>
            <w:vAlign w:val="center"/>
          </w:tcPr>
          <w:p w14:paraId="447BA3DA">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投标人相互串通投标或者与招标人串通投标的，投标人以向招标人或者评标委员会成员行贿的手段谋取中标的</w:t>
            </w:r>
          </w:p>
        </w:tc>
        <w:tc>
          <w:tcPr>
            <w:tcW w:w="1128" w:type="dxa"/>
            <w:gridSpan w:val="2"/>
            <w:vMerge w:val="restart"/>
            <w:tcBorders>
              <w:tl2br w:val="nil"/>
              <w:tr2bl w:val="nil"/>
            </w:tcBorders>
            <w:tcMar>
              <w:top w:w="15" w:type="dxa"/>
              <w:left w:w="15" w:type="dxa"/>
              <w:bottom w:w="15" w:type="dxa"/>
              <w:right w:w="15" w:type="dxa"/>
            </w:tcMar>
            <w:vAlign w:val="center"/>
          </w:tcPr>
          <w:p w14:paraId="1BA92BA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《中华人民共和国招标投标法》（国务院令第613号）</w:t>
            </w:r>
            <w:r>
              <w:rPr>
                <w:rFonts w:hint="eastAsia" w:ascii="仿宋_GB2312" w:hAnsi="宋体" w:eastAsia="仿宋_GB2312"/>
                <w:color w:val="000000" w:themeColor="text1"/>
                <w:kern w:val="0"/>
                <w:szCs w:val="21"/>
                <w14:textFill>
                  <w14:solidFill>
                    <w14:schemeClr w14:val="tx1"/>
                  </w14:solidFill>
                </w14:textFill>
              </w:rPr>
              <w:t>第三十二条</w:t>
            </w:r>
          </w:p>
        </w:tc>
        <w:tc>
          <w:tcPr>
            <w:tcW w:w="4354" w:type="dxa"/>
            <w:vMerge w:val="restart"/>
            <w:tcBorders>
              <w:tl2br w:val="nil"/>
              <w:tr2bl w:val="nil"/>
            </w:tcBorders>
            <w:tcMar>
              <w:top w:w="15" w:type="dxa"/>
              <w:left w:w="15" w:type="dxa"/>
              <w:bottom w:w="15" w:type="dxa"/>
              <w:right w:w="15" w:type="dxa"/>
            </w:tcMar>
            <w:vAlign w:val="center"/>
          </w:tcPr>
          <w:p w14:paraId="0622C78A">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《中华人民共和国招标投标法》</w:t>
            </w:r>
            <w:r>
              <w:rPr>
                <w:rFonts w:hint="eastAsia" w:ascii="仿宋_GB2312" w:hAnsi="宋体" w:eastAsia="仿宋_GB2312"/>
                <w:b/>
                <w:bCs/>
                <w:color w:val="000000" w:themeColor="text1"/>
                <w:kern w:val="0"/>
                <w:szCs w:val="21"/>
                <w14:textFill>
                  <w14:solidFill>
                    <w14:schemeClr w14:val="tx1"/>
                  </w14:solidFill>
                </w14:textFill>
              </w:rPr>
              <w:t>第五十三条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p>
          <w:p w14:paraId="3EC51D0F">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52844C39">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w:t>
            </w:r>
            <w:r>
              <w:rPr>
                <w:rFonts w:hint="eastAsia" w:ascii="仿宋_GB2312" w:hAnsi="宋体" w:eastAsia="仿宋_GB2312"/>
                <w:b/>
                <w:bCs/>
                <w:color w:val="000000" w:themeColor="text1"/>
                <w:kern w:val="0"/>
                <w:szCs w:val="21"/>
                <w14:textFill>
                  <w14:solidFill>
                    <w14:schemeClr w14:val="tx1"/>
                  </w14:solidFill>
                </w14:textFill>
              </w:rPr>
              <w:t>第六十七条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p>
          <w:p w14:paraId="1A5D7833">
            <w:pPr>
              <w:keepNext w:val="0"/>
              <w:keepLines w:val="0"/>
              <w:pageBreakBefore w:val="0"/>
              <w:widowControl/>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投标人有下列行为之一的，属于招标投标法第五十三条规定的情节严重行为，由有关行政监督部门取消其1年至2年内参加依法必须进行招标的项目的投标资格：</w:t>
            </w:r>
          </w:p>
          <w:p w14:paraId="2019E66E">
            <w:pPr>
              <w:keepNext w:val="0"/>
              <w:keepLines w:val="0"/>
              <w:pageBreakBefore w:val="0"/>
              <w:widowControl/>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（一）以行贿谋取中标；</w:t>
            </w:r>
          </w:p>
          <w:p w14:paraId="16421F68">
            <w:pPr>
              <w:keepNext w:val="0"/>
              <w:keepLines w:val="0"/>
              <w:pageBreakBefore w:val="0"/>
              <w:widowControl/>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（二）3年内2次以上串通投标；</w:t>
            </w:r>
          </w:p>
          <w:p w14:paraId="7E43E523">
            <w:pPr>
              <w:keepNext w:val="0"/>
              <w:keepLines w:val="0"/>
              <w:pageBreakBefore w:val="0"/>
              <w:widowControl/>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（三）串通投标行为损害招标人、其他投标人或者国家、集体、公民的合法利益，造成直接经济损失30万元以上；</w:t>
            </w:r>
          </w:p>
          <w:p w14:paraId="7E34BF13">
            <w:pPr>
              <w:keepNext w:val="0"/>
              <w:keepLines w:val="0"/>
              <w:pageBreakBefore w:val="0"/>
              <w:widowControl/>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（四）其他串通投标情节严重的行为。</w:t>
            </w:r>
          </w:p>
          <w:p w14:paraId="1BEB1F05">
            <w:pPr>
              <w:keepNext w:val="0"/>
              <w:keepLines w:val="0"/>
              <w:pageBreakBefore w:val="0"/>
              <w:widowControl/>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投标人自本条第二款规定的处罚执行期限届满之日起3年内又有该款所列违法行为之一的，或者串通投标、以行贿谋取中标情节特别严重的，由工商行政管理机关吊销营业执照。</w:t>
            </w:r>
          </w:p>
          <w:p w14:paraId="55F6507D">
            <w:pPr>
              <w:keepNext w:val="0"/>
              <w:keepLines w:val="0"/>
              <w:pageBreakBefore w:val="0"/>
              <w:widowControl/>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法律、行政法规对串通投标报价行为的处罚另有规定的，从其规定。</w:t>
            </w:r>
          </w:p>
        </w:tc>
        <w:tc>
          <w:tcPr>
            <w:tcW w:w="912" w:type="dxa"/>
            <w:tcBorders>
              <w:tl2br w:val="nil"/>
              <w:tr2bl w:val="nil"/>
            </w:tcBorders>
            <w:tcMar>
              <w:top w:w="15" w:type="dxa"/>
              <w:left w:w="15" w:type="dxa"/>
              <w:bottom w:w="15" w:type="dxa"/>
              <w:right w:w="15" w:type="dxa"/>
            </w:tcMar>
            <w:vAlign w:val="center"/>
          </w:tcPr>
          <w:p w14:paraId="69E8FBCF">
            <w:pPr>
              <w:keepNext w:val="0"/>
              <w:keepLines w:val="0"/>
              <w:pageBreakBefore w:val="0"/>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4601C42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该违法行为对中标结果未产生影响的。</w:t>
            </w:r>
          </w:p>
        </w:tc>
        <w:tc>
          <w:tcPr>
            <w:tcW w:w="3375" w:type="dxa"/>
            <w:tcBorders>
              <w:tl2br w:val="nil"/>
              <w:tr2bl w:val="nil"/>
            </w:tcBorders>
            <w:tcMar>
              <w:top w:w="15" w:type="dxa"/>
              <w:left w:w="15" w:type="dxa"/>
              <w:bottom w:w="15" w:type="dxa"/>
              <w:right w:w="15" w:type="dxa"/>
            </w:tcMar>
            <w:vAlign w:val="center"/>
          </w:tcPr>
          <w:p w14:paraId="39486EE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对投标人处中标项目金额千分之五以上千分之六以下的罚款，对单位直接负责的主管人员和其他直接责任人员处单位罚款数额百分之五以上百分之六以下的罚款；有违法所得的，并处没收违法所得。</w:t>
            </w:r>
          </w:p>
        </w:tc>
      </w:tr>
      <w:tr w14:paraId="052CC1F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3" w:type="dxa"/>
            <w:gridSpan w:val="2"/>
            <w:vMerge w:val="continue"/>
            <w:tcBorders>
              <w:tl2br w:val="nil"/>
              <w:tr2bl w:val="nil"/>
            </w:tcBorders>
            <w:vAlign w:val="center"/>
          </w:tcPr>
          <w:p w14:paraId="6FF2A1CF">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7362CC70">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33F3DAF4">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15EFBC12">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416FC6AA">
            <w:pPr>
              <w:keepNext w:val="0"/>
              <w:keepLines w:val="0"/>
              <w:pageBreakBefore w:val="0"/>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407A16A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该违法行为对中标结果产生影响，但又不属于</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3CBCAAC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中标无效，对投标人处中标项目金额千分之六以上千分之八以下的罚款，对单位直接负责的主管人员和其他直接责任人员处单位罚款数额百分之六以上百分之八以下的罚款；有违法所得的，并处没收违法所得。</w:t>
            </w:r>
          </w:p>
        </w:tc>
      </w:tr>
      <w:tr w14:paraId="7FCDCF4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45" w:hRule="atLeast"/>
          <w:jc w:val="center"/>
        </w:trPr>
        <w:tc>
          <w:tcPr>
            <w:tcW w:w="533" w:type="dxa"/>
            <w:gridSpan w:val="2"/>
            <w:vMerge w:val="continue"/>
            <w:tcBorders>
              <w:tl2br w:val="nil"/>
              <w:tr2bl w:val="nil"/>
            </w:tcBorders>
            <w:vAlign w:val="center"/>
          </w:tcPr>
          <w:p w14:paraId="71F7ED29">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243B9638">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78B9D1D0">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1891C282">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3C45A011">
            <w:pPr>
              <w:keepNext w:val="0"/>
              <w:keepLines w:val="0"/>
              <w:pageBreakBefore w:val="0"/>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p w14:paraId="7A512645">
            <w:pPr>
              <w:keepNext w:val="0"/>
              <w:keepLines w:val="0"/>
              <w:pageBreakBefore w:val="0"/>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1EA3A056">
            <w:pPr>
              <w:keepNext w:val="0"/>
              <w:keepLines w:val="0"/>
              <w:pageBreakBefore w:val="0"/>
              <w:kinsoku/>
              <w:overflowPunct/>
              <w:topLinePunct w:val="0"/>
              <w:autoSpaceDE/>
              <w:autoSpaceDN/>
              <w:bidi w:val="0"/>
              <w:adjustRightInd/>
              <w:spacing w:line="260" w:lineRule="exact"/>
              <w:ind w:firstLine="210" w:firstLineChars="100"/>
              <w:jc w:val="left"/>
              <w:rPr>
                <w:rFonts w:hint="default" w:ascii="仿宋_GB2312" w:hAnsi="宋体" w:eastAsia="仿宋_GB2312"/>
                <w:color w:val="000000" w:themeColor="text1"/>
                <w:kern w:val="0"/>
                <w:szCs w:val="21"/>
                <w:lang w:val="en-US" w:eastAsia="zh-CN"/>
                <w14:textFill>
                  <w14:solidFill>
                    <w14:schemeClr w14:val="tx1"/>
                  </w14:solidFill>
                </w14:textFill>
              </w:rPr>
            </w:pPr>
            <w:r>
              <w:rPr>
                <w:rFonts w:hint="eastAsia" w:ascii="仿宋_GB2312" w:hAnsi="宋体" w:eastAsia="仿宋_GB2312"/>
                <w:color w:val="000000" w:themeColor="text1"/>
                <w:kern w:val="0"/>
                <w:szCs w:val="21"/>
                <w:lang w:val="en-US" w:eastAsia="zh-CN"/>
                <w14:textFill>
                  <w14:solidFill>
                    <w14:schemeClr w14:val="tx1"/>
                  </w14:solidFill>
                </w14:textFill>
              </w:rPr>
              <w:t>有下列情形之一的：</w:t>
            </w:r>
          </w:p>
          <w:p w14:paraId="41A1DBAD">
            <w:pPr>
              <w:keepNext w:val="0"/>
              <w:keepLines w:val="0"/>
              <w:pageBreakBefore w:val="0"/>
              <w:widowControl/>
              <w:kinsoku/>
              <w:overflowPunct/>
              <w:topLinePunct w:val="0"/>
              <w:autoSpaceDE/>
              <w:autoSpaceDN/>
              <w:bidi w:val="0"/>
              <w:adjustRightInd/>
              <w:spacing w:line="260" w:lineRule="exact"/>
              <w:ind w:firstLine="210" w:firstLineChars="1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（1）以行贿谋取中标的；</w:t>
            </w:r>
          </w:p>
          <w:p w14:paraId="6CFAF84B">
            <w:pPr>
              <w:keepNext w:val="0"/>
              <w:keepLines w:val="0"/>
              <w:pageBreakBefore w:val="0"/>
              <w:widowControl/>
              <w:kinsoku/>
              <w:overflowPunct/>
              <w:topLinePunct w:val="0"/>
              <w:autoSpaceDE/>
              <w:autoSpaceDN/>
              <w:bidi w:val="0"/>
              <w:adjustRightInd/>
              <w:spacing w:line="260" w:lineRule="exact"/>
              <w:ind w:firstLine="210" w:firstLineChars="1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（2）3年内串通投标2次以上的；</w:t>
            </w:r>
          </w:p>
          <w:p w14:paraId="6F96BFB5">
            <w:pPr>
              <w:keepNext w:val="0"/>
              <w:keepLines w:val="0"/>
              <w:pageBreakBefore w:val="0"/>
              <w:widowControl/>
              <w:kinsoku/>
              <w:overflowPunct/>
              <w:topLinePunct w:val="0"/>
              <w:autoSpaceDE/>
              <w:autoSpaceDN/>
              <w:bidi w:val="0"/>
              <w:adjustRightInd/>
              <w:spacing w:line="260" w:lineRule="exact"/>
              <w:ind w:firstLine="210" w:firstLineChars="1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（3）串通投标行为损害招标人、其他投标人或者国家、集体、公民的合法利益，造成直接经济损失30万元以上的；</w:t>
            </w:r>
          </w:p>
          <w:p w14:paraId="5D05422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w:t>
            </w:r>
            <w:r>
              <w:rPr>
                <w:rFonts w:ascii="仿宋_GB2312" w:hAnsi="宋体" w:eastAsia="仿宋_GB2312"/>
                <w:color w:val="000000" w:themeColor="text1"/>
                <w:kern w:val="0"/>
                <w:szCs w:val="21"/>
                <w14:textFill>
                  <w14:solidFill>
                    <w14:schemeClr w14:val="tx1"/>
                  </w14:solidFill>
                </w14:textFill>
              </w:rPr>
              <w:t>其他串通投标情节严重的行为的</w:t>
            </w:r>
            <w:r>
              <w:rPr>
                <w:rFonts w:hint="eastAsia" w:ascii="仿宋_GB2312" w:hAnsi="宋体" w:eastAsia="仿宋_GB2312"/>
                <w:color w:val="000000" w:themeColor="text1"/>
                <w:kern w:val="0"/>
                <w:szCs w:val="21"/>
                <w14:textFill>
                  <w14:solidFill>
                    <w14:schemeClr w14:val="tx1"/>
                  </w14:solidFill>
                </w14:textFill>
              </w:rPr>
              <w:t>。</w:t>
            </w:r>
          </w:p>
        </w:tc>
        <w:tc>
          <w:tcPr>
            <w:tcW w:w="3375" w:type="dxa"/>
            <w:tcBorders>
              <w:tl2br w:val="nil"/>
              <w:tr2bl w:val="nil"/>
            </w:tcBorders>
            <w:tcMar>
              <w:top w:w="15" w:type="dxa"/>
              <w:left w:w="15" w:type="dxa"/>
              <w:bottom w:w="15" w:type="dxa"/>
              <w:right w:w="15" w:type="dxa"/>
            </w:tcMar>
            <w:vAlign w:val="center"/>
          </w:tcPr>
          <w:p w14:paraId="162DBFE2">
            <w:pPr>
              <w:keepNext w:val="0"/>
              <w:keepLines w:val="0"/>
              <w:pageBreakBefore w:val="0"/>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标无效，对投标人处中标项目金额千分之八至千分之十的罚款，对单位直接负责的主管人员和其他直接责任人员处单位罚款数额百分之八至百分之十的罚款；有违法所得的，并处没收违法所得；取消其1年至2年内参加依法必须进行招标的项目的投标资格。</w:t>
            </w:r>
          </w:p>
          <w:p w14:paraId="376F6FF6">
            <w:pPr>
              <w:keepNext w:val="0"/>
              <w:keepLines w:val="0"/>
              <w:pageBreakBefore w:val="0"/>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271AFBF2">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r>
      <w:tr w14:paraId="54E6CCA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5" w:hRule="atLeast"/>
          <w:jc w:val="center"/>
        </w:trPr>
        <w:tc>
          <w:tcPr>
            <w:tcW w:w="533" w:type="dxa"/>
            <w:gridSpan w:val="2"/>
            <w:vMerge w:val="restart"/>
            <w:tcBorders>
              <w:tl2br w:val="nil"/>
              <w:tr2bl w:val="nil"/>
            </w:tcBorders>
            <w:tcMar>
              <w:top w:w="15" w:type="dxa"/>
              <w:left w:w="15" w:type="dxa"/>
              <w:bottom w:w="15" w:type="dxa"/>
              <w:right w:w="15" w:type="dxa"/>
            </w:tcMar>
            <w:vAlign w:val="center"/>
          </w:tcPr>
          <w:p w14:paraId="337670E7">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6</w:t>
            </w:r>
          </w:p>
        </w:tc>
        <w:tc>
          <w:tcPr>
            <w:tcW w:w="1376" w:type="dxa"/>
            <w:vMerge w:val="restart"/>
            <w:tcBorders>
              <w:tl2br w:val="nil"/>
              <w:tr2bl w:val="nil"/>
            </w:tcBorders>
            <w:tcMar>
              <w:top w:w="15" w:type="dxa"/>
              <w:left w:w="15" w:type="dxa"/>
              <w:bottom w:w="15" w:type="dxa"/>
              <w:right w:w="15" w:type="dxa"/>
            </w:tcMar>
            <w:vAlign w:val="center"/>
          </w:tcPr>
          <w:p w14:paraId="5571774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035E93EC">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投标人以他人名义投标或者以其他方式弄虚作假，骗取中标的,尚未构成犯罪的</w:t>
            </w:r>
          </w:p>
        </w:tc>
        <w:tc>
          <w:tcPr>
            <w:tcW w:w="1128" w:type="dxa"/>
            <w:gridSpan w:val="2"/>
            <w:vMerge w:val="restart"/>
            <w:tcBorders>
              <w:tl2br w:val="nil"/>
              <w:tr2bl w:val="nil"/>
            </w:tcBorders>
            <w:tcMar>
              <w:top w:w="15" w:type="dxa"/>
              <w:left w:w="15" w:type="dxa"/>
              <w:bottom w:w="15" w:type="dxa"/>
              <w:right w:w="15" w:type="dxa"/>
            </w:tcMar>
            <w:vAlign w:val="center"/>
          </w:tcPr>
          <w:p w14:paraId="5F0353A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328F1C4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《中华人民共和国招标投标法》（国务院令第613号）</w:t>
            </w:r>
            <w:r>
              <w:rPr>
                <w:rFonts w:hint="eastAsia" w:ascii="仿宋_GB2312" w:hAnsi="宋体" w:eastAsia="仿宋_GB2312"/>
                <w:color w:val="000000" w:themeColor="text1"/>
                <w:kern w:val="0"/>
                <w:szCs w:val="21"/>
                <w14:textFill>
                  <w14:solidFill>
                    <w14:schemeClr w14:val="tx1"/>
                  </w14:solidFill>
                </w14:textFill>
              </w:rPr>
              <w:t>第三十三条</w:t>
            </w:r>
          </w:p>
          <w:p w14:paraId="58CF7948">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vMerge w:val="restart"/>
            <w:tcBorders>
              <w:tl2br w:val="nil"/>
              <w:tr2bl w:val="nil"/>
            </w:tcBorders>
            <w:tcMar>
              <w:top w:w="15" w:type="dxa"/>
              <w:left w:w="15" w:type="dxa"/>
              <w:bottom w:w="15" w:type="dxa"/>
              <w:right w:w="15" w:type="dxa"/>
            </w:tcMar>
            <w:vAlign w:val="center"/>
          </w:tcPr>
          <w:p w14:paraId="3679AC1B">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《中华人民共和国招标投标法》</w:t>
            </w:r>
            <w:r>
              <w:rPr>
                <w:rFonts w:hint="eastAsia" w:ascii="仿宋_GB2312" w:hAnsi="宋体" w:eastAsia="仿宋_GB2312"/>
                <w:b/>
                <w:bCs/>
                <w:color w:val="000000" w:themeColor="text1"/>
                <w:kern w:val="0"/>
                <w:szCs w:val="21"/>
                <w14:textFill>
                  <w14:solidFill>
                    <w14:schemeClr w14:val="tx1"/>
                  </w14:solidFill>
                </w14:textFill>
              </w:rPr>
              <w:t>第五十四条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投标人以他人名义投标或者以其他方式弄虚作假，骗取中标的，中标无效，给招标人造成损失的，依法承担赔偿责任；构成犯罪的，依法追究刑事责任。</w:t>
            </w:r>
          </w:p>
          <w:p w14:paraId="42432758">
            <w:pPr>
              <w:keepNext w:val="0"/>
              <w:keepLines w:val="0"/>
              <w:pageBreakBefore w:val="0"/>
              <w:widowControl/>
              <w:kinsoku/>
              <w:overflowPunct/>
              <w:topLinePunct w:val="0"/>
              <w:autoSpaceDE/>
              <w:autoSpaceDN/>
              <w:bidi w:val="0"/>
              <w:adjustRightInd/>
              <w:spacing w:line="260" w:lineRule="exact"/>
              <w:ind w:firstLine="420" w:firstLineChars="200"/>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p>
          <w:p w14:paraId="0165D3F0">
            <w:pPr>
              <w:keepNext w:val="0"/>
              <w:keepLines w:val="0"/>
              <w:pageBreakBefore w:val="0"/>
              <w:widowControl/>
              <w:kinsoku/>
              <w:overflowPunct/>
              <w:topLinePunct w:val="0"/>
              <w:autoSpaceDE/>
              <w:autoSpaceDN/>
              <w:bidi w:val="0"/>
              <w:adjustRightInd/>
              <w:spacing w:line="260" w:lineRule="exact"/>
              <w:ind w:firstLine="420" w:firstLineChars="200"/>
              <w:jc w:val="left"/>
              <w:rPr>
                <w:rFonts w:hint="eastAsia" w:ascii="仿宋_GB2312" w:hAnsi="宋体" w:eastAsia="仿宋_GB2312"/>
                <w:color w:val="000000" w:themeColor="text1"/>
                <w:kern w:val="0"/>
                <w:szCs w:val="21"/>
                <w14:textFill>
                  <w14:solidFill>
                    <w14:schemeClr w14:val="tx1"/>
                  </w14:solidFill>
                </w14:textFill>
              </w:rPr>
            </w:pPr>
          </w:p>
          <w:p w14:paraId="14F91A4A">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w:t>
            </w:r>
            <w:r>
              <w:rPr>
                <w:rFonts w:hint="eastAsia" w:ascii="仿宋_GB2312" w:hAnsi="宋体" w:eastAsia="仿宋_GB2312"/>
                <w:b/>
                <w:bCs/>
                <w:color w:val="000000" w:themeColor="text1"/>
                <w:kern w:val="0"/>
                <w:szCs w:val="21"/>
                <w14:textFill>
                  <w14:solidFill>
                    <w14:schemeClr w14:val="tx1"/>
                  </w14:solidFill>
                </w14:textFill>
              </w:rPr>
              <w:t>第六十八条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p>
          <w:p w14:paraId="58F3A4A9">
            <w:pPr>
              <w:keepNext w:val="0"/>
              <w:keepLines w:val="0"/>
              <w:pageBreakBefore w:val="0"/>
              <w:widowControl/>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投标人有下列行为之一的，属于招标投标法第五十四条规定的情节严重行为，由有关行政监督部门取消其1年至3年内参加依法必须进行招标的项目的投标资格：</w:t>
            </w:r>
          </w:p>
          <w:p w14:paraId="478BAF00">
            <w:pPr>
              <w:keepNext w:val="0"/>
              <w:keepLines w:val="0"/>
              <w:pageBreakBefore w:val="0"/>
              <w:widowControl/>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（一）伪造、变造资格、资质证书或者其他许可证件骗取中标；</w:t>
            </w:r>
          </w:p>
          <w:p w14:paraId="62AEBA2E">
            <w:pPr>
              <w:keepNext w:val="0"/>
              <w:keepLines w:val="0"/>
              <w:pageBreakBefore w:val="0"/>
              <w:widowControl/>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（二）3年内2次以上使用他人名义投标；</w:t>
            </w:r>
          </w:p>
          <w:p w14:paraId="66C5848D">
            <w:pPr>
              <w:keepNext w:val="0"/>
              <w:keepLines w:val="0"/>
              <w:pageBreakBefore w:val="0"/>
              <w:widowControl/>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（三）弄虚作假骗取中标给招标人造成直接经济损失30万元以上；</w:t>
            </w:r>
          </w:p>
          <w:p w14:paraId="4EBC0F21">
            <w:pPr>
              <w:keepNext w:val="0"/>
              <w:keepLines w:val="0"/>
              <w:pageBreakBefore w:val="0"/>
              <w:widowControl/>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（四）其他弄虚作假骗取中标情节严重的行为。</w:t>
            </w:r>
          </w:p>
          <w:p w14:paraId="637E8221">
            <w:pPr>
              <w:keepNext w:val="0"/>
              <w:keepLines w:val="0"/>
              <w:pageBreakBefore w:val="0"/>
              <w:widowControl/>
              <w:kinsoku/>
              <w:overflowPunct/>
              <w:topLinePunct w:val="0"/>
              <w:autoSpaceDE/>
              <w:autoSpaceDN/>
              <w:bidi w:val="0"/>
              <w:adjustRightInd/>
              <w:spacing w:line="260" w:lineRule="exact"/>
              <w:ind w:firstLine="420" w:firstLineChars="2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投标人自本条第二款规定的处罚执行期限届满之日起3年内又有该款所列违法行为之一的，或者弄虚作假骗取中标情节特别严重的，由工商行政管理机关吊销营业执照。</w:t>
            </w:r>
          </w:p>
        </w:tc>
        <w:tc>
          <w:tcPr>
            <w:tcW w:w="912" w:type="dxa"/>
            <w:tcBorders>
              <w:tl2br w:val="nil"/>
              <w:tr2bl w:val="nil"/>
            </w:tcBorders>
            <w:tcMar>
              <w:top w:w="15" w:type="dxa"/>
              <w:left w:w="15" w:type="dxa"/>
              <w:bottom w:w="15" w:type="dxa"/>
              <w:right w:w="15" w:type="dxa"/>
            </w:tcMar>
            <w:vAlign w:val="center"/>
          </w:tcPr>
          <w:p w14:paraId="729326FB">
            <w:pPr>
              <w:keepNext w:val="0"/>
              <w:keepLines w:val="0"/>
              <w:pageBreakBefore w:val="0"/>
              <w:widowControl/>
              <w:kinsoku/>
              <w:overflowPunct/>
              <w:topLinePunct w:val="0"/>
              <w:autoSpaceDE/>
              <w:autoSpaceDN/>
              <w:bidi w:val="0"/>
              <w:adjustRightInd/>
              <w:spacing w:before="100" w:beforeAutospacing="1" w:after="100" w:afterAutospacing="1" w:line="260" w:lineRule="exact"/>
              <w:jc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10780C0D">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3年内以他人名义投标或以其他方式弄虚作假投标1次的。</w:t>
            </w:r>
          </w:p>
        </w:tc>
        <w:tc>
          <w:tcPr>
            <w:tcW w:w="3375" w:type="dxa"/>
            <w:tcBorders>
              <w:tl2br w:val="nil"/>
              <w:tr2bl w:val="nil"/>
            </w:tcBorders>
            <w:tcMar>
              <w:top w:w="15" w:type="dxa"/>
              <w:left w:w="15" w:type="dxa"/>
              <w:bottom w:w="15" w:type="dxa"/>
              <w:right w:w="15" w:type="dxa"/>
            </w:tcMar>
            <w:vAlign w:val="center"/>
          </w:tcPr>
          <w:p w14:paraId="36176AA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对投标人处中标项目金额千分之五以上千分之七点五以下的罚款，对单位直接负责的主管人员和其他直接责任人员处单位罚款数额百分之五以上百分之七点五以下的罚款；有违法所得的，并处没收违法所得。</w:t>
            </w:r>
          </w:p>
        </w:tc>
      </w:tr>
      <w:tr w14:paraId="743008F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3" w:type="dxa"/>
            <w:gridSpan w:val="2"/>
            <w:vMerge w:val="continue"/>
            <w:tcBorders>
              <w:tl2br w:val="nil"/>
              <w:tr2bl w:val="nil"/>
            </w:tcBorders>
            <w:vAlign w:val="center"/>
          </w:tcPr>
          <w:p w14:paraId="468BFB87">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6D2B100A">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0F52206B">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4FD3AEEA">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7DED80A4">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p w14:paraId="38435C5F">
            <w:pPr>
              <w:keepNext w:val="0"/>
              <w:keepLines w:val="0"/>
              <w:pageBreakBefore w:val="0"/>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tcMar>
              <w:top w:w="15" w:type="dxa"/>
              <w:left w:w="15" w:type="dxa"/>
              <w:bottom w:w="15" w:type="dxa"/>
              <w:right w:w="15" w:type="dxa"/>
            </w:tcMar>
            <w:vAlign w:val="center"/>
          </w:tcPr>
          <w:p w14:paraId="1A6A2FD9">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3年内2次使用他人名义投标或以其他方式弄虚作假的。</w:t>
            </w:r>
          </w:p>
        </w:tc>
        <w:tc>
          <w:tcPr>
            <w:tcW w:w="3375" w:type="dxa"/>
            <w:tcBorders>
              <w:tl2br w:val="nil"/>
              <w:tr2bl w:val="nil"/>
            </w:tcBorders>
            <w:tcMar>
              <w:top w:w="15" w:type="dxa"/>
              <w:left w:w="15" w:type="dxa"/>
              <w:bottom w:w="15" w:type="dxa"/>
              <w:right w:w="15" w:type="dxa"/>
            </w:tcMar>
            <w:vAlign w:val="center"/>
          </w:tcPr>
          <w:p w14:paraId="73AA43F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对投标人处中标项目金额千分之七点五以上千分之十以下的罚款，对单位直接负责的主管人员和其他直接责任人员处单位罚款数额百分之七点五以上百分之十以下的罚款；有违法所得的，并处没收违法所得。</w:t>
            </w:r>
          </w:p>
        </w:tc>
      </w:tr>
      <w:tr w14:paraId="6BE4960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0" w:hRule="atLeast"/>
          <w:jc w:val="center"/>
        </w:trPr>
        <w:tc>
          <w:tcPr>
            <w:tcW w:w="533" w:type="dxa"/>
            <w:gridSpan w:val="2"/>
            <w:vMerge w:val="continue"/>
            <w:tcBorders>
              <w:tl2br w:val="nil"/>
              <w:tr2bl w:val="nil"/>
            </w:tcBorders>
            <w:vAlign w:val="center"/>
          </w:tcPr>
          <w:p w14:paraId="7304FC3D">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6EDACC13">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6B974348">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1BB06DDD">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4C03CE1E">
            <w:pPr>
              <w:keepNext w:val="0"/>
              <w:keepLines w:val="0"/>
              <w:pageBreakBefore w:val="0"/>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p w14:paraId="7C898ED3">
            <w:pPr>
              <w:keepNext w:val="0"/>
              <w:keepLines w:val="0"/>
              <w:pageBreakBefore w:val="0"/>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p w14:paraId="566BA290">
            <w:pPr>
              <w:keepNext w:val="0"/>
              <w:keepLines w:val="0"/>
              <w:pageBreakBefore w:val="0"/>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46FB7647">
            <w:pPr>
              <w:keepNext w:val="0"/>
              <w:keepLines w:val="0"/>
              <w:pageBreakBefore w:val="0"/>
              <w:kinsoku/>
              <w:overflowPunct/>
              <w:topLinePunct w:val="0"/>
              <w:autoSpaceDE/>
              <w:autoSpaceDN/>
              <w:bidi w:val="0"/>
              <w:adjustRightInd/>
              <w:spacing w:line="260" w:lineRule="exact"/>
              <w:ind w:firstLine="420" w:firstLineChars="200"/>
              <w:jc w:val="left"/>
              <w:rPr>
                <w:rFonts w:hint="default" w:ascii="仿宋_GB2312" w:hAnsi="宋体" w:eastAsia="仿宋_GB2312"/>
                <w:color w:val="000000" w:themeColor="text1"/>
                <w:kern w:val="0"/>
                <w:szCs w:val="21"/>
                <w:lang w:val="en-US" w:eastAsia="zh-CN"/>
                <w14:textFill>
                  <w14:solidFill>
                    <w14:schemeClr w14:val="tx1"/>
                  </w14:solidFill>
                </w14:textFill>
              </w:rPr>
            </w:pPr>
            <w:r>
              <w:rPr>
                <w:rFonts w:hint="eastAsia" w:ascii="仿宋_GB2312" w:hAnsi="宋体" w:eastAsia="仿宋_GB2312"/>
                <w:color w:val="000000" w:themeColor="text1"/>
                <w:kern w:val="0"/>
                <w:szCs w:val="21"/>
                <w:lang w:val="en-US" w:eastAsia="zh-CN"/>
                <w14:textFill>
                  <w14:solidFill>
                    <w14:schemeClr w14:val="tx1"/>
                  </w14:solidFill>
                </w14:textFill>
              </w:rPr>
              <w:t>有下列情形之一的：</w:t>
            </w:r>
          </w:p>
          <w:p w14:paraId="0F9B5F63">
            <w:pPr>
              <w:keepNext w:val="0"/>
              <w:keepLines w:val="0"/>
              <w:pageBreakBefore w:val="0"/>
              <w:kinsoku/>
              <w:overflowPunct/>
              <w:topLinePunct w:val="0"/>
              <w:autoSpaceDE/>
              <w:autoSpaceDN/>
              <w:bidi w:val="0"/>
              <w:adjustRightInd/>
              <w:spacing w:line="260" w:lineRule="exact"/>
              <w:ind w:firstLine="210" w:firstLineChars="1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（1）伪造、变造资格、资质证书或者其他许可证件骗取中标；</w:t>
            </w:r>
          </w:p>
          <w:p w14:paraId="2EFEA186">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（2）3年内</w:t>
            </w:r>
            <w:r>
              <w:rPr>
                <w:rFonts w:hint="eastAsia" w:ascii="仿宋_GB2312" w:hAnsi="宋体" w:eastAsia="仿宋_GB2312"/>
                <w:color w:val="000000" w:themeColor="text1"/>
                <w:kern w:val="0"/>
                <w:szCs w:val="21"/>
                <w:lang w:val="en-US" w:eastAsia="zh-CN"/>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次以上使用他人名义投标；</w:t>
            </w:r>
          </w:p>
          <w:p w14:paraId="68DC21FF">
            <w:pPr>
              <w:keepNext w:val="0"/>
              <w:keepLines w:val="0"/>
              <w:pageBreakBefore w:val="0"/>
              <w:kinsoku/>
              <w:overflowPunct/>
              <w:topLinePunct w:val="0"/>
              <w:autoSpaceDE/>
              <w:autoSpaceDN/>
              <w:bidi w:val="0"/>
              <w:adjustRightInd/>
              <w:spacing w:line="260" w:lineRule="exact"/>
              <w:ind w:firstLine="210" w:firstLineChars="1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（3）弄虚作假骗取中标给招标人造成直接经济损失30万元以上；</w:t>
            </w:r>
          </w:p>
          <w:p w14:paraId="4BB3A35A">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（4）其他弄虚作假骗取中标情节严重行为。</w:t>
            </w:r>
          </w:p>
        </w:tc>
        <w:tc>
          <w:tcPr>
            <w:tcW w:w="3375" w:type="dxa"/>
            <w:tcBorders>
              <w:tl2br w:val="nil"/>
              <w:tr2bl w:val="nil"/>
            </w:tcBorders>
            <w:tcMar>
              <w:top w:w="15" w:type="dxa"/>
              <w:left w:w="15" w:type="dxa"/>
              <w:bottom w:w="15" w:type="dxa"/>
              <w:right w:w="15" w:type="dxa"/>
            </w:tcMar>
            <w:vAlign w:val="center"/>
          </w:tcPr>
          <w:p w14:paraId="7F4E8FEA">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72E989E4">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105E2571">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4491A1D3">
            <w:pPr>
              <w:keepNext w:val="0"/>
              <w:keepLines w:val="0"/>
              <w:pageBreakBefore w:val="0"/>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骗取中标的，中标无效；对投标人处中标项目金额千分之十的罚款，对单位直接负责的主管人员和其他直接责任人员处单位罚款数额百分之十的罚款；有违法所得的，并处没收违法所得；取消其1年至3年内参加依法必须进行招标的项目的投标资格。</w:t>
            </w:r>
          </w:p>
          <w:p w14:paraId="4908E693">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50174881">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5A208211">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r>
      <w:tr w14:paraId="6BB5F93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40" w:hRule="atLeast"/>
          <w:jc w:val="center"/>
        </w:trPr>
        <w:tc>
          <w:tcPr>
            <w:tcW w:w="533" w:type="dxa"/>
            <w:gridSpan w:val="2"/>
            <w:vMerge w:val="restart"/>
            <w:tcBorders>
              <w:tl2br w:val="nil"/>
              <w:tr2bl w:val="nil"/>
            </w:tcBorders>
            <w:tcMar>
              <w:top w:w="15" w:type="dxa"/>
              <w:left w:w="15" w:type="dxa"/>
              <w:bottom w:w="15" w:type="dxa"/>
              <w:right w:w="15" w:type="dxa"/>
            </w:tcMar>
            <w:vAlign w:val="center"/>
          </w:tcPr>
          <w:p w14:paraId="3988D408">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p w14:paraId="06692C6D">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7</w:t>
            </w:r>
          </w:p>
        </w:tc>
        <w:tc>
          <w:tcPr>
            <w:tcW w:w="1376" w:type="dxa"/>
            <w:vMerge w:val="restart"/>
            <w:tcBorders>
              <w:tl2br w:val="nil"/>
              <w:tr2bl w:val="nil"/>
            </w:tcBorders>
            <w:tcMar>
              <w:top w:w="15" w:type="dxa"/>
              <w:left w:w="15" w:type="dxa"/>
              <w:bottom w:w="15" w:type="dxa"/>
              <w:right w:w="15" w:type="dxa"/>
            </w:tcMar>
            <w:vAlign w:val="center"/>
          </w:tcPr>
          <w:p w14:paraId="2118856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3F106FD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181AF888">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评标委员会成员收受投标人的财物或者其他好处的，评标委员会成员或者参加评标的有关工作人员向他人透露对投标文件的评审和比较、中标候选人的推荐以及与评标有关的其他情况的</w:t>
            </w:r>
          </w:p>
        </w:tc>
        <w:tc>
          <w:tcPr>
            <w:tcW w:w="1128" w:type="dxa"/>
            <w:gridSpan w:val="2"/>
            <w:vMerge w:val="restart"/>
            <w:tcBorders>
              <w:tl2br w:val="nil"/>
              <w:tr2bl w:val="nil"/>
            </w:tcBorders>
            <w:tcMar>
              <w:top w:w="15" w:type="dxa"/>
              <w:left w:w="15" w:type="dxa"/>
              <w:bottom w:w="15" w:type="dxa"/>
              <w:right w:w="15" w:type="dxa"/>
            </w:tcMar>
            <w:vAlign w:val="center"/>
          </w:tcPr>
          <w:p w14:paraId="5324F1FE">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5C8818D4">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3245445F">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《中华人民共和国招标投标法》（国务院令第613号）</w:t>
            </w:r>
            <w:r>
              <w:rPr>
                <w:rFonts w:hint="eastAsia" w:ascii="仿宋_GB2312" w:hAnsi="宋体" w:eastAsia="仿宋_GB2312"/>
                <w:color w:val="000000" w:themeColor="text1"/>
                <w:kern w:val="0"/>
                <w:szCs w:val="21"/>
                <w14:textFill>
                  <w14:solidFill>
                    <w14:schemeClr w14:val="tx1"/>
                  </w14:solidFill>
                </w14:textFill>
              </w:rPr>
              <w:t>第四十四条</w:t>
            </w:r>
          </w:p>
        </w:tc>
        <w:tc>
          <w:tcPr>
            <w:tcW w:w="4354" w:type="dxa"/>
            <w:vMerge w:val="restart"/>
            <w:tcBorders>
              <w:tl2br w:val="nil"/>
              <w:tr2bl w:val="nil"/>
            </w:tcBorders>
            <w:tcMar>
              <w:top w:w="15" w:type="dxa"/>
              <w:left w:w="15" w:type="dxa"/>
              <w:bottom w:w="15" w:type="dxa"/>
              <w:right w:w="15" w:type="dxa"/>
            </w:tcMar>
            <w:vAlign w:val="center"/>
          </w:tcPr>
          <w:p w14:paraId="6FB7B8F4">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《中华人民共和国招标投标法》</w:t>
            </w:r>
            <w:r>
              <w:rPr>
                <w:rFonts w:hint="eastAsia" w:ascii="仿宋_GB2312" w:hAnsi="宋体" w:eastAsia="仿宋_GB2312"/>
                <w:b/>
                <w:bCs/>
                <w:color w:val="000000" w:themeColor="text1"/>
                <w:kern w:val="0"/>
                <w:szCs w:val="21"/>
                <w14:textFill>
                  <w14:solidFill>
                    <w14:schemeClr w14:val="tx1"/>
                  </w14:solidFill>
                </w14:textFill>
              </w:rPr>
              <w:t>第五十六条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评标委员会成员收受投标人的财物或者其他好处的，评标委员会成员或者参加评标的有关工作人员向他人透露对投标文件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p>
          <w:p w14:paraId="2004E93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48EBC7D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w:t>
            </w:r>
            <w:r>
              <w:rPr>
                <w:rFonts w:hint="eastAsia" w:ascii="仿宋_GB2312" w:hAnsi="宋体" w:eastAsia="仿宋_GB2312"/>
                <w:b/>
                <w:bCs/>
                <w:color w:val="000000" w:themeColor="text1"/>
                <w:kern w:val="0"/>
                <w:szCs w:val="21"/>
                <w14:textFill>
                  <w14:solidFill>
                    <w14:schemeClr w14:val="tx1"/>
                  </w14:solidFill>
                </w14:textFill>
              </w:rPr>
              <w:t>第七十二条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评标委员会成员收受投标人的财物或者其他好处的，没收收受的财物，处3000元以上5万元以下的罚款，取消担任评标委员会成员的资格，不得再参加依法必须进行招标的项目的评标；构成犯罪的，依法追究刑事责任。</w:t>
            </w:r>
          </w:p>
        </w:tc>
        <w:tc>
          <w:tcPr>
            <w:tcW w:w="912" w:type="dxa"/>
            <w:tcBorders>
              <w:tl2br w:val="nil"/>
              <w:tr2bl w:val="nil"/>
            </w:tcBorders>
            <w:tcMar>
              <w:top w:w="15" w:type="dxa"/>
              <w:left w:w="15" w:type="dxa"/>
              <w:bottom w:w="15" w:type="dxa"/>
              <w:right w:w="15" w:type="dxa"/>
            </w:tcMar>
            <w:vAlign w:val="center"/>
          </w:tcPr>
          <w:p w14:paraId="6DAAB77D">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01BBB334">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尚未影响到招标活动正常进行的。</w:t>
            </w:r>
          </w:p>
        </w:tc>
        <w:tc>
          <w:tcPr>
            <w:tcW w:w="3375" w:type="dxa"/>
            <w:tcBorders>
              <w:tl2br w:val="nil"/>
              <w:tr2bl w:val="nil"/>
            </w:tcBorders>
            <w:tcMar>
              <w:top w:w="15" w:type="dxa"/>
              <w:left w:w="15" w:type="dxa"/>
              <w:bottom w:w="15" w:type="dxa"/>
              <w:right w:w="15" w:type="dxa"/>
            </w:tcMar>
            <w:vAlign w:val="center"/>
          </w:tcPr>
          <w:p w14:paraId="2D193FCC">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给予警告，没收收受的财物,可以处3千元以上2万元以下的罚款；取消担任评标委员会成员的资格，不得再参加任何依法必须进行招标的项目的评标。</w:t>
            </w:r>
          </w:p>
        </w:tc>
      </w:tr>
      <w:tr w14:paraId="29897B5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20" w:hRule="atLeast"/>
          <w:jc w:val="center"/>
        </w:trPr>
        <w:tc>
          <w:tcPr>
            <w:tcW w:w="533" w:type="dxa"/>
            <w:gridSpan w:val="2"/>
            <w:vMerge w:val="continue"/>
            <w:tcBorders>
              <w:tl2br w:val="nil"/>
              <w:tr2bl w:val="nil"/>
            </w:tcBorders>
            <w:vAlign w:val="center"/>
          </w:tcPr>
          <w:p w14:paraId="59E12271">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583CC538">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581F29EB">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4CA05669">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36C9EA4F">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7D1803B0">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影响到招标活动正常进行的。</w:t>
            </w:r>
          </w:p>
        </w:tc>
        <w:tc>
          <w:tcPr>
            <w:tcW w:w="3375" w:type="dxa"/>
            <w:tcBorders>
              <w:tl2br w:val="nil"/>
              <w:tr2bl w:val="nil"/>
            </w:tcBorders>
            <w:tcMar>
              <w:top w:w="15" w:type="dxa"/>
              <w:left w:w="15" w:type="dxa"/>
              <w:bottom w:w="15" w:type="dxa"/>
              <w:right w:w="15" w:type="dxa"/>
            </w:tcMar>
            <w:vAlign w:val="center"/>
          </w:tcPr>
          <w:p w14:paraId="71CF238F">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给予警告，没收收受的财物,处2万元以上4万元以下的罚款；取消担任评标委员会成员的资格，不得再参加任何依法必须进行招标的项目的评标。</w:t>
            </w:r>
          </w:p>
        </w:tc>
      </w:tr>
      <w:tr w14:paraId="5BB2872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82" w:hRule="atLeast"/>
          <w:jc w:val="center"/>
        </w:trPr>
        <w:tc>
          <w:tcPr>
            <w:tcW w:w="533" w:type="dxa"/>
            <w:gridSpan w:val="2"/>
            <w:vMerge w:val="continue"/>
            <w:tcBorders>
              <w:tl2br w:val="nil"/>
              <w:tr2bl w:val="nil"/>
            </w:tcBorders>
            <w:vAlign w:val="center"/>
          </w:tcPr>
          <w:p w14:paraId="6017F2B7">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6ECF0B56">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634DB139">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51162BAD">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1D9FF18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73BCA406">
            <w:pPr>
              <w:keepNext w:val="0"/>
              <w:keepLines w:val="0"/>
              <w:pageBreakBefore w:val="0"/>
              <w:kinsoku/>
              <w:overflowPunct/>
              <w:topLinePunct w:val="0"/>
              <w:autoSpaceDE/>
              <w:autoSpaceDN/>
              <w:bidi w:val="0"/>
              <w:adjustRightInd/>
              <w:spacing w:line="260" w:lineRule="exact"/>
              <w:ind w:firstLine="21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导致中标结果无效的</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w:t>
            </w:r>
            <w:r>
              <w:rPr>
                <w:rFonts w:hint="eastAsia" w:ascii="仿宋_GB2312" w:hAnsi="宋体" w:eastAsia="仿宋_GB2312"/>
                <w:color w:val="000000" w:themeColor="text1"/>
                <w:kern w:val="0"/>
                <w:szCs w:val="21"/>
                <w14:textFill>
                  <w14:solidFill>
                    <w14:schemeClr w14:val="tx1"/>
                  </w14:solidFill>
                </w14:textFill>
              </w:rPr>
              <w:t>其他情节恶劣，或造成严重后果的。</w:t>
            </w:r>
          </w:p>
        </w:tc>
        <w:tc>
          <w:tcPr>
            <w:tcW w:w="3375" w:type="dxa"/>
            <w:tcBorders>
              <w:tl2br w:val="nil"/>
              <w:tr2bl w:val="nil"/>
            </w:tcBorders>
            <w:tcMar>
              <w:top w:w="15" w:type="dxa"/>
              <w:left w:w="15" w:type="dxa"/>
              <w:bottom w:w="15" w:type="dxa"/>
              <w:right w:w="15" w:type="dxa"/>
            </w:tcMar>
            <w:vAlign w:val="center"/>
          </w:tcPr>
          <w:p w14:paraId="318641FF">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给予警告，没收收受的财物,处4万元以上5万元以下的罚款；取消担任评标委员会成员的资格，不得再参加任何依法必须进行招标的项目的评标。</w:t>
            </w:r>
          </w:p>
          <w:p w14:paraId="18510F36">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r>
      <w:tr w14:paraId="413D4E3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6" w:hRule="atLeast"/>
          <w:jc w:val="center"/>
        </w:trPr>
        <w:tc>
          <w:tcPr>
            <w:tcW w:w="533" w:type="dxa"/>
            <w:gridSpan w:val="2"/>
            <w:vMerge w:val="restart"/>
            <w:tcBorders>
              <w:tl2br w:val="nil"/>
              <w:tr2bl w:val="nil"/>
            </w:tcBorders>
            <w:tcMar>
              <w:top w:w="15" w:type="dxa"/>
              <w:left w:w="15" w:type="dxa"/>
              <w:bottom w:w="15" w:type="dxa"/>
              <w:right w:w="15" w:type="dxa"/>
            </w:tcMar>
            <w:vAlign w:val="center"/>
          </w:tcPr>
          <w:p w14:paraId="334938A2">
            <w:pPr>
              <w:keepNext w:val="0"/>
              <w:keepLines w:val="0"/>
              <w:pageBreakBefore w:val="0"/>
              <w:widowControl/>
              <w:kinsoku/>
              <w:overflowPunct/>
              <w:topLinePunct w:val="0"/>
              <w:autoSpaceDE/>
              <w:autoSpaceDN/>
              <w:bidi w:val="0"/>
              <w:adjustRightInd/>
              <w:spacing w:line="260" w:lineRule="exact"/>
              <w:ind w:firstLine="105" w:firstLineChars="50"/>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8</w:t>
            </w:r>
          </w:p>
        </w:tc>
        <w:tc>
          <w:tcPr>
            <w:tcW w:w="1376" w:type="dxa"/>
            <w:vMerge w:val="restart"/>
            <w:tcBorders>
              <w:tl2br w:val="nil"/>
              <w:tr2bl w:val="nil"/>
            </w:tcBorders>
            <w:tcMar>
              <w:top w:w="15" w:type="dxa"/>
              <w:left w:w="15" w:type="dxa"/>
              <w:bottom w:w="15" w:type="dxa"/>
              <w:right w:w="15" w:type="dxa"/>
            </w:tcMar>
            <w:vAlign w:val="center"/>
          </w:tcPr>
          <w:p w14:paraId="255D5AC5">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招标人在评标委员会依法推荐的中标候选人以外确定中标人的、依法必须进行招标的项目在所有投标被评标委员会否决后自行确定中标人的</w:t>
            </w:r>
          </w:p>
        </w:tc>
        <w:tc>
          <w:tcPr>
            <w:tcW w:w="1128" w:type="dxa"/>
            <w:gridSpan w:val="2"/>
            <w:vMerge w:val="restart"/>
            <w:tcBorders>
              <w:tl2br w:val="nil"/>
              <w:tr2bl w:val="nil"/>
            </w:tcBorders>
            <w:tcMar>
              <w:top w:w="15" w:type="dxa"/>
              <w:left w:w="15" w:type="dxa"/>
              <w:bottom w:w="15" w:type="dxa"/>
              <w:right w:w="15" w:type="dxa"/>
            </w:tcMar>
            <w:vAlign w:val="center"/>
          </w:tcPr>
          <w:p w14:paraId="1E4F296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32C6F691">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《中华人民共和国招标投标法》（国务院令第613号）</w:t>
            </w:r>
            <w:r>
              <w:rPr>
                <w:rFonts w:hint="eastAsia" w:ascii="仿宋_GB2312" w:hAnsi="宋体" w:eastAsia="仿宋_GB2312"/>
                <w:color w:val="000000" w:themeColor="text1"/>
                <w:kern w:val="0"/>
                <w:szCs w:val="21"/>
                <w14:textFill>
                  <w14:solidFill>
                    <w14:schemeClr w14:val="tx1"/>
                  </w14:solidFill>
                </w14:textFill>
              </w:rPr>
              <w:t>第四十条第二款</w:t>
            </w:r>
          </w:p>
        </w:tc>
        <w:tc>
          <w:tcPr>
            <w:tcW w:w="4354" w:type="dxa"/>
            <w:vMerge w:val="restart"/>
            <w:tcBorders>
              <w:tl2br w:val="nil"/>
              <w:tr2bl w:val="nil"/>
            </w:tcBorders>
            <w:tcMar>
              <w:top w:w="15" w:type="dxa"/>
              <w:left w:w="15" w:type="dxa"/>
              <w:bottom w:w="15" w:type="dxa"/>
              <w:right w:w="15" w:type="dxa"/>
            </w:tcMar>
            <w:vAlign w:val="center"/>
          </w:tcPr>
          <w:p w14:paraId="720170CF">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《中华人民共和国招标投标法》</w:t>
            </w:r>
            <w:r>
              <w:rPr>
                <w:rFonts w:hint="eastAsia" w:ascii="仿宋_GB2312" w:hAnsi="宋体" w:eastAsia="仿宋_GB2312"/>
                <w:b/>
                <w:bCs/>
                <w:color w:val="000000" w:themeColor="text1"/>
                <w:kern w:val="0"/>
                <w:szCs w:val="21"/>
                <w14:textFill>
                  <w14:solidFill>
                    <w14:schemeClr w14:val="tx1"/>
                  </w14:solidFill>
                </w14:textFill>
              </w:rPr>
              <w:t>第五十七条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p>
        </w:tc>
        <w:tc>
          <w:tcPr>
            <w:tcW w:w="912" w:type="dxa"/>
            <w:tcBorders>
              <w:tl2br w:val="nil"/>
              <w:tr2bl w:val="nil"/>
            </w:tcBorders>
            <w:tcMar>
              <w:top w:w="15" w:type="dxa"/>
              <w:left w:w="15" w:type="dxa"/>
              <w:bottom w:w="15" w:type="dxa"/>
              <w:right w:w="15" w:type="dxa"/>
            </w:tcMar>
            <w:vAlign w:val="center"/>
          </w:tcPr>
          <w:p w14:paraId="660D30CC">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5C25348A">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及时纠正，未造成严重后果的。</w:t>
            </w:r>
          </w:p>
        </w:tc>
        <w:tc>
          <w:tcPr>
            <w:tcW w:w="3375" w:type="dxa"/>
            <w:tcBorders>
              <w:tl2br w:val="nil"/>
              <w:tr2bl w:val="nil"/>
            </w:tcBorders>
            <w:tcMar>
              <w:top w:w="15" w:type="dxa"/>
              <w:left w:w="15" w:type="dxa"/>
              <w:bottom w:w="15" w:type="dxa"/>
              <w:right w:w="15" w:type="dxa"/>
            </w:tcMar>
            <w:vAlign w:val="center"/>
          </w:tcPr>
          <w:p w14:paraId="70023DE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中标无效；责令改正，可以处中标项目金额千分之五以上千分之六点五以下的罚款。</w:t>
            </w:r>
          </w:p>
        </w:tc>
      </w:tr>
      <w:tr w14:paraId="73E6B70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26" w:hRule="atLeast"/>
          <w:jc w:val="center"/>
        </w:trPr>
        <w:tc>
          <w:tcPr>
            <w:tcW w:w="533" w:type="dxa"/>
            <w:gridSpan w:val="2"/>
            <w:vMerge w:val="continue"/>
            <w:tcBorders>
              <w:tl2br w:val="nil"/>
              <w:tr2bl w:val="nil"/>
            </w:tcBorders>
            <w:vAlign w:val="center"/>
          </w:tcPr>
          <w:p w14:paraId="51B88167">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3B57BCDF">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3296CADD">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5E71FB3B">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5BF291DA">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1AE270DF">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未及时纠正，未造成严重后果的。</w:t>
            </w:r>
          </w:p>
        </w:tc>
        <w:tc>
          <w:tcPr>
            <w:tcW w:w="3375" w:type="dxa"/>
            <w:tcBorders>
              <w:tl2br w:val="nil"/>
              <w:tr2bl w:val="nil"/>
            </w:tcBorders>
            <w:tcMar>
              <w:top w:w="15" w:type="dxa"/>
              <w:left w:w="15" w:type="dxa"/>
              <w:bottom w:w="15" w:type="dxa"/>
              <w:right w:w="15" w:type="dxa"/>
            </w:tcMar>
            <w:vAlign w:val="center"/>
          </w:tcPr>
          <w:p w14:paraId="4494BD8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中标无效；责令改正，处中标项目金额千分之六点五以上千分之八点五以下的罚款。</w:t>
            </w:r>
          </w:p>
        </w:tc>
      </w:tr>
      <w:tr w14:paraId="72BEFC2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0" w:hRule="atLeast"/>
          <w:jc w:val="center"/>
        </w:trPr>
        <w:tc>
          <w:tcPr>
            <w:tcW w:w="533" w:type="dxa"/>
            <w:gridSpan w:val="2"/>
            <w:vMerge w:val="continue"/>
            <w:tcBorders>
              <w:tl2br w:val="nil"/>
              <w:tr2bl w:val="nil"/>
            </w:tcBorders>
            <w:vAlign w:val="center"/>
          </w:tcPr>
          <w:p w14:paraId="6FE13BD4">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21304A51">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10237DAB">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1D74477C">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703DC5FC">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6993747D">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未及时纠正，造成严重危害后果的。</w:t>
            </w:r>
          </w:p>
        </w:tc>
        <w:tc>
          <w:tcPr>
            <w:tcW w:w="3375" w:type="dxa"/>
            <w:tcBorders>
              <w:tl2br w:val="nil"/>
              <w:tr2bl w:val="nil"/>
            </w:tcBorders>
            <w:tcMar>
              <w:top w:w="15" w:type="dxa"/>
              <w:left w:w="15" w:type="dxa"/>
              <w:bottom w:w="15" w:type="dxa"/>
              <w:right w:w="15" w:type="dxa"/>
            </w:tcMar>
            <w:vAlign w:val="center"/>
          </w:tcPr>
          <w:p w14:paraId="16F5CCC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中标无效；责令改正，处中标项目金额千分之八点五以上千分之十以下的罚款。</w:t>
            </w:r>
          </w:p>
        </w:tc>
      </w:tr>
      <w:tr w14:paraId="6A81C38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3" w:type="dxa"/>
            <w:gridSpan w:val="2"/>
            <w:vMerge w:val="restart"/>
            <w:tcBorders>
              <w:tl2br w:val="nil"/>
              <w:tr2bl w:val="nil"/>
            </w:tcBorders>
            <w:tcMar>
              <w:top w:w="15" w:type="dxa"/>
              <w:left w:w="15" w:type="dxa"/>
              <w:bottom w:w="15" w:type="dxa"/>
              <w:right w:w="15" w:type="dxa"/>
            </w:tcMar>
            <w:vAlign w:val="center"/>
          </w:tcPr>
          <w:p w14:paraId="586675B8">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p w14:paraId="0474A6C2">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p w14:paraId="5859E63D">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p w14:paraId="3F466FC9">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9</w:t>
            </w:r>
          </w:p>
        </w:tc>
        <w:tc>
          <w:tcPr>
            <w:tcW w:w="1376" w:type="dxa"/>
            <w:vMerge w:val="restart"/>
            <w:tcBorders>
              <w:tl2br w:val="nil"/>
              <w:tr2bl w:val="nil"/>
            </w:tcBorders>
            <w:tcMar>
              <w:top w:w="15" w:type="dxa"/>
              <w:left w:w="15" w:type="dxa"/>
              <w:bottom w:w="15" w:type="dxa"/>
              <w:right w:w="15" w:type="dxa"/>
            </w:tcMar>
            <w:vAlign w:val="center"/>
          </w:tcPr>
          <w:p w14:paraId="4D5FBDD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4B3463B9">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中标人将中标项目转让给他人的，将中标项目肢解后分别转让给他人的，违反本法规定将中标项目的部分主体、关键性工作分包给他人的，或者分包人再次分包的</w:t>
            </w:r>
          </w:p>
        </w:tc>
        <w:tc>
          <w:tcPr>
            <w:tcW w:w="1128" w:type="dxa"/>
            <w:gridSpan w:val="2"/>
            <w:vMerge w:val="restart"/>
            <w:tcBorders>
              <w:tl2br w:val="nil"/>
              <w:tr2bl w:val="nil"/>
            </w:tcBorders>
            <w:tcMar>
              <w:top w:w="15" w:type="dxa"/>
              <w:left w:w="15" w:type="dxa"/>
              <w:bottom w:w="15" w:type="dxa"/>
              <w:right w:w="15" w:type="dxa"/>
            </w:tcMar>
            <w:vAlign w:val="center"/>
          </w:tcPr>
          <w:p w14:paraId="092FBBF3">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《中华人民共和国招标投标法》（国务院令第613号）</w:t>
            </w:r>
            <w:r>
              <w:rPr>
                <w:rFonts w:hint="eastAsia" w:ascii="仿宋_GB2312" w:hAnsi="宋体" w:eastAsia="仿宋_GB2312"/>
                <w:color w:val="000000" w:themeColor="text1"/>
                <w:kern w:val="0"/>
                <w:szCs w:val="21"/>
                <w14:textFill>
                  <w14:solidFill>
                    <w14:schemeClr w14:val="tx1"/>
                  </w14:solidFill>
                </w14:textFill>
              </w:rPr>
              <w:t>第四十八条</w:t>
            </w:r>
          </w:p>
        </w:tc>
        <w:tc>
          <w:tcPr>
            <w:tcW w:w="4354" w:type="dxa"/>
            <w:vMerge w:val="restart"/>
            <w:tcBorders>
              <w:tl2br w:val="nil"/>
              <w:tr2bl w:val="nil"/>
            </w:tcBorders>
            <w:tcMar>
              <w:top w:w="15" w:type="dxa"/>
              <w:left w:w="15" w:type="dxa"/>
              <w:bottom w:w="15" w:type="dxa"/>
              <w:right w:w="15" w:type="dxa"/>
            </w:tcMar>
            <w:vAlign w:val="center"/>
          </w:tcPr>
          <w:p w14:paraId="684539AC">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《中华人民共和国招标投标法》</w:t>
            </w:r>
            <w:r>
              <w:rPr>
                <w:rFonts w:hint="eastAsia" w:ascii="仿宋_GB2312" w:hAnsi="宋体" w:eastAsia="仿宋_GB2312"/>
                <w:b/>
                <w:bCs/>
                <w:color w:val="000000" w:themeColor="text1"/>
                <w:kern w:val="0"/>
                <w:szCs w:val="21"/>
                <w14:textFill>
                  <w14:solidFill>
                    <w14:schemeClr w14:val="tx1"/>
                  </w14:solidFill>
                </w14:textFill>
              </w:rPr>
              <w:t>第五十八条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p>
          <w:p w14:paraId="01C337E2">
            <w:pPr>
              <w:pStyle w:val="11"/>
              <w:keepNext w:val="0"/>
              <w:keepLines w:val="0"/>
              <w:pageBreakBefore w:val="0"/>
              <w:kinsoku/>
              <w:overflowPunct/>
              <w:topLinePunct w:val="0"/>
              <w:autoSpaceDE/>
              <w:autoSpaceDN/>
              <w:bidi w:val="0"/>
              <w:adjustRightInd/>
              <w:spacing w:after="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heme="minorBidi"/>
                <w:color w:val="000000" w:themeColor="text1"/>
                <w:kern w:val="0"/>
                <w:sz w:val="21"/>
                <w:szCs w:val="21"/>
                <w:lang w:val="en-US" w:eastAsia="zh-CN" w:bidi="ar-SA"/>
                <w14:textFill>
                  <w14:solidFill>
                    <w14:schemeClr w14:val="tx1"/>
                  </w14:solidFill>
                </w14:textFill>
              </w:rPr>
              <w:t>《中华人民共和国招标投标法实施条例》</w:t>
            </w:r>
            <w:r>
              <w:rPr>
                <w:rFonts w:hint="eastAsia" w:ascii="仿宋_GB2312" w:hAnsi="宋体" w:eastAsia="仿宋_GB2312" w:cstheme="minorBidi"/>
                <w:b/>
                <w:bCs/>
                <w:color w:val="000000" w:themeColor="text1"/>
                <w:kern w:val="0"/>
                <w:sz w:val="21"/>
                <w:szCs w:val="21"/>
                <w:lang w:val="en-US" w:eastAsia="zh-CN" w:bidi="ar-SA"/>
                <w14:textFill>
                  <w14:solidFill>
                    <w14:schemeClr w14:val="tx1"/>
                  </w14:solidFill>
                </w14:textFill>
              </w:rPr>
              <w:t>第七十六条：</w:t>
            </w:r>
            <w:r>
              <w:rPr>
                <w:rFonts w:hint="eastAsia" w:ascii="仿宋_GB2312" w:hAnsi="宋体" w:eastAsia="仿宋_GB2312" w:cstheme="minorBidi"/>
                <w:color w:val="000000" w:themeColor="text1"/>
                <w:kern w:val="0"/>
                <w:sz w:val="21"/>
                <w:szCs w:val="21"/>
                <w:lang w:val="en-US" w:eastAsia="zh-CN" w:bidi="ar-SA"/>
                <w14:textFill>
                  <w14:solidFill>
                    <w14:schemeClr w14:val="tx1"/>
                  </w14:solidFill>
                </w14:textFill>
              </w:rPr>
              <w:t>中标人将中标项目转让给他人的，将中标项目肢解后分别转让给他人的，违反招标投标法和本条例规定将中标项目的部分主体、关键性工作分包给他人的，或者分包人再次分包的，转让、分包无效，处转让、分包项目金额5‰以上10‰以下的罚款；有违法所得的，并处没收违法所得；可以责令停业整顿；情节严重的，由工商行政管理机关吊销营业执照。</w:t>
            </w:r>
          </w:p>
        </w:tc>
        <w:tc>
          <w:tcPr>
            <w:tcW w:w="912" w:type="dxa"/>
            <w:tcBorders>
              <w:tl2br w:val="nil"/>
              <w:tr2bl w:val="nil"/>
            </w:tcBorders>
            <w:tcMar>
              <w:top w:w="15" w:type="dxa"/>
              <w:left w:w="15" w:type="dxa"/>
              <w:bottom w:w="15" w:type="dxa"/>
              <w:right w:w="15" w:type="dxa"/>
            </w:tcMar>
            <w:vAlign w:val="center"/>
          </w:tcPr>
          <w:p w14:paraId="6EC5F3EC">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5F72E107">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375" w:type="dxa"/>
            <w:tcBorders>
              <w:tl2br w:val="nil"/>
              <w:tr2bl w:val="nil"/>
            </w:tcBorders>
            <w:tcMar>
              <w:top w:w="15" w:type="dxa"/>
              <w:left w:w="15" w:type="dxa"/>
              <w:bottom w:w="15" w:type="dxa"/>
              <w:right w:w="15" w:type="dxa"/>
            </w:tcMar>
            <w:vAlign w:val="center"/>
          </w:tcPr>
          <w:p w14:paraId="2BD88485">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转让、分包无效，处转让、分包项目金额千分之五以上千分之六点五以下的罚款；有违法所得的，并处没收违法所得。</w:t>
            </w:r>
          </w:p>
        </w:tc>
      </w:tr>
      <w:tr w14:paraId="03D926B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 w:hRule="atLeast"/>
          <w:jc w:val="center"/>
        </w:trPr>
        <w:tc>
          <w:tcPr>
            <w:tcW w:w="533" w:type="dxa"/>
            <w:gridSpan w:val="2"/>
            <w:vMerge w:val="continue"/>
            <w:tcBorders>
              <w:tl2br w:val="nil"/>
              <w:tr2bl w:val="nil"/>
            </w:tcBorders>
            <w:vAlign w:val="center"/>
          </w:tcPr>
          <w:p w14:paraId="4F7E11CA">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3D1F795D">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484ADE2B">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62F2B970">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34945701">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39D2EA41">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56F8D82B">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转让、分包无效，处转让、分包项目金额千分之六点五以上千分之八点五以下的罚款, 有违法所得的，并处没收违法所得。</w:t>
            </w:r>
          </w:p>
        </w:tc>
      </w:tr>
      <w:tr w14:paraId="7D7EA30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0" w:hRule="atLeast"/>
          <w:jc w:val="center"/>
        </w:trPr>
        <w:tc>
          <w:tcPr>
            <w:tcW w:w="533" w:type="dxa"/>
            <w:gridSpan w:val="2"/>
            <w:vMerge w:val="continue"/>
            <w:tcBorders>
              <w:tl2br w:val="nil"/>
              <w:tr2bl w:val="nil"/>
            </w:tcBorders>
            <w:vAlign w:val="center"/>
          </w:tcPr>
          <w:p w14:paraId="54575B31">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782445FB">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0FB431DC">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3A097600">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vMerge w:val="restart"/>
            <w:tcBorders>
              <w:tl2br w:val="nil"/>
              <w:tr2bl w:val="nil"/>
            </w:tcBorders>
            <w:tcMar>
              <w:top w:w="15" w:type="dxa"/>
              <w:left w:w="15" w:type="dxa"/>
              <w:bottom w:w="15" w:type="dxa"/>
              <w:right w:w="15" w:type="dxa"/>
            </w:tcMar>
            <w:vAlign w:val="center"/>
          </w:tcPr>
          <w:p w14:paraId="3DFBAFCF">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1A95C5CC">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（1）造成一般质量、安全事故的。</w:t>
            </w:r>
          </w:p>
        </w:tc>
        <w:tc>
          <w:tcPr>
            <w:tcW w:w="3375" w:type="dxa"/>
            <w:tcBorders>
              <w:tl2br w:val="nil"/>
              <w:tr2bl w:val="nil"/>
            </w:tcBorders>
            <w:tcMar>
              <w:top w:w="15" w:type="dxa"/>
              <w:left w:w="15" w:type="dxa"/>
              <w:bottom w:w="15" w:type="dxa"/>
              <w:right w:w="15" w:type="dxa"/>
            </w:tcMar>
            <w:vAlign w:val="center"/>
          </w:tcPr>
          <w:p w14:paraId="5F57E22D">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转让、分包无效，处转让、分包项目金额千分之八点五以上千分之十以下的罚款； 有违法所得的，并处没收违法所得。</w:t>
            </w:r>
          </w:p>
        </w:tc>
      </w:tr>
      <w:tr w14:paraId="652B075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jc w:val="center"/>
        </w:trPr>
        <w:tc>
          <w:tcPr>
            <w:tcW w:w="533" w:type="dxa"/>
            <w:gridSpan w:val="2"/>
            <w:vMerge w:val="continue"/>
            <w:tcBorders>
              <w:tl2br w:val="nil"/>
              <w:tr2bl w:val="nil"/>
            </w:tcBorders>
            <w:vAlign w:val="center"/>
          </w:tcPr>
          <w:p w14:paraId="38C63FAE">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0ED26D8B">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6701A579">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02471423">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vMerge w:val="continue"/>
            <w:tcBorders>
              <w:tl2br w:val="nil"/>
              <w:tr2bl w:val="nil"/>
            </w:tcBorders>
            <w:tcMar>
              <w:top w:w="15" w:type="dxa"/>
              <w:left w:w="15" w:type="dxa"/>
              <w:bottom w:w="15" w:type="dxa"/>
              <w:right w:w="15" w:type="dxa"/>
            </w:tcMar>
            <w:vAlign w:val="center"/>
          </w:tcPr>
          <w:p w14:paraId="11009795">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tcMar>
              <w:top w:w="15" w:type="dxa"/>
              <w:left w:w="15" w:type="dxa"/>
              <w:bottom w:w="15" w:type="dxa"/>
              <w:right w:w="15" w:type="dxa"/>
            </w:tcMar>
            <w:vAlign w:val="center"/>
          </w:tcPr>
          <w:p w14:paraId="3C6AC969">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（2）3年内2次同类型违法的。</w:t>
            </w:r>
          </w:p>
        </w:tc>
        <w:tc>
          <w:tcPr>
            <w:tcW w:w="3375" w:type="dxa"/>
            <w:tcBorders>
              <w:tl2br w:val="nil"/>
              <w:tr2bl w:val="nil"/>
            </w:tcBorders>
            <w:tcMar>
              <w:top w:w="15" w:type="dxa"/>
              <w:left w:w="15" w:type="dxa"/>
              <w:bottom w:w="15" w:type="dxa"/>
              <w:right w:w="15" w:type="dxa"/>
            </w:tcMar>
            <w:vAlign w:val="center"/>
          </w:tcPr>
          <w:p w14:paraId="20E56E5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转让、分包无效，处转让、分包项目金额千分之十的罚款；责令停业整顿30日；有违法所得的，并处没收违法所得。</w:t>
            </w:r>
          </w:p>
        </w:tc>
      </w:tr>
      <w:tr w14:paraId="12EA994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5" w:hRule="atLeast"/>
          <w:jc w:val="center"/>
        </w:trPr>
        <w:tc>
          <w:tcPr>
            <w:tcW w:w="533" w:type="dxa"/>
            <w:gridSpan w:val="2"/>
            <w:vMerge w:val="continue"/>
            <w:tcBorders>
              <w:tl2br w:val="nil"/>
              <w:tr2bl w:val="nil"/>
            </w:tcBorders>
            <w:vAlign w:val="center"/>
          </w:tcPr>
          <w:p w14:paraId="06DD8AD3">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7FC5711F">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47D68607">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65B0CDDD">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vMerge w:val="continue"/>
            <w:tcBorders>
              <w:tl2br w:val="nil"/>
              <w:tr2bl w:val="nil"/>
            </w:tcBorders>
            <w:tcMar>
              <w:top w:w="15" w:type="dxa"/>
              <w:left w:w="15" w:type="dxa"/>
              <w:bottom w:w="15" w:type="dxa"/>
              <w:right w:w="15" w:type="dxa"/>
            </w:tcMar>
            <w:vAlign w:val="center"/>
          </w:tcPr>
          <w:p w14:paraId="6E921F8F">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750" w:type="dxa"/>
            <w:vMerge w:val="restart"/>
            <w:tcBorders>
              <w:tl2br w:val="nil"/>
              <w:tr2bl w:val="nil"/>
            </w:tcBorders>
            <w:tcMar>
              <w:top w:w="15" w:type="dxa"/>
              <w:left w:w="15" w:type="dxa"/>
              <w:bottom w:w="15" w:type="dxa"/>
              <w:right w:w="15" w:type="dxa"/>
            </w:tcMar>
            <w:vAlign w:val="center"/>
          </w:tcPr>
          <w:p w14:paraId="7943A0CA">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（3）3年内3次以上同类型违法。</w:t>
            </w:r>
          </w:p>
        </w:tc>
        <w:tc>
          <w:tcPr>
            <w:tcW w:w="1657" w:type="dxa"/>
            <w:tcBorders>
              <w:tl2br w:val="nil"/>
              <w:tr2bl w:val="nil"/>
            </w:tcBorders>
            <w:tcMar>
              <w:top w:w="15" w:type="dxa"/>
              <w:left w:w="15" w:type="dxa"/>
              <w:bottom w:w="15" w:type="dxa"/>
              <w:right w:w="15" w:type="dxa"/>
            </w:tcMar>
            <w:vAlign w:val="center"/>
          </w:tcPr>
          <w:p w14:paraId="2159FE8D">
            <w:pPr>
              <w:keepNext w:val="0"/>
              <w:keepLines w:val="0"/>
              <w:pageBreakBefore w:val="0"/>
              <w:widowControl/>
              <w:kinsoku/>
              <w:overflowPunct/>
              <w:topLinePunct w:val="0"/>
              <w:autoSpaceDE/>
              <w:autoSpaceDN/>
              <w:bidi w:val="0"/>
              <w:adjustRightInd/>
              <w:spacing w:line="260" w:lineRule="exact"/>
              <w:ind w:firstLine="210" w:firstLineChars="100"/>
              <w:jc w:val="both"/>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造成3人以上10人以下死亡，或者10人以上50人以下重伤，或者1000万元以上5000万元以下直接经济损失。</w:t>
            </w:r>
          </w:p>
        </w:tc>
        <w:tc>
          <w:tcPr>
            <w:tcW w:w="3375" w:type="dxa"/>
            <w:tcBorders>
              <w:tl2br w:val="nil"/>
              <w:tr2bl w:val="nil"/>
            </w:tcBorders>
            <w:tcMar>
              <w:top w:w="15" w:type="dxa"/>
              <w:left w:w="15" w:type="dxa"/>
              <w:bottom w:w="15" w:type="dxa"/>
              <w:right w:w="15" w:type="dxa"/>
            </w:tcMar>
            <w:vAlign w:val="center"/>
          </w:tcPr>
          <w:p w14:paraId="3FA4AC40">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转让、分包无效，处转让、分包项目金额千分之十的罚款；责令停业整顿30—60日；有违法所得的，并处没收违法所得。</w:t>
            </w:r>
          </w:p>
        </w:tc>
      </w:tr>
      <w:tr w14:paraId="08229ED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50" w:hRule="atLeast"/>
          <w:jc w:val="center"/>
        </w:trPr>
        <w:tc>
          <w:tcPr>
            <w:tcW w:w="533" w:type="dxa"/>
            <w:gridSpan w:val="2"/>
            <w:vMerge w:val="continue"/>
            <w:tcBorders>
              <w:tl2br w:val="nil"/>
              <w:tr2bl w:val="nil"/>
            </w:tcBorders>
            <w:vAlign w:val="center"/>
          </w:tcPr>
          <w:p w14:paraId="35452801">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65FF0D60">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42BC2DBF">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5712DDCF">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vMerge w:val="continue"/>
            <w:tcBorders>
              <w:tl2br w:val="nil"/>
              <w:tr2bl w:val="nil"/>
            </w:tcBorders>
            <w:tcMar>
              <w:top w:w="15" w:type="dxa"/>
              <w:left w:w="15" w:type="dxa"/>
              <w:bottom w:w="15" w:type="dxa"/>
              <w:right w:w="15" w:type="dxa"/>
            </w:tcMar>
            <w:vAlign w:val="center"/>
          </w:tcPr>
          <w:p w14:paraId="394F1A08">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750" w:type="dxa"/>
            <w:vMerge w:val="continue"/>
            <w:tcBorders>
              <w:tl2br w:val="nil"/>
              <w:tr2bl w:val="nil"/>
            </w:tcBorders>
            <w:tcMar>
              <w:top w:w="15" w:type="dxa"/>
              <w:left w:w="15" w:type="dxa"/>
              <w:bottom w:w="15" w:type="dxa"/>
              <w:right w:w="15" w:type="dxa"/>
            </w:tcMar>
            <w:vAlign w:val="center"/>
          </w:tcPr>
          <w:p w14:paraId="4BC44FC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657" w:type="dxa"/>
            <w:tcBorders>
              <w:tl2br w:val="nil"/>
              <w:tr2bl w:val="nil"/>
            </w:tcBorders>
            <w:tcMar>
              <w:top w:w="15" w:type="dxa"/>
              <w:left w:w="15" w:type="dxa"/>
              <w:bottom w:w="15" w:type="dxa"/>
              <w:right w:w="15" w:type="dxa"/>
            </w:tcMar>
            <w:vAlign w:val="center"/>
          </w:tcPr>
          <w:p w14:paraId="388BE5FA">
            <w:pPr>
              <w:keepNext w:val="0"/>
              <w:keepLines w:val="0"/>
              <w:pageBreakBefore w:val="0"/>
              <w:widowControl/>
              <w:kinsoku/>
              <w:overflowPunct/>
              <w:topLinePunct w:val="0"/>
              <w:autoSpaceDE/>
              <w:autoSpaceDN/>
              <w:bidi w:val="0"/>
              <w:adjustRightInd/>
              <w:spacing w:line="260" w:lineRule="exact"/>
              <w:ind w:firstLine="210" w:firstLineChars="100"/>
              <w:jc w:val="both"/>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造成10人以上30人以下死亡，或者50人以上100人以下重伤，或者5000万元以上1亿元以下直接经济损失。</w:t>
            </w:r>
          </w:p>
        </w:tc>
        <w:tc>
          <w:tcPr>
            <w:tcW w:w="3375" w:type="dxa"/>
            <w:tcBorders>
              <w:tl2br w:val="nil"/>
              <w:tr2bl w:val="nil"/>
            </w:tcBorders>
            <w:tcMar>
              <w:top w:w="15" w:type="dxa"/>
              <w:left w:w="15" w:type="dxa"/>
              <w:bottom w:w="15" w:type="dxa"/>
              <w:right w:w="15" w:type="dxa"/>
            </w:tcMar>
            <w:vAlign w:val="center"/>
          </w:tcPr>
          <w:p w14:paraId="55136AA2">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是指造成10人以上30人以下死亡，或者50人以上100人以下重伤，或者5000万元以上1亿元以下直接经济损失。</w:t>
            </w:r>
          </w:p>
        </w:tc>
      </w:tr>
      <w:tr w14:paraId="2C84C54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85" w:hRule="atLeast"/>
          <w:jc w:val="center"/>
        </w:trPr>
        <w:tc>
          <w:tcPr>
            <w:tcW w:w="533" w:type="dxa"/>
            <w:gridSpan w:val="2"/>
            <w:vMerge w:val="continue"/>
            <w:tcBorders>
              <w:tl2br w:val="nil"/>
              <w:tr2bl w:val="nil"/>
            </w:tcBorders>
            <w:vAlign w:val="center"/>
          </w:tcPr>
          <w:p w14:paraId="767F1F11">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5B55E7EC">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4D62E654">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129A8167">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vMerge w:val="continue"/>
            <w:tcBorders>
              <w:tl2br w:val="nil"/>
              <w:tr2bl w:val="nil"/>
            </w:tcBorders>
            <w:tcMar>
              <w:top w:w="15" w:type="dxa"/>
              <w:left w:w="15" w:type="dxa"/>
              <w:bottom w:w="15" w:type="dxa"/>
              <w:right w:w="15" w:type="dxa"/>
            </w:tcMar>
            <w:vAlign w:val="center"/>
          </w:tcPr>
          <w:p w14:paraId="557420D9">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750" w:type="dxa"/>
            <w:vMerge w:val="continue"/>
            <w:tcBorders>
              <w:tl2br w:val="nil"/>
              <w:tr2bl w:val="nil"/>
            </w:tcBorders>
            <w:tcMar>
              <w:top w:w="15" w:type="dxa"/>
              <w:left w:w="15" w:type="dxa"/>
              <w:bottom w:w="15" w:type="dxa"/>
              <w:right w:w="15" w:type="dxa"/>
            </w:tcMar>
            <w:vAlign w:val="center"/>
          </w:tcPr>
          <w:p w14:paraId="7EECAE9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657" w:type="dxa"/>
            <w:tcBorders>
              <w:tl2br w:val="nil"/>
              <w:tr2bl w:val="nil"/>
            </w:tcBorders>
            <w:tcMar>
              <w:top w:w="15" w:type="dxa"/>
              <w:left w:w="15" w:type="dxa"/>
              <w:bottom w:w="15" w:type="dxa"/>
              <w:right w:w="15" w:type="dxa"/>
            </w:tcMar>
            <w:vAlign w:val="center"/>
          </w:tcPr>
          <w:p w14:paraId="055513B8">
            <w:pPr>
              <w:keepNext w:val="0"/>
              <w:keepLines w:val="0"/>
              <w:pageBreakBefore w:val="0"/>
              <w:widowControl/>
              <w:kinsoku/>
              <w:overflowPunct/>
              <w:topLinePunct w:val="0"/>
              <w:autoSpaceDE/>
              <w:autoSpaceDN/>
              <w:bidi w:val="0"/>
              <w:adjustRightInd/>
              <w:spacing w:line="260" w:lineRule="exact"/>
              <w:ind w:firstLine="210" w:firstLineChars="100"/>
              <w:jc w:val="both"/>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造成30人以上死亡，或者100人以上重伤（包括急性工业中毒，下同），或者1亿元以上直接经济损失。</w:t>
            </w:r>
          </w:p>
        </w:tc>
        <w:tc>
          <w:tcPr>
            <w:tcW w:w="3375" w:type="dxa"/>
            <w:tcBorders>
              <w:tl2br w:val="nil"/>
              <w:tr2bl w:val="nil"/>
            </w:tcBorders>
            <w:tcMar>
              <w:top w:w="15" w:type="dxa"/>
              <w:left w:w="15" w:type="dxa"/>
              <w:bottom w:w="15" w:type="dxa"/>
              <w:right w:w="15" w:type="dxa"/>
            </w:tcMar>
            <w:vAlign w:val="center"/>
          </w:tcPr>
          <w:p w14:paraId="178A5B18">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转让、分包无效，处转让、分包项目金额千分之十的罚款；责令停业整顿90—180日；有违法所得的，并处没收违法所得。</w:t>
            </w:r>
          </w:p>
        </w:tc>
      </w:tr>
      <w:tr w14:paraId="323A408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5" w:hRule="atLeast"/>
          <w:jc w:val="center"/>
        </w:trPr>
        <w:tc>
          <w:tcPr>
            <w:tcW w:w="533" w:type="dxa"/>
            <w:gridSpan w:val="2"/>
            <w:vMerge w:val="restart"/>
            <w:tcBorders>
              <w:tl2br w:val="nil"/>
              <w:tr2bl w:val="nil"/>
            </w:tcBorders>
            <w:vAlign w:val="center"/>
          </w:tcPr>
          <w:p w14:paraId="6C93E848">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10</w:t>
            </w:r>
          </w:p>
        </w:tc>
        <w:tc>
          <w:tcPr>
            <w:tcW w:w="1376" w:type="dxa"/>
            <w:vMerge w:val="restart"/>
            <w:tcBorders>
              <w:tl2br w:val="nil"/>
              <w:tr2bl w:val="nil"/>
            </w:tcBorders>
            <w:vAlign w:val="center"/>
          </w:tcPr>
          <w:p w14:paraId="38CAF0E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招标人与中标人不按照招标文件和中标人的投标文件订立合同的，或者招标人、中标人订立背离合同实质性内容的协议的</w:t>
            </w:r>
          </w:p>
        </w:tc>
        <w:tc>
          <w:tcPr>
            <w:tcW w:w="1128" w:type="dxa"/>
            <w:gridSpan w:val="2"/>
            <w:vMerge w:val="restart"/>
            <w:tcBorders>
              <w:tl2br w:val="nil"/>
              <w:tr2bl w:val="nil"/>
            </w:tcBorders>
            <w:vAlign w:val="center"/>
          </w:tcPr>
          <w:p w14:paraId="28617130">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《中华人民共和国招标投标法》（国务院令第613号）</w:t>
            </w:r>
            <w:r>
              <w:rPr>
                <w:rFonts w:hint="eastAsia" w:ascii="仿宋_GB2312" w:hAnsi="宋体" w:eastAsia="仿宋_GB2312"/>
                <w:color w:val="000000" w:themeColor="text1"/>
                <w:kern w:val="0"/>
                <w:szCs w:val="21"/>
                <w14:textFill>
                  <w14:solidFill>
                    <w14:schemeClr w14:val="tx1"/>
                  </w14:solidFill>
                </w14:textFill>
              </w:rPr>
              <w:t>第四十六条第一款</w:t>
            </w:r>
          </w:p>
        </w:tc>
        <w:tc>
          <w:tcPr>
            <w:tcW w:w="4354" w:type="dxa"/>
            <w:vMerge w:val="restart"/>
            <w:tcBorders>
              <w:tl2br w:val="nil"/>
              <w:tr2bl w:val="nil"/>
            </w:tcBorders>
            <w:vAlign w:val="center"/>
          </w:tcPr>
          <w:p w14:paraId="2F4DCCD8">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《中华人民共和国招标投标法》</w:t>
            </w:r>
            <w:r>
              <w:rPr>
                <w:rFonts w:hint="eastAsia" w:ascii="仿宋_GB2312" w:hAnsi="宋体" w:eastAsia="仿宋_GB2312"/>
                <w:b/>
                <w:bCs/>
                <w:color w:val="000000" w:themeColor="text1"/>
                <w:kern w:val="0"/>
                <w:szCs w:val="21"/>
                <w14:textFill>
                  <w14:solidFill>
                    <w14:schemeClr w14:val="tx1"/>
                  </w14:solidFill>
                </w14:textFill>
              </w:rPr>
              <w:t>第五十九条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招标人与中标人不按照招标文件和中标人的投标文件订立合同的，或者招标人、中标人订立背离合同实质性内容的协议的，责令改正；可以处中标项目金额千分之五以上千分之十以下的罚款。</w:t>
            </w:r>
          </w:p>
        </w:tc>
        <w:tc>
          <w:tcPr>
            <w:tcW w:w="912" w:type="dxa"/>
            <w:tcBorders>
              <w:tl2br w:val="nil"/>
              <w:tr2bl w:val="nil"/>
            </w:tcBorders>
            <w:tcMar>
              <w:top w:w="15" w:type="dxa"/>
              <w:left w:w="15" w:type="dxa"/>
              <w:bottom w:w="15" w:type="dxa"/>
              <w:right w:w="15" w:type="dxa"/>
            </w:tcMar>
            <w:vAlign w:val="center"/>
          </w:tcPr>
          <w:p w14:paraId="1DCADE6F">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0A96143B">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危害后果轻微，主动消除或减轻违法行为危害后果的。</w:t>
            </w:r>
          </w:p>
        </w:tc>
        <w:tc>
          <w:tcPr>
            <w:tcW w:w="3375" w:type="dxa"/>
            <w:tcBorders>
              <w:tl2br w:val="nil"/>
              <w:tr2bl w:val="nil"/>
            </w:tcBorders>
            <w:tcMar>
              <w:top w:w="15" w:type="dxa"/>
              <w:left w:w="15" w:type="dxa"/>
              <w:bottom w:w="15" w:type="dxa"/>
              <w:right w:w="15" w:type="dxa"/>
            </w:tcMar>
            <w:vAlign w:val="center"/>
          </w:tcPr>
          <w:p w14:paraId="20A62A65">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责令改正，可以处中标项目金额千分之五的罚款。</w:t>
            </w:r>
          </w:p>
        </w:tc>
      </w:tr>
      <w:tr w14:paraId="361A600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533" w:type="dxa"/>
            <w:gridSpan w:val="2"/>
            <w:vMerge w:val="continue"/>
            <w:tcBorders>
              <w:tl2br w:val="nil"/>
              <w:tr2bl w:val="nil"/>
            </w:tcBorders>
            <w:vAlign w:val="center"/>
          </w:tcPr>
          <w:p w14:paraId="38D317B8">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3045A44C">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536EF1E8">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10045A0A">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1A2F562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2B00DE41">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0BFF5302">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责令改正，处中标项目金额千分之五以上千分之八以下的罚款。</w:t>
            </w:r>
          </w:p>
        </w:tc>
      </w:tr>
      <w:tr w14:paraId="7DF5116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0" w:hRule="atLeast"/>
          <w:jc w:val="center"/>
        </w:trPr>
        <w:tc>
          <w:tcPr>
            <w:tcW w:w="533" w:type="dxa"/>
            <w:gridSpan w:val="2"/>
            <w:vMerge w:val="continue"/>
            <w:tcBorders>
              <w:tl2br w:val="nil"/>
              <w:tr2bl w:val="nil"/>
            </w:tcBorders>
            <w:vAlign w:val="center"/>
          </w:tcPr>
          <w:p w14:paraId="3B15A9AE">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7B11CEA3">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0A59D5E6">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094B4A01">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0FD871A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5BB3B8F1">
            <w:pPr>
              <w:keepNext w:val="0"/>
              <w:keepLines w:val="0"/>
              <w:pageBreakBefore w:val="0"/>
              <w:kinsoku/>
              <w:overflowPunct/>
              <w:topLinePunct w:val="0"/>
              <w:autoSpaceDE/>
              <w:autoSpaceDN/>
              <w:bidi w:val="0"/>
              <w:adjustRightInd/>
              <w:spacing w:line="260" w:lineRule="exact"/>
              <w:ind w:firstLine="210" w:firstLineChars="100"/>
              <w:jc w:val="left"/>
              <w:rPr>
                <w:rFonts w:hint="default" w:ascii="仿宋_GB2312" w:hAnsi="宋体" w:eastAsia="仿宋_GB2312"/>
                <w:color w:val="000000" w:themeColor="text1"/>
                <w:kern w:val="0"/>
                <w:szCs w:val="21"/>
                <w:lang w:val="en-US" w:eastAsia="zh-CN"/>
                <w14:textFill>
                  <w14:solidFill>
                    <w14:schemeClr w14:val="tx1"/>
                  </w14:solidFill>
                </w14:textFill>
              </w:rPr>
            </w:pPr>
            <w:r>
              <w:rPr>
                <w:rFonts w:hint="eastAsia" w:ascii="仿宋_GB2312" w:hAnsi="宋体" w:eastAsia="仿宋_GB2312"/>
                <w:color w:val="000000" w:themeColor="text1"/>
                <w:kern w:val="0"/>
                <w:szCs w:val="21"/>
                <w:lang w:val="en-US" w:eastAsia="zh-CN"/>
                <w14:textFill>
                  <w14:solidFill>
                    <w14:schemeClr w14:val="tx1"/>
                  </w14:solidFill>
                </w14:textFill>
              </w:rPr>
              <w:t>有下列情形之一的：</w:t>
            </w:r>
          </w:p>
          <w:p w14:paraId="23CAAF0C">
            <w:pPr>
              <w:keepNext w:val="0"/>
              <w:keepLines w:val="0"/>
              <w:pageBreakBefore w:val="0"/>
              <w:widowControl/>
              <w:kinsoku/>
              <w:overflowPunct/>
              <w:topLinePunct w:val="0"/>
              <w:autoSpaceDE/>
              <w:autoSpaceDN/>
              <w:bidi w:val="0"/>
              <w:adjustRightInd/>
              <w:spacing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（1）经责令改正后，逾期未改正的；</w:t>
            </w:r>
          </w:p>
          <w:p w14:paraId="261CEE5F">
            <w:pPr>
              <w:keepNext w:val="0"/>
              <w:keepLines w:val="0"/>
              <w:pageBreakBefore w:val="0"/>
              <w:widowControl/>
              <w:kinsoku/>
              <w:overflowPunct/>
              <w:topLinePunct w:val="0"/>
              <w:autoSpaceDE/>
              <w:autoSpaceDN/>
              <w:bidi w:val="0"/>
              <w:adjustRightInd/>
              <w:spacing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513E003D">
            <w:pPr>
              <w:keepNext w:val="0"/>
              <w:keepLines w:val="0"/>
              <w:pageBreakBefore w:val="0"/>
              <w:widowControl/>
              <w:kinsoku/>
              <w:overflowPunct/>
              <w:topLinePunct w:val="0"/>
              <w:autoSpaceDE/>
              <w:autoSpaceDN/>
              <w:bidi w:val="0"/>
              <w:adjustRightInd/>
              <w:spacing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（3）造成工程质量事故的；</w:t>
            </w:r>
          </w:p>
          <w:p w14:paraId="3E35A4E8">
            <w:pPr>
              <w:keepNext w:val="0"/>
              <w:keepLines w:val="0"/>
              <w:pageBreakBefore w:val="0"/>
              <w:widowControl/>
              <w:kinsoku/>
              <w:overflowPunct/>
              <w:topLinePunct w:val="0"/>
              <w:autoSpaceDE/>
              <w:autoSpaceDN/>
              <w:bidi w:val="0"/>
              <w:adjustRightInd/>
              <w:spacing w:line="260" w:lineRule="exact"/>
              <w:ind w:firstLine="105" w:firstLineChars="50"/>
              <w:jc w:val="left"/>
              <w:textAlignment w:val="center"/>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（4）经有关部门确认，存在商业贿赂情形的；</w:t>
            </w:r>
          </w:p>
          <w:p w14:paraId="64716ED6">
            <w:pPr>
              <w:keepNext w:val="0"/>
              <w:keepLines w:val="0"/>
              <w:pageBreakBefore w:val="0"/>
              <w:widowControl/>
              <w:kinsoku/>
              <w:overflowPunct/>
              <w:topLinePunct w:val="0"/>
              <w:autoSpaceDE/>
              <w:autoSpaceDN/>
              <w:bidi w:val="0"/>
              <w:adjustRightInd/>
              <w:spacing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（5）其他依法应予从重处罚的情形。</w:t>
            </w:r>
          </w:p>
        </w:tc>
        <w:tc>
          <w:tcPr>
            <w:tcW w:w="3375" w:type="dxa"/>
            <w:tcBorders>
              <w:tl2br w:val="nil"/>
              <w:tr2bl w:val="nil"/>
            </w:tcBorders>
            <w:tcMar>
              <w:top w:w="15" w:type="dxa"/>
              <w:left w:w="15" w:type="dxa"/>
              <w:bottom w:w="15" w:type="dxa"/>
              <w:right w:w="15" w:type="dxa"/>
            </w:tcMar>
            <w:vAlign w:val="center"/>
          </w:tcPr>
          <w:p w14:paraId="025D695A">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责令改正，处中标项目金额千分之八以上千分之十以下的罚款。</w:t>
            </w:r>
          </w:p>
        </w:tc>
      </w:tr>
      <w:tr w14:paraId="28B6541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6" w:hRule="atLeast"/>
          <w:jc w:val="center"/>
        </w:trPr>
        <w:tc>
          <w:tcPr>
            <w:tcW w:w="533" w:type="dxa"/>
            <w:gridSpan w:val="2"/>
            <w:vMerge w:val="restart"/>
            <w:tcBorders>
              <w:tl2br w:val="nil"/>
              <w:tr2bl w:val="nil"/>
            </w:tcBorders>
            <w:tcMar>
              <w:top w:w="15" w:type="dxa"/>
              <w:left w:w="15" w:type="dxa"/>
              <w:bottom w:w="15" w:type="dxa"/>
              <w:right w:w="15" w:type="dxa"/>
            </w:tcMar>
            <w:vAlign w:val="center"/>
          </w:tcPr>
          <w:p w14:paraId="0EE107BD">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11</w:t>
            </w:r>
          </w:p>
        </w:tc>
        <w:tc>
          <w:tcPr>
            <w:tcW w:w="1376" w:type="dxa"/>
            <w:vMerge w:val="restart"/>
            <w:tcBorders>
              <w:tl2br w:val="nil"/>
              <w:tr2bl w:val="nil"/>
            </w:tcBorders>
            <w:tcMar>
              <w:top w:w="15" w:type="dxa"/>
              <w:left w:w="15" w:type="dxa"/>
              <w:bottom w:w="15" w:type="dxa"/>
              <w:right w:w="15" w:type="dxa"/>
            </w:tcMar>
            <w:vAlign w:val="center"/>
          </w:tcPr>
          <w:p w14:paraId="69E397DB">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中标人不按照与招标人订立的合同履行义务，情节严重</w:t>
            </w:r>
          </w:p>
        </w:tc>
        <w:tc>
          <w:tcPr>
            <w:tcW w:w="1128" w:type="dxa"/>
            <w:gridSpan w:val="2"/>
            <w:vMerge w:val="restart"/>
            <w:tcBorders>
              <w:tl2br w:val="nil"/>
              <w:tr2bl w:val="nil"/>
            </w:tcBorders>
            <w:tcMar>
              <w:top w:w="15" w:type="dxa"/>
              <w:left w:w="15" w:type="dxa"/>
              <w:bottom w:w="15" w:type="dxa"/>
              <w:right w:w="15" w:type="dxa"/>
            </w:tcMar>
            <w:vAlign w:val="center"/>
          </w:tcPr>
          <w:p w14:paraId="26EB1ACB">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《中华人民共和国招标投标法》（国务院令第613号）</w:t>
            </w:r>
            <w:r>
              <w:rPr>
                <w:rFonts w:hint="eastAsia" w:ascii="仿宋_GB2312" w:hAnsi="宋体" w:eastAsia="仿宋_GB2312"/>
                <w:color w:val="000000" w:themeColor="text1"/>
                <w:kern w:val="0"/>
                <w:szCs w:val="21"/>
                <w14:textFill>
                  <w14:solidFill>
                    <w14:schemeClr w14:val="tx1"/>
                  </w14:solidFill>
                </w14:textFill>
              </w:rPr>
              <w:t>第四十八条第一款</w:t>
            </w:r>
          </w:p>
        </w:tc>
        <w:tc>
          <w:tcPr>
            <w:tcW w:w="4354" w:type="dxa"/>
            <w:vMerge w:val="restart"/>
            <w:tcBorders>
              <w:tl2br w:val="nil"/>
              <w:tr2bl w:val="nil"/>
            </w:tcBorders>
            <w:tcMar>
              <w:top w:w="15" w:type="dxa"/>
              <w:left w:w="15" w:type="dxa"/>
              <w:bottom w:w="15" w:type="dxa"/>
              <w:right w:w="15" w:type="dxa"/>
            </w:tcMar>
            <w:vAlign w:val="center"/>
          </w:tcPr>
          <w:p w14:paraId="3E73BA49">
            <w:pPr>
              <w:keepNext w:val="0"/>
              <w:keepLines w:val="0"/>
              <w:pageBreakBefore w:val="0"/>
              <w:widowControl/>
              <w:kinsoku/>
              <w:overflowPunct/>
              <w:topLinePunct w:val="0"/>
              <w:autoSpaceDE/>
              <w:autoSpaceDN/>
              <w:bidi w:val="0"/>
              <w:adjustRightInd/>
              <w:spacing w:line="260" w:lineRule="exact"/>
              <w:jc w:val="left"/>
              <w:rPr>
                <w:rFonts w:hint="eastAsia" w:ascii="仿宋_GB2312" w:hAnsi="宋体" w:eastAsia="仿宋_GB2312"/>
                <w:b/>
                <w:bCs/>
                <w:color w:val="000000" w:themeColor="text1"/>
                <w:kern w:val="0"/>
                <w:szCs w:val="21"/>
                <w:lang w:val="en-US"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《中华人民共和国招标投标法》</w:t>
            </w:r>
            <w:r>
              <w:rPr>
                <w:rFonts w:hint="eastAsia" w:ascii="仿宋_GB2312" w:hAnsi="宋体" w:eastAsia="仿宋_GB2312"/>
                <w:b/>
                <w:bCs/>
                <w:color w:val="000000" w:themeColor="text1"/>
                <w:kern w:val="0"/>
                <w:szCs w:val="21"/>
                <w14:textFill>
                  <w14:solidFill>
                    <w14:schemeClr w14:val="tx1"/>
                  </w14:solidFill>
                </w14:textFill>
              </w:rPr>
              <w:t>第六十条</w:t>
            </w:r>
            <w:r>
              <w:rPr>
                <w:rFonts w:hint="eastAsia" w:ascii="仿宋_GB2312" w:hAnsi="宋体" w:eastAsia="仿宋_GB2312"/>
                <w:b/>
                <w:bCs/>
                <w:color w:val="000000" w:themeColor="text1"/>
                <w:kern w:val="0"/>
                <w:szCs w:val="21"/>
                <w:lang w:val="en-US" w:eastAsia="zh-CN"/>
                <w14:textFill>
                  <w14:solidFill>
                    <w14:schemeClr w14:val="tx1"/>
                  </w14:solidFill>
                </w14:textFill>
              </w:rPr>
              <w:t>第二款</w:t>
            </w:r>
          </w:p>
          <w:p w14:paraId="46F979D2">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中标人不按照与招标人订立的合同履行义务，情节严重的，取消其二年至五年内参加依法必须进行招标的项目的投标资格并予以公告，直至由工商行政管理机关吊销营业执照。</w:t>
            </w:r>
          </w:p>
        </w:tc>
        <w:tc>
          <w:tcPr>
            <w:tcW w:w="912" w:type="dxa"/>
            <w:tcBorders>
              <w:tl2br w:val="nil"/>
              <w:tr2bl w:val="nil"/>
            </w:tcBorders>
            <w:tcMar>
              <w:top w:w="15" w:type="dxa"/>
              <w:left w:w="15" w:type="dxa"/>
              <w:bottom w:w="15" w:type="dxa"/>
              <w:right w:w="15" w:type="dxa"/>
            </w:tcMar>
            <w:vAlign w:val="center"/>
          </w:tcPr>
          <w:p w14:paraId="29B38F5A">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628ECB0F">
            <w:pPr>
              <w:keepNext w:val="0"/>
              <w:keepLines w:val="0"/>
              <w:pageBreakBefore w:val="0"/>
              <w:widowControl/>
              <w:kinsoku/>
              <w:overflowPunct/>
              <w:topLinePunct w:val="0"/>
              <w:autoSpaceDE/>
              <w:autoSpaceDN/>
              <w:bidi w:val="0"/>
              <w:adjustRightInd/>
              <w:spacing w:line="260" w:lineRule="exact"/>
              <w:ind w:firstLine="420" w:firstLineChars="2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危害后果轻微，主动消除或减轻违法行为危害后果的。</w:t>
            </w:r>
          </w:p>
        </w:tc>
        <w:tc>
          <w:tcPr>
            <w:tcW w:w="3375" w:type="dxa"/>
            <w:tcBorders>
              <w:tl2br w:val="nil"/>
              <w:tr2bl w:val="nil"/>
            </w:tcBorders>
            <w:tcMar>
              <w:top w:w="15" w:type="dxa"/>
              <w:left w:w="15" w:type="dxa"/>
              <w:bottom w:w="15" w:type="dxa"/>
              <w:right w:w="15" w:type="dxa"/>
            </w:tcMar>
            <w:vAlign w:val="center"/>
          </w:tcPr>
          <w:p w14:paraId="2B39083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取消其2年至3年内参加依法必须进行招标的项目的投标资格并予以公告。</w:t>
            </w:r>
          </w:p>
        </w:tc>
      </w:tr>
      <w:tr w14:paraId="0264355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1" w:hRule="atLeast"/>
          <w:jc w:val="center"/>
        </w:trPr>
        <w:tc>
          <w:tcPr>
            <w:tcW w:w="533" w:type="dxa"/>
            <w:gridSpan w:val="2"/>
            <w:vMerge w:val="continue"/>
            <w:tcBorders>
              <w:tl2br w:val="nil"/>
              <w:tr2bl w:val="nil"/>
            </w:tcBorders>
            <w:vAlign w:val="center"/>
          </w:tcPr>
          <w:p w14:paraId="1A1B5F4E">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48BD5B8F">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737EF780">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55BD8DB2">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0F488DB7">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42710F49">
            <w:pPr>
              <w:keepNext w:val="0"/>
              <w:keepLines w:val="0"/>
              <w:pageBreakBefore w:val="0"/>
              <w:widowControl/>
              <w:kinsoku/>
              <w:overflowPunct/>
              <w:topLinePunct w:val="0"/>
              <w:autoSpaceDE/>
              <w:autoSpaceDN/>
              <w:bidi w:val="0"/>
              <w:adjustRightInd/>
              <w:spacing w:line="260" w:lineRule="exact"/>
              <w:ind w:firstLine="420" w:firstLineChars="2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2BF209C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取消其3年至4年内参加依法必须进行招标的项目的投标资格并予以公告。</w:t>
            </w:r>
          </w:p>
        </w:tc>
      </w:tr>
      <w:tr w14:paraId="3F36A7F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3" w:type="dxa"/>
            <w:gridSpan w:val="2"/>
            <w:vMerge w:val="continue"/>
            <w:tcBorders>
              <w:tl2br w:val="nil"/>
              <w:tr2bl w:val="nil"/>
            </w:tcBorders>
            <w:vAlign w:val="center"/>
          </w:tcPr>
          <w:p w14:paraId="5588964B">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440EE519">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132D7BA0">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544C0551">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vMerge w:val="restart"/>
            <w:tcBorders>
              <w:tl2br w:val="nil"/>
              <w:tr2bl w:val="nil"/>
            </w:tcBorders>
            <w:tcMar>
              <w:top w:w="15" w:type="dxa"/>
              <w:left w:w="15" w:type="dxa"/>
              <w:bottom w:w="15" w:type="dxa"/>
              <w:right w:w="15" w:type="dxa"/>
            </w:tcMar>
            <w:vAlign w:val="center"/>
          </w:tcPr>
          <w:p w14:paraId="40D1FDD8">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0E9C7B8F">
            <w:pPr>
              <w:keepNext w:val="0"/>
              <w:keepLines w:val="0"/>
              <w:pageBreakBefore w:val="0"/>
              <w:widowControl/>
              <w:kinsoku/>
              <w:overflowPunct/>
              <w:topLinePunct w:val="0"/>
              <w:autoSpaceDE/>
              <w:autoSpaceDN/>
              <w:bidi w:val="0"/>
              <w:adjustRightInd/>
              <w:spacing w:line="260" w:lineRule="exact"/>
              <w:ind w:firstLine="420" w:firstLineChars="200"/>
              <w:jc w:val="left"/>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经招标人催告仍不履行的</w:t>
            </w:r>
            <w:r>
              <w:rPr>
                <w:rFonts w:hint="eastAsia" w:ascii="仿宋_GB2312" w:hAnsi="宋体" w:eastAsia="仿宋_GB2312"/>
                <w:color w:val="000000" w:themeColor="text1"/>
                <w:kern w:val="0"/>
                <w:szCs w:val="21"/>
                <w:lang w:eastAsia="zh-CN"/>
                <w14:textFill>
                  <w14:solidFill>
                    <w14:schemeClr w14:val="tx1"/>
                  </w14:solidFill>
                </w14:textFill>
              </w:rPr>
              <w:t>。</w:t>
            </w:r>
          </w:p>
        </w:tc>
        <w:tc>
          <w:tcPr>
            <w:tcW w:w="3375" w:type="dxa"/>
            <w:tcBorders>
              <w:tl2br w:val="nil"/>
              <w:tr2bl w:val="nil"/>
            </w:tcBorders>
            <w:tcMar>
              <w:top w:w="15" w:type="dxa"/>
              <w:left w:w="15" w:type="dxa"/>
              <w:bottom w:w="15" w:type="dxa"/>
              <w:right w:w="15" w:type="dxa"/>
            </w:tcMar>
            <w:vAlign w:val="center"/>
          </w:tcPr>
          <w:p w14:paraId="4FB27A6E">
            <w:pPr>
              <w:keepNext w:val="0"/>
              <w:keepLines w:val="0"/>
              <w:pageBreakBefore w:val="0"/>
              <w:widowControl/>
              <w:kinsoku/>
              <w:overflowPunct/>
              <w:topLinePunct w:val="0"/>
              <w:autoSpaceDE/>
              <w:autoSpaceDN/>
              <w:bidi w:val="0"/>
              <w:adjustRightInd/>
              <w:spacing w:line="260" w:lineRule="exact"/>
              <w:ind w:firstLine="210" w:firstLineChars="100"/>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取消其</w:t>
            </w:r>
            <w:r>
              <w:rPr>
                <w:rFonts w:hint="eastAsia" w:ascii="仿宋_GB2312" w:hAnsi="宋体" w:eastAsia="仿宋_GB2312"/>
                <w:color w:val="000000" w:themeColor="text1"/>
                <w:kern w:val="0"/>
                <w:szCs w:val="21"/>
                <w:lang w:val="en-US" w:eastAsia="zh-CN"/>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年至</w:t>
            </w:r>
            <w:r>
              <w:rPr>
                <w:rFonts w:hint="eastAsia" w:ascii="仿宋_GB2312" w:hAnsi="宋体" w:eastAsia="仿宋_GB2312"/>
                <w:color w:val="000000" w:themeColor="text1"/>
                <w:kern w:val="0"/>
                <w:szCs w:val="21"/>
                <w:lang w:val="en-US" w:eastAsia="zh-CN"/>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年内参加依法必须进行招标的项目的投标资格并予以公告。</w:t>
            </w:r>
          </w:p>
        </w:tc>
      </w:tr>
      <w:tr w14:paraId="1A64265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0" w:hRule="atLeast"/>
          <w:jc w:val="center"/>
        </w:trPr>
        <w:tc>
          <w:tcPr>
            <w:tcW w:w="533" w:type="dxa"/>
            <w:gridSpan w:val="2"/>
            <w:vMerge w:val="continue"/>
            <w:tcBorders>
              <w:tl2br w:val="nil"/>
              <w:tr2bl w:val="nil"/>
            </w:tcBorders>
            <w:vAlign w:val="center"/>
          </w:tcPr>
          <w:p w14:paraId="5551F90A">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640235D9">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1F50C212">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557200D2">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vMerge w:val="continue"/>
            <w:tcBorders>
              <w:tl2br w:val="nil"/>
              <w:tr2bl w:val="nil"/>
            </w:tcBorders>
            <w:tcMar>
              <w:top w:w="15" w:type="dxa"/>
              <w:left w:w="15" w:type="dxa"/>
              <w:bottom w:w="15" w:type="dxa"/>
              <w:right w:w="15" w:type="dxa"/>
            </w:tcMar>
            <w:vAlign w:val="center"/>
          </w:tcPr>
          <w:p w14:paraId="7AAA0E7E">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tcMar>
              <w:top w:w="15" w:type="dxa"/>
              <w:left w:w="15" w:type="dxa"/>
              <w:bottom w:w="15" w:type="dxa"/>
              <w:right w:w="15" w:type="dxa"/>
            </w:tcMar>
            <w:vAlign w:val="center"/>
          </w:tcPr>
          <w:p w14:paraId="01F7FDA8">
            <w:pPr>
              <w:keepNext w:val="0"/>
              <w:keepLines w:val="0"/>
              <w:pageBreakBefore w:val="0"/>
              <w:kinsoku/>
              <w:overflowPunct/>
              <w:topLinePunct w:val="0"/>
              <w:autoSpaceDE/>
              <w:autoSpaceDN/>
              <w:bidi w:val="0"/>
              <w:adjustRightInd/>
              <w:spacing w:line="260" w:lineRule="exact"/>
              <w:ind w:firstLine="210" w:firstLineChars="100"/>
              <w:jc w:val="left"/>
              <w:rPr>
                <w:rFonts w:hint="default" w:ascii="仿宋_GB2312" w:hAnsi="宋体" w:eastAsia="仿宋_GB2312"/>
                <w:color w:val="000000" w:themeColor="text1"/>
                <w:kern w:val="0"/>
                <w:szCs w:val="21"/>
                <w:lang w:val="en-US" w:eastAsia="zh-CN"/>
                <w14:textFill>
                  <w14:solidFill>
                    <w14:schemeClr w14:val="tx1"/>
                  </w14:solidFill>
                </w14:textFill>
              </w:rPr>
            </w:pPr>
            <w:r>
              <w:rPr>
                <w:rFonts w:hint="eastAsia" w:ascii="仿宋_GB2312" w:hAnsi="宋体" w:eastAsia="仿宋_GB2312"/>
                <w:color w:val="000000" w:themeColor="text1"/>
                <w:kern w:val="0"/>
                <w:szCs w:val="21"/>
                <w:lang w:val="en-US" w:eastAsia="zh-CN"/>
                <w14:textFill>
                  <w14:solidFill>
                    <w14:schemeClr w14:val="tx1"/>
                  </w14:solidFill>
                </w14:textFill>
              </w:rPr>
              <w:t>有下列情形之一的：</w:t>
            </w:r>
          </w:p>
          <w:p w14:paraId="3CD32EE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（1）曾因该违法行为被依法查处，再次实施该违法行为的；</w:t>
            </w:r>
          </w:p>
          <w:p w14:paraId="3E91B50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（2）造成工程质量事故的；</w:t>
            </w:r>
          </w:p>
          <w:p w14:paraId="3CC39A2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（3）经有关部门确认，存在商业贿赂情形的；（4）其他依法应予从重处罚的情形。</w:t>
            </w:r>
          </w:p>
        </w:tc>
        <w:tc>
          <w:tcPr>
            <w:tcW w:w="3375" w:type="dxa"/>
            <w:tcBorders>
              <w:tl2br w:val="nil"/>
              <w:tr2bl w:val="nil"/>
            </w:tcBorders>
            <w:tcMar>
              <w:top w:w="15" w:type="dxa"/>
              <w:left w:w="15" w:type="dxa"/>
              <w:bottom w:w="15" w:type="dxa"/>
              <w:right w:w="15" w:type="dxa"/>
            </w:tcMar>
            <w:vAlign w:val="center"/>
          </w:tcPr>
          <w:p w14:paraId="2D65104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取消其</w:t>
            </w:r>
            <w:r>
              <w:rPr>
                <w:rFonts w:hint="eastAsia" w:ascii="仿宋_GB2312" w:hAnsi="宋体" w:eastAsia="仿宋_GB2312"/>
                <w:color w:val="000000" w:themeColor="text1"/>
                <w:kern w:val="0"/>
                <w:szCs w:val="21"/>
                <w:lang w:val="en-US" w:eastAsia="zh-CN"/>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年至5年内参加依法必须进行招标的项目的投标资格并予以公告。</w:t>
            </w:r>
          </w:p>
        </w:tc>
      </w:tr>
      <w:tr w14:paraId="6205E32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4" w:hRule="atLeast"/>
          <w:jc w:val="center"/>
        </w:trPr>
        <w:tc>
          <w:tcPr>
            <w:tcW w:w="533" w:type="dxa"/>
            <w:gridSpan w:val="2"/>
            <w:vMerge w:val="restart"/>
            <w:tcBorders>
              <w:tl2br w:val="nil"/>
              <w:tr2bl w:val="nil"/>
            </w:tcBorders>
            <w:vAlign w:val="center"/>
          </w:tcPr>
          <w:p w14:paraId="0BD1EAB0">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12</w:t>
            </w:r>
          </w:p>
        </w:tc>
        <w:tc>
          <w:tcPr>
            <w:tcW w:w="1376" w:type="dxa"/>
            <w:vMerge w:val="restart"/>
            <w:tcBorders>
              <w:tl2br w:val="nil"/>
              <w:tr2bl w:val="nil"/>
            </w:tcBorders>
            <w:vAlign w:val="center"/>
          </w:tcPr>
          <w:p w14:paraId="5ED0CC4C">
            <w:pPr>
              <w:pStyle w:val="11"/>
              <w:keepNext w:val="0"/>
              <w:keepLines w:val="0"/>
              <w:pageBreakBefore w:val="0"/>
              <w:kinsoku/>
              <w:overflowPunct/>
              <w:topLinePunct w:val="0"/>
              <w:autoSpaceDE/>
              <w:autoSpaceDN/>
              <w:bidi w:val="0"/>
              <w:adjustRightInd/>
              <w:spacing w:line="260" w:lineRule="exact"/>
              <w:ind w:firstLine="210" w:firstLineChars="1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依法应当公开招标的项目不按照规定在指定媒介发布资格预审公告或者招标公告</w:t>
            </w:r>
          </w:p>
        </w:tc>
        <w:tc>
          <w:tcPr>
            <w:tcW w:w="1128" w:type="dxa"/>
            <w:gridSpan w:val="2"/>
            <w:vMerge w:val="restart"/>
            <w:tcBorders>
              <w:tl2br w:val="nil"/>
              <w:tr2bl w:val="nil"/>
            </w:tcBorders>
            <w:vAlign w:val="center"/>
          </w:tcPr>
          <w:p w14:paraId="2A49F559">
            <w:pPr>
              <w:pStyle w:val="11"/>
              <w:keepNext w:val="0"/>
              <w:keepLines w:val="0"/>
              <w:pageBreakBefore w:val="0"/>
              <w:kinsoku/>
              <w:overflowPunct/>
              <w:topLinePunct w:val="0"/>
              <w:autoSpaceDE/>
              <w:autoSpaceDN/>
              <w:bidi w:val="0"/>
              <w:adjustRightInd/>
              <w:spacing w:line="260" w:lineRule="exact"/>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《中华人民共和国招标投标法实施条例》第十五条</w:t>
            </w:r>
          </w:p>
        </w:tc>
        <w:tc>
          <w:tcPr>
            <w:tcW w:w="4354" w:type="dxa"/>
            <w:vMerge w:val="restart"/>
            <w:tcBorders>
              <w:tl2br w:val="nil"/>
              <w:tr2bl w:val="nil"/>
            </w:tcBorders>
            <w:vAlign w:val="center"/>
          </w:tcPr>
          <w:p w14:paraId="245146A7">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《中华人民共和国招标投标法》</w:t>
            </w:r>
            <w:r>
              <w:rPr>
                <w:rFonts w:hint="eastAsia" w:ascii="仿宋_GB2312" w:hAnsi="宋体" w:eastAsia="仿宋_GB2312"/>
                <w:b/>
                <w:bCs/>
                <w:color w:val="000000" w:themeColor="text1"/>
                <w:kern w:val="0"/>
                <w:szCs w:val="21"/>
                <w14:textFill>
                  <w14:solidFill>
                    <w14:schemeClr w14:val="tx1"/>
                  </w14:solidFill>
                </w14:textFill>
              </w:rPr>
              <w:t>第五十一条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招标人以不合理的条件限制或者排斥潜在投标人的，对潜在投标人实行歧视待遇的，强制要求投标人组成联合体共同投标的，或者限制投标人之间竞争的，责令改正，可以处一万元以上五万元以下的罚款。</w:t>
            </w:r>
          </w:p>
          <w:p w14:paraId="3E756C4F">
            <w:pPr>
              <w:keepNext w:val="0"/>
              <w:keepLines w:val="0"/>
              <w:pageBreakBefore w:val="0"/>
              <w:kinsoku/>
              <w:overflowPunct/>
              <w:topLinePunct w:val="0"/>
              <w:autoSpaceDE/>
              <w:autoSpaceDN/>
              <w:bidi w:val="0"/>
              <w:adjustRightInd/>
              <w:spacing w:line="260" w:lineRule="exact"/>
              <w:ind w:firstLine="420" w:firstLineChars="200"/>
              <w:jc w:val="left"/>
              <w:rPr>
                <w:rFonts w:hint="eastAsia" w:ascii="仿宋_GB2312" w:hAnsi="宋体" w:eastAsia="仿宋_GB2312"/>
                <w:color w:val="000000" w:themeColor="text1"/>
                <w:kern w:val="0"/>
                <w:szCs w:val="21"/>
                <w14:textFill>
                  <w14:solidFill>
                    <w14:schemeClr w14:val="tx1"/>
                  </w14:solidFill>
                </w14:textFill>
              </w:rPr>
            </w:pPr>
          </w:p>
          <w:p w14:paraId="65B1930E">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w:t>
            </w:r>
            <w:r>
              <w:rPr>
                <w:rFonts w:hint="eastAsia" w:ascii="仿宋_GB2312" w:hAnsi="宋体" w:eastAsia="仿宋_GB2312"/>
                <w:b/>
                <w:bCs/>
                <w:color w:val="000000" w:themeColor="text1"/>
                <w:kern w:val="0"/>
                <w:szCs w:val="21"/>
                <w14:textFill>
                  <w14:solidFill>
                    <w14:schemeClr w14:val="tx1"/>
                  </w14:solidFill>
                </w14:textFill>
              </w:rPr>
              <w:t>第六十三条第一款</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招标人有下列限制或者排斥潜在投标人行为之一的，由有关行政监督部门依照招标投标法第五十一条的规定处罚：</w:t>
            </w:r>
          </w:p>
          <w:p w14:paraId="7B5C541B">
            <w:pPr>
              <w:keepNext w:val="0"/>
              <w:keepLines w:val="0"/>
              <w:pageBreakBefore w:val="0"/>
              <w:numPr>
                <w:ilvl w:val="0"/>
                <w:numId w:val="0"/>
              </w:numPr>
              <w:kinsoku/>
              <w:overflowPunct/>
              <w:topLinePunct w:val="0"/>
              <w:autoSpaceDE/>
              <w:autoSpaceDN/>
              <w:bidi w:val="0"/>
              <w:adjustRightInd/>
              <w:spacing w:line="260" w:lineRule="exact"/>
              <w:ind w:firstLine="420" w:firstLineChars="200"/>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依法应当公开招标的项目不按照规定在指定媒介发布资格预审公告或者招标公告；</w:t>
            </w:r>
          </w:p>
          <w:p w14:paraId="0A0BE132">
            <w:pPr>
              <w:keepNext w:val="0"/>
              <w:keepLines w:val="0"/>
              <w:pageBreakBefore w:val="0"/>
              <w:numPr>
                <w:ilvl w:val="0"/>
                <w:numId w:val="0"/>
              </w:numPr>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（二）在不同媒介发布的同一招标项目的资格预审公告或者招标公告的内容不一致，影响潜在投标人申请资格预审或者投标。</w:t>
            </w:r>
          </w:p>
        </w:tc>
        <w:tc>
          <w:tcPr>
            <w:tcW w:w="912" w:type="dxa"/>
            <w:tcBorders>
              <w:tl2br w:val="nil"/>
              <w:tr2bl w:val="nil"/>
            </w:tcBorders>
            <w:tcMar>
              <w:top w:w="15" w:type="dxa"/>
              <w:left w:w="15" w:type="dxa"/>
              <w:bottom w:w="15" w:type="dxa"/>
              <w:right w:w="15" w:type="dxa"/>
            </w:tcMar>
            <w:vAlign w:val="center"/>
          </w:tcPr>
          <w:p w14:paraId="365FDB3C">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1B3F13A8">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已发出邀请招标文件，但尚未组织评标。</w:t>
            </w:r>
          </w:p>
        </w:tc>
        <w:tc>
          <w:tcPr>
            <w:tcW w:w="3375" w:type="dxa"/>
            <w:tcBorders>
              <w:tl2br w:val="nil"/>
              <w:tr2bl w:val="nil"/>
            </w:tcBorders>
            <w:tcMar>
              <w:top w:w="15" w:type="dxa"/>
              <w:left w:w="15" w:type="dxa"/>
              <w:bottom w:w="15" w:type="dxa"/>
              <w:right w:w="15" w:type="dxa"/>
            </w:tcMar>
            <w:vAlign w:val="center"/>
          </w:tcPr>
          <w:p w14:paraId="774F1AA0">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责令改正，可以处1万元以上2万元以下的罚款。</w:t>
            </w:r>
          </w:p>
        </w:tc>
      </w:tr>
      <w:tr w14:paraId="529637D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4" w:hRule="atLeast"/>
          <w:jc w:val="center"/>
        </w:trPr>
        <w:tc>
          <w:tcPr>
            <w:tcW w:w="533" w:type="dxa"/>
            <w:gridSpan w:val="2"/>
            <w:vMerge w:val="continue"/>
            <w:tcBorders>
              <w:tl2br w:val="nil"/>
              <w:tr2bl w:val="nil"/>
            </w:tcBorders>
            <w:vAlign w:val="center"/>
          </w:tcPr>
          <w:p w14:paraId="6DC3D560">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0364E809">
            <w:pPr>
              <w:pStyle w:val="11"/>
              <w:keepNext w:val="0"/>
              <w:keepLines w:val="0"/>
              <w:pageBreakBefore w:val="0"/>
              <w:kinsoku/>
              <w:overflowPunct/>
              <w:topLinePunct w:val="0"/>
              <w:autoSpaceDE/>
              <w:autoSpaceDN/>
              <w:bidi w:val="0"/>
              <w:adjustRightInd/>
              <w:spacing w:line="260" w:lineRule="exact"/>
              <w:rPr>
                <w:rFonts w:ascii="仿宋_GB2312" w:eastAsia="仿宋_GB2312" w:cstheme="minorBidi"/>
                <w:color w:val="000000" w:themeColor="text1"/>
                <w:sz w:val="21"/>
                <w:szCs w:val="21"/>
                <w14:textFill>
                  <w14:solidFill>
                    <w14:schemeClr w14:val="tx1"/>
                  </w14:solidFill>
                </w14:textFill>
              </w:rPr>
            </w:pPr>
          </w:p>
        </w:tc>
        <w:tc>
          <w:tcPr>
            <w:tcW w:w="1128" w:type="dxa"/>
            <w:gridSpan w:val="2"/>
            <w:vMerge w:val="continue"/>
            <w:tcBorders>
              <w:tl2br w:val="nil"/>
              <w:tr2bl w:val="nil"/>
            </w:tcBorders>
            <w:vAlign w:val="center"/>
          </w:tcPr>
          <w:p w14:paraId="67DF57B7">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65552897">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7F3448D2">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684C1494">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已组织评标或者签订合同，但未履行合同约定事项。</w:t>
            </w:r>
          </w:p>
        </w:tc>
        <w:tc>
          <w:tcPr>
            <w:tcW w:w="3375" w:type="dxa"/>
            <w:tcBorders>
              <w:tl2br w:val="nil"/>
              <w:tr2bl w:val="nil"/>
            </w:tcBorders>
            <w:tcMar>
              <w:top w:w="15" w:type="dxa"/>
              <w:left w:w="15" w:type="dxa"/>
              <w:bottom w:w="15" w:type="dxa"/>
              <w:right w:w="15" w:type="dxa"/>
            </w:tcMar>
            <w:vAlign w:val="center"/>
          </w:tcPr>
          <w:p w14:paraId="09E3F135">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责令改正，可以处2万元以上4万元以下的罚款。</w:t>
            </w:r>
          </w:p>
        </w:tc>
      </w:tr>
      <w:tr w14:paraId="46249A7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8" w:hRule="atLeast"/>
          <w:jc w:val="center"/>
        </w:trPr>
        <w:tc>
          <w:tcPr>
            <w:tcW w:w="533" w:type="dxa"/>
            <w:gridSpan w:val="2"/>
            <w:vMerge w:val="continue"/>
            <w:tcBorders>
              <w:tl2br w:val="nil"/>
              <w:tr2bl w:val="nil"/>
            </w:tcBorders>
            <w:vAlign w:val="center"/>
          </w:tcPr>
          <w:p w14:paraId="6D5CCA6B">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3D6E3A85">
            <w:pPr>
              <w:pStyle w:val="11"/>
              <w:keepNext w:val="0"/>
              <w:keepLines w:val="0"/>
              <w:pageBreakBefore w:val="0"/>
              <w:kinsoku/>
              <w:overflowPunct/>
              <w:topLinePunct w:val="0"/>
              <w:autoSpaceDE/>
              <w:autoSpaceDN/>
              <w:bidi w:val="0"/>
              <w:adjustRightInd/>
              <w:spacing w:line="260" w:lineRule="exact"/>
              <w:rPr>
                <w:rFonts w:ascii="仿宋_GB2312" w:eastAsia="仿宋_GB2312" w:cstheme="minorBidi"/>
                <w:color w:val="000000" w:themeColor="text1"/>
                <w:sz w:val="21"/>
                <w:szCs w:val="21"/>
                <w14:textFill>
                  <w14:solidFill>
                    <w14:schemeClr w14:val="tx1"/>
                  </w14:solidFill>
                </w14:textFill>
              </w:rPr>
            </w:pPr>
          </w:p>
        </w:tc>
        <w:tc>
          <w:tcPr>
            <w:tcW w:w="1128" w:type="dxa"/>
            <w:gridSpan w:val="2"/>
            <w:vMerge w:val="continue"/>
            <w:tcBorders>
              <w:tl2br w:val="nil"/>
              <w:tr2bl w:val="nil"/>
            </w:tcBorders>
            <w:vAlign w:val="center"/>
          </w:tcPr>
          <w:p w14:paraId="26729EDA">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1BC2550F">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414D0BD8">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5017321B">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已履行合同约定事项；</w:t>
            </w:r>
          </w:p>
          <w:p w14:paraId="4834D219">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其他情节恶劣，或造成严重后果的。</w:t>
            </w:r>
          </w:p>
        </w:tc>
        <w:tc>
          <w:tcPr>
            <w:tcW w:w="3375" w:type="dxa"/>
            <w:tcBorders>
              <w:tl2br w:val="nil"/>
              <w:tr2bl w:val="nil"/>
            </w:tcBorders>
            <w:tcMar>
              <w:top w:w="15" w:type="dxa"/>
              <w:left w:w="15" w:type="dxa"/>
              <w:bottom w:w="15" w:type="dxa"/>
              <w:right w:w="15" w:type="dxa"/>
            </w:tcMar>
            <w:vAlign w:val="center"/>
          </w:tcPr>
          <w:p w14:paraId="1F85C8CB">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责令改正，处4万元以上5万元以下的罚款。</w:t>
            </w:r>
          </w:p>
        </w:tc>
      </w:tr>
      <w:tr w14:paraId="33E62EB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8" w:hRule="atLeast"/>
          <w:jc w:val="center"/>
        </w:trPr>
        <w:tc>
          <w:tcPr>
            <w:tcW w:w="533" w:type="dxa"/>
            <w:gridSpan w:val="2"/>
            <w:vMerge w:val="restart"/>
            <w:tcBorders>
              <w:tl2br w:val="nil"/>
              <w:tr2bl w:val="nil"/>
            </w:tcBorders>
            <w:vAlign w:val="center"/>
          </w:tcPr>
          <w:p w14:paraId="7F10A188">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p w14:paraId="52F121B7">
            <w:pPr>
              <w:keepNext w:val="0"/>
              <w:keepLines w:val="0"/>
              <w:pageBreakBefore w:val="0"/>
              <w:widowControl/>
              <w:kinsoku/>
              <w:overflowPunct/>
              <w:topLinePunct w:val="0"/>
              <w:autoSpaceDE/>
              <w:autoSpaceDN/>
              <w:bidi w:val="0"/>
              <w:adjustRightInd/>
              <w:spacing w:line="260" w:lineRule="exact"/>
              <w:ind w:firstLine="105" w:firstLineChars="50"/>
              <w:jc w:val="center"/>
              <w:rPr>
                <w:rFonts w:hint="default" w:ascii="仿宋_GB2312" w:hAnsi="宋体" w:eastAsia="仿宋_GB2312" w:cs="Times New Roman"/>
                <w:color w:val="000000" w:themeColor="text1"/>
                <w:szCs w:val="21"/>
                <w:lang w:val="en-US" w:eastAsia="zh-CN"/>
                <w14:textFill>
                  <w14:solidFill>
                    <w14:schemeClr w14:val="tx1"/>
                  </w14:solidFill>
                </w14:textFill>
              </w:rPr>
            </w:pPr>
            <w:r>
              <w:rPr>
                <w:rFonts w:hint="eastAsia" w:ascii="仿宋_GB2312" w:hAnsi="宋体" w:eastAsia="仿宋_GB2312" w:cs="Times New Roman"/>
                <w:color w:val="000000" w:themeColor="text1"/>
                <w:szCs w:val="21"/>
                <w:lang w:val="en-US" w:eastAsia="zh-CN"/>
                <w14:textFill>
                  <w14:solidFill>
                    <w14:schemeClr w14:val="tx1"/>
                  </w14:solidFill>
                </w14:textFill>
              </w:rPr>
              <w:t>13</w:t>
            </w:r>
          </w:p>
        </w:tc>
        <w:tc>
          <w:tcPr>
            <w:tcW w:w="1376" w:type="dxa"/>
            <w:vMerge w:val="restart"/>
            <w:tcBorders>
              <w:tl2br w:val="nil"/>
              <w:tr2bl w:val="nil"/>
            </w:tcBorders>
            <w:vAlign w:val="center"/>
          </w:tcPr>
          <w:p w14:paraId="15B2C3EB">
            <w:pPr>
              <w:pStyle w:val="11"/>
              <w:keepNext w:val="0"/>
              <w:keepLines w:val="0"/>
              <w:pageBreakBefore w:val="0"/>
              <w:kinsoku/>
              <w:overflowPunct/>
              <w:topLinePunct w:val="0"/>
              <w:autoSpaceDE/>
              <w:autoSpaceDN/>
              <w:bidi w:val="0"/>
              <w:adjustRightInd/>
              <w:spacing w:line="260" w:lineRule="exact"/>
              <w:ind w:firstLine="210" w:firstLineChars="1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依法必须进行招标的项目的招标人不按照规定发布资格预审公告或者招标公告，构成规避招标</w:t>
            </w:r>
          </w:p>
        </w:tc>
        <w:tc>
          <w:tcPr>
            <w:tcW w:w="1128" w:type="dxa"/>
            <w:gridSpan w:val="2"/>
            <w:vMerge w:val="restart"/>
            <w:tcBorders>
              <w:tl2br w:val="nil"/>
              <w:tr2bl w:val="nil"/>
            </w:tcBorders>
            <w:vAlign w:val="center"/>
          </w:tcPr>
          <w:p w14:paraId="573E1E9A">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《中华人民共和国招标投标法》（国务院令第613号）</w:t>
            </w:r>
            <w:r>
              <w:rPr>
                <w:rFonts w:hint="eastAsia" w:ascii="仿宋_GB2312" w:hAnsi="宋体" w:eastAsia="仿宋_GB2312"/>
                <w:color w:val="000000" w:themeColor="text1"/>
                <w:kern w:val="0"/>
                <w:szCs w:val="21"/>
                <w14:textFill>
                  <w14:solidFill>
                    <w14:schemeClr w14:val="tx1"/>
                  </w14:solidFill>
                </w14:textFill>
              </w:rPr>
              <w:t>第三条/第四条</w:t>
            </w:r>
          </w:p>
        </w:tc>
        <w:tc>
          <w:tcPr>
            <w:tcW w:w="4354" w:type="dxa"/>
            <w:vMerge w:val="restart"/>
            <w:tcBorders>
              <w:tl2br w:val="nil"/>
              <w:tr2bl w:val="nil"/>
            </w:tcBorders>
            <w:vAlign w:val="center"/>
          </w:tcPr>
          <w:p w14:paraId="4ADC8B49">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《中华人民共和国招标投标法》</w:t>
            </w:r>
            <w:r>
              <w:rPr>
                <w:rFonts w:hint="eastAsia" w:ascii="仿宋_GB2312" w:hAnsi="宋体" w:eastAsia="仿宋_GB2312"/>
                <w:b/>
                <w:bCs/>
                <w:color w:val="000000" w:themeColor="text1"/>
                <w:kern w:val="0"/>
                <w:szCs w:val="21"/>
                <w14:textFill>
                  <w14:solidFill>
                    <w14:schemeClr w14:val="tx1"/>
                  </w14:solidFill>
                </w14:textFill>
              </w:rPr>
              <w:t>第四十九条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p>
          <w:p w14:paraId="7C7784D1">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p>
          <w:p w14:paraId="0F7E7417">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w:t>
            </w:r>
            <w:r>
              <w:rPr>
                <w:rFonts w:hint="eastAsia" w:ascii="仿宋_GB2312" w:hAnsi="宋体" w:eastAsia="仿宋_GB2312"/>
                <w:b/>
                <w:bCs/>
                <w:color w:val="000000" w:themeColor="text1"/>
                <w:kern w:val="0"/>
                <w:szCs w:val="21"/>
                <w14:textFill>
                  <w14:solidFill>
                    <w14:schemeClr w14:val="tx1"/>
                  </w14:solidFill>
                </w14:textFill>
              </w:rPr>
              <w:t>第六十三条第三款</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依法必须进行招标的项目的招标人不按照规定发布资格预审公告或者招标公告，构成规避招标的，依照招标投标法第四十九条的规定处罚。</w:t>
            </w:r>
          </w:p>
        </w:tc>
        <w:tc>
          <w:tcPr>
            <w:tcW w:w="912" w:type="dxa"/>
            <w:tcBorders>
              <w:tl2br w:val="nil"/>
              <w:tr2bl w:val="nil"/>
            </w:tcBorders>
            <w:tcMar>
              <w:top w:w="15" w:type="dxa"/>
              <w:left w:w="15" w:type="dxa"/>
              <w:bottom w:w="15" w:type="dxa"/>
              <w:right w:w="15" w:type="dxa"/>
            </w:tcMar>
            <w:vAlign w:val="center"/>
          </w:tcPr>
          <w:p w14:paraId="38D8DA4B">
            <w:pPr>
              <w:keepNext w:val="0"/>
              <w:keepLines w:val="0"/>
              <w:pageBreakBefore w:val="0"/>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1CBBACE6">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项目尚未开工，及时纠正的。</w:t>
            </w:r>
          </w:p>
        </w:tc>
        <w:tc>
          <w:tcPr>
            <w:tcW w:w="3375" w:type="dxa"/>
            <w:tcBorders>
              <w:tl2br w:val="nil"/>
              <w:tr2bl w:val="nil"/>
            </w:tcBorders>
            <w:tcMar>
              <w:top w:w="15" w:type="dxa"/>
              <w:left w:w="15" w:type="dxa"/>
              <w:bottom w:w="15" w:type="dxa"/>
              <w:right w:w="15" w:type="dxa"/>
            </w:tcMar>
            <w:vAlign w:val="center"/>
          </w:tcPr>
          <w:p w14:paraId="701E152C">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责令改正，可以处项目合同金额千分之五的罚款。</w:t>
            </w:r>
          </w:p>
        </w:tc>
      </w:tr>
      <w:tr w14:paraId="2B22783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5" w:hRule="atLeast"/>
          <w:jc w:val="center"/>
        </w:trPr>
        <w:tc>
          <w:tcPr>
            <w:tcW w:w="533" w:type="dxa"/>
            <w:gridSpan w:val="2"/>
            <w:vMerge w:val="continue"/>
            <w:tcBorders>
              <w:tl2br w:val="nil"/>
              <w:tr2bl w:val="nil"/>
            </w:tcBorders>
            <w:vAlign w:val="center"/>
          </w:tcPr>
          <w:p w14:paraId="38858EF8">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7151E0FF">
            <w:pPr>
              <w:pStyle w:val="11"/>
              <w:keepNext w:val="0"/>
              <w:keepLines w:val="0"/>
              <w:pageBreakBefore w:val="0"/>
              <w:kinsoku/>
              <w:overflowPunct/>
              <w:topLinePunct w:val="0"/>
              <w:autoSpaceDE/>
              <w:autoSpaceDN/>
              <w:bidi w:val="0"/>
              <w:adjustRightInd/>
              <w:spacing w:line="260" w:lineRule="exact"/>
              <w:rPr>
                <w:rFonts w:ascii="仿宋_GB2312" w:eastAsia="仿宋_GB2312" w:cstheme="minorBidi"/>
                <w:color w:val="000000" w:themeColor="text1"/>
                <w:sz w:val="21"/>
                <w:szCs w:val="21"/>
                <w14:textFill>
                  <w14:solidFill>
                    <w14:schemeClr w14:val="tx1"/>
                  </w14:solidFill>
                </w14:textFill>
              </w:rPr>
            </w:pPr>
          </w:p>
        </w:tc>
        <w:tc>
          <w:tcPr>
            <w:tcW w:w="1128" w:type="dxa"/>
            <w:gridSpan w:val="2"/>
            <w:vMerge w:val="continue"/>
            <w:tcBorders>
              <w:tl2br w:val="nil"/>
              <w:tr2bl w:val="nil"/>
            </w:tcBorders>
            <w:vAlign w:val="center"/>
          </w:tcPr>
          <w:p w14:paraId="101D498A">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087EDD15">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496C7BE3">
            <w:pPr>
              <w:keepNext w:val="0"/>
              <w:keepLines w:val="0"/>
              <w:pageBreakBefore w:val="0"/>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197FFB82">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项目已经开工，及时纠正的。</w:t>
            </w:r>
          </w:p>
        </w:tc>
        <w:tc>
          <w:tcPr>
            <w:tcW w:w="3375" w:type="dxa"/>
            <w:tcBorders>
              <w:tl2br w:val="nil"/>
              <w:tr2bl w:val="nil"/>
            </w:tcBorders>
            <w:tcMar>
              <w:top w:w="15" w:type="dxa"/>
              <w:left w:w="15" w:type="dxa"/>
              <w:bottom w:w="15" w:type="dxa"/>
              <w:right w:w="15" w:type="dxa"/>
            </w:tcMar>
            <w:vAlign w:val="center"/>
          </w:tcPr>
          <w:p w14:paraId="25C3BA74">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责令改正，可以处项目合同金额千分之五以上千分之七点五以下的罚款。</w:t>
            </w:r>
          </w:p>
        </w:tc>
      </w:tr>
      <w:tr w14:paraId="297BB1C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533" w:type="dxa"/>
            <w:gridSpan w:val="2"/>
            <w:vMerge w:val="continue"/>
            <w:tcBorders>
              <w:tl2br w:val="nil"/>
              <w:tr2bl w:val="nil"/>
            </w:tcBorders>
            <w:vAlign w:val="center"/>
          </w:tcPr>
          <w:p w14:paraId="19C4E95F">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47D123B7">
            <w:pPr>
              <w:pStyle w:val="11"/>
              <w:keepNext w:val="0"/>
              <w:keepLines w:val="0"/>
              <w:pageBreakBefore w:val="0"/>
              <w:kinsoku/>
              <w:overflowPunct/>
              <w:topLinePunct w:val="0"/>
              <w:autoSpaceDE/>
              <w:autoSpaceDN/>
              <w:bidi w:val="0"/>
              <w:adjustRightInd/>
              <w:spacing w:line="260" w:lineRule="exact"/>
              <w:rPr>
                <w:rFonts w:ascii="仿宋_GB2312" w:eastAsia="仿宋_GB2312" w:cstheme="minorBidi"/>
                <w:color w:val="000000" w:themeColor="text1"/>
                <w:sz w:val="21"/>
                <w:szCs w:val="21"/>
                <w14:textFill>
                  <w14:solidFill>
                    <w14:schemeClr w14:val="tx1"/>
                  </w14:solidFill>
                </w14:textFill>
              </w:rPr>
            </w:pPr>
          </w:p>
        </w:tc>
        <w:tc>
          <w:tcPr>
            <w:tcW w:w="1128" w:type="dxa"/>
            <w:gridSpan w:val="2"/>
            <w:vMerge w:val="continue"/>
            <w:tcBorders>
              <w:tl2br w:val="nil"/>
              <w:tr2bl w:val="nil"/>
            </w:tcBorders>
            <w:vAlign w:val="center"/>
          </w:tcPr>
          <w:p w14:paraId="69947306">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0085A8E6">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vMerge w:val="restart"/>
            <w:tcBorders>
              <w:tl2br w:val="nil"/>
              <w:tr2bl w:val="nil"/>
            </w:tcBorders>
            <w:tcMar>
              <w:top w:w="15" w:type="dxa"/>
              <w:left w:w="15" w:type="dxa"/>
              <w:bottom w:w="15" w:type="dxa"/>
              <w:right w:w="15" w:type="dxa"/>
            </w:tcMar>
            <w:vAlign w:val="center"/>
          </w:tcPr>
          <w:p w14:paraId="4F8261A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526CA3BB">
            <w:pPr>
              <w:keepNext w:val="0"/>
              <w:keepLines w:val="0"/>
              <w:pageBreakBefore w:val="0"/>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（1）经责令改正后，逾期未改正的。</w:t>
            </w:r>
          </w:p>
        </w:tc>
        <w:tc>
          <w:tcPr>
            <w:tcW w:w="3375" w:type="dxa"/>
            <w:tcBorders>
              <w:tl2br w:val="nil"/>
              <w:tr2bl w:val="nil"/>
            </w:tcBorders>
            <w:tcMar>
              <w:top w:w="15" w:type="dxa"/>
              <w:left w:w="15" w:type="dxa"/>
              <w:bottom w:w="15" w:type="dxa"/>
              <w:right w:w="15" w:type="dxa"/>
            </w:tcMar>
            <w:vAlign w:val="center"/>
          </w:tcPr>
          <w:p w14:paraId="2ED5E66C">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责令改正，可以处项目合同金额千分之七点五以上千分之八点五以下的罚款。</w:t>
            </w:r>
          </w:p>
        </w:tc>
      </w:tr>
      <w:tr w14:paraId="2E26609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5" w:hRule="atLeast"/>
          <w:jc w:val="center"/>
        </w:trPr>
        <w:tc>
          <w:tcPr>
            <w:tcW w:w="533" w:type="dxa"/>
            <w:gridSpan w:val="2"/>
            <w:vMerge w:val="continue"/>
            <w:tcBorders>
              <w:tl2br w:val="nil"/>
              <w:tr2bl w:val="nil"/>
            </w:tcBorders>
            <w:vAlign w:val="center"/>
          </w:tcPr>
          <w:p w14:paraId="33C07FE3">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6696D58A">
            <w:pPr>
              <w:pStyle w:val="11"/>
              <w:keepNext w:val="0"/>
              <w:keepLines w:val="0"/>
              <w:pageBreakBefore w:val="0"/>
              <w:kinsoku/>
              <w:overflowPunct/>
              <w:topLinePunct w:val="0"/>
              <w:autoSpaceDE/>
              <w:autoSpaceDN/>
              <w:bidi w:val="0"/>
              <w:adjustRightInd/>
              <w:spacing w:line="260" w:lineRule="exact"/>
              <w:rPr>
                <w:rFonts w:ascii="仿宋_GB2312" w:eastAsia="仿宋_GB2312" w:cstheme="minorBidi"/>
                <w:color w:val="000000" w:themeColor="text1"/>
                <w:sz w:val="21"/>
                <w:szCs w:val="21"/>
                <w14:textFill>
                  <w14:solidFill>
                    <w14:schemeClr w14:val="tx1"/>
                  </w14:solidFill>
                </w14:textFill>
              </w:rPr>
            </w:pPr>
          </w:p>
        </w:tc>
        <w:tc>
          <w:tcPr>
            <w:tcW w:w="1128" w:type="dxa"/>
            <w:gridSpan w:val="2"/>
            <w:vMerge w:val="continue"/>
            <w:tcBorders>
              <w:tl2br w:val="nil"/>
              <w:tr2bl w:val="nil"/>
            </w:tcBorders>
            <w:vAlign w:val="center"/>
          </w:tcPr>
          <w:p w14:paraId="67B2E2A8">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5AC52C91">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vMerge w:val="continue"/>
            <w:tcBorders>
              <w:tl2br w:val="nil"/>
              <w:tr2bl w:val="nil"/>
            </w:tcBorders>
            <w:tcMar>
              <w:top w:w="15" w:type="dxa"/>
              <w:left w:w="15" w:type="dxa"/>
              <w:bottom w:w="15" w:type="dxa"/>
              <w:right w:w="15" w:type="dxa"/>
            </w:tcMar>
            <w:vAlign w:val="center"/>
          </w:tcPr>
          <w:p w14:paraId="72A41855">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tcMar>
              <w:top w:w="15" w:type="dxa"/>
              <w:left w:w="15" w:type="dxa"/>
              <w:bottom w:w="15" w:type="dxa"/>
              <w:right w:w="15" w:type="dxa"/>
            </w:tcMar>
            <w:vAlign w:val="center"/>
          </w:tcPr>
          <w:p w14:paraId="45E871D1">
            <w:pPr>
              <w:keepNext w:val="0"/>
              <w:keepLines w:val="0"/>
              <w:pageBreakBefore w:val="0"/>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（2）项目已经开工，且造成严重后果的。</w:t>
            </w:r>
          </w:p>
        </w:tc>
        <w:tc>
          <w:tcPr>
            <w:tcW w:w="3375" w:type="dxa"/>
            <w:tcBorders>
              <w:tl2br w:val="nil"/>
              <w:tr2bl w:val="nil"/>
            </w:tcBorders>
            <w:tcMar>
              <w:top w:w="15" w:type="dxa"/>
              <w:left w:w="15" w:type="dxa"/>
              <w:bottom w:w="15" w:type="dxa"/>
              <w:right w:w="15" w:type="dxa"/>
            </w:tcMar>
            <w:vAlign w:val="center"/>
          </w:tcPr>
          <w:p w14:paraId="76AC05C3">
            <w:pPr>
              <w:keepNext w:val="0"/>
              <w:keepLines w:val="0"/>
              <w:pageBreakBefore w:val="0"/>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责令改正，可以处项目合同金额千分之八点五以上千分之十以下的罚款。</w:t>
            </w:r>
          </w:p>
          <w:p w14:paraId="09B03FA2">
            <w:pPr>
              <w:keepNext w:val="0"/>
              <w:keepLines w:val="0"/>
              <w:pageBreakBefore w:val="0"/>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r>
      <w:tr w14:paraId="05E00F6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3" w:hRule="atLeast"/>
          <w:jc w:val="center"/>
        </w:trPr>
        <w:tc>
          <w:tcPr>
            <w:tcW w:w="533" w:type="dxa"/>
            <w:gridSpan w:val="2"/>
            <w:vMerge w:val="restart"/>
            <w:tcBorders>
              <w:tl2br w:val="nil"/>
              <w:tr2bl w:val="nil"/>
            </w:tcBorders>
            <w:vAlign w:val="center"/>
          </w:tcPr>
          <w:p w14:paraId="65C6919E">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p w14:paraId="5861C743">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p w14:paraId="4DEA808E">
            <w:pPr>
              <w:keepNext w:val="0"/>
              <w:keepLines w:val="0"/>
              <w:pageBreakBefore w:val="0"/>
              <w:widowControl/>
              <w:kinsoku/>
              <w:overflowPunct/>
              <w:topLinePunct w:val="0"/>
              <w:autoSpaceDE/>
              <w:autoSpaceDN/>
              <w:bidi w:val="0"/>
              <w:adjustRightInd/>
              <w:spacing w:line="260" w:lineRule="exact"/>
              <w:ind w:firstLine="105" w:firstLineChars="50"/>
              <w:jc w:val="center"/>
              <w:rPr>
                <w:rFonts w:hint="default" w:ascii="仿宋_GB2312" w:hAnsi="宋体" w:eastAsia="仿宋_GB2312" w:cs="Times New Roman"/>
                <w:color w:val="000000" w:themeColor="text1"/>
                <w:szCs w:val="21"/>
                <w:lang w:val="en-US" w:eastAsia="zh-CN"/>
                <w14:textFill>
                  <w14:solidFill>
                    <w14:schemeClr w14:val="tx1"/>
                  </w14:solidFill>
                </w14:textFill>
              </w:rPr>
            </w:pPr>
            <w:r>
              <w:rPr>
                <w:rFonts w:hint="eastAsia" w:ascii="仿宋_GB2312" w:hAnsi="宋体" w:eastAsia="仿宋_GB2312" w:cs="Times New Roman"/>
                <w:color w:val="000000" w:themeColor="text1"/>
                <w:szCs w:val="21"/>
                <w:lang w:val="en-US" w:eastAsia="zh-CN"/>
                <w14:textFill>
                  <w14:solidFill>
                    <w14:schemeClr w14:val="tx1"/>
                  </w14:solidFill>
                </w14:textFill>
              </w:rPr>
              <w:t>14</w:t>
            </w:r>
          </w:p>
        </w:tc>
        <w:tc>
          <w:tcPr>
            <w:tcW w:w="1376" w:type="dxa"/>
            <w:vMerge w:val="restart"/>
            <w:tcBorders>
              <w:tl2br w:val="nil"/>
              <w:tr2bl w:val="nil"/>
            </w:tcBorders>
            <w:vAlign w:val="center"/>
          </w:tcPr>
          <w:p w14:paraId="5DA5B8DA">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招标人与中标人不按照招标文件和中标人的投标文件订立合同，合同的主要条款与招标文件、中标人的投标文件的内容不一致，或者招标人、中标人订立背离合同实质性内容的协议的</w:t>
            </w:r>
          </w:p>
        </w:tc>
        <w:tc>
          <w:tcPr>
            <w:tcW w:w="1128" w:type="dxa"/>
            <w:gridSpan w:val="2"/>
            <w:vMerge w:val="restart"/>
            <w:tcBorders>
              <w:tl2br w:val="nil"/>
              <w:tr2bl w:val="nil"/>
            </w:tcBorders>
            <w:vAlign w:val="center"/>
          </w:tcPr>
          <w:p w14:paraId="5DFE795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《中华人民共和国招标投标法》（国务院令第613号）</w:t>
            </w:r>
            <w:r>
              <w:rPr>
                <w:rFonts w:hint="eastAsia" w:ascii="仿宋_GB2312" w:hAnsi="宋体" w:eastAsia="仿宋_GB2312"/>
                <w:color w:val="000000" w:themeColor="text1"/>
                <w:kern w:val="0"/>
                <w:szCs w:val="21"/>
                <w14:textFill>
                  <w14:solidFill>
                    <w14:schemeClr w14:val="tx1"/>
                  </w14:solidFill>
                </w14:textFill>
              </w:rPr>
              <w:t>（中华人民共和国主席令第21号）第五十九条；《中华人民共和国招标投标法实施条例》（国务院令第613号）第七十五条</w:t>
            </w:r>
          </w:p>
        </w:tc>
        <w:tc>
          <w:tcPr>
            <w:tcW w:w="4354" w:type="dxa"/>
            <w:vMerge w:val="restart"/>
            <w:tcBorders>
              <w:tl2br w:val="nil"/>
              <w:tr2bl w:val="nil"/>
            </w:tcBorders>
            <w:vAlign w:val="center"/>
          </w:tcPr>
          <w:p w14:paraId="006642AA">
            <w:pPr>
              <w:pStyle w:val="11"/>
              <w:keepNext w:val="0"/>
              <w:keepLines w:val="0"/>
              <w:pageBreakBefore w:val="0"/>
              <w:kinsoku/>
              <w:overflowPunct/>
              <w:topLinePunct w:val="0"/>
              <w:autoSpaceDE/>
              <w:autoSpaceDN/>
              <w:bidi w:val="0"/>
              <w:adjustRightInd/>
              <w:spacing w:after="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heme="minorBidi"/>
                <w:color w:val="000000" w:themeColor="text1"/>
                <w:kern w:val="0"/>
                <w:sz w:val="21"/>
                <w:szCs w:val="21"/>
                <w:lang w:val="en-US" w:eastAsia="zh-CN" w:bidi="ar-SA"/>
                <w14:textFill>
                  <w14:solidFill>
                    <w14:schemeClr w14:val="tx1"/>
                  </w14:solidFill>
                </w14:textFill>
              </w:rPr>
              <w:t>《中华人民共和国招标投标法实施条例》</w:t>
            </w:r>
            <w:r>
              <w:rPr>
                <w:rFonts w:hint="eastAsia" w:ascii="仿宋_GB2312" w:hAnsi="宋体" w:eastAsia="仿宋_GB2312" w:cstheme="minorBidi"/>
                <w:b/>
                <w:bCs/>
                <w:color w:val="000000" w:themeColor="text1"/>
                <w:kern w:val="0"/>
                <w:sz w:val="21"/>
                <w:szCs w:val="21"/>
                <w:lang w:val="en-US" w:eastAsia="zh-CN" w:bidi="ar-SA"/>
                <w14:textFill>
                  <w14:solidFill>
                    <w14:schemeClr w14:val="tx1"/>
                  </w14:solidFill>
                </w14:textFill>
              </w:rPr>
              <w:t>第七十五条：</w:t>
            </w:r>
            <w:r>
              <w:rPr>
                <w:rFonts w:hint="eastAsia" w:ascii="仿宋_GB2312" w:hAnsi="宋体" w:eastAsia="仿宋_GB2312" w:cstheme="minorBidi"/>
                <w:color w:val="000000" w:themeColor="text1"/>
                <w:kern w:val="0"/>
                <w:sz w:val="21"/>
                <w:szCs w:val="21"/>
                <w:lang w:val="en-US" w:eastAsia="zh-CN" w:bidi="ar-SA"/>
                <w14:textFill>
                  <w14:solidFill>
                    <w14:schemeClr w14:val="tx1"/>
                  </w14:solidFill>
                </w14:textFill>
              </w:rPr>
              <w:t>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5‰以上10‰以下的罚款。</w:t>
            </w:r>
          </w:p>
        </w:tc>
        <w:tc>
          <w:tcPr>
            <w:tcW w:w="912" w:type="dxa"/>
            <w:tcBorders>
              <w:tl2br w:val="nil"/>
              <w:tr2bl w:val="nil"/>
            </w:tcBorders>
            <w:tcMar>
              <w:top w:w="15" w:type="dxa"/>
              <w:left w:w="15" w:type="dxa"/>
              <w:bottom w:w="15" w:type="dxa"/>
              <w:right w:w="15" w:type="dxa"/>
            </w:tcMar>
            <w:vAlign w:val="center"/>
          </w:tcPr>
          <w:p w14:paraId="245490E1">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41DA571A">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危害后果轻微，主动消除或减轻违法行为危害后果的。</w:t>
            </w:r>
          </w:p>
        </w:tc>
        <w:tc>
          <w:tcPr>
            <w:tcW w:w="3375" w:type="dxa"/>
            <w:tcBorders>
              <w:tl2br w:val="nil"/>
              <w:tr2bl w:val="nil"/>
            </w:tcBorders>
            <w:tcMar>
              <w:top w:w="15" w:type="dxa"/>
              <w:left w:w="15" w:type="dxa"/>
              <w:bottom w:w="15" w:type="dxa"/>
              <w:right w:w="15" w:type="dxa"/>
            </w:tcMar>
            <w:vAlign w:val="center"/>
          </w:tcPr>
          <w:p w14:paraId="5C20A76F">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责令改正，可以处中标项目金额千分之六以下的罚款。</w:t>
            </w:r>
          </w:p>
        </w:tc>
      </w:tr>
      <w:tr w14:paraId="29FBF25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2" w:hRule="atLeast"/>
          <w:jc w:val="center"/>
        </w:trPr>
        <w:tc>
          <w:tcPr>
            <w:tcW w:w="533" w:type="dxa"/>
            <w:gridSpan w:val="2"/>
            <w:vMerge w:val="continue"/>
            <w:tcBorders>
              <w:tl2br w:val="nil"/>
              <w:tr2bl w:val="nil"/>
            </w:tcBorders>
            <w:vAlign w:val="center"/>
          </w:tcPr>
          <w:p w14:paraId="56E1DE18">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678183A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2B47793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40CDD54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07F6BD53">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656F6D82">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1DAB1A77">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责令改正，可以处中标项目金额千分之六以上千分之八以下的罚款。</w:t>
            </w:r>
          </w:p>
        </w:tc>
      </w:tr>
      <w:tr w14:paraId="2185295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8" w:hRule="atLeast"/>
          <w:jc w:val="center"/>
        </w:trPr>
        <w:tc>
          <w:tcPr>
            <w:tcW w:w="533" w:type="dxa"/>
            <w:gridSpan w:val="2"/>
            <w:vMerge w:val="continue"/>
            <w:tcBorders>
              <w:tl2br w:val="nil"/>
              <w:tr2bl w:val="nil"/>
            </w:tcBorders>
            <w:vAlign w:val="center"/>
          </w:tcPr>
          <w:p w14:paraId="711AF8ED">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3F1E89F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78BCB81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3A1927D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2186982B">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50FE4A3D">
            <w:pPr>
              <w:keepNext w:val="0"/>
              <w:keepLines w:val="0"/>
              <w:pageBreakBefore w:val="0"/>
              <w:widowControl/>
              <w:kinsoku/>
              <w:overflowPunct/>
              <w:topLinePunct w:val="0"/>
              <w:autoSpaceDE/>
              <w:autoSpaceDN/>
              <w:bidi w:val="0"/>
              <w:adjustRightInd/>
              <w:spacing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val="en-US" w:eastAsia="zh-CN"/>
                <w14:textFill>
                  <w14:solidFill>
                    <w14:schemeClr w14:val="tx1"/>
                  </w14:solidFill>
                </w14:textFill>
              </w:rPr>
              <w:t>有下列情形之一的：</w:t>
            </w:r>
            <w:r>
              <w:rPr>
                <w:rFonts w:hint="eastAsia" w:ascii="仿宋_GB2312" w:hAnsi="宋体" w:eastAsia="仿宋_GB2312"/>
                <w:color w:val="000000" w:themeColor="text1"/>
                <w:kern w:val="0"/>
                <w:szCs w:val="21"/>
                <w14:textFill>
                  <w14:solidFill>
                    <w14:schemeClr w14:val="tx1"/>
                  </w14:solidFill>
                </w14:textFill>
              </w:rPr>
              <w:t>（1）经责令改正后，逾期未改正的；</w:t>
            </w:r>
          </w:p>
          <w:p w14:paraId="623172E6">
            <w:pPr>
              <w:keepNext w:val="0"/>
              <w:keepLines w:val="0"/>
              <w:pageBreakBefore w:val="0"/>
              <w:widowControl/>
              <w:kinsoku/>
              <w:overflowPunct/>
              <w:topLinePunct w:val="0"/>
              <w:autoSpaceDE/>
              <w:autoSpaceDN/>
              <w:bidi w:val="0"/>
              <w:adjustRightInd/>
              <w:spacing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3146107F">
            <w:pPr>
              <w:keepNext w:val="0"/>
              <w:keepLines w:val="0"/>
              <w:pageBreakBefore w:val="0"/>
              <w:widowControl/>
              <w:kinsoku/>
              <w:overflowPunct/>
              <w:topLinePunct w:val="0"/>
              <w:autoSpaceDE/>
              <w:autoSpaceDN/>
              <w:bidi w:val="0"/>
              <w:adjustRightInd/>
              <w:spacing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（3）造成工程质量事故的；</w:t>
            </w:r>
          </w:p>
          <w:p w14:paraId="39FE4D0A">
            <w:pPr>
              <w:keepNext w:val="0"/>
              <w:keepLines w:val="0"/>
              <w:pageBreakBefore w:val="0"/>
              <w:widowControl/>
              <w:kinsoku/>
              <w:overflowPunct/>
              <w:topLinePunct w:val="0"/>
              <w:autoSpaceDE/>
              <w:autoSpaceDN/>
              <w:bidi w:val="0"/>
              <w:adjustRightInd/>
              <w:spacing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（4）经有关部门确认，存在商业贿赂情形的；</w:t>
            </w:r>
          </w:p>
          <w:p w14:paraId="59BC26AA">
            <w:pPr>
              <w:keepNext w:val="0"/>
              <w:keepLines w:val="0"/>
              <w:pageBreakBefore w:val="0"/>
              <w:widowControl/>
              <w:kinsoku/>
              <w:overflowPunct/>
              <w:topLinePunct w:val="0"/>
              <w:autoSpaceDE/>
              <w:autoSpaceDN/>
              <w:bidi w:val="0"/>
              <w:adjustRightInd/>
              <w:spacing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（5）其他依法应予从重处罚的情形。</w:t>
            </w:r>
          </w:p>
        </w:tc>
        <w:tc>
          <w:tcPr>
            <w:tcW w:w="3375" w:type="dxa"/>
            <w:tcBorders>
              <w:tl2br w:val="nil"/>
              <w:tr2bl w:val="nil"/>
            </w:tcBorders>
            <w:tcMar>
              <w:top w:w="15" w:type="dxa"/>
              <w:left w:w="15" w:type="dxa"/>
              <w:bottom w:w="15" w:type="dxa"/>
              <w:right w:w="15" w:type="dxa"/>
            </w:tcMar>
            <w:vAlign w:val="center"/>
          </w:tcPr>
          <w:p w14:paraId="605B9445">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责令改正，可以处中标项目金额千分之八以上千分之十以下的罚款。</w:t>
            </w:r>
          </w:p>
        </w:tc>
      </w:tr>
      <w:tr w14:paraId="3510948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atLeast"/>
          <w:jc w:val="center"/>
        </w:trPr>
        <w:tc>
          <w:tcPr>
            <w:tcW w:w="533" w:type="dxa"/>
            <w:gridSpan w:val="2"/>
            <w:vMerge w:val="restart"/>
            <w:tcBorders>
              <w:tl2br w:val="nil"/>
              <w:tr2bl w:val="nil"/>
            </w:tcBorders>
            <w:vAlign w:val="center"/>
          </w:tcPr>
          <w:p w14:paraId="7E5B7FF6">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15</w:t>
            </w:r>
          </w:p>
        </w:tc>
        <w:tc>
          <w:tcPr>
            <w:tcW w:w="1376" w:type="dxa"/>
            <w:vMerge w:val="restart"/>
            <w:tcBorders>
              <w:tl2br w:val="nil"/>
              <w:tr2bl w:val="nil"/>
            </w:tcBorders>
            <w:vAlign w:val="center"/>
          </w:tcPr>
          <w:p w14:paraId="7D83BC87">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5EF8FB8F">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35FD4109">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建设单位将建设工程发包给不具有相应资质等级的勘察、设计、施工单位或者委托给不具有相应资质等级的工程监理单位</w:t>
            </w:r>
          </w:p>
        </w:tc>
        <w:tc>
          <w:tcPr>
            <w:tcW w:w="1128" w:type="dxa"/>
            <w:gridSpan w:val="2"/>
            <w:vMerge w:val="restart"/>
            <w:tcBorders>
              <w:tl2br w:val="nil"/>
              <w:tr2bl w:val="nil"/>
            </w:tcBorders>
            <w:vAlign w:val="center"/>
          </w:tcPr>
          <w:p w14:paraId="05E0633D">
            <w:pPr>
              <w:keepNext w:val="0"/>
              <w:keepLines w:val="0"/>
              <w:pageBreakBefore w:val="0"/>
              <w:widowControl/>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hint="eastAsia" w:ascii="仿宋_GB2312" w:hAnsi="宋体" w:eastAsia="仿宋_GB2312"/>
                <w:color w:val="000000" w:themeColor="text1"/>
                <w:kern w:val="0"/>
                <w:szCs w:val="21"/>
                <w:lang w:eastAsia="zh-CN"/>
                <w14:textFill>
                  <w14:solidFill>
                    <w14:schemeClr w14:val="tx1"/>
                  </w14:solidFill>
                </w14:textFill>
              </w:rPr>
              <w:t>中华人民共和国建筑法</w:t>
            </w:r>
            <w:r>
              <w:rPr>
                <w:rFonts w:hint="eastAsia" w:ascii="仿宋_GB2312" w:hAnsi="宋体" w:eastAsia="仿宋_GB2312"/>
                <w:color w:val="000000" w:themeColor="text1"/>
                <w:kern w:val="0"/>
                <w:szCs w:val="21"/>
                <w14:textFill>
                  <w14:solidFill>
                    <w14:schemeClr w14:val="tx1"/>
                  </w14:solidFill>
                </w14:textFill>
              </w:rPr>
              <w:t>》</w:t>
            </w:r>
            <w:r>
              <w:rPr>
                <w:rFonts w:hint="eastAsia" w:ascii="仿宋_GB2312" w:hAnsi="宋体" w:eastAsia="仿宋_GB2312"/>
                <w:color w:val="000000" w:themeColor="text1"/>
                <w:kern w:val="0"/>
                <w:szCs w:val="21"/>
                <w:lang w:eastAsia="zh-CN"/>
                <w14:textFill>
                  <w14:solidFill>
                    <w14:schemeClr w14:val="tx1"/>
                  </w14:solidFill>
                </w14:textFill>
              </w:rPr>
              <w:t>第六十五条；</w:t>
            </w:r>
          </w:p>
          <w:p w14:paraId="19E27176">
            <w:pPr>
              <w:keepNext w:val="0"/>
              <w:keepLines w:val="0"/>
              <w:pageBreakBefore w:val="0"/>
              <w:widowControl/>
              <w:kinsoku/>
              <w:overflowPunct/>
              <w:topLinePunct w:val="0"/>
              <w:autoSpaceDE/>
              <w:autoSpaceDN/>
              <w:bidi w:val="0"/>
              <w:adjustRightInd/>
              <w:spacing w:line="260" w:lineRule="exact"/>
              <w:jc w:val="left"/>
              <w:rPr>
                <w:rFonts w:ascii="宋体" w:hAnsi="宋体" w:cs="Arial"/>
                <w:color w:val="000000" w:themeColor="text1"/>
                <w:spacing w:val="8"/>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《建设工程质量管理条例》第七条第一款</w:t>
            </w:r>
          </w:p>
        </w:tc>
        <w:tc>
          <w:tcPr>
            <w:tcW w:w="4354" w:type="dxa"/>
            <w:vMerge w:val="restart"/>
            <w:tcBorders>
              <w:tl2br w:val="nil"/>
              <w:tr2bl w:val="nil"/>
            </w:tcBorders>
            <w:vAlign w:val="center"/>
          </w:tcPr>
          <w:p w14:paraId="49CD41A3">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w:t>
            </w:r>
            <w:r>
              <w:rPr>
                <w:rFonts w:hint="eastAsia" w:ascii="仿宋_GB2312" w:hAnsi="宋体" w:eastAsia="仿宋_GB2312"/>
                <w:b/>
                <w:bCs/>
                <w:color w:val="000000" w:themeColor="text1"/>
                <w:kern w:val="0"/>
                <w:szCs w:val="21"/>
                <w14:textFill>
                  <w14:solidFill>
                    <w14:schemeClr w14:val="tx1"/>
                  </w14:solidFill>
                </w14:textFill>
              </w:rPr>
              <w:t>第五十四条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违反本条例规定，建设单位将建设工程发包给不具有相应资质等级的勘察、设计、施工单位或者委托给不具有相应资质等级的工程监理单位的，责令改正，处50万元以上100万元以下的罚款。</w:t>
            </w:r>
          </w:p>
          <w:p w14:paraId="673692DC">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3E5859BC">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w:t>
            </w:r>
            <w:r>
              <w:rPr>
                <w:rFonts w:hint="eastAsia" w:ascii="仿宋_GB2312" w:hAnsi="宋体" w:eastAsia="仿宋_GB2312"/>
                <w:b/>
                <w:bCs/>
                <w:color w:val="000000" w:themeColor="text1"/>
                <w:kern w:val="0"/>
                <w:szCs w:val="21"/>
                <w14:textFill>
                  <w14:solidFill>
                    <w14:schemeClr w14:val="tx1"/>
                  </w14:solidFill>
                </w14:textFill>
              </w:rPr>
              <w:t>第七十三条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912" w:type="dxa"/>
            <w:tcBorders>
              <w:tl2br w:val="nil"/>
              <w:tr2bl w:val="nil"/>
            </w:tcBorders>
            <w:vAlign w:val="center"/>
          </w:tcPr>
          <w:p w14:paraId="1D9F838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0F4F077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375" w:type="dxa"/>
            <w:tcBorders>
              <w:tl2br w:val="nil"/>
              <w:tr2bl w:val="nil"/>
            </w:tcBorders>
            <w:vAlign w:val="center"/>
          </w:tcPr>
          <w:p w14:paraId="1D08740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责令改正，对建设单位处50万元以上60万元以下的罚款，对单位直接负责的主管人员和其他直接责任人员处单位罚款数额百分之五以上百分之六以下的罚款。</w:t>
            </w:r>
          </w:p>
        </w:tc>
      </w:tr>
      <w:tr w14:paraId="31C7084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76B8F31F">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7A50467B">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tcPr>
          <w:p w14:paraId="1D491B8C">
            <w:pPr>
              <w:keepNext w:val="0"/>
              <w:keepLines w:val="0"/>
              <w:pageBreakBefore w:val="0"/>
              <w:widowControl/>
              <w:kinsoku/>
              <w:overflowPunct/>
              <w:topLinePunct w:val="0"/>
              <w:autoSpaceDE/>
              <w:autoSpaceDN/>
              <w:bidi w:val="0"/>
              <w:adjustRightInd/>
              <w:spacing w:line="260" w:lineRule="exact"/>
              <w:jc w:val="left"/>
              <w:textAlignment w:val="center"/>
              <w:rPr>
                <w:rFonts w:ascii="宋体" w:hAnsi="宋体" w:cs="Arial"/>
                <w:color w:val="000000" w:themeColor="text1"/>
                <w:spacing w:val="8"/>
                <w:kern w:val="0"/>
                <w:szCs w:val="21"/>
                <w14:textFill>
                  <w14:solidFill>
                    <w14:schemeClr w14:val="tx1"/>
                  </w14:solidFill>
                </w14:textFill>
              </w:rPr>
            </w:pPr>
          </w:p>
        </w:tc>
        <w:tc>
          <w:tcPr>
            <w:tcW w:w="4354" w:type="dxa"/>
            <w:vMerge w:val="continue"/>
            <w:tcBorders>
              <w:tl2br w:val="nil"/>
              <w:tr2bl w:val="nil"/>
            </w:tcBorders>
          </w:tcPr>
          <w:p w14:paraId="4021E4CF">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57DCBDA3">
            <w:pPr>
              <w:keepNext w:val="0"/>
              <w:keepLines w:val="0"/>
              <w:pageBreakBefore w:val="0"/>
              <w:widowControl/>
              <w:kinsoku/>
              <w:overflowPunct/>
              <w:topLinePunct w:val="0"/>
              <w:autoSpaceDE/>
              <w:autoSpaceDN/>
              <w:bidi w:val="0"/>
              <w:adjustRightInd/>
              <w:spacing w:line="260" w:lineRule="exact"/>
              <w:jc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6379122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39BDF18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责令改正，对建设单位处60万元以上80万元以下的罚款，对单位直接负责的主管人员和其他直接责任人员处单位罚款数额百分之六以上百分之八点五以下的罚款。</w:t>
            </w:r>
          </w:p>
        </w:tc>
      </w:tr>
      <w:tr w14:paraId="7B2C425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5" w:hRule="atLeast"/>
          <w:jc w:val="center"/>
        </w:trPr>
        <w:tc>
          <w:tcPr>
            <w:tcW w:w="533" w:type="dxa"/>
            <w:gridSpan w:val="2"/>
            <w:vMerge w:val="continue"/>
            <w:tcBorders>
              <w:tl2br w:val="nil"/>
              <w:tr2bl w:val="nil"/>
            </w:tcBorders>
            <w:vAlign w:val="center"/>
          </w:tcPr>
          <w:p w14:paraId="7E69D359">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7A515DE2">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5949702A">
            <w:pPr>
              <w:keepNext w:val="0"/>
              <w:keepLines w:val="0"/>
              <w:pageBreakBefore w:val="0"/>
              <w:widowControl/>
              <w:kinsoku/>
              <w:overflowPunct/>
              <w:topLinePunct w:val="0"/>
              <w:autoSpaceDE/>
              <w:autoSpaceDN/>
              <w:bidi w:val="0"/>
              <w:adjustRightInd/>
              <w:spacing w:line="260" w:lineRule="exact"/>
              <w:jc w:val="left"/>
              <w:textAlignment w:val="center"/>
              <w:rPr>
                <w:rFonts w:ascii="宋体" w:hAnsi="宋体" w:cs="Arial"/>
                <w:color w:val="000000" w:themeColor="text1"/>
                <w:spacing w:val="8"/>
                <w:kern w:val="0"/>
                <w:szCs w:val="21"/>
                <w14:textFill>
                  <w14:solidFill>
                    <w14:schemeClr w14:val="tx1"/>
                  </w14:solidFill>
                </w14:textFill>
              </w:rPr>
            </w:pPr>
          </w:p>
        </w:tc>
        <w:tc>
          <w:tcPr>
            <w:tcW w:w="4354" w:type="dxa"/>
            <w:vMerge w:val="continue"/>
            <w:tcBorders>
              <w:tl2br w:val="nil"/>
              <w:tr2bl w:val="nil"/>
            </w:tcBorders>
            <w:vAlign w:val="center"/>
          </w:tcPr>
          <w:p w14:paraId="148FB34B">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0FF678FA">
            <w:pPr>
              <w:keepNext w:val="0"/>
              <w:keepLines w:val="0"/>
              <w:pageBreakBefore w:val="0"/>
              <w:widowControl/>
              <w:kinsoku/>
              <w:overflowPunct/>
              <w:topLinePunct w:val="0"/>
              <w:autoSpaceDE/>
              <w:autoSpaceDN/>
              <w:bidi w:val="0"/>
              <w:adjustRightInd/>
              <w:spacing w:line="260" w:lineRule="exact"/>
              <w:jc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3E0E756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76DF58B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375" w:type="dxa"/>
            <w:tcBorders>
              <w:tl2br w:val="nil"/>
              <w:tr2bl w:val="nil"/>
            </w:tcBorders>
            <w:vAlign w:val="center"/>
          </w:tcPr>
          <w:p w14:paraId="10B3BFE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责令改正，对建设单位处80万元以上100万元以下的罚款，对单位直接负责的主管人员和其他直接责任人员处单位罚款数额百分之八点五上百分之十以下的罚款。</w:t>
            </w:r>
          </w:p>
        </w:tc>
      </w:tr>
      <w:tr w14:paraId="64E6D90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53D8CC5B">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16</w:t>
            </w:r>
          </w:p>
        </w:tc>
        <w:tc>
          <w:tcPr>
            <w:tcW w:w="1376" w:type="dxa"/>
            <w:vMerge w:val="restart"/>
            <w:tcBorders>
              <w:tl2br w:val="nil"/>
              <w:tr2bl w:val="nil"/>
            </w:tcBorders>
            <w:vAlign w:val="center"/>
          </w:tcPr>
          <w:p w14:paraId="48D448D3">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7C1EC894">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6BCC2628">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建设单位将建设工程肢解发包</w:t>
            </w:r>
          </w:p>
        </w:tc>
        <w:tc>
          <w:tcPr>
            <w:tcW w:w="1128" w:type="dxa"/>
            <w:gridSpan w:val="2"/>
            <w:vMerge w:val="restart"/>
            <w:tcBorders>
              <w:tl2br w:val="nil"/>
              <w:tr2bl w:val="nil"/>
            </w:tcBorders>
            <w:vAlign w:val="center"/>
          </w:tcPr>
          <w:p w14:paraId="37E35B13">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609DBC1D">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0579D9CC">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《建设工程质量管理条例》第七条第二款</w:t>
            </w:r>
          </w:p>
        </w:tc>
        <w:tc>
          <w:tcPr>
            <w:tcW w:w="4354" w:type="dxa"/>
            <w:vMerge w:val="restart"/>
            <w:tcBorders>
              <w:tl2br w:val="nil"/>
              <w:tr2bl w:val="nil"/>
            </w:tcBorders>
            <w:vAlign w:val="center"/>
          </w:tcPr>
          <w:p w14:paraId="19CC64D7">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4D44396B">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5E86FE1F">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w:t>
            </w:r>
            <w:r>
              <w:rPr>
                <w:rFonts w:hint="eastAsia" w:ascii="仿宋_GB2312" w:hAnsi="宋体" w:eastAsia="仿宋_GB2312"/>
                <w:b/>
                <w:bCs/>
                <w:color w:val="000000" w:themeColor="text1"/>
                <w:kern w:val="0"/>
                <w:szCs w:val="21"/>
                <w14:textFill>
                  <w14:solidFill>
                    <w14:schemeClr w14:val="tx1"/>
                  </w14:solidFill>
                </w14:textFill>
              </w:rPr>
              <w:t>第五十五条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违反本条例规定，建设单位将建设工程肢解发包的，责令改正，处工程合同价款百分之零点五以上百分之一以下的罚款；对全部或者部分使用国有资金的项目，并可以暂停项目执行或者暂停资金拨付。</w:t>
            </w:r>
          </w:p>
          <w:p w14:paraId="7CD34A76">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263867A2">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w:t>
            </w:r>
            <w:r>
              <w:rPr>
                <w:rFonts w:hint="eastAsia" w:ascii="仿宋_GB2312" w:hAnsi="宋体" w:eastAsia="仿宋_GB2312"/>
                <w:b/>
                <w:bCs/>
                <w:color w:val="000000" w:themeColor="text1"/>
                <w:kern w:val="0"/>
                <w:szCs w:val="21"/>
                <w14:textFill>
                  <w14:solidFill>
                    <w14:schemeClr w14:val="tx1"/>
                  </w14:solidFill>
                </w14:textFill>
              </w:rPr>
              <w:t>第七十三条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912" w:type="dxa"/>
            <w:tcBorders>
              <w:tl2br w:val="nil"/>
              <w:tr2bl w:val="nil"/>
            </w:tcBorders>
            <w:vAlign w:val="center"/>
          </w:tcPr>
          <w:p w14:paraId="02E739A2">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042B1C6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375" w:type="dxa"/>
            <w:tcBorders>
              <w:tl2br w:val="nil"/>
              <w:tr2bl w:val="nil"/>
            </w:tcBorders>
            <w:vAlign w:val="center"/>
          </w:tcPr>
          <w:p w14:paraId="057D163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责令改正，对建设单位处工程合同价款百分之零点五以上百分之零点六以下的罚款，对单位直接负责的主管人员和其他直接责任人员处单位罚款数额百分之五以上百分之六以下的罚款。</w:t>
            </w:r>
          </w:p>
        </w:tc>
      </w:tr>
      <w:tr w14:paraId="7CE7792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4CFF69CE">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569D57D7">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tcPr>
          <w:p w14:paraId="6D6ECD4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tcPr>
          <w:p w14:paraId="670F19A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4CD90078">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076F63F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0062EAF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责令改正，对建设单位处工程合同价款百分之零点六以上百分之零点八以下的罚款，对单位直接负责的主管人员和其他直接责任人员处单位罚款数额百分之六以上百分之八点五以下的罚款。</w:t>
            </w:r>
          </w:p>
        </w:tc>
      </w:tr>
      <w:tr w14:paraId="744831A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483008B2">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16E584D8">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2E801F2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647CB73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48F3946B">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4F91A61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4010AE5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375" w:type="dxa"/>
            <w:tcBorders>
              <w:tl2br w:val="nil"/>
              <w:tr2bl w:val="nil"/>
            </w:tcBorders>
            <w:vAlign w:val="center"/>
          </w:tcPr>
          <w:p w14:paraId="2E55FED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责令改正，对建设单位处工程合同价款百分之零点八以上百分之零点一以下的罚款，对单位直接负责的主管人员和其他直接责任人员处单位罚款数额百分之八点五以上百分之十以下的罚款。</w:t>
            </w:r>
          </w:p>
        </w:tc>
      </w:tr>
      <w:tr w14:paraId="2B23530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587399F3">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17</w:t>
            </w:r>
          </w:p>
        </w:tc>
        <w:tc>
          <w:tcPr>
            <w:tcW w:w="1376" w:type="dxa"/>
            <w:vMerge w:val="restart"/>
            <w:tcBorders>
              <w:tl2br w:val="nil"/>
              <w:tr2bl w:val="nil"/>
            </w:tcBorders>
            <w:vAlign w:val="center"/>
          </w:tcPr>
          <w:p w14:paraId="11015A13">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064EABC2">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建设单位迫使承包方以低于成本的价格竞标</w:t>
            </w:r>
          </w:p>
        </w:tc>
        <w:tc>
          <w:tcPr>
            <w:tcW w:w="1128" w:type="dxa"/>
            <w:gridSpan w:val="2"/>
            <w:vMerge w:val="restart"/>
            <w:tcBorders>
              <w:tl2br w:val="nil"/>
              <w:tr2bl w:val="nil"/>
            </w:tcBorders>
            <w:vAlign w:val="center"/>
          </w:tcPr>
          <w:p w14:paraId="4A843D81">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《建设工程质量管理条例》第十条第一款</w:t>
            </w:r>
          </w:p>
        </w:tc>
        <w:tc>
          <w:tcPr>
            <w:tcW w:w="4354" w:type="dxa"/>
            <w:vMerge w:val="restart"/>
            <w:tcBorders>
              <w:tl2br w:val="nil"/>
              <w:tr2bl w:val="nil"/>
            </w:tcBorders>
            <w:vAlign w:val="center"/>
          </w:tcPr>
          <w:p w14:paraId="0BA5D695">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w:t>
            </w:r>
            <w:r>
              <w:rPr>
                <w:rFonts w:hint="eastAsia" w:ascii="仿宋_GB2312" w:hAnsi="宋体" w:eastAsia="仿宋_GB2312"/>
                <w:b/>
                <w:bCs/>
                <w:color w:val="000000" w:themeColor="text1"/>
                <w:kern w:val="0"/>
                <w:szCs w:val="21"/>
                <w14:textFill>
                  <w14:solidFill>
                    <w14:schemeClr w14:val="tx1"/>
                  </w14:solidFill>
                </w14:textFill>
              </w:rPr>
              <w:t>第五十六条（一）项</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违反本条例规定，建设单位有下列行为之一的，责令改正，处20万元以上50万元以下的罚款：</w:t>
            </w:r>
          </w:p>
          <w:p w14:paraId="2C92BA3E">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（一）迫使承包方以低于成本的价格竞标的；</w:t>
            </w:r>
          </w:p>
          <w:p w14:paraId="1DD6F2E7">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6D3D6462">
            <w:pPr>
              <w:keepNext w:val="0"/>
              <w:keepLines w:val="0"/>
              <w:pageBreakBefore w:val="0"/>
              <w:kinsoku/>
              <w:overflowPunct/>
              <w:topLinePunct w:val="0"/>
              <w:autoSpaceDE/>
              <w:autoSpaceDN/>
              <w:bidi w:val="0"/>
              <w:adjustRightInd/>
              <w:spacing w:line="260" w:lineRule="exact"/>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w:t>
            </w:r>
            <w:r>
              <w:rPr>
                <w:rFonts w:hint="eastAsia" w:ascii="仿宋_GB2312" w:hAnsi="宋体" w:eastAsia="仿宋_GB2312"/>
                <w:b/>
                <w:bCs/>
                <w:color w:val="000000" w:themeColor="text1"/>
                <w:kern w:val="0"/>
                <w:szCs w:val="21"/>
                <w14:textFill>
                  <w14:solidFill>
                    <w14:schemeClr w14:val="tx1"/>
                  </w14:solidFill>
                </w14:textFill>
              </w:rPr>
              <w:t>第七十三条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912" w:type="dxa"/>
            <w:tcBorders>
              <w:tl2br w:val="nil"/>
              <w:tr2bl w:val="nil"/>
            </w:tcBorders>
            <w:vAlign w:val="center"/>
          </w:tcPr>
          <w:p w14:paraId="5A58FCBF">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36AF019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迫使承包方以低于成本的价格竞标的幅度在10﹪以内的。</w:t>
            </w:r>
          </w:p>
        </w:tc>
        <w:tc>
          <w:tcPr>
            <w:tcW w:w="3375" w:type="dxa"/>
            <w:tcBorders>
              <w:tl2br w:val="nil"/>
              <w:tr2bl w:val="nil"/>
            </w:tcBorders>
            <w:vAlign w:val="center"/>
          </w:tcPr>
          <w:p w14:paraId="2921755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责令改正，对建设单位处20万元以上</w:t>
            </w:r>
            <w:r>
              <w:rPr>
                <w:rFonts w:hint="eastAsia" w:ascii="仿宋_GB2312" w:hAnsi="宋体" w:eastAsia="仿宋_GB2312"/>
                <w:color w:val="000000" w:themeColor="text1"/>
                <w:kern w:val="0"/>
                <w:szCs w:val="21"/>
                <w:lang w:val="en-US" w:eastAsia="zh-CN"/>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万元以下的罚款，对单位直接负责的主管人员和其他直接责任人员处单位罚款数额百分之五以上百分之六以下的罚款。</w:t>
            </w:r>
          </w:p>
        </w:tc>
      </w:tr>
      <w:tr w14:paraId="6002907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60B46479">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6807F1FF">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tcPr>
          <w:p w14:paraId="0ADE6EB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tcPr>
          <w:p w14:paraId="253E6C7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7AD09E27">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66962EA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迫使承包方以低于成本的价格竞标的幅度在10﹪以上20﹪以下的。</w:t>
            </w:r>
          </w:p>
        </w:tc>
        <w:tc>
          <w:tcPr>
            <w:tcW w:w="3375" w:type="dxa"/>
            <w:tcBorders>
              <w:tl2br w:val="nil"/>
              <w:tr2bl w:val="nil"/>
            </w:tcBorders>
            <w:vAlign w:val="center"/>
          </w:tcPr>
          <w:p w14:paraId="7AEBC7D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w:t>
            </w:r>
            <w:r>
              <w:rPr>
                <w:rFonts w:hint="eastAsia" w:ascii="仿宋_GB2312" w:hAnsi="宋体" w:eastAsia="仿宋_GB2312"/>
                <w:color w:val="000000" w:themeColor="text1"/>
                <w:kern w:val="0"/>
                <w:szCs w:val="21"/>
                <w:lang w:val="en-US" w:eastAsia="zh-CN"/>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万元以上40万元以下的罚款，对单位直接负责的主管人员和其他直接责任人员处单位罚款数额百分之六以上百分之八点五以下的罚款。</w:t>
            </w:r>
          </w:p>
        </w:tc>
      </w:tr>
      <w:tr w14:paraId="313A3C8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13F2E69E">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0731753E">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513F937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19A1E45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3B83A75A">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2B3E9B7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迫使承包方以低于成本的价格竞标的幅度在20%以上的。</w:t>
            </w:r>
          </w:p>
        </w:tc>
        <w:tc>
          <w:tcPr>
            <w:tcW w:w="3375" w:type="dxa"/>
            <w:tcBorders>
              <w:tl2br w:val="nil"/>
              <w:tr2bl w:val="nil"/>
            </w:tcBorders>
            <w:vAlign w:val="center"/>
          </w:tcPr>
          <w:p w14:paraId="49D9EED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责令改正，对建设单位处40万元以上50万元以下的罚款，对单位直接负责的主管人员和其他直接责任人员处单位罚款数额百分之八点五以上百分之十以下的罚款。</w:t>
            </w:r>
          </w:p>
        </w:tc>
      </w:tr>
      <w:tr w14:paraId="33CA8A9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72E4036C">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18</w:t>
            </w:r>
          </w:p>
        </w:tc>
        <w:tc>
          <w:tcPr>
            <w:tcW w:w="1376" w:type="dxa"/>
            <w:vMerge w:val="restart"/>
            <w:tcBorders>
              <w:tl2br w:val="nil"/>
              <w:tr2bl w:val="nil"/>
            </w:tcBorders>
            <w:vAlign w:val="center"/>
          </w:tcPr>
          <w:p w14:paraId="29A3EF81">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4B3E1DBF">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247C3EB5">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建设单位任意压缩合理工期</w:t>
            </w:r>
          </w:p>
        </w:tc>
        <w:tc>
          <w:tcPr>
            <w:tcW w:w="1128" w:type="dxa"/>
            <w:gridSpan w:val="2"/>
            <w:vMerge w:val="restart"/>
            <w:tcBorders>
              <w:tl2br w:val="nil"/>
              <w:tr2bl w:val="nil"/>
            </w:tcBorders>
            <w:vAlign w:val="center"/>
          </w:tcPr>
          <w:p w14:paraId="2A1B595B">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4F707E75">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《建设工程质量管理条例》第十条第一款</w:t>
            </w:r>
          </w:p>
        </w:tc>
        <w:tc>
          <w:tcPr>
            <w:tcW w:w="4354" w:type="dxa"/>
            <w:vMerge w:val="restart"/>
            <w:tcBorders>
              <w:tl2br w:val="nil"/>
              <w:tr2bl w:val="nil"/>
            </w:tcBorders>
            <w:vAlign w:val="center"/>
          </w:tcPr>
          <w:p w14:paraId="1854DAB6">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62DC89AA">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w:t>
            </w:r>
            <w:r>
              <w:rPr>
                <w:rFonts w:hint="eastAsia" w:ascii="仿宋_GB2312" w:hAnsi="宋体" w:eastAsia="仿宋_GB2312"/>
                <w:b/>
                <w:bCs/>
                <w:color w:val="000000" w:themeColor="text1"/>
                <w:kern w:val="0"/>
                <w:szCs w:val="21"/>
                <w14:textFill>
                  <w14:solidFill>
                    <w14:schemeClr w14:val="tx1"/>
                  </w14:solidFill>
                </w14:textFill>
              </w:rPr>
              <w:t>第五十六条（二）项</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违反本条例规定，建设单位有下列行为之一的，责令改正，处20万元以上50万元以下的罚款：</w:t>
            </w:r>
          </w:p>
          <w:p w14:paraId="22253D63">
            <w:pPr>
              <w:keepNext w:val="0"/>
              <w:keepLines w:val="0"/>
              <w:pageBreakBefore w:val="0"/>
              <w:widowControl/>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（二）任意压缩合理工期的；</w:t>
            </w:r>
          </w:p>
          <w:p w14:paraId="01E8AA99">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53AC4D23">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w:t>
            </w:r>
            <w:r>
              <w:rPr>
                <w:rFonts w:hint="eastAsia" w:ascii="仿宋_GB2312" w:hAnsi="宋体" w:eastAsia="仿宋_GB2312"/>
                <w:b/>
                <w:bCs/>
                <w:color w:val="000000" w:themeColor="text1"/>
                <w:kern w:val="0"/>
                <w:szCs w:val="21"/>
                <w14:textFill>
                  <w14:solidFill>
                    <w14:schemeClr w14:val="tx1"/>
                  </w14:solidFill>
                </w14:textFill>
              </w:rPr>
              <w:t>第七十三条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912" w:type="dxa"/>
            <w:tcBorders>
              <w:tl2br w:val="nil"/>
              <w:tr2bl w:val="nil"/>
            </w:tcBorders>
            <w:vAlign w:val="center"/>
          </w:tcPr>
          <w:p w14:paraId="280D2E4D">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09E8CE7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任意压缩合同约定工期的幅度在10%以下的。</w:t>
            </w:r>
          </w:p>
        </w:tc>
        <w:tc>
          <w:tcPr>
            <w:tcW w:w="3375" w:type="dxa"/>
            <w:tcBorders>
              <w:tl2br w:val="nil"/>
              <w:tr2bl w:val="nil"/>
            </w:tcBorders>
            <w:vAlign w:val="center"/>
          </w:tcPr>
          <w:p w14:paraId="39B6B9E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责令改正，对建设单位处20万元以上</w:t>
            </w:r>
            <w:r>
              <w:rPr>
                <w:rFonts w:hint="eastAsia" w:ascii="仿宋_GB2312" w:hAnsi="宋体" w:eastAsia="仿宋_GB2312"/>
                <w:color w:val="000000" w:themeColor="text1"/>
                <w:kern w:val="0"/>
                <w:szCs w:val="21"/>
                <w:lang w:val="en-US" w:eastAsia="zh-CN"/>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万元以下的罚款，对单位直接负责的主管人员和其他直接责任人员处单位罚款数额百分之五以上百分之六以下的罚款。</w:t>
            </w:r>
          </w:p>
        </w:tc>
      </w:tr>
      <w:tr w14:paraId="4283AD1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097E2EC9">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4B6AACF3">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tcPr>
          <w:p w14:paraId="18643E0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tcPr>
          <w:p w14:paraId="413600A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0D07861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49F000C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任意压缩合同约定工期的幅度在10%以上20%以下的。</w:t>
            </w:r>
          </w:p>
        </w:tc>
        <w:tc>
          <w:tcPr>
            <w:tcW w:w="3375" w:type="dxa"/>
            <w:tcBorders>
              <w:tl2br w:val="nil"/>
              <w:tr2bl w:val="nil"/>
            </w:tcBorders>
            <w:vAlign w:val="center"/>
          </w:tcPr>
          <w:p w14:paraId="2D79B47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w:t>
            </w:r>
            <w:r>
              <w:rPr>
                <w:rFonts w:hint="eastAsia" w:ascii="仿宋_GB2312" w:hAnsi="宋体" w:eastAsia="仿宋_GB2312"/>
                <w:color w:val="000000" w:themeColor="text1"/>
                <w:kern w:val="0"/>
                <w:szCs w:val="21"/>
                <w:lang w:val="en-US" w:eastAsia="zh-CN"/>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万元以上40万元以下的罚款，对单位直接负责的主管人员和其他直接责任人员处单位罚款数额百分之六以上百分之八点五以下的罚款。</w:t>
            </w:r>
          </w:p>
        </w:tc>
      </w:tr>
      <w:tr w14:paraId="7A8E3F3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50315DD8">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1AFD01DD">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7C5021B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676F69E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3515B3E2">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3C54CDC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任意压缩合同约定工期的幅度在20%以上的。</w:t>
            </w:r>
          </w:p>
        </w:tc>
        <w:tc>
          <w:tcPr>
            <w:tcW w:w="3375" w:type="dxa"/>
            <w:tcBorders>
              <w:tl2br w:val="nil"/>
              <w:tr2bl w:val="nil"/>
            </w:tcBorders>
            <w:vAlign w:val="center"/>
          </w:tcPr>
          <w:p w14:paraId="204EDFC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责令改正，对建设单位处40万元以上50万元以下的罚款，对单位直接负责的主管人员和其他直接责任人员处单位罚款数额百分之八点五以上百分之十以下的罚款。</w:t>
            </w:r>
          </w:p>
        </w:tc>
      </w:tr>
      <w:tr w14:paraId="3B43F4B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53A8838E">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19</w:t>
            </w:r>
          </w:p>
        </w:tc>
        <w:tc>
          <w:tcPr>
            <w:tcW w:w="1376" w:type="dxa"/>
            <w:vMerge w:val="restart"/>
            <w:tcBorders>
              <w:tl2br w:val="nil"/>
              <w:tr2bl w:val="nil"/>
            </w:tcBorders>
            <w:vAlign w:val="center"/>
          </w:tcPr>
          <w:p w14:paraId="0B54A838">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7F639263">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112D19B9">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建设单位明示或者暗示设计单位或者施工单位违反工程建设强制性标准，降低工程质量</w:t>
            </w:r>
          </w:p>
        </w:tc>
        <w:tc>
          <w:tcPr>
            <w:tcW w:w="1128" w:type="dxa"/>
            <w:gridSpan w:val="2"/>
            <w:vMerge w:val="restart"/>
            <w:tcBorders>
              <w:tl2br w:val="nil"/>
              <w:tr2bl w:val="nil"/>
            </w:tcBorders>
            <w:vAlign w:val="center"/>
          </w:tcPr>
          <w:p w14:paraId="60CA7689">
            <w:pPr>
              <w:keepNext w:val="0"/>
              <w:keepLines w:val="0"/>
              <w:pageBreakBefore w:val="0"/>
              <w:widowControl/>
              <w:kinsoku/>
              <w:overflowPunct/>
              <w:topLinePunct w:val="0"/>
              <w:autoSpaceDE/>
              <w:autoSpaceDN/>
              <w:bidi w:val="0"/>
              <w:adjustRightInd/>
              <w:spacing w:line="260" w:lineRule="exact"/>
              <w:jc w:val="left"/>
              <w:rPr>
                <w:rFonts w:ascii="宋体" w:hAnsi="宋体" w:cs="宋体"/>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《建设工程质量管理条例》第十条第二款</w:t>
            </w:r>
          </w:p>
        </w:tc>
        <w:tc>
          <w:tcPr>
            <w:tcW w:w="4354" w:type="dxa"/>
            <w:vMerge w:val="restart"/>
            <w:tcBorders>
              <w:tl2br w:val="nil"/>
              <w:tr2bl w:val="nil"/>
            </w:tcBorders>
            <w:vAlign w:val="center"/>
          </w:tcPr>
          <w:p w14:paraId="50998177">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w:t>
            </w:r>
            <w:r>
              <w:rPr>
                <w:rFonts w:hint="eastAsia" w:ascii="仿宋_GB2312" w:hAnsi="宋体" w:eastAsia="仿宋_GB2312"/>
                <w:b/>
                <w:bCs/>
                <w:color w:val="000000" w:themeColor="text1"/>
                <w:kern w:val="0"/>
                <w:szCs w:val="21"/>
                <w14:textFill>
                  <w14:solidFill>
                    <w14:schemeClr w14:val="tx1"/>
                  </w14:solidFill>
                </w14:textFill>
              </w:rPr>
              <w:t>第五十六条（三）项</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违反本条例规定，建设单位有下列行为之一的，责令改正，处20万元以上50万元以下的罚款：</w:t>
            </w:r>
          </w:p>
          <w:p w14:paraId="3C4406E9">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（三）明示或者暗示设计单位或者施工单位违反工程建设强制性标准，降低工程质量的；</w:t>
            </w:r>
          </w:p>
          <w:p w14:paraId="22028B13">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58550EA6">
            <w:pPr>
              <w:keepNext w:val="0"/>
              <w:keepLines w:val="0"/>
              <w:pageBreakBefore w:val="0"/>
              <w:widowControl/>
              <w:kinsoku/>
              <w:overflowPunct/>
              <w:topLinePunct w:val="0"/>
              <w:autoSpaceDE/>
              <w:autoSpaceDN/>
              <w:bidi w:val="0"/>
              <w:adjustRightInd/>
              <w:spacing w:line="260" w:lineRule="exact"/>
              <w:jc w:val="left"/>
              <w:rPr>
                <w:rFonts w:ascii="宋体" w:hAnsi="宋体" w:cs="宋体"/>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w:t>
            </w:r>
            <w:r>
              <w:rPr>
                <w:rFonts w:hint="eastAsia" w:ascii="仿宋_GB2312" w:hAnsi="宋体" w:eastAsia="仿宋_GB2312"/>
                <w:b/>
                <w:bCs/>
                <w:color w:val="000000" w:themeColor="text1"/>
                <w:kern w:val="0"/>
                <w:szCs w:val="21"/>
                <w14:textFill>
                  <w14:solidFill>
                    <w14:schemeClr w14:val="tx1"/>
                  </w14:solidFill>
                </w14:textFill>
              </w:rPr>
              <w:t>第七十三条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912" w:type="dxa"/>
            <w:tcBorders>
              <w:tl2br w:val="nil"/>
              <w:tr2bl w:val="nil"/>
            </w:tcBorders>
            <w:vAlign w:val="center"/>
          </w:tcPr>
          <w:p w14:paraId="1853BD57">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4A42243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未涉及结构安全及重要使用功能的。</w:t>
            </w:r>
          </w:p>
        </w:tc>
        <w:tc>
          <w:tcPr>
            <w:tcW w:w="3375" w:type="dxa"/>
            <w:tcBorders>
              <w:tl2br w:val="nil"/>
              <w:tr2bl w:val="nil"/>
            </w:tcBorders>
            <w:vAlign w:val="center"/>
          </w:tcPr>
          <w:p w14:paraId="70B44E1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责令改正，对建设单位处20万元以上</w:t>
            </w:r>
            <w:r>
              <w:rPr>
                <w:rFonts w:hint="eastAsia" w:ascii="仿宋_GB2312" w:hAnsi="宋体" w:eastAsia="仿宋_GB2312"/>
                <w:color w:val="000000" w:themeColor="text1"/>
                <w:kern w:val="0"/>
                <w:szCs w:val="21"/>
                <w:lang w:val="en-US" w:eastAsia="zh-CN"/>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万元以下的罚款，对单位直接负责的主管人员和其他直接责任人员处单位罚款数额百分之五以上百分之六以下的罚款。</w:t>
            </w:r>
          </w:p>
        </w:tc>
      </w:tr>
      <w:tr w14:paraId="758BCC8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32357754">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536A944A">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722FAF8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45D9919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2AB8584B">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514C74A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涉及结构安全及重要使用功能的。</w:t>
            </w:r>
          </w:p>
        </w:tc>
        <w:tc>
          <w:tcPr>
            <w:tcW w:w="3375" w:type="dxa"/>
            <w:tcBorders>
              <w:tl2br w:val="nil"/>
              <w:tr2bl w:val="nil"/>
            </w:tcBorders>
            <w:vAlign w:val="center"/>
          </w:tcPr>
          <w:p w14:paraId="05238F2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w:t>
            </w:r>
            <w:r>
              <w:rPr>
                <w:rFonts w:hint="eastAsia" w:ascii="仿宋_GB2312" w:hAnsi="宋体" w:eastAsia="仿宋_GB2312"/>
                <w:color w:val="000000" w:themeColor="text1"/>
                <w:kern w:val="0"/>
                <w:szCs w:val="21"/>
                <w:lang w:val="en-US" w:eastAsia="zh-CN"/>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万元以上40万元以下的罚款，对单位直接负责的主管人员和其他直接责任人员处单位罚款数额百分之六以上百分之八点五以下的罚款。</w:t>
            </w:r>
          </w:p>
        </w:tc>
      </w:tr>
      <w:tr w14:paraId="4CC34DF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023DBA23">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4A482F3D">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0F11FD9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710FDBB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3AC7247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3CF0858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涉及结构安全及重要使用功能造成严重缺陷，且经返修和加固处理仍不能满足安全使用要求；或造成质量、安全事故的。</w:t>
            </w:r>
          </w:p>
        </w:tc>
        <w:tc>
          <w:tcPr>
            <w:tcW w:w="3375" w:type="dxa"/>
            <w:tcBorders>
              <w:tl2br w:val="nil"/>
              <w:tr2bl w:val="nil"/>
            </w:tcBorders>
            <w:vAlign w:val="center"/>
          </w:tcPr>
          <w:p w14:paraId="486697D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责令改正，对建设单位处40万元以上50万元以下的罚款，对单位直接负责的主管人员和其他直接责任人员处单位罚款数额百分之八点五以上百分之十以下的罚款。</w:t>
            </w:r>
          </w:p>
        </w:tc>
      </w:tr>
      <w:tr w14:paraId="6A47568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48A5AF14">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20</w:t>
            </w:r>
          </w:p>
        </w:tc>
        <w:tc>
          <w:tcPr>
            <w:tcW w:w="1376" w:type="dxa"/>
            <w:vMerge w:val="restart"/>
            <w:tcBorders>
              <w:tl2br w:val="nil"/>
              <w:tr2bl w:val="nil"/>
            </w:tcBorders>
            <w:vAlign w:val="center"/>
          </w:tcPr>
          <w:p w14:paraId="3E5CEBB7">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建设单位施工图设计文件未经审查或者审查不合格，擅自施工</w:t>
            </w:r>
          </w:p>
        </w:tc>
        <w:tc>
          <w:tcPr>
            <w:tcW w:w="1128" w:type="dxa"/>
            <w:gridSpan w:val="2"/>
            <w:vMerge w:val="restart"/>
            <w:tcBorders>
              <w:tl2br w:val="nil"/>
              <w:tr2bl w:val="nil"/>
            </w:tcBorders>
            <w:vAlign w:val="center"/>
          </w:tcPr>
          <w:p w14:paraId="0FB6D1B9">
            <w:pPr>
              <w:keepNext w:val="0"/>
              <w:keepLines w:val="0"/>
              <w:pageBreakBefore w:val="0"/>
              <w:widowControl/>
              <w:kinsoku/>
              <w:overflowPunct/>
              <w:topLinePunct w:val="0"/>
              <w:autoSpaceDE/>
              <w:autoSpaceDN/>
              <w:bidi w:val="0"/>
              <w:adjustRightInd/>
              <w:spacing w:line="260" w:lineRule="exact"/>
              <w:jc w:val="left"/>
              <w:rPr>
                <w:rFonts w:ascii="宋体"/>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《建设工程质量管理条例》第十一条第二款</w:t>
            </w:r>
          </w:p>
        </w:tc>
        <w:tc>
          <w:tcPr>
            <w:tcW w:w="4354" w:type="dxa"/>
            <w:vMerge w:val="restart"/>
            <w:tcBorders>
              <w:tl2br w:val="nil"/>
              <w:tr2bl w:val="nil"/>
            </w:tcBorders>
            <w:vAlign w:val="center"/>
          </w:tcPr>
          <w:p w14:paraId="3F7FB2CE">
            <w:pPr>
              <w:keepNext w:val="0"/>
              <w:keepLines w:val="0"/>
              <w:pageBreakBefore w:val="0"/>
              <w:widowControl/>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w:t>
            </w:r>
            <w:r>
              <w:rPr>
                <w:rFonts w:hint="eastAsia" w:ascii="仿宋_GB2312" w:hAnsi="宋体" w:eastAsia="仿宋_GB2312"/>
                <w:b/>
                <w:bCs/>
                <w:color w:val="000000" w:themeColor="text1"/>
                <w:kern w:val="0"/>
                <w:szCs w:val="21"/>
                <w14:textFill>
                  <w14:solidFill>
                    <w14:schemeClr w14:val="tx1"/>
                  </w14:solidFill>
                </w14:textFill>
              </w:rPr>
              <w:t>第五十六条（四）项</w:t>
            </w:r>
            <w:r>
              <w:rPr>
                <w:rFonts w:hint="eastAsia" w:ascii="仿宋_GB2312" w:hAnsi="宋体" w:eastAsia="仿宋_GB2312"/>
                <w:b/>
                <w:bCs/>
                <w:color w:val="000000" w:themeColor="text1"/>
                <w:kern w:val="0"/>
                <w:szCs w:val="21"/>
                <w:lang w:eastAsia="zh-CN"/>
                <w14:textFill>
                  <w14:solidFill>
                    <w14:schemeClr w14:val="tx1"/>
                  </w14:solidFill>
                </w14:textFill>
              </w:rPr>
              <w:t>：</w:t>
            </w:r>
          </w:p>
          <w:p w14:paraId="262BAFB6">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违反本条例规定，建设单位有下列行为之一的，责令改正，处20万元以上50万元以下的罚款：</w:t>
            </w:r>
          </w:p>
          <w:p w14:paraId="4C7FFC7D">
            <w:pPr>
              <w:keepNext w:val="0"/>
              <w:keepLines w:val="0"/>
              <w:pageBreakBefore w:val="0"/>
              <w:widowControl/>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（四）施工图设计文件未经审查或者审查不合格，擅自施工的；</w:t>
            </w:r>
          </w:p>
          <w:p w14:paraId="0D50A6A9">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3311C82F">
            <w:pPr>
              <w:keepNext w:val="0"/>
              <w:keepLines w:val="0"/>
              <w:pageBreakBefore w:val="0"/>
              <w:widowControl/>
              <w:kinsoku/>
              <w:overflowPunct/>
              <w:topLinePunct w:val="0"/>
              <w:autoSpaceDE/>
              <w:autoSpaceDN/>
              <w:bidi w:val="0"/>
              <w:adjustRightInd/>
              <w:spacing w:line="260" w:lineRule="exact"/>
              <w:jc w:val="left"/>
              <w:rPr>
                <w:rFonts w:ascii="宋体"/>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w:t>
            </w:r>
            <w:r>
              <w:rPr>
                <w:rFonts w:hint="eastAsia" w:ascii="仿宋_GB2312" w:hAnsi="宋体" w:eastAsia="仿宋_GB2312"/>
                <w:b/>
                <w:bCs/>
                <w:color w:val="000000" w:themeColor="text1"/>
                <w:kern w:val="0"/>
                <w:szCs w:val="21"/>
                <w14:textFill>
                  <w14:solidFill>
                    <w14:schemeClr w14:val="tx1"/>
                  </w14:solidFill>
                </w14:textFill>
              </w:rPr>
              <w:t>第七十三条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912" w:type="dxa"/>
            <w:tcBorders>
              <w:tl2br w:val="nil"/>
              <w:tr2bl w:val="nil"/>
            </w:tcBorders>
            <w:vAlign w:val="center"/>
          </w:tcPr>
          <w:p w14:paraId="3F4E07B4">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2AFF905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未涉及结构安全及重要使用功能的。</w:t>
            </w:r>
          </w:p>
        </w:tc>
        <w:tc>
          <w:tcPr>
            <w:tcW w:w="3375" w:type="dxa"/>
            <w:tcBorders>
              <w:tl2br w:val="nil"/>
              <w:tr2bl w:val="nil"/>
            </w:tcBorders>
            <w:vAlign w:val="center"/>
          </w:tcPr>
          <w:p w14:paraId="52BE5B5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责令改正，对建设单位处20万元以上</w:t>
            </w:r>
            <w:r>
              <w:rPr>
                <w:rFonts w:hint="eastAsia" w:ascii="仿宋_GB2312" w:hAnsi="宋体" w:eastAsia="仿宋_GB2312"/>
                <w:color w:val="000000" w:themeColor="text1"/>
                <w:kern w:val="0"/>
                <w:szCs w:val="21"/>
                <w:lang w:val="en-US" w:eastAsia="zh-CN"/>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万元以下的罚款，对单位直接负责的主管人员和其他直接责任人员处单位罚款数额百分之五以上百分之六以下的罚款。</w:t>
            </w:r>
          </w:p>
        </w:tc>
      </w:tr>
      <w:tr w14:paraId="4D9A8F3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672AEDE8">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3A4A5EE1">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tcPr>
          <w:p w14:paraId="09B1F20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tcPr>
          <w:p w14:paraId="57F52AF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7BF9CC1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2EE3C35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涉及结构安全及重要使用功能的。</w:t>
            </w:r>
          </w:p>
        </w:tc>
        <w:tc>
          <w:tcPr>
            <w:tcW w:w="3375" w:type="dxa"/>
            <w:tcBorders>
              <w:tl2br w:val="nil"/>
              <w:tr2bl w:val="nil"/>
            </w:tcBorders>
            <w:vAlign w:val="center"/>
          </w:tcPr>
          <w:p w14:paraId="43294C7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w:t>
            </w:r>
            <w:r>
              <w:rPr>
                <w:rFonts w:hint="eastAsia" w:ascii="仿宋_GB2312" w:hAnsi="宋体" w:eastAsia="仿宋_GB2312"/>
                <w:color w:val="000000" w:themeColor="text1"/>
                <w:kern w:val="0"/>
                <w:szCs w:val="21"/>
                <w:lang w:val="en-US" w:eastAsia="zh-CN"/>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万元以上40万元以下的罚款，对单位直接负责的主管人员和其他直接责任人员处单位罚款数额百分之六以上百分之八点五以下的罚款。</w:t>
            </w:r>
          </w:p>
        </w:tc>
      </w:tr>
      <w:tr w14:paraId="3B653CB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5" w:hRule="atLeast"/>
          <w:jc w:val="center"/>
        </w:trPr>
        <w:tc>
          <w:tcPr>
            <w:tcW w:w="533" w:type="dxa"/>
            <w:gridSpan w:val="2"/>
            <w:vMerge w:val="continue"/>
            <w:tcBorders>
              <w:tl2br w:val="nil"/>
              <w:tr2bl w:val="nil"/>
            </w:tcBorders>
            <w:vAlign w:val="center"/>
          </w:tcPr>
          <w:p w14:paraId="32D19D42">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52AFFF50">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tcPr>
          <w:p w14:paraId="5C972FA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32D43A0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6B378460">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6F4FA40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涉及结构安全及重要使用功能造成严重缺陷，且经返修和加固处理仍不能满足安全使用要求；或造成质量、安全事故的。</w:t>
            </w:r>
          </w:p>
        </w:tc>
        <w:tc>
          <w:tcPr>
            <w:tcW w:w="3375" w:type="dxa"/>
            <w:tcBorders>
              <w:tl2br w:val="nil"/>
              <w:tr2bl w:val="nil"/>
            </w:tcBorders>
            <w:vAlign w:val="center"/>
          </w:tcPr>
          <w:p w14:paraId="5F60984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责令改正，对建设单位处40万元以上50万元以下的罚款，对单位直接负责的主管人员和其他直接责任人员处单位罚款数额百分之八点五以上百分之十以下的罚款。</w:t>
            </w:r>
          </w:p>
        </w:tc>
      </w:tr>
      <w:tr w14:paraId="5338FBE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5A8386A1">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21</w:t>
            </w:r>
          </w:p>
        </w:tc>
        <w:tc>
          <w:tcPr>
            <w:tcW w:w="1376" w:type="dxa"/>
            <w:vMerge w:val="restart"/>
            <w:tcBorders>
              <w:tl2br w:val="nil"/>
              <w:tr2bl w:val="nil"/>
            </w:tcBorders>
            <w:vAlign w:val="center"/>
          </w:tcPr>
          <w:p w14:paraId="2B0FA3CF">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0C3686AB">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6C3B0CBA">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16CE8954">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建设单位建设项目必须实行工程监理而未实行工程监理</w:t>
            </w:r>
          </w:p>
        </w:tc>
        <w:tc>
          <w:tcPr>
            <w:tcW w:w="1128" w:type="dxa"/>
            <w:gridSpan w:val="2"/>
            <w:vMerge w:val="restart"/>
            <w:tcBorders>
              <w:tl2br w:val="nil"/>
              <w:tr2bl w:val="nil"/>
            </w:tcBorders>
            <w:vAlign w:val="center"/>
          </w:tcPr>
          <w:p w14:paraId="684DDE6F">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3F15F0F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092C5B5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5DBE51C3">
            <w:pPr>
              <w:keepNext w:val="0"/>
              <w:keepLines w:val="0"/>
              <w:pageBreakBefore w:val="0"/>
              <w:widowControl/>
              <w:kinsoku/>
              <w:overflowPunct/>
              <w:topLinePunct w:val="0"/>
              <w:autoSpaceDE/>
              <w:autoSpaceDN/>
              <w:bidi w:val="0"/>
              <w:adjustRightInd/>
              <w:spacing w:line="260" w:lineRule="exact"/>
              <w:ind w:firstLine="210" w:firstLineChars="100"/>
              <w:jc w:val="left"/>
              <w:rPr>
                <w:rFonts w:ascii="宋体" w:hAnsi="宋体" w:cs="Arial"/>
                <w:color w:val="000000" w:themeColor="text1"/>
                <w:spacing w:val="8"/>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《建设工程质量管理条例》第十二条</w:t>
            </w:r>
          </w:p>
        </w:tc>
        <w:tc>
          <w:tcPr>
            <w:tcW w:w="4354" w:type="dxa"/>
            <w:vMerge w:val="restart"/>
            <w:tcBorders>
              <w:tl2br w:val="nil"/>
              <w:tr2bl w:val="nil"/>
            </w:tcBorders>
            <w:vAlign w:val="center"/>
          </w:tcPr>
          <w:p w14:paraId="7E23A51B">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5F622653">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3848CF54">
            <w:pPr>
              <w:keepNext w:val="0"/>
              <w:keepLines w:val="0"/>
              <w:pageBreakBefore w:val="0"/>
              <w:widowControl/>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w:t>
            </w:r>
            <w:r>
              <w:rPr>
                <w:rFonts w:hint="eastAsia" w:ascii="仿宋_GB2312" w:hAnsi="宋体" w:eastAsia="仿宋_GB2312"/>
                <w:b/>
                <w:bCs/>
                <w:color w:val="000000" w:themeColor="text1"/>
                <w:kern w:val="0"/>
                <w:szCs w:val="21"/>
                <w14:textFill>
                  <w14:solidFill>
                    <w14:schemeClr w14:val="tx1"/>
                  </w14:solidFill>
                </w14:textFill>
              </w:rPr>
              <w:t>第五十六条（五）项</w:t>
            </w:r>
            <w:r>
              <w:rPr>
                <w:rFonts w:hint="eastAsia" w:ascii="仿宋_GB2312" w:hAnsi="宋体" w:eastAsia="仿宋_GB2312"/>
                <w:b/>
                <w:bCs/>
                <w:color w:val="000000" w:themeColor="text1"/>
                <w:kern w:val="0"/>
                <w:szCs w:val="21"/>
                <w:lang w:eastAsia="zh-CN"/>
                <w14:textFill>
                  <w14:solidFill>
                    <w14:schemeClr w14:val="tx1"/>
                  </w14:solidFill>
                </w14:textFill>
              </w:rPr>
              <w:t>：</w:t>
            </w:r>
          </w:p>
          <w:p w14:paraId="6970D1E6">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违反本条例规定，建设单位有下列行为之一的，责令改正，处20万元以上50万元以下的罚款：</w:t>
            </w:r>
          </w:p>
          <w:p w14:paraId="7F814EB7">
            <w:pPr>
              <w:keepNext w:val="0"/>
              <w:keepLines w:val="0"/>
              <w:pageBreakBefore w:val="0"/>
              <w:widowControl/>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（五）建设项目必须实行工程监理而未实行工程监理的；</w:t>
            </w:r>
          </w:p>
          <w:p w14:paraId="73D29254">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7CF41CC7">
            <w:pPr>
              <w:keepNext w:val="0"/>
              <w:keepLines w:val="0"/>
              <w:pageBreakBefore w:val="0"/>
              <w:widowControl/>
              <w:kinsoku/>
              <w:overflowPunct/>
              <w:topLinePunct w:val="0"/>
              <w:autoSpaceDE/>
              <w:autoSpaceDN/>
              <w:bidi w:val="0"/>
              <w:adjustRightInd/>
              <w:spacing w:line="260" w:lineRule="exact"/>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w:t>
            </w:r>
            <w:r>
              <w:rPr>
                <w:rFonts w:hint="eastAsia" w:ascii="仿宋_GB2312" w:hAnsi="宋体" w:eastAsia="仿宋_GB2312"/>
                <w:b/>
                <w:bCs/>
                <w:color w:val="000000" w:themeColor="text1"/>
                <w:kern w:val="0"/>
                <w:szCs w:val="21"/>
                <w14:textFill>
                  <w14:solidFill>
                    <w14:schemeClr w14:val="tx1"/>
                  </w14:solidFill>
                </w14:textFill>
              </w:rPr>
              <w:t>第七十三条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912" w:type="dxa"/>
            <w:tcBorders>
              <w:tl2br w:val="nil"/>
              <w:tr2bl w:val="nil"/>
            </w:tcBorders>
            <w:vAlign w:val="center"/>
          </w:tcPr>
          <w:p w14:paraId="0816AE6E">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2AB4BC4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375" w:type="dxa"/>
            <w:tcBorders>
              <w:tl2br w:val="nil"/>
              <w:tr2bl w:val="nil"/>
            </w:tcBorders>
            <w:vAlign w:val="center"/>
          </w:tcPr>
          <w:p w14:paraId="12209F86">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责令改正，对建设单位处20万元</w:t>
            </w:r>
            <w:r>
              <w:rPr>
                <w:rFonts w:hint="eastAsia" w:ascii="仿宋_GB2312" w:hAnsi="宋体" w:eastAsia="仿宋_GB2312"/>
                <w:color w:val="000000" w:themeColor="text1"/>
                <w:kern w:val="0"/>
                <w:szCs w:val="21"/>
                <w:lang w:val="en-US" w:eastAsia="zh-CN"/>
                <w14:textFill>
                  <w14:solidFill>
                    <w14:schemeClr w14:val="tx1"/>
                  </w14:solidFill>
                </w14:textFill>
              </w:rPr>
              <w:t>以上30万元以下</w:t>
            </w:r>
            <w:r>
              <w:rPr>
                <w:rFonts w:hint="eastAsia" w:ascii="仿宋_GB2312" w:hAnsi="宋体" w:eastAsia="仿宋_GB2312"/>
                <w:color w:val="000000" w:themeColor="text1"/>
                <w:kern w:val="0"/>
                <w:szCs w:val="21"/>
                <w14:textFill>
                  <w14:solidFill>
                    <w14:schemeClr w14:val="tx1"/>
                  </w14:solidFill>
                </w14:textFill>
              </w:rPr>
              <w:t>的罚款，对单位直接负责的主管人员和其他直接责任人员处单位罚款数额百分之五的罚款。</w:t>
            </w:r>
          </w:p>
        </w:tc>
      </w:tr>
      <w:tr w14:paraId="79E8D14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659D22B2">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372F4C24">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5FBC109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7C17339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0D61A5E5">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5E61CC6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221FCED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w:t>
            </w:r>
            <w:r>
              <w:rPr>
                <w:rFonts w:hint="eastAsia" w:ascii="仿宋_GB2312" w:hAnsi="宋体" w:eastAsia="仿宋_GB2312"/>
                <w:color w:val="000000" w:themeColor="text1"/>
                <w:kern w:val="0"/>
                <w:szCs w:val="21"/>
                <w:lang w:val="en-US" w:eastAsia="zh-CN"/>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0万元以上40万元以下的罚款，对单位直接负责的主管人员和其他直接责任人员处单位罚款数额百分之五以上百分之八点五以下的罚款。</w:t>
            </w:r>
          </w:p>
        </w:tc>
      </w:tr>
      <w:tr w14:paraId="4E81D3B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5" w:hRule="atLeast"/>
          <w:jc w:val="center"/>
        </w:trPr>
        <w:tc>
          <w:tcPr>
            <w:tcW w:w="533" w:type="dxa"/>
            <w:gridSpan w:val="2"/>
            <w:vMerge w:val="continue"/>
            <w:tcBorders>
              <w:tl2br w:val="nil"/>
              <w:tr2bl w:val="nil"/>
            </w:tcBorders>
            <w:vAlign w:val="center"/>
          </w:tcPr>
          <w:p w14:paraId="1D05216C">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6FE82868">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0A7D59D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7346D0B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52CB46F2">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36D43D4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75A6132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375" w:type="dxa"/>
            <w:tcBorders>
              <w:tl2br w:val="nil"/>
              <w:tr2bl w:val="nil"/>
            </w:tcBorders>
            <w:vAlign w:val="center"/>
          </w:tcPr>
          <w:p w14:paraId="5557400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责令改正，对建设单位处40万元以上50万元以下的罚款，对单位直接负责的主管人员和其他直接责任人员处单位罚款数额百分之八点五以上百分之十以下的罚款。</w:t>
            </w:r>
          </w:p>
        </w:tc>
      </w:tr>
      <w:tr w14:paraId="21F1D05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783B1E76">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22</w:t>
            </w:r>
          </w:p>
        </w:tc>
        <w:tc>
          <w:tcPr>
            <w:tcW w:w="1376" w:type="dxa"/>
            <w:vMerge w:val="restart"/>
            <w:tcBorders>
              <w:tl2br w:val="nil"/>
              <w:tr2bl w:val="nil"/>
            </w:tcBorders>
            <w:vAlign w:val="center"/>
          </w:tcPr>
          <w:p w14:paraId="2E6AEDB0">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建设单位未按照国家规定办理工程质量监督手续</w:t>
            </w:r>
          </w:p>
        </w:tc>
        <w:tc>
          <w:tcPr>
            <w:tcW w:w="1128" w:type="dxa"/>
            <w:gridSpan w:val="2"/>
            <w:vMerge w:val="restart"/>
            <w:tcBorders>
              <w:tl2br w:val="nil"/>
              <w:tr2bl w:val="nil"/>
            </w:tcBorders>
            <w:vAlign w:val="center"/>
          </w:tcPr>
          <w:p w14:paraId="52E4DBE8">
            <w:pPr>
              <w:keepNext w:val="0"/>
              <w:keepLines w:val="0"/>
              <w:pageBreakBefore w:val="0"/>
              <w:widowControl/>
              <w:kinsoku/>
              <w:overflowPunct/>
              <w:topLinePunct w:val="0"/>
              <w:autoSpaceDE/>
              <w:autoSpaceDN/>
              <w:bidi w:val="0"/>
              <w:adjustRightInd/>
              <w:spacing w:line="260" w:lineRule="exact"/>
              <w:jc w:val="left"/>
              <w:rPr>
                <w:rFonts w:ascii="宋体" w:hAnsi="宋体" w:cs="Arial"/>
                <w:color w:val="000000" w:themeColor="text1"/>
                <w:spacing w:val="8"/>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《建设工程质量管理条例》第十三条</w:t>
            </w:r>
          </w:p>
        </w:tc>
        <w:tc>
          <w:tcPr>
            <w:tcW w:w="4354" w:type="dxa"/>
            <w:vMerge w:val="restart"/>
            <w:tcBorders>
              <w:tl2br w:val="nil"/>
              <w:tr2bl w:val="nil"/>
            </w:tcBorders>
            <w:vAlign w:val="center"/>
          </w:tcPr>
          <w:p w14:paraId="012C6162">
            <w:pPr>
              <w:keepNext w:val="0"/>
              <w:keepLines w:val="0"/>
              <w:pageBreakBefore w:val="0"/>
              <w:widowControl/>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w:t>
            </w:r>
            <w:r>
              <w:rPr>
                <w:rFonts w:hint="eastAsia" w:ascii="仿宋_GB2312" w:hAnsi="宋体" w:eastAsia="仿宋_GB2312"/>
                <w:b/>
                <w:bCs/>
                <w:color w:val="000000" w:themeColor="text1"/>
                <w:kern w:val="0"/>
                <w:szCs w:val="21"/>
                <w14:textFill>
                  <w14:solidFill>
                    <w14:schemeClr w14:val="tx1"/>
                  </w14:solidFill>
                </w14:textFill>
              </w:rPr>
              <w:t>第五十六条（六）项</w:t>
            </w:r>
            <w:r>
              <w:rPr>
                <w:rFonts w:hint="eastAsia" w:ascii="仿宋_GB2312" w:hAnsi="宋体" w:eastAsia="仿宋_GB2312"/>
                <w:b/>
                <w:bCs/>
                <w:color w:val="000000" w:themeColor="text1"/>
                <w:kern w:val="0"/>
                <w:szCs w:val="21"/>
                <w:lang w:eastAsia="zh-CN"/>
                <w14:textFill>
                  <w14:solidFill>
                    <w14:schemeClr w14:val="tx1"/>
                  </w14:solidFill>
                </w14:textFill>
              </w:rPr>
              <w:t>：</w:t>
            </w:r>
          </w:p>
          <w:p w14:paraId="62815887">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违反本条例规定，建设单位有下列行为之一的，责令改正，处20万元以上50万元以下的罚款：</w:t>
            </w:r>
          </w:p>
          <w:p w14:paraId="722A69F6">
            <w:pPr>
              <w:keepNext w:val="0"/>
              <w:keepLines w:val="0"/>
              <w:pageBreakBefore w:val="0"/>
              <w:widowControl/>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（六）未按照国家规定办理工程质量监督手续的；</w:t>
            </w:r>
          </w:p>
          <w:p w14:paraId="54A2D9F9">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5935B1E8">
            <w:pPr>
              <w:keepNext w:val="0"/>
              <w:keepLines w:val="0"/>
              <w:pageBreakBefore w:val="0"/>
              <w:widowControl/>
              <w:kinsoku/>
              <w:overflowPunct/>
              <w:topLinePunct w:val="0"/>
              <w:autoSpaceDE/>
              <w:autoSpaceDN/>
              <w:bidi w:val="0"/>
              <w:adjustRightInd/>
              <w:spacing w:line="260" w:lineRule="exact"/>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w:t>
            </w:r>
            <w:r>
              <w:rPr>
                <w:rFonts w:hint="eastAsia" w:ascii="仿宋_GB2312" w:hAnsi="宋体" w:eastAsia="仿宋_GB2312"/>
                <w:b/>
                <w:bCs/>
                <w:color w:val="000000" w:themeColor="text1"/>
                <w:kern w:val="0"/>
                <w:szCs w:val="21"/>
                <w14:textFill>
                  <w14:solidFill>
                    <w14:schemeClr w14:val="tx1"/>
                  </w14:solidFill>
                </w14:textFill>
              </w:rPr>
              <w:t>第七十三条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912" w:type="dxa"/>
            <w:tcBorders>
              <w:tl2br w:val="nil"/>
              <w:tr2bl w:val="nil"/>
            </w:tcBorders>
            <w:vAlign w:val="center"/>
          </w:tcPr>
          <w:p w14:paraId="504B599B">
            <w:pPr>
              <w:keepNext w:val="0"/>
              <w:keepLines w:val="0"/>
              <w:pageBreakBefore w:val="0"/>
              <w:widowControl/>
              <w:kinsoku/>
              <w:overflowPunct/>
              <w:topLinePunct w:val="0"/>
              <w:autoSpaceDE/>
              <w:autoSpaceDN/>
              <w:bidi w:val="0"/>
              <w:adjustRightInd/>
              <w:spacing w:line="260" w:lineRule="exact"/>
              <w:jc w:val="left"/>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32041D0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375" w:type="dxa"/>
            <w:tcBorders>
              <w:tl2br w:val="nil"/>
              <w:tr2bl w:val="nil"/>
            </w:tcBorders>
            <w:vAlign w:val="center"/>
          </w:tcPr>
          <w:p w14:paraId="1385190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责令改正，对建设单位处20万元以上</w:t>
            </w:r>
            <w:r>
              <w:rPr>
                <w:rFonts w:hint="eastAsia" w:ascii="仿宋_GB2312" w:hAnsi="宋体" w:eastAsia="仿宋_GB2312"/>
                <w:color w:val="000000" w:themeColor="text1"/>
                <w:kern w:val="0"/>
                <w:szCs w:val="21"/>
                <w:lang w:val="en-US" w:eastAsia="zh-CN"/>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万元以下的罚款，对单位直接负责的主管人员和其他直接责任人员处单位罚款数额百分之五以上百分之六以下的罚款。</w:t>
            </w:r>
          </w:p>
        </w:tc>
      </w:tr>
      <w:tr w14:paraId="3DF7FC4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37C3C88E">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4EF5BB0B">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tcPr>
          <w:p w14:paraId="3652CC4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tcPr>
          <w:p w14:paraId="1B0AADC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3ED0001E">
            <w:pPr>
              <w:keepNext w:val="0"/>
              <w:keepLines w:val="0"/>
              <w:pageBreakBefore w:val="0"/>
              <w:widowControl/>
              <w:kinsoku/>
              <w:overflowPunct/>
              <w:topLinePunct w:val="0"/>
              <w:autoSpaceDE/>
              <w:autoSpaceDN/>
              <w:bidi w:val="0"/>
              <w:adjustRightInd/>
              <w:spacing w:line="260" w:lineRule="exact"/>
              <w:jc w:val="left"/>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03ECF7B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18C8DE8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w:t>
            </w:r>
            <w:r>
              <w:rPr>
                <w:rFonts w:hint="eastAsia" w:ascii="仿宋_GB2312" w:hAnsi="宋体" w:eastAsia="仿宋_GB2312"/>
                <w:color w:val="000000" w:themeColor="text1"/>
                <w:kern w:val="0"/>
                <w:szCs w:val="21"/>
                <w:lang w:val="en-US" w:eastAsia="zh-CN"/>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万元以上40万元以下的罚款，对单位直接负责的主管人员和其他直接责任人员处单位罚款数额百分之六以上百分之八点五以下的罚款。</w:t>
            </w:r>
          </w:p>
        </w:tc>
      </w:tr>
      <w:tr w14:paraId="718F652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0" w:hRule="atLeast"/>
          <w:jc w:val="center"/>
        </w:trPr>
        <w:tc>
          <w:tcPr>
            <w:tcW w:w="533" w:type="dxa"/>
            <w:gridSpan w:val="2"/>
            <w:vMerge w:val="continue"/>
            <w:tcBorders>
              <w:tl2br w:val="nil"/>
              <w:tr2bl w:val="nil"/>
            </w:tcBorders>
            <w:vAlign w:val="center"/>
          </w:tcPr>
          <w:p w14:paraId="54C9C74C">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1FF65BED">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6B65161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0453172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1D17673F">
            <w:pPr>
              <w:keepNext w:val="0"/>
              <w:keepLines w:val="0"/>
              <w:pageBreakBefore w:val="0"/>
              <w:widowControl/>
              <w:kinsoku/>
              <w:overflowPunct/>
              <w:topLinePunct w:val="0"/>
              <w:autoSpaceDE/>
              <w:autoSpaceDN/>
              <w:bidi w:val="0"/>
              <w:adjustRightInd/>
              <w:spacing w:line="260" w:lineRule="exact"/>
              <w:jc w:val="left"/>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59D115E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2C45CF7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375" w:type="dxa"/>
            <w:tcBorders>
              <w:tl2br w:val="nil"/>
              <w:tr2bl w:val="nil"/>
            </w:tcBorders>
            <w:vAlign w:val="center"/>
          </w:tcPr>
          <w:p w14:paraId="2790497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责令改正，对建设单位处40万元以上50万元以下的罚款，对单位直接负责的主管人员和其他直接责任人员处单位罚款数额百分之八点五以上百分之十以下的罚款。</w:t>
            </w:r>
          </w:p>
        </w:tc>
      </w:tr>
      <w:tr w14:paraId="0031AAF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1BE92B5A">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23</w:t>
            </w:r>
          </w:p>
        </w:tc>
        <w:tc>
          <w:tcPr>
            <w:tcW w:w="1376" w:type="dxa"/>
            <w:vMerge w:val="restart"/>
            <w:tcBorders>
              <w:tl2br w:val="nil"/>
              <w:tr2bl w:val="nil"/>
            </w:tcBorders>
            <w:vAlign w:val="center"/>
          </w:tcPr>
          <w:p w14:paraId="44FEF811">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建设单位明示或者暗示施工单位使用不合格的建筑材料、建筑构配件和设备</w:t>
            </w:r>
          </w:p>
        </w:tc>
        <w:tc>
          <w:tcPr>
            <w:tcW w:w="1128" w:type="dxa"/>
            <w:gridSpan w:val="2"/>
            <w:vMerge w:val="restart"/>
            <w:tcBorders>
              <w:tl2br w:val="nil"/>
              <w:tr2bl w:val="nil"/>
            </w:tcBorders>
            <w:vAlign w:val="center"/>
          </w:tcPr>
          <w:p w14:paraId="661AC06B">
            <w:pPr>
              <w:keepNext w:val="0"/>
              <w:keepLines w:val="0"/>
              <w:pageBreakBefore w:val="0"/>
              <w:widowControl/>
              <w:kinsoku/>
              <w:overflowPunct/>
              <w:topLinePunct w:val="0"/>
              <w:autoSpaceDE/>
              <w:autoSpaceDN/>
              <w:bidi w:val="0"/>
              <w:adjustRightInd/>
              <w:spacing w:line="260" w:lineRule="exact"/>
              <w:jc w:val="left"/>
              <w:rPr>
                <w:rFonts w:ascii="宋体"/>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《建设工程质量管理条例》第十四条第二款</w:t>
            </w:r>
          </w:p>
        </w:tc>
        <w:tc>
          <w:tcPr>
            <w:tcW w:w="4354" w:type="dxa"/>
            <w:vMerge w:val="restart"/>
            <w:tcBorders>
              <w:tl2br w:val="nil"/>
              <w:tr2bl w:val="nil"/>
            </w:tcBorders>
            <w:vAlign w:val="center"/>
          </w:tcPr>
          <w:p w14:paraId="0F4401CA">
            <w:pPr>
              <w:keepNext w:val="0"/>
              <w:keepLines w:val="0"/>
              <w:pageBreakBefore w:val="0"/>
              <w:widowControl/>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w:t>
            </w:r>
            <w:r>
              <w:rPr>
                <w:rFonts w:hint="eastAsia" w:ascii="仿宋_GB2312" w:hAnsi="宋体" w:eastAsia="仿宋_GB2312"/>
                <w:b/>
                <w:bCs/>
                <w:color w:val="000000" w:themeColor="text1"/>
                <w:kern w:val="0"/>
                <w:szCs w:val="21"/>
                <w14:textFill>
                  <w14:solidFill>
                    <w14:schemeClr w14:val="tx1"/>
                  </w14:solidFill>
                </w14:textFill>
              </w:rPr>
              <w:t>第五十六条（七）项</w:t>
            </w:r>
            <w:r>
              <w:rPr>
                <w:rFonts w:hint="eastAsia" w:ascii="仿宋_GB2312" w:hAnsi="宋体" w:eastAsia="仿宋_GB2312"/>
                <w:b/>
                <w:bCs/>
                <w:color w:val="000000" w:themeColor="text1"/>
                <w:kern w:val="0"/>
                <w:szCs w:val="21"/>
                <w:lang w:eastAsia="zh-CN"/>
                <w14:textFill>
                  <w14:solidFill>
                    <w14:schemeClr w14:val="tx1"/>
                  </w14:solidFill>
                </w14:textFill>
              </w:rPr>
              <w:t>：</w:t>
            </w:r>
          </w:p>
          <w:p w14:paraId="7251DC5E">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违反本条例规定，建设单位有下列行为之一的，责令改正，处20万元以上50万元以下的罚款：</w:t>
            </w:r>
          </w:p>
          <w:p w14:paraId="67569692">
            <w:pPr>
              <w:keepNext w:val="0"/>
              <w:keepLines w:val="0"/>
              <w:pageBreakBefore w:val="0"/>
              <w:widowControl/>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（七）明示或者暗示施工单位使用不合格的建筑材料、建筑构配件和设备的；</w:t>
            </w:r>
          </w:p>
          <w:p w14:paraId="224EF194">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5B79A416">
            <w:pPr>
              <w:keepNext w:val="0"/>
              <w:keepLines w:val="0"/>
              <w:pageBreakBefore w:val="0"/>
              <w:widowControl/>
              <w:kinsoku/>
              <w:overflowPunct/>
              <w:topLinePunct w:val="0"/>
              <w:autoSpaceDE/>
              <w:autoSpaceDN/>
              <w:bidi w:val="0"/>
              <w:adjustRightInd/>
              <w:spacing w:line="260" w:lineRule="exact"/>
              <w:jc w:val="left"/>
              <w:rPr>
                <w:rFonts w:ascii="宋体"/>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w:t>
            </w:r>
            <w:r>
              <w:rPr>
                <w:rFonts w:hint="eastAsia" w:ascii="仿宋_GB2312" w:hAnsi="宋体" w:eastAsia="仿宋_GB2312"/>
                <w:b/>
                <w:bCs/>
                <w:color w:val="000000" w:themeColor="text1"/>
                <w:kern w:val="0"/>
                <w:szCs w:val="21"/>
                <w14:textFill>
                  <w14:solidFill>
                    <w14:schemeClr w14:val="tx1"/>
                  </w14:solidFill>
                </w14:textFill>
              </w:rPr>
              <w:t>第七十三条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912" w:type="dxa"/>
            <w:tcBorders>
              <w:tl2br w:val="nil"/>
              <w:tr2bl w:val="nil"/>
            </w:tcBorders>
            <w:vAlign w:val="center"/>
          </w:tcPr>
          <w:p w14:paraId="72F70EA8">
            <w:pPr>
              <w:keepNext w:val="0"/>
              <w:keepLines w:val="0"/>
              <w:pageBreakBefore w:val="0"/>
              <w:widowControl/>
              <w:kinsoku/>
              <w:overflowPunct/>
              <w:topLinePunct w:val="0"/>
              <w:autoSpaceDE/>
              <w:autoSpaceDN/>
              <w:bidi w:val="0"/>
              <w:adjustRightInd/>
              <w:spacing w:line="260" w:lineRule="exact"/>
              <w:jc w:val="left"/>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058DA7E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未涉及结构安全及重要使用功能的。</w:t>
            </w:r>
          </w:p>
        </w:tc>
        <w:tc>
          <w:tcPr>
            <w:tcW w:w="3375" w:type="dxa"/>
            <w:tcBorders>
              <w:tl2br w:val="nil"/>
              <w:tr2bl w:val="nil"/>
            </w:tcBorders>
            <w:vAlign w:val="center"/>
          </w:tcPr>
          <w:p w14:paraId="50E90B6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责令改正，对建设单位处20万元以上</w:t>
            </w:r>
            <w:r>
              <w:rPr>
                <w:rFonts w:hint="eastAsia" w:ascii="仿宋_GB2312" w:hAnsi="宋体" w:eastAsia="仿宋_GB2312"/>
                <w:color w:val="000000" w:themeColor="text1"/>
                <w:kern w:val="0"/>
                <w:szCs w:val="21"/>
                <w:lang w:val="en-US" w:eastAsia="zh-CN"/>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万元以下的罚款，对单位直接负责的主管人员和其他直接责任人员处单位罚款数额百分之五以上百分之六以下的罚款。</w:t>
            </w:r>
          </w:p>
        </w:tc>
      </w:tr>
      <w:tr w14:paraId="2FE3D9C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2C64EA6A">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1C743F4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4653127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5D75CC9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5140E787">
            <w:pPr>
              <w:keepNext w:val="0"/>
              <w:keepLines w:val="0"/>
              <w:pageBreakBefore w:val="0"/>
              <w:widowControl/>
              <w:kinsoku/>
              <w:overflowPunct/>
              <w:topLinePunct w:val="0"/>
              <w:autoSpaceDE/>
              <w:autoSpaceDN/>
              <w:bidi w:val="0"/>
              <w:adjustRightInd/>
              <w:spacing w:line="260" w:lineRule="exact"/>
              <w:jc w:val="left"/>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13DB84C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涉及结构安全及重要使用功能的。</w:t>
            </w:r>
          </w:p>
        </w:tc>
        <w:tc>
          <w:tcPr>
            <w:tcW w:w="3375" w:type="dxa"/>
            <w:tcBorders>
              <w:tl2br w:val="nil"/>
              <w:tr2bl w:val="nil"/>
            </w:tcBorders>
            <w:vAlign w:val="center"/>
          </w:tcPr>
          <w:p w14:paraId="782B757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w:t>
            </w:r>
            <w:r>
              <w:rPr>
                <w:rFonts w:hint="eastAsia" w:ascii="仿宋_GB2312" w:hAnsi="宋体" w:eastAsia="仿宋_GB2312"/>
                <w:color w:val="000000" w:themeColor="text1"/>
                <w:kern w:val="0"/>
                <w:szCs w:val="21"/>
                <w:lang w:val="en-US" w:eastAsia="zh-CN"/>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万元以上40万元以下的罚款，对单位直接负责的主管人员和其他直接责任人员处单位罚款数额百分之六以上百分之八点五以下的罚款。</w:t>
            </w:r>
          </w:p>
        </w:tc>
      </w:tr>
      <w:tr w14:paraId="5B2C4FA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1492A6A6">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53CF893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34C8259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12C8F4F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2E38EA84">
            <w:pPr>
              <w:keepNext w:val="0"/>
              <w:keepLines w:val="0"/>
              <w:pageBreakBefore w:val="0"/>
              <w:widowControl/>
              <w:kinsoku/>
              <w:overflowPunct/>
              <w:topLinePunct w:val="0"/>
              <w:autoSpaceDE/>
              <w:autoSpaceDN/>
              <w:bidi w:val="0"/>
              <w:adjustRightInd/>
              <w:spacing w:line="260" w:lineRule="exact"/>
              <w:jc w:val="left"/>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55AE683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涉及结构安全及重要使用功能造成严重缺陷，且经返修和加固处理仍不能满足安全使用要求；或造成质量、安全事故的。</w:t>
            </w:r>
          </w:p>
        </w:tc>
        <w:tc>
          <w:tcPr>
            <w:tcW w:w="3375" w:type="dxa"/>
            <w:tcBorders>
              <w:tl2br w:val="nil"/>
              <w:tr2bl w:val="nil"/>
            </w:tcBorders>
            <w:vAlign w:val="center"/>
          </w:tcPr>
          <w:p w14:paraId="0D60CBD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责令改正，对建设单位处40万元以上50万元以下的罚款，对单位直接负责的主管人员和其他直接责任人员处单位罚款数额百分之八点五以上百分之十以下的罚款。</w:t>
            </w:r>
          </w:p>
        </w:tc>
      </w:tr>
      <w:tr w14:paraId="4BC3F12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29F94719">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24</w:t>
            </w:r>
          </w:p>
        </w:tc>
        <w:tc>
          <w:tcPr>
            <w:tcW w:w="1376" w:type="dxa"/>
            <w:vMerge w:val="restart"/>
            <w:tcBorders>
              <w:tl2br w:val="nil"/>
              <w:tr2bl w:val="nil"/>
            </w:tcBorders>
            <w:vAlign w:val="center"/>
          </w:tcPr>
          <w:p w14:paraId="6B8EDD9F">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369535F6">
            <w:pPr>
              <w:keepNext w:val="0"/>
              <w:keepLines w:val="0"/>
              <w:pageBreakBefore w:val="0"/>
              <w:widowControl/>
              <w:kinsoku/>
              <w:overflowPunct/>
              <w:topLinePunct w:val="0"/>
              <w:autoSpaceDE/>
              <w:autoSpaceDN/>
              <w:bidi w:val="0"/>
              <w:adjustRightInd/>
              <w:spacing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建设单位未按照国家规定将竣工验收报告、有关认可文件或者准许使用文件报送备案</w:t>
            </w:r>
          </w:p>
        </w:tc>
        <w:tc>
          <w:tcPr>
            <w:tcW w:w="1128" w:type="dxa"/>
            <w:gridSpan w:val="2"/>
            <w:vMerge w:val="restart"/>
            <w:tcBorders>
              <w:tl2br w:val="nil"/>
              <w:tr2bl w:val="nil"/>
            </w:tcBorders>
            <w:vAlign w:val="center"/>
          </w:tcPr>
          <w:p w14:paraId="17D3E6A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20382251">
            <w:pPr>
              <w:keepNext w:val="0"/>
              <w:keepLines w:val="0"/>
              <w:pageBreakBefore w:val="0"/>
              <w:widowControl/>
              <w:kinsoku/>
              <w:overflowPunct/>
              <w:topLinePunct w:val="0"/>
              <w:autoSpaceDE/>
              <w:autoSpaceDN/>
              <w:bidi w:val="0"/>
              <w:adjustRightInd/>
              <w:spacing w:line="260" w:lineRule="exact"/>
              <w:ind w:firstLine="210" w:firstLineChars="100"/>
              <w:jc w:val="left"/>
              <w:rPr>
                <w:rFonts w:ascii="宋体" w:hAnsi="宋体" w:cs="Arial"/>
                <w:color w:val="000000" w:themeColor="text1"/>
                <w:spacing w:val="8"/>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《建设工程质量管理条例》第十七条</w:t>
            </w:r>
          </w:p>
        </w:tc>
        <w:tc>
          <w:tcPr>
            <w:tcW w:w="4354" w:type="dxa"/>
            <w:vMerge w:val="restart"/>
            <w:tcBorders>
              <w:tl2br w:val="nil"/>
              <w:tr2bl w:val="nil"/>
            </w:tcBorders>
            <w:vAlign w:val="center"/>
          </w:tcPr>
          <w:p w14:paraId="02331F2C">
            <w:pPr>
              <w:keepNext w:val="0"/>
              <w:keepLines w:val="0"/>
              <w:pageBreakBefore w:val="0"/>
              <w:widowControl/>
              <w:kinsoku/>
              <w:overflowPunct/>
              <w:topLinePunct w:val="0"/>
              <w:autoSpaceDE/>
              <w:autoSpaceDN/>
              <w:bidi w:val="0"/>
              <w:adjustRightInd/>
              <w:spacing w:line="260" w:lineRule="exact"/>
              <w:jc w:val="left"/>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w:t>
            </w:r>
            <w:r>
              <w:rPr>
                <w:rFonts w:hint="eastAsia" w:ascii="仿宋_GB2312" w:hAnsi="宋体" w:eastAsia="仿宋_GB2312"/>
                <w:b/>
                <w:bCs/>
                <w:color w:val="000000" w:themeColor="text1"/>
                <w:kern w:val="0"/>
                <w:szCs w:val="21"/>
                <w14:textFill>
                  <w14:solidFill>
                    <w14:schemeClr w14:val="tx1"/>
                  </w14:solidFill>
                </w14:textFill>
              </w:rPr>
              <w:t>第五十六条（八）项</w:t>
            </w:r>
            <w:r>
              <w:rPr>
                <w:rFonts w:hint="eastAsia" w:ascii="仿宋_GB2312" w:hAnsi="宋体" w:eastAsia="仿宋_GB2312"/>
                <w:b/>
                <w:bCs/>
                <w:color w:val="000000" w:themeColor="text1"/>
                <w:kern w:val="0"/>
                <w:szCs w:val="21"/>
                <w:lang w:eastAsia="zh-CN"/>
                <w14:textFill>
                  <w14:solidFill>
                    <w14:schemeClr w14:val="tx1"/>
                  </w14:solidFill>
                </w14:textFill>
              </w:rPr>
              <w:t>：</w:t>
            </w:r>
          </w:p>
          <w:p w14:paraId="20D00C1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违反本条例规定，建设单位有下列行为之一的，责令改正，处20万元以上50万元以下的罚款：</w:t>
            </w:r>
          </w:p>
          <w:p w14:paraId="0B08B96E">
            <w:pPr>
              <w:keepNext w:val="0"/>
              <w:keepLines w:val="0"/>
              <w:pageBreakBefore w:val="0"/>
              <w:widowControl/>
              <w:kinsoku/>
              <w:overflowPunct/>
              <w:topLinePunct w:val="0"/>
              <w:autoSpaceDE/>
              <w:autoSpaceDN/>
              <w:bidi w:val="0"/>
              <w:adjustRightInd/>
              <w:spacing w:line="260" w:lineRule="exact"/>
              <w:ind w:firstLine="420" w:firstLineChars="2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（八）未按照国家规定将竣工验收报告、有关认可文件或者准许使用文件报送备案的。</w:t>
            </w:r>
          </w:p>
          <w:p w14:paraId="3D4F592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79C997B5">
            <w:pPr>
              <w:keepNext w:val="0"/>
              <w:keepLines w:val="0"/>
              <w:pageBreakBefore w:val="0"/>
              <w:widowControl/>
              <w:kinsoku/>
              <w:overflowPunct/>
              <w:topLinePunct w:val="0"/>
              <w:autoSpaceDE/>
              <w:autoSpaceDN/>
              <w:bidi w:val="0"/>
              <w:adjustRightInd/>
              <w:spacing w:line="260" w:lineRule="exact"/>
              <w:jc w:val="left"/>
              <w:textAlignment w:val="center"/>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w:t>
            </w:r>
            <w:r>
              <w:rPr>
                <w:rFonts w:hint="eastAsia" w:ascii="仿宋_GB2312" w:hAnsi="宋体" w:eastAsia="仿宋_GB2312"/>
                <w:b/>
                <w:bCs/>
                <w:color w:val="000000" w:themeColor="text1"/>
                <w:kern w:val="0"/>
                <w:szCs w:val="21"/>
                <w14:textFill>
                  <w14:solidFill>
                    <w14:schemeClr w14:val="tx1"/>
                  </w14:solidFill>
                </w14:textFill>
              </w:rPr>
              <w:t>第七十三条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912" w:type="dxa"/>
            <w:tcBorders>
              <w:tl2br w:val="nil"/>
              <w:tr2bl w:val="nil"/>
            </w:tcBorders>
            <w:vAlign w:val="center"/>
          </w:tcPr>
          <w:p w14:paraId="5014CCA3">
            <w:pPr>
              <w:keepNext w:val="0"/>
              <w:keepLines w:val="0"/>
              <w:pageBreakBefore w:val="0"/>
              <w:widowControl/>
              <w:kinsoku/>
              <w:overflowPunct/>
              <w:topLinePunct w:val="0"/>
              <w:autoSpaceDE/>
              <w:autoSpaceDN/>
              <w:bidi w:val="0"/>
              <w:adjustRightInd/>
              <w:spacing w:line="260" w:lineRule="exact"/>
              <w:jc w:val="left"/>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58ED79F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375" w:type="dxa"/>
            <w:tcBorders>
              <w:tl2br w:val="nil"/>
              <w:tr2bl w:val="nil"/>
            </w:tcBorders>
            <w:vAlign w:val="center"/>
          </w:tcPr>
          <w:p w14:paraId="4B2A121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责令改正，对建设单位处20万元</w:t>
            </w:r>
            <w:r>
              <w:rPr>
                <w:rFonts w:hint="eastAsia" w:ascii="仿宋_GB2312" w:hAnsi="宋体" w:eastAsia="仿宋_GB2312"/>
                <w:color w:val="000000" w:themeColor="text1"/>
                <w:kern w:val="0"/>
                <w:szCs w:val="21"/>
                <w:lang w:val="en-US" w:eastAsia="zh-CN"/>
                <w14:textFill>
                  <w14:solidFill>
                    <w14:schemeClr w14:val="tx1"/>
                  </w14:solidFill>
                </w14:textFill>
              </w:rPr>
              <w:t>以上30万元以下</w:t>
            </w:r>
            <w:r>
              <w:rPr>
                <w:rFonts w:hint="eastAsia" w:ascii="仿宋_GB2312" w:hAnsi="宋体" w:eastAsia="仿宋_GB2312"/>
                <w:color w:val="000000" w:themeColor="text1"/>
                <w:kern w:val="0"/>
                <w:szCs w:val="21"/>
                <w14:textFill>
                  <w14:solidFill>
                    <w14:schemeClr w14:val="tx1"/>
                  </w14:solidFill>
                </w14:textFill>
              </w:rPr>
              <w:t>的罚款，对单位直接负责的主管人员和其他直接责任人员处单位罚款数额百分之五的罚款。</w:t>
            </w:r>
          </w:p>
        </w:tc>
      </w:tr>
      <w:tr w14:paraId="452E64E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0F339E55">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7993CB2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5F28F98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1064E8C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23B492FB">
            <w:pPr>
              <w:keepNext w:val="0"/>
              <w:keepLines w:val="0"/>
              <w:pageBreakBefore w:val="0"/>
              <w:widowControl/>
              <w:kinsoku/>
              <w:overflowPunct/>
              <w:topLinePunct w:val="0"/>
              <w:autoSpaceDE/>
              <w:autoSpaceDN/>
              <w:bidi w:val="0"/>
              <w:adjustRightInd/>
              <w:spacing w:line="260" w:lineRule="exact"/>
              <w:jc w:val="left"/>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66136FB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480815A8">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w:t>
            </w:r>
            <w:r>
              <w:rPr>
                <w:rFonts w:hint="eastAsia" w:ascii="仿宋_GB2312" w:hAnsi="宋体" w:eastAsia="仿宋_GB2312"/>
                <w:color w:val="000000" w:themeColor="text1"/>
                <w:kern w:val="0"/>
                <w:szCs w:val="21"/>
                <w:lang w:val="en-US" w:eastAsia="zh-CN"/>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万元以上40万元以下的罚款，对单位直接负责的主管人员和其他直接责任人员处单位罚款数额百分之五以上百分之八点五以下的罚款。</w:t>
            </w:r>
          </w:p>
        </w:tc>
      </w:tr>
      <w:tr w14:paraId="79C62F0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324E74C6">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4338266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2DEF351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7981DD8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6173B230">
            <w:pPr>
              <w:keepNext w:val="0"/>
              <w:keepLines w:val="0"/>
              <w:pageBreakBefore w:val="0"/>
              <w:widowControl/>
              <w:kinsoku/>
              <w:overflowPunct/>
              <w:topLinePunct w:val="0"/>
              <w:autoSpaceDE/>
              <w:autoSpaceDN/>
              <w:bidi w:val="0"/>
              <w:adjustRightInd/>
              <w:spacing w:line="260" w:lineRule="exact"/>
              <w:jc w:val="left"/>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2BF48D8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（1）经责令改正后，逾期未改正的；</w:t>
            </w:r>
          </w:p>
          <w:p w14:paraId="09125B8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739CEB1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（3）造成工程质量事故的；</w:t>
            </w:r>
          </w:p>
          <w:p w14:paraId="507DFA6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（4）经有关部门确认，存在商业贿赂情形的；</w:t>
            </w:r>
          </w:p>
          <w:p w14:paraId="3613FFC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（5）其他依法应予从重处罚的情形。</w:t>
            </w:r>
          </w:p>
        </w:tc>
        <w:tc>
          <w:tcPr>
            <w:tcW w:w="3375" w:type="dxa"/>
            <w:tcBorders>
              <w:tl2br w:val="nil"/>
              <w:tr2bl w:val="nil"/>
            </w:tcBorders>
            <w:vAlign w:val="center"/>
          </w:tcPr>
          <w:p w14:paraId="5856D0F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责令改正，对建设单位处40万元以上50万元以下的罚款，对单位直接负责的主管人员和其他直接责任人员处单位罚款数额百分之八点五以上百分之十以下的罚款。</w:t>
            </w:r>
          </w:p>
        </w:tc>
      </w:tr>
      <w:tr w14:paraId="43AE4A9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2" w:hRule="atLeast"/>
          <w:jc w:val="center"/>
        </w:trPr>
        <w:tc>
          <w:tcPr>
            <w:tcW w:w="533" w:type="dxa"/>
            <w:gridSpan w:val="2"/>
            <w:vMerge w:val="restart"/>
            <w:tcBorders>
              <w:tl2br w:val="nil"/>
              <w:tr2bl w:val="nil"/>
            </w:tcBorders>
            <w:vAlign w:val="center"/>
          </w:tcPr>
          <w:p w14:paraId="2406DDED">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25</w:t>
            </w:r>
          </w:p>
        </w:tc>
        <w:tc>
          <w:tcPr>
            <w:tcW w:w="1376" w:type="dxa"/>
            <w:vMerge w:val="restart"/>
            <w:tcBorders>
              <w:tl2br w:val="nil"/>
              <w:tr2bl w:val="nil"/>
            </w:tcBorders>
            <w:vAlign w:val="center"/>
          </w:tcPr>
          <w:p w14:paraId="3AE51EA9">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6D7B93CF">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1F89369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建设单位未取得施工许可证或者开工报告未经批准，擅自施工</w:t>
            </w:r>
          </w:p>
        </w:tc>
        <w:tc>
          <w:tcPr>
            <w:tcW w:w="1128" w:type="dxa"/>
            <w:gridSpan w:val="2"/>
            <w:vMerge w:val="restart"/>
            <w:tcBorders>
              <w:tl2br w:val="nil"/>
              <w:tr2bl w:val="nil"/>
            </w:tcBorders>
            <w:vAlign w:val="center"/>
          </w:tcPr>
          <w:p w14:paraId="783269C0">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《建设工程质量管理条例》第十三条</w:t>
            </w:r>
          </w:p>
        </w:tc>
        <w:tc>
          <w:tcPr>
            <w:tcW w:w="4354" w:type="dxa"/>
            <w:vMerge w:val="restart"/>
            <w:tcBorders>
              <w:tl2br w:val="nil"/>
              <w:tr2bl w:val="nil"/>
            </w:tcBorders>
            <w:vAlign w:val="center"/>
          </w:tcPr>
          <w:p w14:paraId="7DD6BD27">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1E2EE874">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w:t>
            </w:r>
            <w:r>
              <w:rPr>
                <w:rFonts w:hint="eastAsia" w:ascii="仿宋_GB2312" w:hAnsi="宋体" w:eastAsia="仿宋_GB2312"/>
                <w:b/>
                <w:bCs/>
                <w:color w:val="000000" w:themeColor="text1"/>
                <w:kern w:val="0"/>
                <w:szCs w:val="21"/>
                <w14:textFill>
                  <w14:solidFill>
                    <w14:schemeClr w14:val="tx1"/>
                  </w14:solidFill>
                </w14:textFill>
              </w:rPr>
              <w:t>第五十七条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违反本条例规定，建设单位未取得施工许可证或者开工报告未经批准，擅自施工的，责令停止施工，限期改正，处工程合同价款百分之一以上百分之二以下的罚款。</w:t>
            </w:r>
          </w:p>
          <w:p w14:paraId="3446FC72">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2915E3D0">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w:t>
            </w:r>
            <w:r>
              <w:rPr>
                <w:rFonts w:hint="eastAsia" w:ascii="仿宋_GB2312" w:hAnsi="宋体" w:eastAsia="仿宋_GB2312"/>
                <w:b/>
                <w:bCs/>
                <w:color w:val="000000" w:themeColor="text1"/>
                <w:kern w:val="0"/>
                <w:szCs w:val="21"/>
                <w14:textFill>
                  <w14:solidFill>
                    <w14:schemeClr w14:val="tx1"/>
                  </w14:solidFill>
                </w14:textFill>
              </w:rPr>
              <w:t>第七十三条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912" w:type="dxa"/>
            <w:tcBorders>
              <w:tl2br w:val="nil"/>
              <w:tr2bl w:val="nil"/>
            </w:tcBorders>
            <w:vAlign w:val="center"/>
          </w:tcPr>
          <w:p w14:paraId="75CE3F45">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09D9DB6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初次违法，危害后果轻微，主动采取措施消除或减轻违法行为危害后果。</w:t>
            </w:r>
          </w:p>
        </w:tc>
        <w:tc>
          <w:tcPr>
            <w:tcW w:w="3375" w:type="dxa"/>
            <w:tcBorders>
              <w:tl2br w:val="nil"/>
              <w:tr2bl w:val="nil"/>
            </w:tcBorders>
            <w:vAlign w:val="center"/>
          </w:tcPr>
          <w:p w14:paraId="7CEE21A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责令停止施工，限期改正，对建设单位处工程合同价款百分之一以上百分之一点二以下的罚款，对单位直接负责的主管人员和其他直接责任人员处单位罚款数额百分之五以上百分之六以下的罚款。</w:t>
            </w:r>
          </w:p>
        </w:tc>
      </w:tr>
      <w:tr w14:paraId="6B52807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54" w:hRule="atLeast"/>
          <w:jc w:val="center"/>
        </w:trPr>
        <w:tc>
          <w:tcPr>
            <w:tcW w:w="533" w:type="dxa"/>
            <w:gridSpan w:val="2"/>
            <w:vMerge w:val="continue"/>
            <w:tcBorders>
              <w:tl2br w:val="nil"/>
              <w:tr2bl w:val="nil"/>
            </w:tcBorders>
            <w:vAlign w:val="center"/>
          </w:tcPr>
          <w:p w14:paraId="24BE9585">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5C6E1AE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61132AB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54DDD2F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2C8E97B8">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79F6DEA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27E267F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责令停止施工，限期改正，对建设单位处工程合同价款百分之一点二以上百分之一点七以下的罚款，对单位直接负责的主管人员和其他直接责任人员处单位罚款数额百分之六以上百分之八点五以下的罚款。</w:t>
            </w:r>
          </w:p>
        </w:tc>
      </w:tr>
      <w:tr w14:paraId="0DF064A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4B02789C">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010B7F7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2B7A463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2FCDD43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72C38CE5">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1363A79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工程项目不符合发放施工许可或开工报告条件，无法补办施工许可证或开工报告的；其他情节恶劣，或造成严重后果的违法行为。</w:t>
            </w:r>
          </w:p>
        </w:tc>
        <w:tc>
          <w:tcPr>
            <w:tcW w:w="3375" w:type="dxa"/>
            <w:tcBorders>
              <w:tl2br w:val="nil"/>
              <w:tr2bl w:val="nil"/>
            </w:tcBorders>
            <w:vAlign w:val="center"/>
          </w:tcPr>
          <w:p w14:paraId="22F8CF9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责令停止施工，限期改正，对建设单位处工程合同价款百分之一点七以上百分之二以下的罚款，对单位直接负责的主管人员和其他直接责任人员处单位罚款数额百分之八点五以上百分之十以下的罚款。</w:t>
            </w:r>
          </w:p>
        </w:tc>
      </w:tr>
      <w:tr w14:paraId="2C3426B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02DCFD1E">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26</w:t>
            </w:r>
          </w:p>
        </w:tc>
        <w:tc>
          <w:tcPr>
            <w:tcW w:w="1376" w:type="dxa"/>
            <w:vMerge w:val="restart"/>
            <w:tcBorders>
              <w:tl2br w:val="nil"/>
              <w:tr2bl w:val="nil"/>
            </w:tcBorders>
            <w:vAlign w:val="center"/>
          </w:tcPr>
          <w:p w14:paraId="549AFA5D">
            <w:pPr>
              <w:keepNext w:val="0"/>
              <w:keepLines w:val="0"/>
              <w:pageBreakBefore w:val="0"/>
              <w:widowControl/>
              <w:kinsoku/>
              <w:wordWrap w:val="0"/>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447DB92A">
            <w:pPr>
              <w:keepNext w:val="0"/>
              <w:keepLines w:val="0"/>
              <w:pageBreakBefore w:val="0"/>
              <w:widowControl/>
              <w:kinsoku/>
              <w:wordWrap w:val="0"/>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建设单位有下列行为之一的：</w:t>
            </w:r>
          </w:p>
          <w:p w14:paraId="5D43AABC">
            <w:pPr>
              <w:keepNext w:val="0"/>
              <w:keepLines w:val="0"/>
              <w:pageBreakBefore w:val="0"/>
              <w:widowControl/>
              <w:kinsoku/>
              <w:wordWrap w:val="0"/>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（一）未组织竣工验收，擅自交付使用的</w:t>
            </w:r>
          </w:p>
          <w:p w14:paraId="5B385A69">
            <w:pPr>
              <w:keepNext w:val="0"/>
              <w:keepLines w:val="0"/>
              <w:pageBreakBefore w:val="0"/>
              <w:widowControl/>
              <w:kinsoku/>
              <w:wordWrap w:val="0"/>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（二）验收不合格，擅自交付使用的</w:t>
            </w:r>
          </w:p>
          <w:p w14:paraId="6902EA8B">
            <w:pPr>
              <w:keepNext w:val="0"/>
              <w:keepLines w:val="0"/>
              <w:pageBreakBefore w:val="0"/>
              <w:widowControl/>
              <w:kinsoku/>
              <w:wordWrap w:val="0"/>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（三）对不合格的建设工程按照合格工程验收的</w:t>
            </w:r>
          </w:p>
          <w:p w14:paraId="199729CB">
            <w:pPr>
              <w:keepNext w:val="0"/>
              <w:keepLines w:val="0"/>
              <w:pageBreakBefore w:val="0"/>
              <w:widowControl/>
              <w:kinsoku/>
              <w:wordWrap w:val="0"/>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38ED680C">
            <w:pPr>
              <w:keepNext w:val="0"/>
              <w:keepLines w:val="0"/>
              <w:pageBreakBefore w:val="0"/>
              <w:widowControl/>
              <w:kinsoku/>
              <w:overflowPunct/>
              <w:topLinePunct w:val="0"/>
              <w:autoSpaceDE/>
              <w:autoSpaceDN/>
              <w:bidi w:val="0"/>
              <w:adjustRightInd/>
              <w:spacing w:line="260" w:lineRule="exact"/>
              <w:jc w:val="left"/>
              <w:rPr>
                <w:rFonts w:ascii="宋体" w:hAnsi="宋体" w:cs="宋体"/>
                <w:color w:val="000000" w:themeColor="text1"/>
                <w:kern w:val="0"/>
                <w:szCs w:val="21"/>
                <w14:textFill>
                  <w14:solidFill>
                    <w14:schemeClr w14:val="tx1"/>
                  </w14:solidFill>
                </w14:textFill>
              </w:rPr>
            </w:pPr>
          </w:p>
        </w:tc>
        <w:tc>
          <w:tcPr>
            <w:tcW w:w="1128" w:type="dxa"/>
            <w:gridSpan w:val="2"/>
            <w:vMerge w:val="restart"/>
            <w:tcBorders>
              <w:tl2br w:val="nil"/>
              <w:tr2bl w:val="nil"/>
            </w:tcBorders>
            <w:vAlign w:val="center"/>
          </w:tcPr>
          <w:p w14:paraId="3E08C2B4">
            <w:pPr>
              <w:keepNext w:val="0"/>
              <w:keepLines w:val="0"/>
              <w:pageBreakBefore w:val="0"/>
              <w:widowControl/>
              <w:kinsoku/>
              <w:wordWrap w:val="0"/>
              <w:overflowPunct/>
              <w:topLinePunct w:val="0"/>
              <w:autoSpaceDE/>
              <w:autoSpaceDN/>
              <w:bidi w:val="0"/>
              <w:adjustRightInd/>
              <w:spacing w:line="260" w:lineRule="exact"/>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《建设工程质量管理条例》第十六条</w:t>
            </w:r>
          </w:p>
        </w:tc>
        <w:tc>
          <w:tcPr>
            <w:tcW w:w="4354" w:type="dxa"/>
            <w:vMerge w:val="restart"/>
            <w:tcBorders>
              <w:tl2br w:val="nil"/>
              <w:tr2bl w:val="nil"/>
            </w:tcBorders>
            <w:vAlign w:val="center"/>
          </w:tcPr>
          <w:p w14:paraId="08CBDDD3">
            <w:pPr>
              <w:keepNext w:val="0"/>
              <w:keepLines w:val="0"/>
              <w:pageBreakBefore w:val="0"/>
              <w:widowControl/>
              <w:kinsoku/>
              <w:overflowPunct/>
              <w:topLinePunct w:val="0"/>
              <w:autoSpaceDE/>
              <w:autoSpaceDN/>
              <w:bidi w:val="0"/>
              <w:adjustRightInd/>
              <w:spacing w:line="260" w:lineRule="exact"/>
              <w:ind w:left="105" w:hanging="105" w:hanging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w:t>
            </w:r>
            <w:r>
              <w:rPr>
                <w:rFonts w:hint="eastAsia" w:ascii="仿宋_GB2312" w:hAnsi="宋体" w:eastAsia="仿宋_GB2312"/>
                <w:b/>
                <w:bCs/>
                <w:color w:val="000000" w:themeColor="text1"/>
                <w:kern w:val="0"/>
                <w:szCs w:val="21"/>
                <w14:textFill>
                  <w14:solidFill>
                    <w14:schemeClr w14:val="tx1"/>
                  </w14:solidFill>
                </w14:textFill>
              </w:rPr>
              <w:t>第五十八条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违反本条例规定，建设单位有下列行为之一的，责令改正，处工程合同价款百分之二以上百分之四以下的罚款；造成损失的，依法承担赔偿责任：</w:t>
            </w:r>
          </w:p>
          <w:p w14:paraId="52D28BAB">
            <w:pPr>
              <w:keepNext w:val="0"/>
              <w:keepLines w:val="0"/>
              <w:pageBreakBefore w:val="0"/>
              <w:widowControl/>
              <w:kinsoku/>
              <w:wordWrap w:val="0"/>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（一）未组织竣工验收，擅自交付使用的；</w:t>
            </w:r>
          </w:p>
          <w:p w14:paraId="49074104">
            <w:pPr>
              <w:keepNext w:val="0"/>
              <w:keepLines w:val="0"/>
              <w:pageBreakBefore w:val="0"/>
              <w:widowControl/>
              <w:kinsoku/>
              <w:wordWrap w:val="0"/>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（二）验收不合格，擅自交付使用的；</w:t>
            </w:r>
          </w:p>
          <w:p w14:paraId="56D6B7AF">
            <w:pPr>
              <w:keepNext w:val="0"/>
              <w:keepLines w:val="0"/>
              <w:pageBreakBefore w:val="0"/>
              <w:widowControl/>
              <w:kinsoku/>
              <w:wordWrap w:val="0"/>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（三）对不合格的建设工程按照合格工程验收的。</w:t>
            </w:r>
          </w:p>
          <w:p w14:paraId="6C7FA5A7">
            <w:pPr>
              <w:keepNext w:val="0"/>
              <w:keepLines w:val="0"/>
              <w:pageBreakBefore w:val="0"/>
              <w:widowControl/>
              <w:kinsoku/>
              <w:wordWrap w:val="0"/>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12A82F4F">
            <w:pPr>
              <w:keepNext w:val="0"/>
              <w:keepLines w:val="0"/>
              <w:pageBreakBefore w:val="0"/>
              <w:widowControl/>
              <w:kinsoku/>
              <w:overflowPunct/>
              <w:topLinePunct w:val="0"/>
              <w:autoSpaceDE/>
              <w:autoSpaceDN/>
              <w:bidi w:val="0"/>
              <w:adjustRightInd/>
              <w:spacing w:line="260" w:lineRule="exact"/>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w:t>
            </w:r>
            <w:r>
              <w:rPr>
                <w:rFonts w:hint="eastAsia" w:ascii="仿宋_GB2312" w:hAnsi="宋体" w:eastAsia="仿宋_GB2312"/>
                <w:b/>
                <w:bCs/>
                <w:color w:val="000000" w:themeColor="text1"/>
                <w:kern w:val="0"/>
                <w:szCs w:val="21"/>
                <w14:textFill>
                  <w14:solidFill>
                    <w14:schemeClr w14:val="tx1"/>
                  </w14:solidFill>
                </w14:textFill>
              </w:rPr>
              <w:t>第七十三条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912" w:type="dxa"/>
            <w:tcBorders>
              <w:tl2br w:val="nil"/>
              <w:tr2bl w:val="nil"/>
            </w:tcBorders>
            <w:vAlign w:val="center"/>
          </w:tcPr>
          <w:p w14:paraId="3235EFF2">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34A1C19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初次违法，危害后果轻微，主动采取措施消除或减轻违法行为危害后果。</w:t>
            </w:r>
          </w:p>
        </w:tc>
        <w:tc>
          <w:tcPr>
            <w:tcW w:w="3375" w:type="dxa"/>
            <w:tcBorders>
              <w:tl2br w:val="nil"/>
              <w:tr2bl w:val="nil"/>
            </w:tcBorders>
            <w:vAlign w:val="center"/>
          </w:tcPr>
          <w:p w14:paraId="0F20558D">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责令改正，对建设单位处工程合同价款百分之二以上百分之</w:t>
            </w:r>
            <w:r>
              <w:rPr>
                <w:rFonts w:hint="eastAsia" w:ascii="仿宋_GB2312" w:hAnsi="宋体" w:eastAsia="仿宋_GB2312"/>
                <w:color w:val="000000" w:themeColor="text1"/>
                <w:kern w:val="0"/>
                <w:szCs w:val="21"/>
                <w:lang w:val="en-US" w:eastAsia="zh-CN"/>
                <w14:textFill>
                  <w14:solidFill>
                    <w14:schemeClr w14:val="tx1"/>
                  </w14:solidFill>
                </w14:textFill>
              </w:rPr>
              <w:t>二点五</w:t>
            </w:r>
            <w:r>
              <w:rPr>
                <w:rFonts w:hint="eastAsia" w:ascii="仿宋_GB2312" w:hAnsi="宋体" w:eastAsia="仿宋_GB2312"/>
                <w:color w:val="000000" w:themeColor="text1"/>
                <w:kern w:val="0"/>
                <w:szCs w:val="21"/>
                <w14:textFill>
                  <w14:solidFill>
                    <w14:schemeClr w14:val="tx1"/>
                  </w14:solidFill>
                </w14:textFill>
              </w:rPr>
              <w:t>以下的罚款，对单位直接负责的主管人员和其他直接责任人员处单位罚款数额百分之五以上百分之六以下的罚款。</w:t>
            </w:r>
          </w:p>
        </w:tc>
      </w:tr>
      <w:tr w14:paraId="20A2330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773DE24A">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601E44C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3FACA8F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365B2A2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7E49437B">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0AD19C1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实施违法行为，造成不良社会影响或初次违法，未主动消除或减轻违法行为危害后果的。</w:t>
            </w:r>
          </w:p>
        </w:tc>
        <w:tc>
          <w:tcPr>
            <w:tcW w:w="3375" w:type="dxa"/>
            <w:tcBorders>
              <w:tl2br w:val="nil"/>
              <w:tr2bl w:val="nil"/>
            </w:tcBorders>
            <w:vAlign w:val="center"/>
          </w:tcPr>
          <w:p w14:paraId="63F554B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责令改正，对建设单位处工程合同价款百分之二点五以上百分之三点五以下的罚款，对单位直接负责的主管人员和其他直接责任人员处单位罚款数额百分之六以上百分之八点五以下的罚款。</w:t>
            </w:r>
          </w:p>
        </w:tc>
      </w:tr>
      <w:tr w14:paraId="667E384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3" w:hRule="atLeast"/>
          <w:jc w:val="center"/>
        </w:trPr>
        <w:tc>
          <w:tcPr>
            <w:tcW w:w="533" w:type="dxa"/>
            <w:gridSpan w:val="2"/>
            <w:vMerge w:val="continue"/>
            <w:tcBorders>
              <w:tl2br w:val="nil"/>
              <w:tr2bl w:val="nil"/>
            </w:tcBorders>
            <w:vAlign w:val="center"/>
          </w:tcPr>
          <w:p w14:paraId="41907DF2">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51A4745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7B9C4FC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32D81B6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0981F5D5">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2FF3E3A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（1）经责令停止违法行为后，继续实施违法行为的；</w:t>
            </w:r>
          </w:p>
          <w:p w14:paraId="71C3E24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（2）2年内2次及以上同类型违法；</w:t>
            </w:r>
          </w:p>
          <w:p w14:paraId="30DDEE5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（3）足以影响建设工程市场秩序和社会稳定的；</w:t>
            </w:r>
          </w:p>
          <w:p w14:paraId="722BB99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（4）法律法规规定的其他应当从重处罚的情形。</w:t>
            </w:r>
          </w:p>
        </w:tc>
        <w:tc>
          <w:tcPr>
            <w:tcW w:w="3375" w:type="dxa"/>
            <w:tcBorders>
              <w:tl2br w:val="nil"/>
              <w:tr2bl w:val="nil"/>
            </w:tcBorders>
            <w:vAlign w:val="center"/>
          </w:tcPr>
          <w:p w14:paraId="3FA8CF2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责令改正，对建设单位处工程合同价款百分之三点五以上百分之四以下的罚款，对单位直接负责的主管人员和其他直接责任人员处单位罚款数额百分之八点五以上百分之十以下的罚款。</w:t>
            </w:r>
          </w:p>
        </w:tc>
      </w:tr>
      <w:tr w14:paraId="2E381EA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696B4AC4">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27</w:t>
            </w:r>
          </w:p>
        </w:tc>
        <w:tc>
          <w:tcPr>
            <w:tcW w:w="1376" w:type="dxa"/>
            <w:vMerge w:val="restart"/>
            <w:tcBorders>
              <w:tl2br w:val="nil"/>
              <w:tr2bl w:val="nil"/>
            </w:tcBorders>
            <w:vAlign w:val="center"/>
          </w:tcPr>
          <w:p w14:paraId="58F891B1">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2AC41AB9">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3DAC268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024A70E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建设工程竣工验收后，建设单位未向建设行政主管部门或者其他有关部门移交建设项目档案</w:t>
            </w:r>
          </w:p>
        </w:tc>
        <w:tc>
          <w:tcPr>
            <w:tcW w:w="1128" w:type="dxa"/>
            <w:gridSpan w:val="2"/>
            <w:vMerge w:val="restart"/>
            <w:tcBorders>
              <w:tl2br w:val="nil"/>
              <w:tr2bl w:val="nil"/>
            </w:tcBorders>
            <w:vAlign w:val="center"/>
          </w:tcPr>
          <w:p w14:paraId="3294791F">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《建设工程质量管理条例》第十七条</w:t>
            </w:r>
          </w:p>
        </w:tc>
        <w:tc>
          <w:tcPr>
            <w:tcW w:w="4354" w:type="dxa"/>
            <w:vMerge w:val="restart"/>
            <w:tcBorders>
              <w:tl2br w:val="nil"/>
              <w:tr2bl w:val="nil"/>
            </w:tcBorders>
            <w:vAlign w:val="center"/>
          </w:tcPr>
          <w:p w14:paraId="099BAD9C">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w:t>
            </w:r>
            <w:r>
              <w:rPr>
                <w:rFonts w:hint="eastAsia" w:ascii="仿宋_GB2312" w:hAnsi="宋体" w:eastAsia="仿宋_GB2312"/>
                <w:b/>
                <w:bCs/>
                <w:color w:val="000000" w:themeColor="text1"/>
                <w:kern w:val="0"/>
                <w:szCs w:val="21"/>
                <w14:textFill>
                  <w14:solidFill>
                    <w14:schemeClr w14:val="tx1"/>
                  </w14:solidFill>
                </w14:textFill>
              </w:rPr>
              <w:t>第五十九条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违反本条例规定，建设工程竣工验收后，建设单位未向建设行政主管部门或者其他有关部门移交建设项目档案的，责令改正，处1万元以上10万元以下的罚款。</w:t>
            </w:r>
          </w:p>
          <w:p w14:paraId="69B072F2">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7F079890">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w:t>
            </w:r>
            <w:r>
              <w:rPr>
                <w:rFonts w:hint="eastAsia" w:ascii="仿宋_GB2312" w:hAnsi="宋体" w:eastAsia="仿宋_GB2312"/>
                <w:b/>
                <w:bCs/>
                <w:color w:val="000000" w:themeColor="text1"/>
                <w:kern w:val="0"/>
                <w:szCs w:val="21"/>
                <w14:textFill>
                  <w14:solidFill>
                    <w14:schemeClr w14:val="tx1"/>
                  </w14:solidFill>
                </w14:textFill>
              </w:rPr>
              <w:t>第七十三条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912" w:type="dxa"/>
            <w:tcBorders>
              <w:tl2br w:val="nil"/>
              <w:tr2bl w:val="nil"/>
            </w:tcBorders>
            <w:vAlign w:val="center"/>
          </w:tcPr>
          <w:p w14:paraId="1BDEB165">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1F36692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逾期15日以下改正的。</w:t>
            </w:r>
          </w:p>
        </w:tc>
        <w:tc>
          <w:tcPr>
            <w:tcW w:w="3375" w:type="dxa"/>
            <w:tcBorders>
              <w:tl2br w:val="nil"/>
              <w:tr2bl w:val="nil"/>
            </w:tcBorders>
            <w:vAlign w:val="center"/>
          </w:tcPr>
          <w:p w14:paraId="21737A5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责令改正，对建设单位处1万元以上3万元以下的罚款，对单位直接负责的主管人员和其他直接责任人员处单位罚款数额百分之五以上百分之六以下的罚款。</w:t>
            </w:r>
          </w:p>
        </w:tc>
      </w:tr>
      <w:tr w14:paraId="79468E0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1D0A70A3">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2342EF72">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631586BE">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3BE05E1F">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0E30D88C">
            <w:pPr>
              <w:keepNext w:val="0"/>
              <w:keepLines w:val="0"/>
              <w:pageBreakBefore w:val="0"/>
              <w:widowControl/>
              <w:kinsoku/>
              <w:overflowPunct/>
              <w:topLinePunct w:val="0"/>
              <w:autoSpaceDE/>
              <w:autoSpaceDN/>
              <w:bidi w:val="0"/>
              <w:adjustRightInd/>
              <w:spacing w:line="260" w:lineRule="exact"/>
              <w:jc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3C2655E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逾期15日以上30日以下改正的。</w:t>
            </w:r>
          </w:p>
        </w:tc>
        <w:tc>
          <w:tcPr>
            <w:tcW w:w="3375" w:type="dxa"/>
            <w:tcBorders>
              <w:tl2br w:val="nil"/>
              <w:tr2bl w:val="nil"/>
            </w:tcBorders>
            <w:vAlign w:val="center"/>
          </w:tcPr>
          <w:p w14:paraId="23713E3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责令改正，对建设单位处3万元以上7万元以下的罚款，对单位直接负责的主管人员和其他直接责任人员处单位罚款数额百分之六以上百分之八点五以下的罚款。</w:t>
            </w:r>
          </w:p>
        </w:tc>
      </w:tr>
      <w:tr w14:paraId="6A665A8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5" w:hRule="atLeast"/>
          <w:jc w:val="center"/>
        </w:trPr>
        <w:tc>
          <w:tcPr>
            <w:tcW w:w="533" w:type="dxa"/>
            <w:gridSpan w:val="2"/>
            <w:vMerge w:val="continue"/>
            <w:tcBorders>
              <w:tl2br w:val="nil"/>
              <w:tr2bl w:val="nil"/>
            </w:tcBorders>
            <w:vAlign w:val="center"/>
          </w:tcPr>
          <w:p w14:paraId="63204275">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5386D4DF">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6D25A536">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488D281E">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487C5CD3">
            <w:pPr>
              <w:keepNext w:val="0"/>
              <w:keepLines w:val="0"/>
              <w:pageBreakBefore w:val="0"/>
              <w:widowControl/>
              <w:kinsoku/>
              <w:overflowPunct/>
              <w:topLinePunct w:val="0"/>
              <w:autoSpaceDE/>
              <w:autoSpaceDN/>
              <w:bidi w:val="0"/>
              <w:adjustRightInd/>
              <w:spacing w:line="260" w:lineRule="exact"/>
              <w:jc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10E70D5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逾期30日以上未改正的。</w:t>
            </w:r>
          </w:p>
        </w:tc>
        <w:tc>
          <w:tcPr>
            <w:tcW w:w="3375" w:type="dxa"/>
            <w:tcBorders>
              <w:tl2br w:val="nil"/>
              <w:tr2bl w:val="nil"/>
            </w:tcBorders>
            <w:vAlign w:val="center"/>
          </w:tcPr>
          <w:p w14:paraId="5181FA6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责令改正，对建设单位处7万元以上10万元以下的罚款，对单位直接负责的主管人员和其他直接责任人员处单位罚款数额百分之八点五以上百分之十以下的罚款。</w:t>
            </w:r>
          </w:p>
        </w:tc>
      </w:tr>
      <w:tr w14:paraId="224CB68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60" w:hRule="atLeast"/>
          <w:jc w:val="center"/>
        </w:trPr>
        <w:tc>
          <w:tcPr>
            <w:tcW w:w="533" w:type="dxa"/>
            <w:gridSpan w:val="2"/>
            <w:vMerge w:val="restart"/>
            <w:tcBorders>
              <w:tl2br w:val="nil"/>
              <w:tr2bl w:val="nil"/>
            </w:tcBorders>
            <w:vAlign w:val="center"/>
          </w:tcPr>
          <w:p w14:paraId="1ACED1EE">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28</w:t>
            </w:r>
          </w:p>
        </w:tc>
        <w:tc>
          <w:tcPr>
            <w:tcW w:w="1376" w:type="dxa"/>
            <w:vMerge w:val="restart"/>
            <w:tcBorders>
              <w:tl2br w:val="nil"/>
              <w:tr2bl w:val="nil"/>
            </w:tcBorders>
            <w:vAlign w:val="center"/>
          </w:tcPr>
          <w:p w14:paraId="0D82F69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勘察、设计、施工、工程监理单位超越本单位资质等级承揽工程</w:t>
            </w:r>
          </w:p>
        </w:tc>
        <w:tc>
          <w:tcPr>
            <w:tcW w:w="1128" w:type="dxa"/>
            <w:gridSpan w:val="2"/>
            <w:vMerge w:val="restart"/>
            <w:tcBorders>
              <w:tl2br w:val="nil"/>
              <w:tr2bl w:val="nil"/>
            </w:tcBorders>
            <w:vAlign w:val="center"/>
          </w:tcPr>
          <w:p w14:paraId="06AB8CA9">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《建设工程质量管理条例》第十八条第二款/</w:t>
            </w:r>
            <w:r>
              <w:rPr>
                <w:rFonts w:ascii="仿宋_GB2312" w:hAnsi="宋体" w:eastAsia="仿宋_GB2312"/>
                <w:color w:val="000000" w:themeColor="text1"/>
                <w:kern w:val="0"/>
                <w:szCs w:val="21"/>
                <w14:textFill>
                  <w14:solidFill>
                    <w14:schemeClr w14:val="tx1"/>
                  </w14:solidFill>
                </w14:textFill>
              </w:rPr>
              <w:t>第二十五条第二款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第三十四条第二款</w:t>
            </w:r>
          </w:p>
        </w:tc>
        <w:tc>
          <w:tcPr>
            <w:tcW w:w="4354" w:type="dxa"/>
            <w:vMerge w:val="restart"/>
            <w:tcBorders>
              <w:tl2br w:val="nil"/>
              <w:tr2bl w:val="nil"/>
            </w:tcBorders>
            <w:vAlign w:val="center"/>
          </w:tcPr>
          <w:p w14:paraId="50CBAB3A">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w:t>
            </w:r>
            <w:r>
              <w:rPr>
                <w:rFonts w:hint="eastAsia" w:ascii="仿宋_GB2312" w:hAnsi="宋体" w:eastAsia="仿宋_GB2312"/>
                <w:b/>
                <w:bCs/>
                <w:color w:val="000000" w:themeColor="text1"/>
                <w:kern w:val="0"/>
                <w:szCs w:val="21"/>
                <w14:textFill>
                  <w14:solidFill>
                    <w14:schemeClr w14:val="tx1"/>
                  </w14:solidFill>
                </w14:textFill>
              </w:rPr>
              <w:t>第六十条第一款</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百分之二以上百分之四以下的罚款，可以责令停业整顿，降低资质等级；情节严重的，吊销资质证书；有违法所得的，予以没收。</w:t>
            </w:r>
          </w:p>
          <w:p w14:paraId="1FFF66C0">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5EBDF9B4">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w:t>
            </w:r>
            <w:r>
              <w:rPr>
                <w:rFonts w:hint="eastAsia" w:ascii="仿宋_GB2312" w:hAnsi="宋体" w:eastAsia="仿宋_GB2312"/>
                <w:b/>
                <w:bCs/>
                <w:color w:val="000000" w:themeColor="text1"/>
                <w:kern w:val="0"/>
                <w:szCs w:val="21"/>
                <w14:textFill>
                  <w14:solidFill>
                    <w14:schemeClr w14:val="tx1"/>
                  </w14:solidFill>
                </w14:textFill>
              </w:rPr>
              <w:t>第七十三条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912" w:type="dxa"/>
            <w:tcBorders>
              <w:tl2br w:val="nil"/>
              <w:tr2bl w:val="nil"/>
            </w:tcBorders>
            <w:vAlign w:val="center"/>
          </w:tcPr>
          <w:p w14:paraId="13FAB231">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2FCD04B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375" w:type="dxa"/>
            <w:tcBorders>
              <w:tl2br w:val="nil"/>
              <w:tr2bl w:val="nil"/>
            </w:tcBorders>
            <w:vAlign w:val="center"/>
          </w:tcPr>
          <w:p w14:paraId="3CDDAB2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违法行为，对勘察、设计单位或者工程监理单位处合同约定的勘察费、设计费或监理酬金1倍以上1.2倍以下的罚款；对施工单位处工程合同价款百分之二以上百分之二点二以下的罚款；对单位直接负责主管人员和其他直接责任人员处单位罚款数额百分之五以上百分之六以下的罚款；有违法所得的，予以没收。</w:t>
            </w:r>
          </w:p>
        </w:tc>
      </w:tr>
      <w:tr w14:paraId="19B498A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5" w:hRule="atLeast"/>
          <w:jc w:val="center"/>
        </w:trPr>
        <w:tc>
          <w:tcPr>
            <w:tcW w:w="533" w:type="dxa"/>
            <w:gridSpan w:val="2"/>
            <w:vMerge w:val="continue"/>
            <w:tcBorders>
              <w:tl2br w:val="nil"/>
              <w:tr2bl w:val="nil"/>
            </w:tcBorders>
            <w:vAlign w:val="center"/>
          </w:tcPr>
          <w:p w14:paraId="530ECA84">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2F5FB71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tcPr>
          <w:p w14:paraId="109932B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tcPr>
          <w:p w14:paraId="41CC885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428057C4">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7ACEB60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3A763EF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勘察、设计单位或者工程监理单位处合同约定的勘察费、设计费或监理酬金1.2倍以上1.7倍以下的罚款；对施工单位处工程合同价款百分之二点二以上百分之三点五以下的罚款；对单位直接负责主管人员和其他直接责任人员处单位罚款数额百分之六以上百分之八点五以下的罚款；有违法所得的，予以没收。</w:t>
            </w:r>
          </w:p>
        </w:tc>
      </w:tr>
      <w:tr w14:paraId="5509A9C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0" w:hRule="atLeast"/>
          <w:jc w:val="center"/>
        </w:trPr>
        <w:tc>
          <w:tcPr>
            <w:tcW w:w="533" w:type="dxa"/>
            <w:gridSpan w:val="2"/>
            <w:vMerge w:val="continue"/>
            <w:tcBorders>
              <w:tl2br w:val="nil"/>
              <w:tr2bl w:val="nil"/>
            </w:tcBorders>
            <w:vAlign w:val="center"/>
          </w:tcPr>
          <w:p w14:paraId="0401C374">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11A644F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27DB77B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7B2A2CD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restart"/>
            <w:tcBorders>
              <w:tl2br w:val="nil"/>
              <w:tr2bl w:val="nil"/>
            </w:tcBorders>
            <w:vAlign w:val="center"/>
          </w:tcPr>
          <w:p w14:paraId="4F4B62F4">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4BA7EB8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（1）2年内2次同类型违法的。</w:t>
            </w:r>
          </w:p>
        </w:tc>
        <w:tc>
          <w:tcPr>
            <w:tcW w:w="3375" w:type="dxa"/>
            <w:tcBorders>
              <w:tl2br w:val="nil"/>
              <w:tr2bl w:val="nil"/>
            </w:tcBorders>
            <w:vAlign w:val="center"/>
          </w:tcPr>
          <w:p w14:paraId="0992FB9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勘察、设计单位或者工程监理单位处合同约定的勘察费、设计费或监理酬金1.7倍以上2倍以下的罚款；对施工单位处工程合同价款百分之三点五以上百分之四以下的罚款；对单位直接负责主管人员和其他直接责任人员处单位罚款数额百分之八点五以上百分之十以下的罚款；有违法所得的，予以没收；责令停业整顿30-60日。</w:t>
            </w:r>
          </w:p>
        </w:tc>
      </w:tr>
      <w:tr w14:paraId="091F49C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23" w:hRule="atLeast"/>
          <w:jc w:val="center"/>
        </w:trPr>
        <w:tc>
          <w:tcPr>
            <w:tcW w:w="533" w:type="dxa"/>
            <w:gridSpan w:val="2"/>
            <w:vMerge w:val="continue"/>
            <w:tcBorders>
              <w:tl2br w:val="nil"/>
              <w:tr2bl w:val="nil"/>
            </w:tcBorders>
            <w:vAlign w:val="center"/>
          </w:tcPr>
          <w:p w14:paraId="52663A32">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7A37145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1A03E0F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27EED73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1A58B2D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177A2F2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w:t>
            </w:r>
            <w:r>
              <w:rPr>
                <w:rFonts w:ascii="仿宋_GB2312" w:hAnsi="宋体" w:eastAsia="仿宋_GB2312"/>
                <w:color w:val="000000" w:themeColor="text1"/>
                <w:kern w:val="0"/>
                <w:szCs w:val="21"/>
                <w14:textFill>
                  <w14:solidFill>
                    <w14:schemeClr w14:val="tx1"/>
                  </w14:solidFill>
                </w14:textFill>
              </w:rPr>
              <w:t>造成3人以下死亡，或者10人以下重伤，或者1000万元以下直接经济损失</w:t>
            </w:r>
            <w:r>
              <w:rPr>
                <w:rFonts w:hint="eastAsia" w:ascii="仿宋_GB2312" w:hAnsi="宋体" w:eastAsia="仿宋_GB2312"/>
                <w:color w:val="000000" w:themeColor="text1"/>
                <w:kern w:val="0"/>
                <w:szCs w:val="21"/>
                <w14:textFill>
                  <w14:solidFill>
                    <w14:schemeClr w14:val="tx1"/>
                  </w14:solidFill>
                </w14:textFill>
              </w:rPr>
              <w:t>。</w:t>
            </w:r>
          </w:p>
        </w:tc>
        <w:tc>
          <w:tcPr>
            <w:tcW w:w="3375" w:type="dxa"/>
            <w:tcBorders>
              <w:tl2br w:val="nil"/>
              <w:tr2bl w:val="nil"/>
            </w:tcBorders>
            <w:vAlign w:val="center"/>
          </w:tcPr>
          <w:p w14:paraId="7527FCE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勘察、设计单位或者工程监理单位处合同约定的勘察费、设计费或监理酬金2倍的罚款；对施工单位处工程合同价款百分之四的罚款；对单位直接负责主管人员和其他直接责任人员处单位罚款数额百分之十的罚款；责令停业整顿30-60日；有违法所得的，予以没收。</w:t>
            </w:r>
          </w:p>
        </w:tc>
      </w:tr>
      <w:tr w14:paraId="273C294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 w:hRule="atLeast"/>
          <w:jc w:val="center"/>
        </w:trPr>
        <w:tc>
          <w:tcPr>
            <w:tcW w:w="533" w:type="dxa"/>
            <w:gridSpan w:val="2"/>
            <w:vMerge w:val="continue"/>
            <w:tcBorders>
              <w:tl2br w:val="nil"/>
              <w:tr2bl w:val="nil"/>
            </w:tcBorders>
            <w:vAlign w:val="center"/>
          </w:tcPr>
          <w:p w14:paraId="08AF4F23">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56FBF1F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3A0CFCD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2BE99E0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1CBB1EF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6500A84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（3）造成3人以上5人以下死亡，或者10人以上20人以下重伤，或者1000万元以上2000万元以下直接经济损失的。</w:t>
            </w:r>
          </w:p>
        </w:tc>
        <w:tc>
          <w:tcPr>
            <w:tcW w:w="3375" w:type="dxa"/>
            <w:tcBorders>
              <w:tl2br w:val="nil"/>
              <w:tr2bl w:val="nil"/>
            </w:tcBorders>
            <w:vAlign w:val="center"/>
          </w:tcPr>
          <w:p w14:paraId="381AE42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勘察、设计单位或者工程监理单位处合同约定的勘察费、设计费或者监理酬金2倍的罚款；对施工单位处工程合同价款百分之四的罚款；对单位直接负责主管人员和其他直接责任人员处单位罚款数额百分之十的罚款；责令停业整顿60—90日；有违法所得的，予以没收。</w:t>
            </w:r>
          </w:p>
        </w:tc>
      </w:tr>
      <w:tr w14:paraId="1A93DD4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0" w:hRule="atLeast"/>
          <w:jc w:val="center"/>
        </w:trPr>
        <w:tc>
          <w:tcPr>
            <w:tcW w:w="533" w:type="dxa"/>
            <w:gridSpan w:val="2"/>
            <w:vMerge w:val="continue"/>
            <w:tcBorders>
              <w:tl2br w:val="nil"/>
              <w:tr2bl w:val="nil"/>
            </w:tcBorders>
            <w:vAlign w:val="center"/>
          </w:tcPr>
          <w:p w14:paraId="2265F0A9">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537CF48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2469D37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26FFBBC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13B52CC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25800A6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（4）造成5人以上7人以下死亡，或者20人以上30人以下重伤，或者2000万元以上3000万元以下直接经济损失的。</w:t>
            </w:r>
          </w:p>
        </w:tc>
        <w:tc>
          <w:tcPr>
            <w:tcW w:w="3375" w:type="dxa"/>
            <w:tcBorders>
              <w:tl2br w:val="nil"/>
              <w:tr2bl w:val="nil"/>
            </w:tcBorders>
            <w:vAlign w:val="center"/>
          </w:tcPr>
          <w:p w14:paraId="47F444A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勘察、设计单位或者工程监理单位处合同约定的勘察费、设计费或者监理酬金2倍的罚款；对施工单位处工程合同价款百分之四的罚款；对单位直接负责主管人员和其他直接责任人员处单位罚款数额百分之十的罚款；责令停业整顿90—120日；有违法所得的，予以没收。</w:t>
            </w:r>
          </w:p>
        </w:tc>
      </w:tr>
      <w:tr w14:paraId="137F66A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5" w:hRule="atLeast"/>
          <w:jc w:val="center"/>
        </w:trPr>
        <w:tc>
          <w:tcPr>
            <w:tcW w:w="533" w:type="dxa"/>
            <w:gridSpan w:val="2"/>
            <w:vMerge w:val="continue"/>
            <w:tcBorders>
              <w:tl2br w:val="nil"/>
              <w:tr2bl w:val="nil"/>
            </w:tcBorders>
            <w:vAlign w:val="center"/>
          </w:tcPr>
          <w:p w14:paraId="6C7E7DC0">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41E2634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25370E1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272BBFD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3037919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6B0DFC0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（5）造成</w:t>
            </w:r>
            <w:r>
              <w:rPr>
                <w:rFonts w:ascii="仿宋_GB2312" w:hAnsi="宋体" w:eastAsia="仿宋_GB2312"/>
                <w:color w:val="000000" w:themeColor="text1"/>
                <w:kern w:val="0"/>
                <w:szCs w:val="21"/>
                <w14:textFill>
                  <w14:solidFill>
                    <w14:schemeClr w14:val="tx1"/>
                  </w14:solidFill>
                </w14:textFill>
              </w:rPr>
              <w:t>7</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50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3000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5000</w:t>
            </w:r>
            <w:r>
              <w:rPr>
                <w:rFonts w:hint="eastAsia" w:ascii="仿宋_GB2312" w:hAnsi="宋体" w:eastAsia="仿宋_GB2312"/>
                <w:color w:val="000000" w:themeColor="text1"/>
                <w:kern w:val="0"/>
                <w:szCs w:val="21"/>
                <w14:textFill>
                  <w14:solidFill>
                    <w14:schemeClr w14:val="tx1"/>
                  </w14:solidFill>
                </w14:textFill>
              </w:rPr>
              <w:t>万元以下直接经济损失的。</w:t>
            </w:r>
          </w:p>
        </w:tc>
        <w:tc>
          <w:tcPr>
            <w:tcW w:w="3375" w:type="dxa"/>
            <w:tcBorders>
              <w:tl2br w:val="nil"/>
              <w:tr2bl w:val="nil"/>
            </w:tcBorders>
            <w:vAlign w:val="center"/>
          </w:tcPr>
          <w:p w14:paraId="60D2855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勘察、设计单位或者工程监理单位处合同约定的勘察费、设计费或者监理酬金2倍的罚款；对施工单位处工程合同价款百分之四的罚款；对单位直接负责主管人员和其他直接责任人员处单位罚款数额百分之十的罚款；责令停业整顿120—180日；有违法所得的，予以没收。</w:t>
            </w:r>
          </w:p>
        </w:tc>
      </w:tr>
      <w:tr w14:paraId="37AF088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 w:hRule="atLeast"/>
          <w:jc w:val="center"/>
        </w:trPr>
        <w:tc>
          <w:tcPr>
            <w:tcW w:w="533" w:type="dxa"/>
            <w:gridSpan w:val="2"/>
            <w:vMerge w:val="continue"/>
            <w:tcBorders>
              <w:tl2br w:val="nil"/>
              <w:tr2bl w:val="nil"/>
            </w:tcBorders>
            <w:vAlign w:val="center"/>
          </w:tcPr>
          <w:p w14:paraId="2A433EE5">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09CCC3C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4EB927D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351408B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6B124E2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1B9F5B6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（6）造成重大质量安全事故；或造成分部工程存在严重缺陷，经返修和加固处理仍不能满足安全使用要求。</w:t>
            </w:r>
          </w:p>
        </w:tc>
        <w:tc>
          <w:tcPr>
            <w:tcW w:w="3375" w:type="dxa"/>
            <w:tcBorders>
              <w:tl2br w:val="nil"/>
              <w:tr2bl w:val="nil"/>
            </w:tcBorders>
            <w:vAlign w:val="center"/>
          </w:tcPr>
          <w:p w14:paraId="50617EB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勘察、设计单位或者工程监理单位处合同约定的勘察费、设计费或者监理酬金2倍的罚款；对施工单位处工程合同价款百分之四的罚款；对单位直接负责主管人员和其他直接责任人员处单位罚款数额百分之十的罚款；降低资质等级；有违法所得的，予以没收。</w:t>
            </w:r>
          </w:p>
        </w:tc>
      </w:tr>
      <w:tr w14:paraId="5506EA8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 w:hRule="atLeast"/>
          <w:jc w:val="center"/>
        </w:trPr>
        <w:tc>
          <w:tcPr>
            <w:tcW w:w="533" w:type="dxa"/>
            <w:gridSpan w:val="2"/>
            <w:vMerge w:val="continue"/>
            <w:tcBorders>
              <w:tl2br w:val="nil"/>
              <w:tr2bl w:val="nil"/>
            </w:tcBorders>
            <w:vAlign w:val="center"/>
          </w:tcPr>
          <w:p w14:paraId="277EFE9E">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2F51608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6184915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631016B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1EE37AB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1E73ED07">
            <w:pPr>
              <w:keepNext w:val="0"/>
              <w:keepLines w:val="0"/>
              <w:pageBreakBefore w:val="0"/>
              <w:widowControl/>
              <w:kinsoku/>
              <w:overflowPunct/>
              <w:topLinePunct w:val="0"/>
              <w:autoSpaceDE/>
              <w:autoSpaceDN/>
              <w:bidi w:val="0"/>
              <w:adjustRightInd/>
              <w:spacing w:line="260" w:lineRule="exact"/>
              <w:ind w:firstLine="210" w:firstLineChars="100"/>
              <w:jc w:val="left"/>
              <w:rPr>
                <w:rFonts w:hint="default" w:ascii="仿宋_GB2312" w:hAnsi="宋体" w:eastAsia="仿宋_GB2312"/>
                <w:color w:val="000000" w:themeColor="text1"/>
                <w:kern w:val="0"/>
                <w:szCs w:val="21"/>
                <w:lang w:val="en-US"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（7）造成特别重大质量安全事故；或造成单位（子单位）工程存在严重缺陷，经返修和加固处理仍不能满足安全使用要求</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或造成特别严重社会影响的。</w:t>
            </w:r>
          </w:p>
        </w:tc>
        <w:tc>
          <w:tcPr>
            <w:tcW w:w="3375" w:type="dxa"/>
            <w:tcBorders>
              <w:tl2br w:val="nil"/>
              <w:tr2bl w:val="nil"/>
            </w:tcBorders>
            <w:vAlign w:val="center"/>
          </w:tcPr>
          <w:p w14:paraId="3C4D702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勘察、设计单位或者工程监理单位处合同约定的勘察费、设计费或者监理酬金2倍的罚款；对施工单位处工程合同价款百分之四的罚款；对单位直接负责主管人员和其他直接责任人员处单位罚款数额百分之十的罚款；吊销资质证书；有违法所得的，予以没收。</w:t>
            </w:r>
          </w:p>
        </w:tc>
      </w:tr>
      <w:tr w14:paraId="4205739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1DA06AB8">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29</w:t>
            </w:r>
          </w:p>
        </w:tc>
        <w:tc>
          <w:tcPr>
            <w:tcW w:w="1376" w:type="dxa"/>
            <w:vMerge w:val="restart"/>
            <w:tcBorders>
              <w:tl2br w:val="nil"/>
              <w:tr2bl w:val="nil"/>
            </w:tcBorders>
            <w:vAlign w:val="center"/>
          </w:tcPr>
          <w:p w14:paraId="23D44353">
            <w:pPr>
              <w:keepNext w:val="0"/>
              <w:keepLines w:val="0"/>
              <w:pageBreakBefore w:val="0"/>
              <w:widowControl/>
              <w:kinsoku/>
              <w:overflowPunct/>
              <w:topLinePunct w:val="0"/>
              <w:autoSpaceDE/>
              <w:autoSpaceDN/>
              <w:bidi w:val="0"/>
              <w:adjustRightInd/>
              <w:spacing w:line="260" w:lineRule="exact"/>
              <w:ind w:firstLine="226" w:firstLineChars="100"/>
              <w:jc w:val="left"/>
              <w:rPr>
                <w:rFonts w:ascii="宋体" w:hAnsi="宋体" w:cs="Arial"/>
                <w:color w:val="000000" w:themeColor="text1"/>
                <w:spacing w:val="8"/>
                <w:kern w:val="0"/>
                <w:szCs w:val="21"/>
                <w14:textFill>
                  <w14:solidFill>
                    <w14:schemeClr w14:val="tx1"/>
                  </w14:solidFill>
                </w14:textFill>
              </w:rPr>
            </w:pPr>
          </w:p>
          <w:p w14:paraId="163A54ED">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0152B8CA">
            <w:pPr>
              <w:keepNext w:val="0"/>
              <w:keepLines w:val="0"/>
              <w:pageBreakBefore w:val="0"/>
              <w:widowControl/>
              <w:kinsoku/>
              <w:overflowPunct/>
              <w:topLinePunct w:val="0"/>
              <w:autoSpaceDE/>
              <w:autoSpaceDN/>
              <w:bidi w:val="0"/>
              <w:adjustRightInd/>
              <w:spacing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未取得资质证书承揽工程</w:t>
            </w:r>
          </w:p>
        </w:tc>
        <w:tc>
          <w:tcPr>
            <w:tcW w:w="1128" w:type="dxa"/>
            <w:gridSpan w:val="2"/>
            <w:vMerge w:val="restart"/>
            <w:tcBorders>
              <w:tl2br w:val="nil"/>
              <w:tr2bl w:val="nil"/>
            </w:tcBorders>
            <w:vAlign w:val="center"/>
          </w:tcPr>
          <w:p w14:paraId="38C1AAE7">
            <w:pPr>
              <w:keepNext w:val="0"/>
              <w:keepLines w:val="0"/>
              <w:pageBreakBefore w:val="0"/>
              <w:widowControl/>
              <w:kinsoku/>
              <w:overflowPunct/>
              <w:topLinePunct w:val="0"/>
              <w:autoSpaceDE/>
              <w:autoSpaceDN/>
              <w:bidi w:val="0"/>
              <w:adjustRightInd/>
              <w:spacing w:line="260" w:lineRule="exact"/>
              <w:jc w:val="left"/>
              <w:rPr>
                <w:rFonts w:ascii="宋体" w:hAnsi="宋体" w:cs="Arial"/>
                <w:color w:val="000000" w:themeColor="text1"/>
                <w:spacing w:val="8"/>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《建设工程质量管理条例》第十八条第一款/</w:t>
            </w:r>
            <w:r>
              <w:rPr>
                <w:rFonts w:ascii="仿宋_GB2312" w:hAnsi="宋体" w:eastAsia="仿宋_GB2312"/>
                <w:color w:val="000000" w:themeColor="text1"/>
                <w:kern w:val="0"/>
                <w:szCs w:val="21"/>
                <w14:textFill>
                  <w14:solidFill>
                    <w14:schemeClr w14:val="tx1"/>
                  </w14:solidFill>
                </w14:textFill>
              </w:rPr>
              <w:t>第二十五条第一款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第三十四条第一款</w:t>
            </w:r>
          </w:p>
        </w:tc>
        <w:tc>
          <w:tcPr>
            <w:tcW w:w="4354" w:type="dxa"/>
            <w:vMerge w:val="restart"/>
            <w:tcBorders>
              <w:tl2br w:val="nil"/>
              <w:tr2bl w:val="nil"/>
            </w:tcBorders>
            <w:vAlign w:val="center"/>
          </w:tcPr>
          <w:p w14:paraId="65D0FEAE">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4B19181D">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16118701">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558A8DF4">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0F27FA88">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《建设工程质量管理条例》第六十条</w:t>
            </w:r>
            <w:r>
              <w:rPr>
                <w:rFonts w:ascii="仿宋_GB2312" w:hAnsi="宋体" w:eastAsia="仿宋_GB2312"/>
                <w:color w:val="000000" w:themeColor="text1"/>
                <w:kern w:val="0"/>
                <w:szCs w:val="21"/>
                <w14:textFill>
                  <w14:solidFill>
                    <w14:schemeClr w14:val="tx1"/>
                  </w14:solidFill>
                </w14:textFill>
              </w:rPr>
              <w:t>第一款</w:t>
            </w:r>
            <w:r>
              <w:rPr>
                <w:rFonts w:hint="eastAsia" w:ascii="仿宋_GB2312" w:hAnsi="宋体" w:eastAsia="仿宋_GB2312"/>
                <w:color w:val="000000" w:themeColor="text1"/>
                <w:kern w:val="0"/>
                <w:szCs w:val="21"/>
                <w14:textFill>
                  <w14:solidFill>
                    <w14:schemeClr w14:val="tx1"/>
                  </w14:solidFill>
                </w14:textFill>
              </w:rPr>
              <w:t>/第二款</w:t>
            </w:r>
          </w:p>
          <w:p w14:paraId="25043ED4">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百分之二以上百分之四以下的罚款，可以责令停业整顿，降低资质等级；情节严重的，吊销资质证书；有违法所得的，予以没收。</w:t>
            </w:r>
          </w:p>
          <w:p w14:paraId="665F5881">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未取得资质证书承揽工程的，予以取缔，依照前款规定处以罚款；有违法所得的，予以没收。</w:t>
            </w:r>
          </w:p>
          <w:p w14:paraId="19E38AA4">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77478F0E">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18C0B55B">
            <w:pPr>
              <w:keepNext w:val="0"/>
              <w:keepLines w:val="0"/>
              <w:pageBreakBefore w:val="0"/>
              <w:widowControl/>
              <w:kinsoku/>
              <w:overflowPunct/>
              <w:topLinePunct w:val="0"/>
              <w:autoSpaceDE/>
              <w:autoSpaceDN/>
              <w:bidi w:val="0"/>
              <w:adjustRightInd/>
              <w:spacing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912" w:type="dxa"/>
            <w:tcBorders>
              <w:tl2br w:val="nil"/>
              <w:tr2bl w:val="nil"/>
            </w:tcBorders>
            <w:vAlign w:val="center"/>
          </w:tcPr>
          <w:p w14:paraId="3801A93D">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79166AC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375" w:type="dxa"/>
            <w:tcBorders>
              <w:tl2br w:val="nil"/>
              <w:tr2bl w:val="nil"/>
            </w:tcBorders>
            <w:vAlign w:val="center"/>
          </w:tcPr>
          <w:p w14:paraId="6378CF2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对勘察、设计单位或者工程监理单位处合同约定的勘察费、设计费或监理酬金</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倍以上1.2倍以下的罚款；对施工单位处工程合同价款百分之二以上百分之二点二以下的罚款；对单位直接负责主管人员和其他直接责任人员处单位罚款数额百分之五以上百分之六以下的罚款；未取得资质证书承揽工程的，予以取缔；有违法所得的，予以没收。</w:t>
            </w:r>
          </w:p>
        </w:tc>
      </w:tr>
      <w:tr w14:paraId="6507BBA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20C006B5">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4DAC716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4257D38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0553C25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668F41C0">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p w14:paraId="1001DC2E">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74BAF80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170581B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对勘察、设计单位或者工程监理单位处合同约定的勘察费、设计费或监理酬金</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2倍以上1.7倍以下的罚款；对施工单位处工程合同价款百分之二点二以上百分之三点五以下的罚款；对单位直接负责主管人员和其他直接责任人员处单位罚款数额百分之六以上百分之八点五以下的罚款；未取得资质证书承揽工程的，予以取缔；有违法所得的，予以没收。</w:t>
            </w:r>
          </w:p>
        </w:tc>
      </w:tr>
      <w:tr w14:paraId="6C8EFD1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4" w:hRule="atLeast"/>
          <w:jc w:val="center"/>
        </w:trPr>
        <w:tc>
          <w:tcPr>
            <w:tcW w:w="533" w:type="dxa"/>
            <w:gridSpan w:val="2"/>
            <w:vMerge w:val="continue"/>
            <w:tcBorders>
              <w:tl2br w:val="nil"/>
              <w:tr2bl w:val="nil"/>
            </w:tcBorders>
            <w:vAlign w:val="center"/>
          </w:tcPr>
          <w:p w14:paraId="5C41BA20">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41D455E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564163B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382B1E1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restart"/>
            <w:tcBorders>
              <w:tl2br w:val="nil"/>
              <w:tr2bl w:val="nil"/>
            </w:tcBorders>
            <w:vAlign w:val="center"/>
          </w:tcPr>
          <w:p w14:paraId="22554552">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2422DBD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（1）造成一般质量、安全事故的。</w:t>
            </w:r>
          </w:p>
        </w:tc>
        <w:tc>
          <w:tcPr>
            <w:tcW w:w="3375" w:type="dxa"/>
            <w:tcBorders>
              <w:tl2br w:val="nil"/>
              <w:tr2bl w:val="nil"/>
            </w:tcBorders>
            <w:vAlign w:val="center"/>
          </w:tcPr>
          <w:p w14:paraId="023A1E3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勘察、设计单位或者工程监理单位处合同约定的勘察费、设计费或监理酬金1.7倍以上2倍以下的罚款；对施工单位处工程合同价款百分之三点五以上百分之四以下的罚款；对单位直接负责主管人员和其他直接责任人员处单位罚款数额百分之八点五以上百分之十以下的罚款；可以责令停业整顿，降低资质等级；未取得资质证书承揽工程的，予以取缔；有违法所得的，予以没收。</w:t>
            </w:r>
          </w:p>
        </w:tc>
      </w:tr>
      <w:tr w14:paraId="793DA0D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2" w:hRule="atLeast"/>
          <w:jc w:val="center"/>
        </w:trPr>
        <w:tc>
          <w:tcPr>
            <w:tcW w:w="533" w:type="dxa"/>
            <w:gridSpan w:val="2"/>
            <w:vMerge w:val="continue"/>
            <w:tcBorders>
              <w:tl2br w:val="nil"/>
              <w:tr2bl w:val="nil"/>
            </w:tcBorders>
            <w:vAlign w:val="center"/>
          </w:tcPr>
          <w:p w14:paraId="25E8983C">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4FAFDA6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20338F3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3FE47AE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598EA48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5C51085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（2）3年内2次以上同类型违法；造成较大以上质量、安全事故的。</w:t>
            </w:r>
          </w:p>
        </w:tc>
        <w:tc>
          <w:tcPr>
            <w:tcW w:w="3375" w:type="dxa"/>
            <w:tcBorders>
              <w:tl2br w:val="nil"/>
              <w:tr2bl w:val="nil"/>
            </w:tcBorders>
            <w:vAlign w:val="center"/>
          </w:tcPr>
          <w:p w14:paraId="264E4B0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勘察、设计单位或者工程监理单位处合同约定的勘察费、设计费或监理酬金2倍的罚款；对施工单位处工程合同价款百分之四的罚款；对单位直接负责主管人员和其他直接责任人员处单位罚款数额百分之十的罚款；吊销资质证书；未取得资质证书承揽工程的，予以取缔；有违法所得的，予以没收。</w:t>
            </w:r>
          </w:p>
        </w:tc>
      </w:tr>
      <w:tr w14:paraId="152F0F7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1DC72186">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30</w:t>
            </w:r>
          </w:p>
        </w:tc>
        <w:tc>
          <w:tcPr>
            <w:tcW w:w="1376" w:type="dxa"/>
            <w:vMerge w:val="restart"/>
            <w:tcBorders>
              <w:tl2br w:val="nil"/>
              <w:tr2bl w:val="nil"/>
            </w:tcBorders>
            <w:vAlign w:val="center"/>
          </w:tcPr>
          <w:p w14:paraId="4E213B5A">
            <w:pPr>
              <w:keepNext w:val="0"/>
              <w:keepLines w:val="0"/>
              <w:pageBreakBefore w:val="0"/>
              <w:widowControl/>
              <w:kinsoku/>
              <w:overflowPunct/>
              <w:topLinePunct w:val="0"/>
              <w:autoSpaceDE/>
              <w:autoSpaceDN/>
              <w:bidi w:val="0"/>
              <w:adjustRightInd/>
              <w:spacing w:line="260" w:lineRule="exact"/>
              <w:jc w:val="left"/>
              <w:rPr>
                <w:rFonts w:ascii="宋体" w:hAnsi="宋体" w:cs="Arial"/>
                <w:color w:val="000000" w:themeColor="text1"/>
                <w:spacing w:val="8"/>
                <w:kern w:val="0"/>
                <w:szCs w:val="21"/>
                <w14:textFill>
                  <w14:solidFill>
                    <w14:schemeClr w14:val="tx1"/>
                  </w14:solidFill>
                </w14:textFill>
              </w:rPr>
            </w:pPr>
          </w:p>
          <w:p w14:paraId="5CAECC6B">
            <w:pPr>
              <w:keepNext w:val="0"/>
              <w:keepLines w:val="0"/>
              <w:pageBreakBefore w:val="0"/>
              <w:widowControl/>
              <w:kinsoku/>
              <w:overflowPunct/>
              <w:topLinePunct w:val="0"/>
              <w:autoSpaceDE/>
              <w:autoSpaceDN/>
              <w:bidi w:val="0"/>
              <w:adjustRightInd/>
              <w:spacing w:line="260" w:lineRule="exact"/>
              <w:jc w:val="left"/>
              <w:rPr>
                <w:rFonts w:ascii="宋体" w:hAnsi="宋体" w:cs="Arial"/>
                <w:color w:val="000000" w:themeColor="text1"/>
                <w:spacing w:val="8"/>
                <w:kern w:val="0"/>
                <w:szCs w:val="21"/>
                <w14:textFill>
                  <w14:solidFill>
                    <w14:schemeClr w14:val="tx1"/>
                  </w14:solidFill>
                </w14:textFill>
              </w:rPr>
            </w:pPr>
          </w:p>
          <w:p w14:paraId="6767C8F8">
            <w:pPr>
              <w:keepNext w:val="0"/>
              <w:keepLines w:val="0"/>
              <w:pageBreakBefore w:val="0"/>
              <w:widowControl/>
              <w:kinsoku/>
              <w:overflowPunct/>
              <w:topLinePunct w:val="0"/>
              <w:autoSpaceDE/>
              <w:autoSpaceDN/>
              <w:bidi w:val="0"/>
              <w:adjustRightInd/>
              <w:spacing w:line="260" w:lineRule="exact"/>
              <w:jc w:val="left"/>
              <w:rPr>
                <w:rFonts w:ascii="宋体" w:hAnsi="宋体" w:cs="Arial"/>
                <w:color w:val="000000" w:themeColor="text1"/>
                <w:spacing w:val="8"/>
                <w:kern w:val="0"/>
                <w:szCs w:val="21"/>
                <w14:textFill>
                  <w14:solidFill>
                    <w14:schemeClr w14:val="tx1"/>
                  </w14:solidFill>
                </w14:textFill>
              </w:rPr>
            </w:pPr>
          </w:p>
          <w:p w14:paraId="7B7AFFF5">
            <w:pPr>
              <w:keepNext w:val="0"/>
              <w:keepLines w:val="0"/>
              <w:pageBreakBefore w:val="0"/>
              <w:widowControl/>
              <w:kinsoku/>
              <w:overflowPunct/>
              <w:topLinePunct w:val="0"/>
              <w:autoSpaceDE/>
              <w:autoSpaceDN/>
              <w:bidi w:val="0"/>
              <w:adjustRightInd/>
              <w:spacing w:line="260" w:lineRule="exact"/>
              <w:jc w:val="left"/>
              <w:rPr>
                <w:rFonts w:ascii="宋体" w:hAnsi="宋体" w:cs="Arial"/>
                <w:color w:val="000000" w:themeColor="text1"/>
                <w:spacing w:val="8"/>
                <w:kern w:val="0"/>
                <w:szCs w:val="21"/>
                <w14:textFill>
                  <w14:solidFill>
                    <w14:schemeClr w14:val="tx1"/>
                  </w14:solidFill>
                </w14:textFill>
              </w:rPr>
            </w:pPr>
          </w:p>
          <w:p w14:paraId="680F3ABA">
            <w:pPr>
              <w:keepNext w:val="0"/>
              <w:keepLines w:val="0"/>
              <w:pageBreakBefore w:val="0"/>
              <w:widowControl/>
              <w:kinsoku/>
              <w:overflowPunct/>
              <w:topLinePunct w:val="0"/>
              <w:autoSpaceDE/>
              <w:autoSpaceDN/>
              <w:bidi w:val="0"/>
              <w:adjustRightInd/>
              <w:spacing w:line="260" w:lineRule="exact"/>
              <w:jc w:val="left"/>
              <w:rPr>
                <w:rFonts w:ascii="宋体" w:hAnsi="宋体" w:cs="Arial"/>
                <w:color w:val="000000" w:themeColor="text1"/>
                <w:spacing w:val="8"/>
                <w:kern w:val="0"/>
                <w:szCs w:val="21"/>
                <w14:textFill>
                  <w14:solidFill>
                    <w14:schemeClr w14:val="tx1"/>
                  </w14:solidFill>
                </w14:textFill>
              </w:rPr>
            </w:pPr>
          </w:p>
          <w:p w14:paraId="6FFC3470">
            <w:pPr>
              <w:keepNext w:val="0"/>
              <w:keepLines w:val="0"/>
              <w:pageBreakBefore w:val="0"/>
              <w:widowControl/>
              <w:kinsoku/>
              <w:overflowPunct/>
              <w:topLinePunct w:val="0"/>
              <w:autoSpaceDE/>
              <w:autoSpaceDN/>
              <w:bidi w:val="0"/>
              <w:adjustRightInd/>
              <w:spacing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以欺骗手段取得资质证书承揽工程</w:t>
            </w:r>
          </w:p>
        </w:tc>
        <w:tc>
          <w:tcPr>
            <w:tcW w:w="1128" w:type="dxa"/>
            <w:gridSpan w:val="2"/>
            <w:vMerge w:val="restart"/>
            <w:tcBorders>
              <w:tl2br w:val="nil"/>
              <w:tr2bl w:val="nil"/>
            </w:tcBorders>
            <w:vAlign w:val="center"/>
          </w:tcPr>
          <w:p w14:paraId="2EE60A4F">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78B3FBE1">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1A17FCF7">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56C44E06">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720206D6">
            <w:pPr>
              <w:keepNext w:val="0"/>
              <w:keepLines w:val="0"/>
              <w:pageBreakBefore w:val="0"/>
              <w:widowControl/>
              <w:kinsoku/>
              <w:overflowPunct/>
              <w:topLinePunct w:val="0"/>
              <w:autoSpaceDE/>
              <w:autoSpaceDN/>
              <w:bidi w:val="0"/>
              <w:adjustRightInd/>
              <w:spacing w:line="260" w:lineRule="exact"/>
              <w:jc w:val="left"/>
              <w:rPr>
                <w:rFonts w:ascii="宋体" w:hAnsi="宋体" w:cs="Arial"/>
                <w:color w:val="000000" w:themeColor="text1"/>
                <w:spacing w:val="8"/>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《建设工程质量管理条例》第十八条第一款/</w:t>
            </w:r>
            <w:r>
              <w:rPr>
                <w:rFonts w:ascii="仿宋_GB2312" w:hAnsi="宋体" w:eastAsia="仿宋_GB2312"/>
                <w:color w:val="000000" w:themeColor="text1"/>
                <w:kern w:val="0"/>
                <w:szCs w:val="21"/>
                <w14:textFill>
                  <w14:solidFill>
                    <w14:schemeClr w14:val="tx1"/>
                  </w14:solidFill>
                </w14:textFill>
              </w:rPr>
              <w:t>第二十五条第一款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第三十四条第一款</w:t>
            </w:r>
          </w:p>
        </w:tc>
        <w:tc>
          <w:tcPr>
            <w:tcW w:w="4354" w:type="dxa"/>
            <w:vMerge w:val="restart"/>
            <w:tcBorders>
              <w:tl2br w:val="nil"/>
              <w:tr2bl w:val="nil"/>
            </w:tcBorders>
            <w:vAlign w:val="center"/>
          </w:tcPr>
          <w:p w14:paraId="587A50C9">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04DCA2EF">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5EF9ED0A">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106338AC">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《建设工程质量管理条例》第六十条</w:t>
            </w:r>
            <w:r>
              <w:rPr>
                <w:rFonts w:ascii="仿宋_GB2312" w:hAnsi="宋体" w:eastAsia="仿宋_GB2312"/>
                <w:color w:val="000000" w:themeColor="text1"/>
                <w:kern w:val="0"/>
                <w:szCs w:val="21"/>
                <w14:textFill>
                  <w14:solidFill>
                    <w14:schemeClr w14:val="tx1"/>
                  </w14:solidFill>
                </w14:textFill>
              </w:rPr>
              <w:t>第一款</w:t>
            </w:r>
            <w:r>
              <w:rPr>
                <w:rFonts w:hint="eastAsia" w:ascii="仿宋_GB2312" w:hAnsi="宋体" w:eastAsia="仿宋_GB2312"/>
                <w:color w:val="000000" w:themeColor="text1"/>
                <w:kern w:val="0"/>
                <w:szCs w:val="21"/>
                <w14:textFill>
                  <w14:solidFill>
                    <w14:schemeClr w14:val="tx1"/>
                  </w14:solidFill>
                </w14:textFill>
              </w:rPr>
              <w:t>/第三款</w:t>
            </w:r>
          </w:p>
          <w:p w14:paraId="75201558">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百分之二以上百分之四以下的罚款，可以责令停业整顿，降低资质等级；情节严重的，吊销资质证书；有违法所得的，予以没收。</w:t>
            </w:r>
          </w:p>
          <w:p w14:paraId="6FA8EF54">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以欺骗手段取得资质证书承揽工程的，吊销资质证书，依照本条第一款规定处以罚款；有违法所得的，予以没收。</w:t>
            </w:r>
          </w:p>
          <w:p w14:paraId="6628A4FC">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1A730EB4">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6EA37A36">
            <w:pPr>
              <w:keepNext w:val="0"/>
              <w:keepLines w:val="0"/>
              <w:pageBreakBefore w:val="0"/>
              <w:kinsoku/>
              <w:overflowPunct/>
              <w:topLinePunct w:val="0"/>
              <w:autoSpaceDE/>
              <w:autoSpaceDN/>
              <w:bidi w:val="0"/>
              <w:adjustRightInd/>
              <w:spacing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912" w:type="dxa"/>
            <w:tcBorders>
              <w:tl2br w:val="nil"/>
              <w:tr2bl w:val="nil"/>
            </w:tcBorders>
            <w:vAlign w:val="center"/>
          </w:tcPr>
          <w:p w14:paraId="37BD3F73">
            <w:pPr>
              <w:keepNext w:val="0"/>
              <w:keepLines w:val="0"/>
              <w:pageBreakBefore w:val="0"/>
              <w:widowControl/>
              <w:kinsoku/>
              <w:overflowPunct/>
              <w:topLinePunct w:val="0"/>
              <w:autoSpaceDE/>
              <w:autoSpaceDN/>
              <w:bidi w:val="0"/>
              <w:adjustRightInd/>
              <w:spacing w:line="260" w:lineRule="exact"/>
              <w:jc w:val="left"/>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4773233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375" w:type="dxa"/>
            <w:tcBorders>
              <w:tl2br w:val="nil"/>
              <w:tr2bl w:val="nil"/>
            </w:tcBorders>
            <w:vAlign w:val="center"/>
          </w:tcPr>
          <w:p w14:paraId="7FF50B3B">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吊销资质证书；对勘察、设计单位或者工程监理单位处合同约定的勘察费、设计费或监理酬金</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倍以上1.2倍以下的罚款；对施工单位处工程合同价款百分之二以上百分之二点二以下的罚款；对单位直接负责主管人员和其他直接责任人员处单位罚款数额百分之五以上百分之六以下的罚款；有违法所得的，予以没收。</w:t>
            </w:r>
          </w:p>
        </w:tc>
      </w:tr>
      <w:tr w14:paraId="5168A95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07E45F0E">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68DF1FC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7BF8057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5AE4B12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4F1D7003">
            <w:pPr>
              <w:keepNext w:val="0"/>
              <w:keepLines w:val="0"/>
              <w:pageBreakBefore w:val="0"/>
              <w:widowControl/>
              <w:kinsoku/>
              <w:overflowPunct/>
              <w:topLinePunct w:val="0"/>
              <w:autoSpaceDE/>
              <w:autoSpaceDN/>
              <w:bidi w:val="0"/>
              <w:adjustRightInd/>
              <w:spacing w:line="260" w:lineRule="exact"/>
              <w:jc w:val="left"/>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1E2B918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7E66E536">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吊销资质证书；对勘察、设计单位或者工程监理单位处合同约定的勘察费、设计费或监理酬金</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2倍以上1.7倍以下的罚款；对施工单位处工程合同价款百分之二点二以上百分之三点五以下的罚款；对单位直接负责主管人员和其他直接责任人员处单位罚款数额百分之六以上百分之八点五以下的罚款；有违法所得的，予以没收。</w:t>
            </w:r>
          </w:p>
        </w:tc>
      </w:tr>
      <w:tr w14:paraId="4200796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533" w:type="dxa"/>
            <w:gridSpan w:val="2"/>
            <w:vMerge w:val="continue"/>
            <w:tcBorders>
              <w:tl2br w:val="nil"/>
              <w:tr2bl w:val="nil"/>
            </w:tcBorders>
            <w:vAlign w:val="center"/>
          </w:tcPr>
          <w:p w14:paraId="0BBE6975">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3DE1ED6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15DC7B8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1A0D30B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restart"/>
            <w:tcBorders>
              <w:tl2br w:val="nil"/>
              <w:tr2bl w:val="nil"/>
            </w:tcBorders>
            <w:vAlign w:val="center"/>
          </w:tcPr>
          <w:p w14:paraId="5ED4B222">
            <w:pPr>
              <w:keepNext w:val="0"/>
              <w:keepLines w:val="0"/>
              <w:pageBreakBefore w:val="0"/>
              <w:widowControl/>
              <w:kinsoku/>
              <w:overflowPunct/>
              <w:topLinePunct w:val="0"/>
              <w:autoSpaceDE/>
              <w:autoSpaceDN/>
              <w:bidi w:val="0"/>
              <w:adjustRightInd/>
              <w:spacing w:line="260" w:lineRule="exact"/>
              <w:jc w:val="left"/>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413929C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（1）造成一般质量、安全事故的。</w:t>
            </w:r>
          </w:p>
        </w:tc>
        <w:tc>
          <w:tcPr>
            <w:tcW w:w="3375" w:type="dxa"/>
            <w:tcBorders>
              <w:tl2br w:val="nil"/>
              <w:tr2bl w:val="nil"/>
            </w:tcBorders>
            <w:vAlign w:val="center"/>
          </w:tcPr>
          <w:p w14:paraId="609D200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吊销资质证书；对勘察、设计单位或者工程监理单位处合同约定的勘察费、设计费或监理酬金1.7倍以上2倍以下的罚款；对施工单位处工程合同价款百分之三点五以上百分之四以下的罚款；对单位直接负责主管人员和其他直接责任人员处单位罚款数额百分之八点五以上百分之十以下的罚款；有违法所得的，予以没收。</w:t>
            </w:r>
          </w:p>
        </w:tc>
      </w:tr>
      <w:tr w14:paraId="099DBA7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81" w:hRule="atLeast"/>
          <w:jc w:val="center"/>
        </w:trPr>
        <w:tc>
          <w:tcPr>
            <w:tcW w:w="533" w:type="dxa"/>
            <w:gridSpan w:val="2"/>
            <w:vMerge w:val="continue"/>
            <w:tcBorders>
              <w:tl2br w:val="nil"/>
              <w:tr2bl w:val="nil"/>
            </w:tcBorders>
            <w:vAlign w:val="center"/>
          </w:tcPr>
          <w:p w14:paraId="2178A97C">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7719C39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25C054B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031C703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1446580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50930F5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（2）造成较大以上质量、安全事故的。</w:t>
            </w:r>
          </w:p>
        </w:tc>
        <w:tc>
          <w:tcPr>
            <w:tcW w:w="3375" w:type="dxa"/>
            <w:tcBorders>
              <w:tl2br w:val="nil"/>
              <w:tr2bl w:val="nil"/>
            </w:tcBorders>
            <w:vAlign w:val="center"/>
          </w:tcPr>
          <w:p w14:paraId="4858530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吊销资质证书；对勘察、设计单位或者工程监理单位处合同约定的勘察费、设计费或监理酬金2倍的罚款；对施工单位处工程合同价款百分之四的罚款；对单位直接负责主管人员和其他直接责任人员处单位罚款数额百分之十的罚款；有违法所得的，予以没收。</w:t>
            </w:r>
          </w:p>
        </w:tc>
      </w:tr>
      <w:tr w14:paraId="053D114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7B702038">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31</w:t>
            </w:r>
          </w:p>
        </w:tc>
        <w:tc>
          <w:tcPr>
            <w:tcW w:w="1376" w:type="dxa"/>
            <w:vMerge w:val="restart"/>
            <w:tcBorders>
              <w:tl2br w:val="nil"/>
              <w:tr2bl w:val="nil"/>
            </w:tcBorders>
            <w:vAlign w:val="center"/>
          </w:tcPr>
          <w:p w14:paraId="07651DE1">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6127D19C">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34685858">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48BB5FA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勘察、设计、施工、工程监理单位允许其他单位或者个人以本单位名义承揽工程</w:t>
            </w:r>
          </w:p>
        </w:tc>
        <w:tc>
          <w:tcPr>
            <w:tcW w:w="1128" w:type="dxa"/>
            <w:gridSpan w:val="2"/>
            <w:vMerge w:val="restart"/>
            <w:tcBorders>
              <w:tl2br w:val="nil"/>
              <w:tr2bl w:val="nil"/>
            </w:tcBorders>
            <w:vAlign w:val="center"/>
          </w:tcPr>
          <w:p w14:paraId="46D3066D">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0B95E777">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39C07CC9">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6F933B2A">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《建设工程质量管理条例》第十八条第二款/</w:t>
            </w:r>
            <w:r>
              <w:rPr>
                <w:rFonts w:ascii="仿宋_GB2312" w:hAnsi="宋体" w:eastAsia="仿宋_GB2312"/>
                <w:color w:val="000000" w:themeColor="text1"/>
                <w:kern w:val="0"/>
                <w:szCs w:val="21"/>
                <w14:textFill>
                  <w14:solidFill>
                    <w14:schemeClr w14:val="tx1"/>
                  </w14:solidFill>
                </w14:textFill>
              </w:rPr>
              <w:t>第二十五条第二款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第三十四条第二款</w:t>
            </w:r>
          </w:p>
        </w:tc>
        <w:tc>
          <w:tcPr>
            <w:tcW w:w="4354" w:type="dxa"/>
            <w:vMerge w:val="restart"/>
            <w:tcBorders>
              <w:tl2br w:val="nil"/>
              <w:tr2bl w:val="nil"/>
            </w:tcBorders>
            <w:vAlign w:val="center"/>
          </w:tcPr>
          <w:p w14:paraId="0B206142">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3CB2FA42">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663AD285">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5EE1E763">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55464CC4">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《建设工程质量管理条例》第六十一条</w:t>
            </w:r>
          </w:p>
          <w:p w14:paraId="55157B3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违反本条例规定</w:t>
            </w:r>
            <w:r>
              <w:rPr>
                <w:rFonts w:hint="eastAsia" w:ascii="仿宋_GB2312" w:hAnsi="宋体" w:eastAsia="仿宋_GB2312"/>
                <w:color w:val="000000" w:themeColor="text1"/>
                <w:kern w:val="0"/>
                <w:szCs w:val="21"/>
                <w14:textFill>
                  <w14:solidFill>
                    <w14:schemeClr w14:val="tx1"/>
                  </w14:solidFill>
                </w14:textFill>
              </w:rPr>
              <w:t>，勘察、设计、施工、工程监理单位允许其他单位或者个人以本单位名义承揽工程的，责令改正，没收违法所得，对勘察、设计单位和工程监理单位处合同约定的勘察费、设计费和监理酬金1倍以上2倍以下的罚款；对施工单位处工程合同价款百分之二以上百分之四以下的罚款；可以责令停业整顿，降低资质等级；情节严重的，吊销资质证书。</w:t>
            </w:r>
          </w:p>
          <w:p w14:paraId="3F524648">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443CBDAA">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6DA70C8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912" w:type="dxa"/>
            <w:tcBorders>
              <w:tl2br w:val="nil"/>
              <w:tr2bl w:val="nil"/>
            </w:tcBorders>
            <w:vAlign w:val="center"/>
          </w:tcPr>
          <w:p w14:paraId="20DB420E">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59BC067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375" w:type="dxa"/>
            <w:tcBorders>
              <w:tl2br w:val="nil"/>
              <w:tr2bl w:val="nil"/>
            </w:tcBorders>
            <w:vAlign w:val="center"/>
          </w:tcPr>
          <w:p w14:paraId="6CCE9EA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或者工程监理单位处合同约定的勘察费、设计费或监理酬金1倍以上1.2倍以下的罚款；对施工单位处工程合同价款百分之二以上百分之二点二以下的罚款；对单位直接负责主管人员和其他直接责任人员处单位罚款数额百分之五以上百分之六以下的罚款。</w:t>
            </w:r>
          </w:p>
        </w:tc>
      </w:tr>
      <w:tr w14:paraId="38D9EE6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70AA68EB">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6BA13CF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656277C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534FE7C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4C068BF2">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6622E05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4A9C49D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或者工程监理单位处合同约定的勘察费、设计费或监理酬金1.2倍以上1.7倍以下的罚款；对施工单位处工程合同价款百分之二点二以上百分之三点五以下的罚款；对单位直接负责主管人员和其他直接责任人员处单位罚款数额百分之六以上百分之八点五以下的罚款。</w:t>
            </w:r>
          </w:p>
        </w:tc>
      </w:tr>
      <w:tr w14:paraId="33FF901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6" w:hRule="atLeast"/>
          <w:jc w:val="center"/>
        </w:trPr>
        <w:tc>
          <w:tcPr>
            <w:tcW w:w="533" w:type="dxa"/>
            <w:gridSpan w:val="2"/>
            <w:vMerge w:val="continue"/>
            <w:tcBorders>
              <w:tl2br w:val="nil"/>
              <w:tr2bl w:val="nil"/>
            </w:tcBorders>
            <w:vAlign w:val="center"/>
          </w:tcPr>
          <w:p w14:paraId="79028D38">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567C12D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018879E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17847EC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restart"/>
            <w:tcBorders>
              <w:tl2br w:val="nil"/>
              <w:tr2bl w:val="nil"/>
            </w:tcBorders>
            <w:vAlign w:val="center"/>
          </w:tcPr>
          <w:p w14:paraId="67811F8C">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452BFC8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（1）2年内2次及以上同类型违法。</w:t>
            </w:r>
          </w:p>
        </w:tc>
        <w:tc>
          <w:tcPr>
            <w:tcW w:w="3375" w:type="dxa"/>
            <w:tcBorders>
              <w:tl2br w:val="nil"/>
              <w:tr2bl w:val="nil"/>
            </w:tcBorders>
            <w:vAlign w:val="center"/>
          </w:tcPr>
          <w:p w14:paraId="2519E11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或者工程监理单位处合同约定的勘察费、设计费或监理酬金1.7倍以上2倍以下的罚款；对施工单位处工程合同价款百分之三点五以上百分之四以下的罚款；对单位直接负责主管人员和其他直接责任人员处单位罚款数额百分之八点五以上百分之十以下的罚款；责令停业整顿30—60日。</w:t>
            </w:r>
          </w:p>
        </w:tc>
      </w:tr>
      <w:tr w14:paraId="0C13D0D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 w:hRule="atLeast"/>
          <w:jc w:val="center"/>
        </w:trPr>
        <w:tc>
          <w:tcPr>
            <w:tcW w:w="533" w:type="dxa"/>
            <w:gridSpan w:val="2"/>
            <w:vMerge w:val="continue"/>
            <w:tcBorders>
              <w:tl2br w:val="nil"/>
              <w:tr2bl w:val="nil"/>
            </w:tcBorders>
            <w:vAlign w:val="center"/>
          </w:tcPr>
          <w:p w14:paraId="6F0F867E">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75D4E5F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7AF1DA2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368EB04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398FFFF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66C996C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（2）造成3人以下死亡，或者10人以下重伤，或者1000万元以下直接经济损失。</w:t>
            </w:r>
          </w:p>
        </w:tc>
        <w:tc>
          <w:tcPr>
            <w:tcW w:w="3375" w:type="dxa"/>
            <w:tcBorders>
              <w:tl2br w:val="nil"/>
              <w:tr2bl w:val="nil"/>
            </w:tcBorders>
            <w:vAlign w:val="center"/>
          </w:tcPr>
          <w:p w14:paraId="798A9D1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或者工程监理单位处合同约定的勘察费、设计费或监理酬金2倍的罚款；对施工单位处工程合同价款百分之四的罚款；对单位直接负责主管人员和其他直接责任人员处单位罚款数额百分之十的罚款；责令停业整顿30—60日。</w:t>
            </w:r>
          </w:p>
        </w:tc>
      </w:tr>
      <w:tr w14:paraId="4EC811B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jc w:val="center"/>
        </w:trPr>
        <w:tc>
          <w:tcPr>
            <w:tcW w:w="533" w:type="dxa"/>
            <w:gridSpan w:val="2"/>
            <w:vMerge w:val="continue"/>
            <w:tcBorders>
              <w:tl2br w:val="nil"/>
              <w:tr2bl w:val="nil"/>
            </w:tcBorders>
            <w:vAlign w:val="center"/>
          </w:tcPr>
          <w:p w14:paraId="56D4ACAA">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6B5C386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102364D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371D119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2AA403B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491AD91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（3）造成3人以上5人以下死亡，或者10人以上20人以下重伤，或者1000万元以上2000万元以下直接经济损失的。</w:t>
            </w:r>
          </w:p>
        </w:tc>
        <w:tc>
          <w:tcPr>
            <w:tcW w:w="3375" w:type="dxa"/>
            <w:tcBorders>
              <w:tl2br w:val="nil"/>
              <w:tr2bl w:val="nil"/>
            </w:tcBorders>
            <w:vAlign w:val="center"/>
          </w:tcPr>
          <w:p w14:paraId="776809B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或者工程监理单位处合同约定的勘察费、设计费或监理酬金2倍的罚款；对施工单位处工程合同价款百分之四的罚款；对单位直接负责主管人员和其他直接责任人员处单位罚款数额百分之十的罚款；责令停业整顿60—90日。</w:t>
            </w:r>
          </w:p>
        </w:tc>
      </w:tr>
      <w:tr w14:paraId="408D62F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 w:hRule="atLeast"/>
          <w:jc w:val="center"/>
        </w:trPr>
        <w:tc>
          <w:tcPr>
            <w:tcW w:w="533" w:type="dxa"/>
            <w:gridSpan w:val="2"/>
            <w:vMerge w:val="continue"/>
            <w:tcBorders>
              <w:tl2br w:val="nil"/>
              <w:tr2bl w:val="nil"/>
            </w:tcBorders>
            <w:vAlign w:val="center"/>
          </w:tcPr>
          <w:p w14:paraId="5FD3B1E6">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7B30EC2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427A1CE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11E3DED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153E9BB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0D28FB5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（4）造成5人以上7人以下死亡，或者20人以上30人以下重伤，或者2000万元以上3000万元以下直接经济损失的。</w:t>
            </w:r>
          </w:p>
        </w:tc>
        <w:tc>
          <w:tcPr>
            <w:tcW w:w="3375" w:type="dxa"/>
            <w:tcBorders>
              <w:tl2br w:val="nil"/>
              <w:tr2bl w:val="nil"/>
            </w:tcBorders>
            <w:vAlign w:val="center"/>
          </w:tcPr>
          <w:p w14:paraId="467A416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或者工程监理单位处合同约定的勘察费、设计费或监理酬金2倍的罚款；对施工单位处工程合同价款百分之四的罚款；对单位直接负责主管人员和其他直接责任人员处单位罚款数额百分之十的罚款；责令停业整顿90—120日。</w:t>
            </w:r>
          </w:p>
        </w:tc>
      </w:tr>
      <w:tr w14:paraId="52C058D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jc w:val="center"/>
        </w:trPr>
        <w:tc>
          <w:tcPr>
            <w:tcW w:w="533" w:type="dxa"/>
            <w:gridSpan w:val="2"/>
            <w:vMerge w:val="continue"/>
            <w:tcBorders>
              <w:tl2br w:val="nil"/>
              <w:tr2bl w:val="nil"/>
            </w:tcBorders>
            <w:vAlign w:val="center"/>
          </w:tcPr>
          <w:p w14:paraId="6D5B4699">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30C4163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38674D2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362FD26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0966251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188B23D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（5）造成</w:t>
            </w:r>
            <w:r>
              <w:rPr>
                <w:rFonts w:ascii="仿宋_GB2312" w:hAnsi="宋体" w:eastAsia="仿宋_GB2312"/>
                <w:color w:val="000000" w:themeColor="text1"/>
                <w:kern w:val="0"/>
                <w:szCs w:val="21"/>
                <w14:textFill>
                  <w14:solidFill>
                    <w14:schemeClr w14:val="tx1"/>
                  </w14:solidFill>
                </w14:textFill>
              </w:rPr>
              <w:t>7</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50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3000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5000</w:t>
            </w:r>
            <w:r>
              <w:rPr>
                <w:rFonts w:hint="eastAsia" w:ascii="仿宋_GB2312" w:hAnsi="宋体" w:eastAsia="仿宋_GB2312"/>
                <w:color w:val="000000" w:themeColor="text1"/>
                <w:kern w:val="0"/>
                <w:szCs w:val="21"/>
                <w14:textFill>
                  <w14:solidFill>
                    <w14:schemeClr w14:val="tx1"/>
                  </w14:solidFill>
                </w14:textFill>
              </w:rPr>
              <w:t>万元以下直接经济损失的。</w:t>
            </w:r>
          </w:p>
        </w:tc>
        <w:tc>
          <w:tcPr>
            <w:tcW w:w="3375" w:type="dxa"/>
            <w:tcBorders>
              <w:tl2br w:val="nil"/>
              <w:tr2bl w:val="nil"/>
            </w:tcBorders>
            <w:vAlign w:val="center"/>
          </w:tcPr>
          <w:p w14:paraId="0DC3E70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或者工程监理单位处合同约定的勘察费、设计费或监理酬金2倍的罚款；对施工单位处工程合同价款百分之四的罚款；对单位直接负责主管人员和其他直接责任人员处单位罚款数额百分之十的罚款；责令停业整顿120—180日。</w:t>
            </w:r>
          </w:p>
        </w:tc>
      </w:tr>
      <w:tr w14:paraId="6EA4061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jc w:val="center"/>
        </w:trPr>
        <w:tc>
          <w:tcPr>
            <w:tcW w:w="533" w:type="dxa"/>
            <w:gridSpan w:val="2"/>
            <w:vMerge w:val="continue"/>
            <w:tcBorders>
              <w:tl2br w:val="nil"/>
              <w:tr2bl w:val="nil"/>
            </w:tcBorders>
            <w:vAlign w:val="center"/>
          </w:tcPr>
          <w:p w14:paraId="6747A7AA">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664F644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061A846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4F11DAD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440B686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6C5293F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（6）3年内4次同类违法；或造成重大质量、安全事故的；或造成分部工程存在严重缺陷，经返修和加固处理仍不能满足安全使用要求。</w:t>
            </w:r>
          </w:p>
        </w:tc>
        <w:tc>
          <w:tcPr>
            <w:tcW w:w="3375" w:type="dxa"/>
            <w:tcBorders>
              <w:tl2br w:val="nil"/>
              <w:tr2bl w:val="nil"/>
            </w:tcBorders>
            <w:vAlign w:val="center"/>
          </w:tcPr>
          <w:p w14:paraId="22D047F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或者工程监理单位处合同约定的勘察费、设计费或监理酬金2倍的罚款；对施工单位处工程合同价款百分之四的罚款；对单位直接负责主管人员和其他直接责任人员处单位罚款数额百分之十的罚款；降低资质等级。</w:t>
            </w:r>
          </w:p>
        </w:tc>
      </w:tr>
      <w:tr w14:paraId="57A0A42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 w:hRule="atLeast"/>
          <w:jc w:val="center"/>
        </w:trPr>
        <w:tc>
          <w:tcPr>
            <w:tcW w:w="533" w:type="dxa"/>
            <w:gridSpan w:val="2"/>
            <w:vMerge w:val="continue"/>
            <w:tcBorders>
              <w:tl2br w:val="nil"/>
              <w:tr2bl w:val="nil"/>
            </w:tcBorders>
            <w:vAlign w:val="center"/>
          </w:tcPr>
          <w:p w14:paraId="3F6F19D7">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350D427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0E8395F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42843C4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558B35F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4E6CD78A">
            <w:pPr>
              <w:keepNext w:val="0"/>
              <w:keepLines w:val="0"/>
              <w:pageBreakBefore w:val="0"/>
              <w:widowControl/>
              <w:kinsoku/>
              <w:overflowPunct/>
              <w:topLinePunct w:val="0"/>
              <w:autoSpaceDE/>
              <w:autoSpaceDN/>
              <w:bidi w:val="0"/>
              <w:adjustRightInd/>
              <w:spacing w:line="260" w:lineRule="exact"/>
              <w:ind w:firstLine="210" w:firstLineChars="100"/>
              <w:jc w:val="left"/>
              <w:rPr>
                <w:rFonts w:hint="default" w:ascii="仿宋_GB2312" w:hAnsi="宋体" w:eastAsia="仿宋_GB2312"/>
                <w:color w:val="000000" w:themeColor="text1"/>
                <w:kern w:val="0"/>
                <w:szCs w:val="21"/>
                <w:lang w:val="en-US"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（7）3年内5次同类违法；或造成特别重大质量、安全事故的；或造成单位（子单位）工程存在严重缺陷，经返修和加固处理仍不能满足安全使用要求</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或造成特别严重社会影响。</w:t>
            </w:r>
          </w:p>
        </w:tc>
        <w:tc>
          <w:tcPr>
            <w:tcW w:w="3375" w:type="dxa"/>
            <w:tcBorders>
              <w:tl2br w:val="nil"/>
              <w:tr2bl w:val="nil"/>
            </w:tcBorders>
            <w:vAlign w:val="center"/>
          </w:tcPr>
          <w:p w14:paraId="4FDD344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或者工程监理单位处合同约定的勘察费、设计费或监理酬金2倍的罚款；对施工单位处工程合同价款百分之四的罚款；对单位直接负责主管人员和其他直接责任人员处单位罚款数额百分之十的罚款；吊销资质证书。</w:t>
            </w:r>
          </w:p>
        </w:tc>
      </w:tr>
      <w:tr w14:paraId="4C7211B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0FF31EE8">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32</w:t>
            </w:r>
          </w:p>
        </w:tc>
        <w:tc>
          <w:tcPr>
            <w:tcW w:w="1376" w:type="dxa"/>
            <w:vMerge w:val="restart"/>
            <w:tcBorders>
              <w:tl2br w:val="nil"/>
              <w:tr2bl w:val="nil"/>
            </w:tcBorders>
            <w:vAlign w:val="center"/>
          </w:tcPr>
          <w:p w14:paraId="5EBD5275">
            <w:pPr>
              <w:keepNext w:val="0"/>
              <w:keepLines w:val="0"/>
              <w:pageBreakBefore w:val="0"/>
              <w:widowControl/>
              <w:kinsoku/>
              <w:overflowPunct/>
              <w:topLinePunct w:val="0"/>
              <w:autoSpaceDE/>
              <w:autoSpaceDN/>
              <w:bidi w:val="0"/>
              <w:adjustRightInd/>
              <w:spacing w:line="260" w:lineRule="exact"/>
              <w:jc w:val="left"/>
              <w:rPr>
                <w:rFonts w:ascii="宋体" w:hAnsi="宋体" w:cs="Arial"/>
                <w:color w:val="000000" w:themeColor="text1"/>
                <w:spacing w:val="8"/>
                <w:kern w:val="0"/>
                <w:szCs w:val="21"/>
                <w14:textFill>
                  <w14:solidFill>
                    <w14:schemeClr w14:val="tx1"/>
                  </w14:solidFill>
                </w14:textFill>
              </w:rPr>
            </w:pPr>
          </w:p>
          <w:p w14:paraId="29ABE16D">
            <w:pPr>
              <w:keepNext w:val="0"/>
              <w:keepLines w:val="0"/>
              <w:pageBreakBefore w:val="0"/>
              <w:widowControl/>
              <w:kinsoku/>
              <w:overflowPunct/>
              <w:topLinePunct w:val="0"/>
              <w:autoSpaceDE/>
              <w:autoSpaceDN/>
              <w:bidi w:val="0"/>
              <w:adjustRightInd/>
              <w:spacing w:line="260" w:lineRule="exact"/>
              <w:jc w:val="left"/>
              <w:rPr>
                <w:rFonts w:ascii="宋体" w:hAnsi="宋体" w:cs="Arial"/>
                <w:color w:val="000000" w:themeColor="text1"/>
                <w:spacing w:val="8"/>
                <w:kern w:val="0"/>
                <w:szCs w:val="21"/>
                <w14:textFill>
                  <w14:solidFill>
                    <w14:schemeClr w14:val="tx1"/>
                  </w14:solidFill>
                </w14:textFill>
              </w:rPr>
            </w:pPr>
          </w:p>
          <w:p w14:paraId="5F587E86">
            <w:pPr>
              <w:keepNext w:val="0"/>
              <w:keepLines w:val="0"/>
              <w:pageBreakBefore w:val="0"/>
              <w:widowControl/>
              <w:kinsoku/>
              <w:overflowPunct/>
              <w:topLinePunct w:val="0"/>
              <w:autoSpaceDE/>
              <w:autoSpaceDN/>
              <w:bidi w:val="0"/>
              <w:adjustRightInd/>
              <w:spacing w:line="260" w:lineRule="exact"/>
              <w:jc w:val="left"/>
              <w:rPr>
                <w:rFonts w:ascii="宋体" w:hAnsi="宋体" w:cs="Arial"/>
                <w:color w:val="000000" w:themeColor="text1"/>
                <w:spacing w:val="8"/>
                <w:kern w:val="0"/>
                <w:szCs w:val="21"/>
                <w14:textFill>
                  <w14:solidFill>
                    <w14:schemeClr w14:val="tx1"/>
                  </w14:solidFill>
                </w14:textFill>
              </w:rPr>
            </w:pPr>
          </w:p>
          <w:p w14:paraId="6CCD7B2E">
            <w:pPr>
              <w:keepNext w:val="0"/>
              <w:keepLines w:val="0"/>
              <w:pageBreakBefore w:val="0"/>
              <w:widowControl/>
              <w:kinsoku/>
              <w:overflowPunct/>
              <w:topLinePunct w:val="0"/>
              <w:autoSpaceDE/>
              <w:autoSpaceDN/>
              <w:bidi w:val="0"/>
              <w:adjustRightInd/>
              <w:spacing w:line="260" w:lineRule="exact"/>
              <w:jc w:val="left"/>
              <w:rPr>
                <w:rFonts w:ascii="宋体" w:hAnsi="宋体" w:cs="Arial"/>
                <w:color w:val="000000" w:themeColor="text1"/>
                <w:spacing w:val="8"/>
                <w:kern w:val="0"/>
                <w:szCs w:val="21"/>
                <w14:textFill>
                  <w14:solidFill>
                    <w14:schemeClr w14:val="tx1"/>
                  </w14:solidFill>
                </w14:textFill>
              </w:rPr>
            </w:pPr>
          </w:p>
          <w:p w14:paraId="101B00FD">
            <w:pPr>
              <w:keepNext w:val="0"/>
              <w:keepLines w:val="0"/>
              <w:pageBreakBefore w:val="0"/>
              <w:widowControl/>
              <w:kinsoku/>
              <w:overflowPunct/>
              <w:topLinePunct w:val="0"/>
              <w:autoSpaceDE/>
              <w:autoSpaceDN/>
              <w:bidi w:val="0"/>
              <w:adjustRightInd/>
              <w:spacing w:line="260" w:lineRule="exact"/>
              <w:jc w:val="left"/>
              <w:rPr>
                <w:rFonts w:ascii="宋体" w:hAnsi="宋体" w:cs="Arial"/>
                <w:color w:val="000000" w:themeColor="text1"/>
                <w:spacing w:val="8"/>
                <w:kern w:val="0"/>
                <w:szCs w:val="21"/>
                <w14:textFill>
                  <w14:solidFill>
                    <w14:schemeClr w14:val="tx1"/>
                  </w14:solidFill>
                </w14:textFill>
              </w:rPr>
            </w:pPr>
          </w:p>
          <w:p w14:paraId="280C7047">
            <w:pPr>
              <w:keepNext w:val="0"/>
              <w:keepLines w:val="0"/>
              <w:pageBreakBefore w:val="0"/>
              <w:widowControl/>
              <w:kinsoku/>
              <w:overflowPunct/>
              <w:topLinePunct w:val="0"/>
              <w:autoSpaceDE/>
              <w:autoSpaceDN/>
              <w:bidi w:val="0"/>
              <w:adjustRightInd/>
              <w:spacing w:line="260" w:lineRule="exact"/>
              <w:jc w:val="left"/>
              <w:rPr>
                <w:rFonts w:ascii="宋体" w:hAnsi="宋体" w:cs="Arial"/>
                <w:color w:val="000000" w:themeColor="text1"/>
                <w:spacing w:val="8"/>
                <w:kern w:val="0"/>
                <w:szCs w:val="21"/>
                <w14:textFill>
                  <w14:solidFill>
                    <w14:schemeClr w14:val="tx1"/>
                  </w14:solidFill>
                </w14:textFill>
              </w:rPr>
            </w:pPr>
          </w:p>
          <w:p w14:paraId="301E2433">
            <w:pPr>
              <w:keepNext w:val="0"/>
              <w:keepLines w:val="0"/>
              <w:pageBreakBefore w:val="0"/>
              <w:widowControl/>
              <w:kinsoku/>
              <w:overflowPunct/>
              <w:topLinePunct w:val="0"/>
              <w:autoSpaceDE/>
              <w:autoSpaceDN/>
              <w:bidi w:val="0"/>
              <w:adjustRightInd/>
              <w:spacing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承包单位将承包的工程转包或者违法分包</w:t>
            </w:r>
          </w:p>
        </w:tc>
        <w:tc>
          <w:tcPr>
            <w:tcW w:w="1128" w:type="dxa"/>
            <w:gridSpan w:val="2"/>
            <w:vMerge w:val="restart"/>
            <w:tcBorders>
              <w:tl2br w:val="nil"/>
              <w:tr2bl w:val="nil"/>
            </w:tcBorders>
            <w:vAlign w:val="center"/>
          </w:tcPr>
          <w:p w14:paraId="506744F3">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36E3304E">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3EA0401E">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3887F568">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417EEB5D">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7EEC6B0B">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48F1CFED">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《建设工程质量管理条例》第十八条第三款/</w:t>
            </w:r>
            <w:r>
              <w:rPr>
                <w:rFonts w:ascii="仿宋_GB2312" w:hAnsi="宋体" w:eastAsia="仿宋_GB2312"/>
                <w:color w:val="000000" w:themeColor="text1"/>
                <w:kern w:val="0"/>
                <w:szCs w:val="21"/>
                <w14:textFill>
                  <w14:solidFill>
                    <w14:schemeClr w14:val="tx1"/>
                  </w14:solidFill>
                </w14:textFill>
              </w:rPr>
              <w:t>第二十五条第三款</w:t>
            </w:r>
          </w:p>
        </w:tc>
        <w:tc>
          <w:tcPr>
            <w:tcW w:w="4354" w:type="dxa"/>
            <w:vMerge w:val="restart"/>
            <w:tcBorders>
              <w:tl2br w:val="nil"/>
              <w:tr2bl w:val="nil"/>
            </w:tcBorders>
            <w:vAlign w:val="center"/>
          </w:tcPr>
          <w:p w14:paraId="43E77458">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5C82D882">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657C4C30">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44CCF485">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《建设工程质量管理条例》第六十二条第一款</w:t>
            </w:r>
          </w:p>
          <w:p w14:paraId="3C8BA33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违反本条例规定</w:t>
            </w:r>
            <w:r>
              <w:rPr>
                <w:rFonts w:hint="eastAsia" w:ascii="仿宋_GB2312" w:hAnsi="宋体" w:eastAsia="仿宋_GB2312"/>
                <w:color w:val="000000" w:themeColor="text1"/>
                <w:kern w:val="0"/>
                <w:szCs w:val="21"/>
                <w14:textFill>
                  <w14:solidFill>
                    <w14:schemeClr w14:val="tx1"/>
                  </w14:solidFill>
                </w14:textFill>
              </w:rPr>
              <w:t>，承包单位将承包的工程转包或者违法分包的，责令改正，没收违法所得，对勘察、设计单位处合同约定的勘察费、设计费百分之二十五以上百分之五十以下的罚款；对施工单位处工程合同价款百分之零点五以上百分之一以下的罚款；可以责令停业整顿，降低资质等级；情节严重的，吊销资质证书。</w:t>
            </w:r>
          </w:p>
          <w:p w14:paraId="3530ECB8">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540CF94C">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4E36D55F">
            <w:pPr>
              <w:keepNext w:val="0"/>
              <w:keepLines w:val="0"/>
              <w:pageBreakBefore w:val="0"/>
              <w:widowControl/>
              <w:kinsoku/>
              <w:overflowPunct/>
              <w:topLinePunct w:val="0"/>
              <w:autoSpaceDE/>
              <w:autoSpaceDN/>
              <w:bidi w:val="0"/>
              <w:adjustRightInd/>
              <w:spacing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912" w:type="dxa"/>
            <w:tcBorders>
              <w:tl2br w:val="nil"/>
              <w:tr2bl w:val="nil"/>
            </w:tcBorders>
            <w:vAlign w:val="center"/>
          </w:tcPr>
          <w:p w14:paraId="183E96F5">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5B93718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375" w:type="dxa"/>
            <w:tcBorders>
              <w:tl2br w:val="nil"/>
              <w:tr2bl w:val="nil"/>
            </w:tcBorders>
            <w:vAlign w:val="center"/>
          </w:tcPr>
          <w:p w14:paraId="65602769">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处合同约定的勘察费、设计费百分之二十五以上百分之三十以下的罚款；对施工单位处工程合同价款百分之零点五以上百分之零点六以下的罚款；对单位直接负责主管人员和其他直接责任人员处单位罚款数额百分之五以上百分之六以下的罚款。</w:t>
            </w:r>
          </w:p>
        </w:tc>
      </w:tr>
      <w:tr w14:paraId="53E90AE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 w:hRule="atLeast"/>
          <w:jc w:val="center"/>
        </w:trPr>
        <w:tc>
          <w:tcPr>
            <w:tcW w:w="533" w:type="dxa"/>
            <w:gridSpan w:val="2"/>
            <w:vMerge w:val="continue"/>
            <w:tcBorders>
              <w:tl2br w:val="nil"/>
              <w:tr2bl w:val="nil"/>
            </w:tcBorders>
            <w:vAlign w:val="center"/>
          </w:tcPr>
          <w:p w14:paraId="4B25AE75">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1291C8D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51C6F65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1D5E3D9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restart"/>
            <w:tcBorders>
              <w:tl2br w:val="nil"/>
              <w:tr2bl w:val="nil"/>
            </w:tcBorders>
            <w:vAlign w:val="center"/>
          </w:tcPr>
          <w:p w14:paraId="4353E70E">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6BD6571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39FD1EA4">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处合同约定的勘察费、设计费百分之三十以上百分之四十以下的罚款；对施工单位处工程合同价款百分之零点六以上百分之零点八五以下的罚款；对单位直接负责主管人员和其他直接责任人员处单位罚款数额百分之六以上百分之八点五以下的罚款。</w:t>
            </w:r>
          </w:p>
        </w:tc>
      </w:tr>
      <w:tr w14:paraId="3BA29F6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 w:hRule="atLeast"/>
          <w:jc w:val="center"/>
        </w:trPr>
        <w:tc>
          <w:tcPr>
            <w:tcW w:w="533" w:type="dxa"/>
            <w:gridSpan w:val="2"/>
            <w:vMerge w:val="continue"/>
            <w:tcBorders>
              <w:tl2br w:val="nil"/>
              <w:tr2bl w:val="nil"/>
            </w:tcBorders>
            <w:vAlign w:val="center"/>
          </w:tcPr>
          <w:p w14:paraId="743E972C">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74E1638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4D21250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5463FC0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2571F89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4AD767C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（2）2年内2次同类型违法。</w:t>
            </w:r>
          </w:p>
        </w:tc>
        <w:tc>
          <w:tcPr>
            <w:tcW w:w="3375" w:type="dxa"/>
            <w:tcBorders>
              <w:tl2br w:val="nil"/>
              <w:tr2bl w:val="nil"/>
            </w:tcBorders>
            <w:vAlign w:val="center"/>
          </w:tcPr>
          <w:p w14:paraId="0F66C25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处合同约定的勘察费、设计费百分之四十以上百分之五十以下的罚款；对施工单位处工程合同价款百分之零点八五以上百分之一以下的罚款；对单位直接负责主管人员和其他直接责任人员处单位罚款数额百分之八点五以上百分之十以下的罚款。</w:t>
            </w:r>
          </w:p>
        </w:tc>
      </w:tr>
      <w:tr w14:paraId="5CA2382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1" w:hRule="atLeast"/>
          <w:jc w:val="center"/>
        </w:trPr>
        <w:tc>
          <w:tcPr>
            <w:tcW w:w="533" w:type="dxa"/>
            <w:gridSpan w:val="2"/>
            <w:vMerge w:val="continue"/>
            <w:tcBorders>
              <w:tl2br w:val="nil"/>
              <w:tr2bl w:val="nil"/>
            </w:tcBorders>
            <w:vAlign w:val="center"/>
          </w:tcPr>
          <w:p w14:paraId="48AE573C">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1E63262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5C734E4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3B77069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restart"/>
            <w:tcBorders>
              <w:tl2br w:val="nil"/>
              <w:tr2bl w:val="nil"/>
            </w:tcBorders>
            <w:vAlign w:val="center"/>
          </w:tcPr>
          <w:p w14:paraId="33D6E25B">
            <w:pPr>
              <w:keepNext w:val="0"/>
              <w:keepLines w:val="0"/>
              <w:pageBreakBefore w:val="0"/>
              <w:widowControl/>
              <w:kinsoku/>
              <w:overflowPunct/>
              <w:topLinePunct w:val="0"/>
              <w:autoSpaceDE/>
              <w:autoSpaceDN/>
              <w:bidi w:val="0"/>
              <w:adjustRightInd/>
              <w:spacing w:line="260" w:lineRule="exact"/>
              <w:jc w:val="left"/>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67CCF9D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（1）造成3人以下死亡，或者10人以下重伤，或者1000万元以下直接经济损失。</w:t>
            </w:r>
          </w:p>
        </w:tc>
        <w:tc>
          <w:tcPr>
            <w:tcW w:w="3375" w:type="dxa"/>
            <w:tcBorders>
              <w:tl2br w:val="nil"/>
              <w:tr2bl w:val="nil"/>
            </w:tcBorders>
            <w:vAlign w:val="center"/>
          </w:tcPr>
          <w:p w14:paraId="2FAF6E5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处合同约定的勘察费、设计费百分之五十的罚款；；对施工单位处工程合同价款百分之一的罚款；对单位直接负责主管人员和其他直接责任人员处单位罚款数额百分之十的罚款；责令停业整顿30-60日。</w:t>
            </w:r>
          </w:p>
        </w:tc>
      </w:tr>
      <w:tr w14:paraId="364C296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5" w:hRule="atLeast"/>
          <w:jc w:val="center"/>
        </w:trPr>
        <w:tc>
          <w:tcPr>
            <w:tcW w:w="533" w:type="dxa"/>
            <w:gridSpan w:val="2"/>
            <w:vMerge w:val="continue"/>
            <w:tcBorders>
              <w:tl2br w:val="nil"/>
              <w:tr2bl w:val="nil"/>
            </w:tcBorders>
            <w:vAlign w:val="center"/>
          </w:tcPr>
          <w:p w14:paraId="7D81C855">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257C594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63A39AF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08AF4CC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1D20C0A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19A7403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（2）造成3人以上5人以下死亡，或者10人以上20人以下重伤，或者1000万元以上2000万元以下直接经济损失的。</w:t>
            </w:r>
          </w:p>
        </w:tc>
        <w:tc>
          <w:tcPr>
            <w:tcW w:w="3375" w:type="dxa"/>
            <w:tcBorders>
              <w:tl2br w:val="nil"/>
              <w:tr2bl w:val="nil"/>
            </w:tcBorders>
            <w:vAlign w:val="center"/>
          </w:tcPr>
          <w:p w14:paraId="1AF9FB6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处合同约定的勘察费、设计费百分之五十的罚款；；对施工单位处工程合同价款百分之一的罚款；对单位直接负责主管人员和其他直接责任人员处单位罚款数额百发之十的罚款；责令停业整顿60-90日。</w:t>
            </w:r>
          </w:p>
        </w:tc>
      </w:tr>
      <w:tr w14:paraId="0312A9B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0" w:hRule="atLeast"/>
          <w:jc w:val="center"/>
        </w:trPr>
        <w:tc>
          <w:tcPr>
            <w:tcW w:w="533" w:type="dxa"/>
            <w:gridSpan w:val="2"/>
            <w:vMerge w:val="continue"/>
            <w:tcBorders>
              <w:tl2br w:val="nil"/>
              <w:tr2bl w:val="nil"/>
            </w:tcBorders>
            <w:vAlign w:val="center"/>
          </w:tcPr>
          <w:p w14:paraId="6F744FFB">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6FF8677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6EE9310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6B60671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57C6CA5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04C30F1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（3）造成5人以上7人以下死亡，或者20人以上30人以下重伤，或者2000万元以上3000万元以下直接经济损失的。</w:t>
            </w:r>
          </w:p>
        </w:tc>
        <w:tc>
          <w:tcPr>
            <w:tcW w:w="3375" w:type="dxa"/>
            <w:tcBorders>
              <w:tl2br w:val="nil"/>
              <w:tr2bl w:val="nil"/>
            </w:tcBorders>
            <w:vAlign w:val="center"/>
          </w:tcPr>
          <w:p w14:paraId="0D53A55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处合同约定的勘察费、设计费百分之五十的罚款；；对施工单位处工程合同价款百分之一的罚款；对单位直接负责主管人员和其他直接责任人员处单位罚款数额百分之十的罚款；责令停业整顿90-120日。</w:t>
            </w:r>
          </w:p>
        </w:tc>
      </w:tr>
      <w:tr w14:paraId="38F4A3E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50" w:hRule="atLeast"/>
          <w:jc w:val="center"/>
        </w:trPr>
        <w:tc>
          <w:tcPr>
            <w:tcW w:w="533" w:type="dxa"/>
            <w:gridSpan w:val="2"/>
            <w:vMerge w:val="continue"/>
            <w:tcBorders>
              <w:tl2br w:val="nil"/>
              <w:tr2bl w:val="nil"/>
            </w:tcBorders>
            <w:vAlign w:val="center"/>
          </w:tcPr>
          <w:p w14:paraId="699466AD">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3248D7D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0A5D67E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6A04F43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2A1EC31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2932260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（4）造成7人以上10人以下死亡，或者30人以上50人以下重伤，或者3000万元以上5000万元以下直接经济损失的。</w:t>
            </w:r>
          </w:p>
        </w:tc>
        <w:tc>
          <w:tcPr>
            <w:tcW w:w="3375" w:type="dxa"/>
            <w:tcBorders>
              <w:tl2br w:val="nil"/>
              <w:tr2bl w:val="nil"/>
            </w:tcBorders>
            <w:vAlign w:val="center"/>
          </w:tcPr>
          <w:p w14:paraId="6B2E5C5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处合同约定的勘察费、设计费百分之五十的罚款；；对施工单位处工程合同价款百分之一的罚款；对单位直接负责主管人员和其他直接责任人员处单位罚款数额百分之十的罚款；责令停业整顿120-180日。</w:t>
            </w:r>
          </w:p>
        </w:tc>
      </w:tr>
      <w:tr w14:paraId="24920B1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75" w:hRule="atLeast"/>
          <w:jc w:val="center"/>
        </w:trPr>
        <w:tc>
          <w:tcPr>
            <w:tcW w:w="533" w:type="dxa"/>
            <w:gridSpan w:val="2"/>
            <w:vMerge w:val="continue"/>
            <w:tcBorders>
              <w:tl2br w:val="nil"/>
              <w:tr2bl w:val="nil"/>
            </w:tcBorders>
            <w:vAlign w:val="center"/>
          </w:tcPr>
          <w:p w14:paraId="0F70436B">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10A7BD6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0E54513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5C70F76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21C3DD7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713575B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（5）3年内4次同类违法；或造成重大质量、安全事故的；或造成分部工程存在严重缺陷，经返修和加固处理仍不能满足安全使用要求。</w:t>
            </w:r>
          </w:p>
        </w:tc>
        <w:tc>
          <w:tcPr>
            <w:tcW w:w="3375" w:type="dxa"/>
            <w:tcBorders>
              <w:tl2br w:val="nil"/>
              <w:tr2bl w:val="nil"/>
            </w:tcBorders>
            <w:vAlign w:val="center"/>
          </w:tcPr>
          <w:p w14:paraId="5F4E0C1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处合同约定的勘察费、设计费百分之五十的罚款；；对施工单位处工程合同价款百分之一的罚款；对单位直接负责主管人员和其他直接责任人员处单位罚款数额百分之十的罚款；降低资质等级。</w:t>
            </w:r>
          </w:p>
        </w:tc>
      </w:tr>
      <w:tr w14:paraId="2FC6566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5" w:hRule="atLeast"/>
          <w:jc w:val="center"/>
        </w:trPr>
        <w:tc>
          <w:tcPr>
            <w:tcW w:w="533" w:type="dxa"/>
            <w:gridSpan w:val="2"/>
            <w:vMerge w:val="continue"/>
            <w:tcBorders>
              <w:tl2br w:val="nil"/>
              <w:tr2bl w:val="nil"/>
            </w:tcBorders>
            <w:vAlign w:val="center"/>
          </w:tcPr>
          <w:p w14:paraId="6BC99F95">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512D058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4FB4213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6357131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49FF221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529D680A">
            <w:pPr>
              <w:keepNext w:val="0"/>
              <w:keepLines w:val="0"/>
              <w:pageBreakBefore w:val="0"/>
              <w:widowControl/>
              <w:kinsoku/>
              <w:overflowPunct/>
              <w:topLinePunct w:val="0"/>
              <w:autoSpaceDE/>
              <w:autoSpaceDN/>
              <w:bidi w:val="0"/>
              <w:adjustRightInd/>
              <w:spacing w:line="260" w:lineRule="exact"/>
              <w:ind w:firstLine="210" w:firstLineChars="100"/>
              <w:jc w:val="left"/>
              <w:rPr>
                <w:rFonts w:hint="default" w:ascii="仿宋_GB2312" w:hAnsi="宋体" w:eastAsia="仿宋_GB2312"/>
                <w:color w:val="000000" w:themeColor="text1"/>
                <w:kern w:val="0"/>
                <w:szCs w:val="21"/>
                <w:lang w:val="en-US"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（6）3年内5次同类违法；或造成特别重大质量、安全事故的；或造成单位（子单位）工程存在严重缺陷，经返修和加固处理仍不能满足安全使用要求</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或造成特别严重社会影响的。</w:t>
            </w:r>
          </w:p>
        </w:tc>
        <w:tc>
          <w:tcPr>
            <w:tcW w:w="3375" w:type="dxa"/>
            <w:tcBorders>
              <w:tl2br w:val="nil"/>
              <w:tr2bl w:val="nil"/>
            </w:tcBorders>
            <w:vAlign w:val="center"/>
          </w:tcPr>
          <w:p w14:paraId="26AFE48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处合同约定的勘察费、设计费百分之五十的罚款；；对施工单位处工程合同价款百分之一的罚款；对单位直接负责主管人员和其他直接责任人员处单位罚款数额百分之十的罚款；吊销资质证书。</w:t>
            </w:r>
          </w:p>
        </w:tc>
      </w:tr>
      <w:tr w14:paraId="5C00623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0652ED1D">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33</w:t>
            </w:r>
          </w:p>
        </w:tc>
        <w:tc>
          <w:tcPr>
            <w:tcW w:w="1376" w:type="dxa"/>
            <w:vMerge w:val="restart"/>
            <w:tcBorders>
              <w:tl2br w:val="nil"/>
              <w:tr2bl w:val="nil"/>
            </w:tcBorders>
            <w:vAlign w:val="center"/>
          </w:tcPr>
          <w:p w14:paraId="62FF075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500F4CF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工程监理单位转让工程监理业务</w:t>
            </w:r>
          </w:p>
        </w:tc>
        <w:tc>
          <w:tcPr>
            <w:tcW w:w="1128" w:type="dxa"/>
            <w:gridSpan w:val="2"/>
            <w:vMerge w:val="restart"/>
            <w:tcBorders>
              <w:tl2br w:val="nil"/>
              <w:tr2bl w:val="nil"/>
            </w:tcBorders>
            <w:vAlign w:val="center"/>
          </w:tcPr>
          <w:p w14:paraId="4B023959">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59C21CDA">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《建设工程质量管理条例》第三十四条第三款</w:t>
            </w:r>
          </w:p>
        </w:tc>
        <w:tc>
          <w:tcPr>
            <w:tcW w:w="4354" w:type="dxa"/>
            <w:vMerge w:val="restart"/>
            <w:tcBorders>
              <w:tl2br w:val="nil"/>
              <w:tr2bl w:val="nil"/>
            </w:tcBorders>
          </w:tcPr>
          <w:p w14:paraId="34AC46C1">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335AC257">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1F57BDF5">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6E173761">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1BE32D16">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3C1BC0C1">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《建设工程质量管理条例》第六十二条第二款</w:t>
            </w:r>
          </w:p>
          <w:p w14:paraId="69F8678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工程监理单位转让工程监理业务的，责令改正，没收违法所得，处合同约定的监理酬金百分之二十五以上百分之五十以下的罚款；可以责令停业整顿，降低资质等级；情节严重的，吊销资质证书。</w:t>
            </w:r>
          </w:p>
          <w:p w14:paraId="39290A39">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22DCA676">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62F59CB7">
            <w:pPr>
              <w:keepNext w:val="0"/>
              <w:keepLines w:val="0"/>
              <w:pageBreakBefore w:val="0"/>
              <w:widowControl/>
              <w:kinsoku/>
              <w:overflowPunct/>
              <w:topLinePunct w:val="0"/>
              <w:autoSpaceDE/>
              <w:autoSpaceDN/>
              <w:bidi w:val="0"/>
              <w:adjustRightInd/>
              <w:spacing w:line="260" w:lineRule="exact"/>
              <w:ind w:firstLine="210" w:firstLineChars="100"/>
              <w:jc w:val="left"/>
              <w:rPr>
                <w:rFonts w:ascii="宋体" w:hAnsi="宋体" w:cs="宋体"/>
                <w:bCs/>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912" w:type="dxa"/>
            <w:tcBorders>
              <w:tl2br w:val="nil"/>
              <w:tr2bl w:val="nil"/>
            </w:tcBorders>
            <w:vAlign w:val="center"/>
          </w:tcPr>
          <w:p w14:paraId="7E8010ED">
            <w:pPr>
              <w:keepNext w:val="0"/>
              <w:keepLines w:val="0"/>
              <w:pageBreakBefore w:val="0"/>
              <w:widowControl/>
              <w:kinsoku/>
              <w:overflowPunct/>
              <w:topLinePunct w:val="0"/>
              <w:autoSpaceDE/>
              <w:autoSpaceDN/>
              <w:bidi w:val="0"/>
              <w:adjustRightInd/>
              <w:spacing w:line="260" w:lineRule="exact"/>
              <w:jc w:val="left"/>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06FA117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375" w:type="dxa"/>
            <w:tcBorders>
              <w:tl2br w:val="nil"/>
              <w:tr2bl w:val="nil"/>
            </w:tcBorders>
            <w:vAlign w:val="center"/>
          </w:tcPr>
          <w:p w14:paraId="3A0BB20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责令改正，没收违法所得；处合同约定的监理酬金百分之二十五以上百分之三十以下的罚款，对单位直接负责的主管人员和其他直接责任人员处单位罚款数额百分之五以上百分之六以下的罚款。</w:t>
            </w:r>
          </w:p>
        </w:tc>
      </w:tr>
      <w:tr w14:paraId="0B647F1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 w:hRule="atLeast"/>
          <w:jc w:val="center"/>
        </w:trPr>
        <w:tc>
          <w:tcPr>
            <w:tcW w:w="533" w:type="dxa"/>
            <w:gridSpan w:val="2"/>
            <w:vMerge w:val="continue"/>
            <w:tcBorders>
              <w:tl2br w:val="nil"/>
              <w:tr2bl w:val="nil"/>
            </w:tcBorders>
            <w:vAlign w:val="center"/>
          </w:tcPr>
          <w:p w14:paraId="439BC417">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6D055E4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37939BA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tcPr>
          <w:p w14:paraId="5F1075A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restart"/>
            <w:tcBorders>
              <w:tl2br w:val="nil"/>
              <w:tr2bl w:val="nil"/>
            </w:tcBorders>
            <w:vAlign w:val="center"/>
          </w:tcPr>
          <w:p w14:paraId="0E3B17DB">
            <w:pPr>
              <w:keepNext w:val="0"/>
              <w:keepLines w:val="0"/>
              <w:pageBreakBefore w:val="0"/>
              <w:widowControl/>
              <w:kinsoku/>
              <w:overflowPunct/>
              <w:topLinePunct w:val="0"/>
              <w:autoSpaceDE/>
              <w:autoSpaceDN/>
              <w:bidi w:val="0"/>
              <w:adjustRightInd/>
              <w:spacing w:line="260" w:lineRule="exact"/>
              <w:jc w:val="left"/>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16030FE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6DEC841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责令改正，没收违法所得；处合同约定的监理酬金百分之三十以上百分之</w:t>
            </w:r>
            <w:r>
              <w:rPr>
                <w:rFonts w:hint="eastAsia" w:ascii="仿宋_GB2312" w:hAnsi="宋体" w:eastAsia="仿宋_GB2312"/>
                <w:color w:val="000000" w:themeColor="text1"/>
                <w:kern w:val="0"/>
                <w:szCs w:val="21"/>
                <w:lang w:val="en-US" w:eastAsia="zh-CN"/>
                <w14:textFill>
                  <w14:solidFill>
                    <w14:schemeClr w14:val="tx1"/>
                  </w14:solidFill>
                </w14:textFill>
              </w:rPr>
              <w:t>四</w:t>
            </w:r>
            <w:r>
              <w:rPr>
                <w:rFonts w:hint="eastAsia" w:ascii="仿宋_GB2312" w:hAnsi="宋体" w:eastAsia="仿宋_GB2312"/>
                <w:color w:val="000000" w:themeColor="text1"/>
                <w:kern w:val="0"/>
                <w:szCs w:val="21"/>
                <w14:textFill>
                  <w14:solidFill>
                    <w14:schemeClr w14:val="tx1"/>
                  </w14:solidFill>
                </w14:textFill>
              </w:rPr>
              <w:t>十以下的罚款，对单位直接负责的主管人员和其他直接责任人员处单位罚款数额百分之六以上百分之十以下的罚款。</w:t>
            </w:r>
          </w:p>
          <w:p w14:paraId="6C40867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r>
      <w:tr w14:paraId="125993B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 w:hRule="atLeast"/>
          <w:jc w:val="center"/>
        </w:trPr>
        <w:tc>
          <w:tcPr>
            <w:tcW w:w="533" w:type="dxa"/>
            <w:gridSpan w:val="2"/>
            <w:vMerge w:val="continue"/>
            <w:tcBorders>
              <w:tl2br w:val="nil"/>
              <w:tr2bl w:val="nil"/>
            </w:tcBorders>
            <w:vAlign w:val="center"/>
          </w:tcPr>
          <w:p w14:paraId="4897249F">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063D17F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193A761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tcPr>
          <w:p w14:paraId="1509490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7B25363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5F22CD1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（2）2年内2次同类型违法。</w:t>
            </w:r>
          </w:p>
        </w:tc>
        <w:tc>
          <w:tcPr>
            <w:tcW w:w="3375" w:type="dxa"/>
            <w:tcBorders>
              <w:tl2br w:val="nil"/>
              <w:tr2bl w:val="nil"/>
            </w:tcBorders>
            <w:vAlign w:val="center"/>
          </w:tcPr>
          <w:p w14:paraId="5442963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责令改正，没收违法所得；处合同约定的监理酬金百分之</w:t>
            </w:r>
            <w:r>
              <w:rPr>
                <w:rFonts w:hint="eastAsia" w:ascii="仿宋_GB2312" w:hAnsi="宋体" w:eastAsia="仿宋_GB2312"/>
                <w:color w:val="000000" w:themeColor="text1"/>
                <w:kern w:val="0"/>
                <w:szCs w:val="21"/>
                <w:lang w:val="en-US" w:eastAsia="zh-CN"/>
                <w14:textFill>
                  <w14:solidFill>
                    <w14:schemeClr w14:val="tx1"/>
                  </w14:solidFill>
                </w14:textFill>
              </w:rPr>
              <w:t>四十以上百</w:t>
            </w:r>
            <w:bookmarkStart w:id="5" w:name="_GoBack"/>
            <w:bookmarkEnd w:id="5"/>
            <w:r>
              <w:rPr>
                <w:rFonts w:hint="eastAsia" w:ascii="仿宋_GB2312" w:hAnsi="宋体" w:eastAsia="仿宋_GB2312"/>
                <w:color w:val="000000" w:themeColor="text1"/>
                <w:kern w:val="0"/>
                <w:szCs w:val="21"/>
                <w:lang w:val="en-US" w:eastAsia="zh-CN"/>
                <w14:textFill>
                  <w14:solidFill>
                    <w14:schemeClr w14:val="tx1"/>
                  </w14:solidFill>
                </w14:textFill>
              </w:rPr>
              <w:t>分之五十以下</w:t>
            </w:r>
            <w:r>
              <w:rPr>
                <w:rFonts w:hint="eastAsia" w:ascii="仿宋_GB2312" w:hAnsi="宋体" w:eastAsia="仿宋_GB2312"/>
                <w:color w:val="000000" w:themeColor="text1"/>
                <w:kern w:val="0"/>
                <w:szCs w:val="21"/>
                <w14:textFill>
                  <w14:solidFill>
                    <w14:schemeClr w14:val="tx1"/>
                  </w14:solidFill>
                </w14:textFill>
              </w:rPr>
              <w:t>的罚款，对单位直接负责的主管人员和其他直接责任人员处单位罚款数额百分之十的罚款；责令停业整顿30-60日。</w:t>
            </w:r>
          </w:p>
        </w:tc>
      </w:tr>
      <w:tr w14:paraId="3DD9431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533" w:type="dxa"/>
            <w:gridSpan w:val="2"/>
            <w:vMerge w:val="continue"/>
            <w:tcBorders>
              <w:tl2br w:val="nil"/>
              <w:tr2bl w:val="nil"/>
            </w:tcBorders>
            <w:vAlign w:val="center"/>
          </w:tcPr>
          <w:p w14:paraId="2F240556">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2DBDBED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5615AE6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09BD589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restart"/>
            <w:tcBorders>
              <w:tl2br w:val="nil"/>
              <w:tr2bl w:val="nil"/>
            </w:tcBorders>
            <w:vAlign w:val="center"/>
          </w:tcPr>
          <w:p w14:paraId="4E615D6A">
            <w:pPr>
              <w:keepNext w:val="0"/>
              <w:keepLines w:val="0"/>
              <w:pageBreakBefore w:val="0"/>
              <w:widowControl/>
              <w:kinsoku/>
              <w:overflowPunct/>
              <w:topLinePunct w:val="0"/>
              <w:autoSpaceDE/>
              <w:autoSpaceDN/>
              <w:bidi w:val="0"/>
              <w:adjustRightInd/>
              <w:spacing w:line="260" w:lineRule="exact"/>
              <w:jc w:val="left"/>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Pr>
          <w:p w14:paraId="654EF51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（1）造成3人以下死亡，或者10人以下重伤，或者1000万元以下直接经济损失。</w:t>
            </w:r>
          </w:p>
        </w:tc>
        <w:tc>
          <w:tcPr>
            <w:tcW w:w="3375" w:type="dxa"/>
            <w:tcBorders>
              <w:tl2br w:val="nil"/>
              <w:tr2bl w:val="nil"/>
            </w:tcBorders>
            <w:vAlign w:val="center"/>
          </w:tcPr>
          <w:p w14:paraId="0B72E9FD">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责令改正，没收违法所得；处合同约定的监理酬金百分之五十的罚款，对单位直接负责的主管人员和其他直接责任人员处单位罚款数额百分之十的罚款；责令停业整顿30—60日。</w:t>
            </w:r>
          </w:p>
        </w:tc>
      </w:tr>
      <w:tr w14:paraId="545AAE1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533" w:type="dxa"/>
            <w:gridSpan w:val="2"/>
            <w:vMerge w:val="continue"/>
            <w:tcBorders>
              <w:tl2br w:val="nil"/>
              <w:tr2bl w:val="nil"/>
            </w:tcBorders>
            <w:vAlign w:val="center"/>
          </w:tcPr>
          <w:p w14:paraId="2482E1C2">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754ABF1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570363F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204BA56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242203A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tcPr>
          <w:p w14:paraId="68B20D7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（2）造成3人以上5人以下死亡，或者10人以上20人以下重伤，或者1000万元以上2000万元以下直接经济损失。</w:t>
            </w:r>
          </w:p>
        </w:tc>
        <w:tc>
          <w:tcPr>
            <w:tcW w:w="3375" w:type="dxa"/>
            <w:tcBorders>
              <w:tl2br w:val="nil"/>
              <w:tr2bl w:val="nil"/>
            </w:tcBorders>
            <w:vAlign w:val="center"/>
          </w:tcPr>
          <w:p w14:paraId="53BC57B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责令改正，没收违法所得；处合同约定的监理酬金百分之五十的罚款，对单位直接负责的主管人员和其他直接责任人员处单位罚款数额百分之十的罚款；责令停业整顿60-90日。</w:t>
            </w:r>
          </w:p>
        </w:tc>
      </w:tr>
      <w:tr w14:paraId="3095A78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533" w:type="dxa"/>
            <w:gridSpan w:val="2"/>
            <w:vMerge w:val="continue"/>
            <w:tcBorders>
              <w:tl2br w:val="nil"/>
              <w:tr2bl w:val="nil"/>
            </w:tcBorders>
            <w:vAlign w:val="center"/>
          </w:tcPr>
          <w:p w14:paraId="4C19877F">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7DEC91F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37CBFA6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111D10B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5988797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27BA9B5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（3）造成5人以上7人以下死亡，或者20人以上30人以下重伤，或者2000万元以上3000万元以下直接经济损失。</w:t>
            </w:r>
          </w:p>
        </w:tc>
        <w:tc>
          <w:tcPr>
            <w:tcW w:w="3375" w:type="dxa"/>
            <w:tcBorders>
              <w:tl2br w:val="nil"/>
              <w:tr2bl w:val="nil"/>
            </w:tcBorders>
            <w:vAlign w:val="center"/>
          </w:tcPr>
          <w:p w14:paraId="064E56C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责令改正，没收违法所得；处合同约定的监理酬金百分之五十的罚款，对单位直接负责的主管人员和其他直接责任人员处单位罚款数额百分之十的罚款；责令停业整顿90-120日。</w:t>
            </w:r>
          </w:p>
        </w:tc>
      </w:tr>
      <w:tr w14:paraId="2E302DC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7" w:hRule="atLeast"/>
          <w:jc w:val="center"/>
        </w:trPr>
        <w:tc>
          <w:tcPr>
            <w:tcW w:w="533" w:type="dxa"/>
            <w:gridSpan w:val="2"/>
            <w:vMerge w:val="continue"/>
            <w:tcBorders>
              <w:tl2br w:val="nil"/>
              <w:tr2bl w:val="nil"/>
            </w:tcBorders>
            <w:vAlign w:val="center"/>
          </w:tcPr>
          <w:p w14:paraId="5F6AFA30">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5AADF98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1638CBB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7F21341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58C589D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613FAF6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（4）造成7人以上10人以下死亡，或者30人以上50人以下重伤，或者3000万元以上5000万元以下直接经济损失。</w:t>
            </w:r>
          </w:p>
        </w:tc>
        <w:tc>
          <w:tcPr>
            <w:tcW w:w="3375" w:type="dxa"/>
            <w:tcBorders>
              <w:tl2br w:val="nil"/>
              <w:tr2bl w:val="nil"/>
            </w:tcBorders>
            <w:vAlign w:val="center"/>
          </w:tcPr>
          <w:p w14:paraId="13D7C42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责令改正，没收违法所得；处合同约定的监理酬金百分之五十的罚款，对单位直接负责的主管人员和其他直接责任人员处单位罚款数额百分之十的罚款；责令停业整顿120-180日。</w:t>
            </w:r>
          </w:p>
        </w:tc>
      </w:tr>
      <w:tr w14:paraId="7A3920B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533" w:type="dxa"/>
            <w:gridSpan w:val="2"/>
            <w:vMerge w:val="continue"/>
            <w:tcBorders>
              <w:tl2br w:val="nil"/>
              <w:tr2bl w:val="nil"/>
            </w:tcBorders>
            <w:vAlign w:val="center"/>
          </w:tcPr>
          <w:p w14:paraId="44AE3E88">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055EEFD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430AEB7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33AA358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54AAED9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10BA72E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（5）3年内4次同类违法；或造成重大质量、安全事故的；或造成分部工程存在严重缺陷，经返修和加固处理仍不能满足安全使用要求。</w:t>
            </w:r>
          </w:p>
        </w:tc>
        <w:tc>
          <w:tcPr>
            <w:tcW w:w="3375" w:type="dxa"/>
            <w:tcBorders>
              <w:tl2br w:val="nil"/>
              <w:tr2bl w:val="nil"/>
            </w:tcBorders>
            <w:vAlign w:val="center"/>
          </w:tcPr>
          <w:p w14:paraId="3EFDBB9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责令改正，没收违法所得；处合同约定的监理酬金百分之五十的罚款，对单位直接负责的主管人员和其他直接责任人员处单位罚款数额百分之十的罚款；降低资质等级。</w:t>
            </w:r>
          </w:p>
        </w:tc>
      </w:tr>
      <w:tr w14:paraId="2D79559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533" w:type="dxa"/>
            <w:gridSpan w:val="2"/>
            <w:vMerge w:val="continue"/>
            <w:tcBorders>
              <w:tl2br w:val="nil"/>
              <w:tr2bl w:val="nil"/>
            </w:tcBorders>
            <w:vAlign w:val="center"/>
          </w:tcPr>
          <w:p w14:paraId="771A1031">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392D019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4D35F32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70D2546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5A75085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15FC31D3">
            <w:pPr>
              <w:keepNext w:val="0"/>
              <w:keepLines w:val="0"/>
              <w:pageBreakBefore w:val="0"/>
              <w:widowControl/>
              <w:kinsoku/>
              <w:overflowPunct/>
              <w:topLinePunct w:val="0"/>
              <w:autoSpaceDE/>
              <w:autoSpaceDN/>
              <w:bidi w:val="0"/>
              <w:adjustRightInd/>
              <w:spacing w:line="260" w:lineRule="exact"/>
              <w:ind w:firstLine="210" w:firstLineChars="100"/>
              <w:jc w:val="left"/>
              <w:rPr>
                <w:rFonts w:hint="default" w:ascii="仿宋_GB2312" w:hAnsi="宋体" w:eastAsia="仿宋_GB2312"/>
                <w:color w:val="000000" w:themeColor="text1"/>
                <w:kern w:val="0"/>
                <w:szCs w:val="21"/>
                <w:lang w:val="en-US"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（6）3年内5次同类违法；或造成特别重大质量、安全事故的；或造成单位（子单位）工程存在严重缺陷，经返修和加固处理仍不能满足安全使用要求</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或造成特别严重的社会影响。</w:t>
            </w:r>
          </w:p>
          <w:p w14:paraId="1087B7A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3375" w:type="dxa"/>
            <w:tcBorders>
              <w:tl2br w:val="nil"/>
              <w:tr2bl w:val="nil"/>
            </w:tcBorders>
            <w:vAlign w:val="center"/>
          </w:tcPr>
          <w:p w14:paraId="4F95BE0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责令改正，没收违法所得；处合同约定的监理酬金百分之五十的罚款，对单位直接负责的主管人员和其他直接责任人员处单位罚款数额百分之十的罚款；吊销资质证书。</w:t>
            </w:r>
          </w:p>
        </w:tc>
      </w:tr>
      <w:tr w14:paraId="1B54FF2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533" w:type="dxa"/>
            <w:gridSpan w:val="2"/>
            <w:vMerge w:val="restart"/>
            <w:tcBorders>
              <w:tl2br w:val="nil"/>
              <w:tr2bl w:val="nil"/>
            </w:tcBorders>
            <w:vAlign w:val="center"/>
          </w:tcPr>
          <w:p w14:paraId="73A34322">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34</w:t>
            </w:r>
          </w:p>
        </w:tc>
        <w:tc>
          <w:tcPr>
            <w:tcW w:w="1376" w:type="dxa"/>
            <w:vMerge w:val="restart"/>
            <w:tcBorders>
              <w:tl2br w:val="nil"/>
              <w:tr2bl w:val="nil"/>
            </w:tcBorders>
            <w:vAlign w:val="center"/>
          </w:tcPr>
          <w:p w14:paraId="0F1A8B7A">
            <w:pPr>
              <w:keepNext w:val="0"/>
              <w:keepLines w:val="0"/>
              <w:pageBreakBefore w:val="0"/>
              <w:kinsoku/>
              <w:overflowPunct/>
              <w:topLinePunct w:val="0"/>
              <w:autoSpaceDE/>
              <w:autoSpaceDN/>
              <w:bidi w:val="0"/>
              <w:adjustRightInd/>
              <w:spacing w:line="260" w:lineRule="exact"/>
              <w:ind w:firstLine="210" w:firstLineChars="100"/>
              <w:jc w:val="left"/>
              <w:rPr>
                <w:rFonts w:ascii="宋体"/>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勘察单位未按照工程建设强制性标准进行勘察</w:t>
            </w:r>
          </w:p>
        </w:tc>
        <w:tc>
          <w:tcPr>
            <w:tcW w:w="1128" w:type="dxa"/>
            <w:gridSpan w:val="2"/>
            <w:vMerge w:val="restart"/>
            <w:tcBorders>
              <w:tl2br w:val="nil"/>
              <w:tr2bl w:val="nil"/>
            </w:tcBorders>
            <w:vAlign w:val="center"/>
          </w:tcPr>
          <w:p w14:paraId="3EB357C7">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《建设工程质量管理条例》第十九条第一款</w:t>
            </w:r>
          </w:p>
        </w:tc>
        <w:tc>
          <w:tcPr>
            <w:tcW w:w="4354" w:type="dxa"/>
            <w:vMerge w:val="restart"/>
            <w:tcBorders>
              <w:tl2br w:val="nil"/>
              <w:tr2bl w:val="nil"/>
            </w:tcBorders>
            <w:vAlign w:val="center"/>
          </w:tcPr>
          <w:p w14:paraId="2292677D">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《建设工程质量管理条例》第六十三条第一项</w:t>
            </w:r>
          </w:p>
          <w:p w14:paraId="0C4337D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违反本条例规定，有下列行为之一的，责令改正，处10万元以上30万元以下的罚款：</w:t>
            </w:r>
          </w:p>
          <w:p w14:paraId="6B347B9E">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（一）勘察单位未按照工程建设强制性标准进行勘察的；</w:t>
            </w:r>
          </w:p>
          <w:p w14:paraId="306B858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有前款所列行为，造成工程质量事故的，责令停业整顿，降低资质等级；情节严重的，吊销资质证书；造成损失的，依法承担赔偿责任。</w:t>
            </w:r>
          </w:p>
          <w:p w14:paraId="33EB5DEF">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0A21432F">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7C83DF8A">
            <w:pPr>
              <w:keepNext w:val="0"/>
              <w:keepLines w:val="0"/>
              <w:pageBreakBefore w:val="0"/>
              <w:kinsoku/>
              <w:overflowPunct/>
              <w:topLinePunct w:val="0"/>
              <w:autoSpaceDE/>
              <w:autoSpaceDN/>
              <w:bidi w:val="0"/>
              <w:adjustRightInd/>
              <w:spacing w:line="260" w:lineRule="exact"/>
              <w:ind w:firstLine="210" w:firstLineChars="100"/>
              <w:jc w:val="left"/>
              <w:rPr>
                <w:rFonts w:ascii="宋体"/>
                <w:color w:val="000000" w:themeColor="text1"/>
                <w:sz w:val="22"/>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r>
              <w:rPr>
                <w:rFonts w:hint="eastAsia" w:ascii="宋体" w:hAnsi="宋体" w:cs="Arial"/>
                <w:color w:val="000000" w:themeColor="text1"/>
                <w:spacing w:val="8"/>
                <w:kern w:val="0"/>
                <w:szCs w:val="21"/>
                <w14:textFill>
                  <w14:solidFill>
                    <w14:schemeClr w14:val="tx1"/>
                  </w14:solidFill>
                </w14:textFill>
              </w:rPr>
              <w:t>。</w:t>
            </w:r>
          </w:p>
        </w:tc>
        <w:tc>
          <w:tcPr>
            <w:tcW w:w="912" w:type="dxa"/>
            <w:tcBorders>
              <w:tl2br w:val="nil"/>
              <w:tr2bl w:val="nil"/>
            </w:tcBorders>
            <w:vAlign w:val="center"/>
          </w:tcPr>
          <w:p w14:paraId="6C4F403E">
            <w:pPr>
              <w:keepNext w:val="0"/>
              <w:keepLines w:val="0"/>
              <w:pageBreakBefore w:val="0"/>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22C96C6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同一项目中，未按照1条工程建设强制性标准进行勘察。</w:t>
            </w:r>
          </w:p>
        </w:tc>
        <w:tc>
          <w:tcPr>
            <w:tcW w:w="3375" w:type="dxa"/>
            <w:tcBorders>
              <w:tl2br w:val="nil"/>
              <w:tr2bl w:val="nil"/>
            </w:tcBorders>
            <w:vAlign w:val="center"/>
          </w:tcPr>
          <w:p w14:paraId="500E0D7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责令改正，处10万元以上12万元以下的罚款，对单位直接负责的主管人员和其他直接责任人员处单位罚款数额百分之五以上百分之六以下的罚款。</w:t>
            </w:r>
          </w:p>
        </w:tc>
      </w:tr>
      <w:tr w14:paraId="20F49CC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jc w:val="center"/>
        </w:trPr>
        <w:tc>
          <w:tcPr>
            <w:tcW w:w="533" w:type="dxa"/>
            <w:gridSpan w:val="2"/>
            <w:vMerge w:val="continue"/>
            <w:tcBorders>
              <w:tl2br w:val="nil"/>
              <w:tr2bl w:val="nil"/>
            </w:tcBorders>
            <w:vAlign w:val="center"/>
          </w:tcPr>
          <w:p w14:paraId="7C0BE765">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670C2838">
            <w:pPr>
              <w:keepNext w:val="0"/>
              <w:keepLines w:val="0"/>
              <w:pageBreakBefore w:val="0"/>
              <w:kinsoku/>
              <w:overflowPunct/>
              <w:topLinePunct w:val="0"/>
              <w:autoSpaceDE/>
              <w:autoSpaceDN/>
              <w:bidi w:val="0"/>
              <w:adjustRightInd/>
              <w:spacing w:line="260" w:lineRule="exact"/>
              <w:jc w:val="left"/>
              <w:rPr>
                <w:rFonts w:ascii="宋体" w:hAnsi="宋体" w:cs="宋体"/>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3F5D3135">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5065DF0A">
            <w:pPr>
              <w:keepNext w:val="0"/>
              <w:keepLines w:val="0"/>
              <w:pageBreakBefore w:val="0"/>
              <w:widowControl/>
              <w:kinsoku/>
              <w:overflowPunct/>
              <w:topLinePunct w:val="0"/>
              <w:autoSpaceDE/>
              <w:autoSpaceDN/>
              <w:bidi w:val="0"/>
              <w:adjustRightInd/>
              <w:spacing w:line="260" w:lineRule="exact"/>
              <w:jc w:val="left"/>
              <w:rPr>
                <w:rFonts w:ascii="宋体" w:hAnsi="宋体" w:cs="宋体"/>
                <w:color w:val="000000" w:themeColor="text1"/>
                <w:kern w:val="0"/>
                <w:szCs w:val="21"/>
                <w14:textFill>
                  <w14:solidFill>
                    <w14:schemeClr w14:val="tx1"/>
                  </w14:solidFill>
                </w14:textFill>
              </w:rPr>
            </w:pPr>
          </w:p>
        </w:tc>
        <w:tc>
          <w:tcPr>
            <w:tcW w:w="912" w:type="dxa"/>
            <w:vMerge w:val="restart"/>
            <w:tcBorders>
              <w:tl2br w:val="nil"/>
              <w:tr2bl w:val="nil"/>
            </w:tcBorders>
            <w:vAlign w:val="center"/>
          </w:tcPr>
          <w:p w14:paraId="2774B433">
            <w:pPr>
              <w:keepNext w:val="0"/>
              <w:keepLines w:val="0"/>
              <w:pageBreakBefore w:val="0"/>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5E6DB53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（1）同一项目中，未按照2条以上5条以下工程建设强制性标准进行勘察；或2次违反工程建设强制性标准进行勘察。</w:t>
            </w:r>
          </w:p>
        </w:tc>
        <w:tc>
          <w:tcPr>
            <w:tcW w:w="3375" w:type="dxa"/>
            <w:tcBorders>
              <w:tl2br w:val="nil"/>
              <w:tr2bl w:val="nil"/>
            </w:tcBorders>
            <w:vAlign w:val="center"/>
          </w:tcPr>
          <w:p w14:paraId="25FE1BA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责令改正，处12万元以上25万元以下的罚款，对单位直接负责的主管人员和其他直接责任人员处单位罚款数额百分之六以上百分之八点五以下的罚款。</w:t>
            </w:r>
          </w:p>
        </w:tc>
      </w:tr>
      <w:tr w14:paraId="3DFCA6D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09576319">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6997BE21">
            <w:pPr>
              <w:keepNext w:val="0"/>
              <w:keepLines w:val="0"/>
              <w:pageBreakBefore w:val="0"/>
              <w:kinsoku/>
              <w:overflowPunct/>
              <w:topLinePunct w:val="0"/>
              <w:autoSpaceDE/>
              <w:autoSpaceDN/>
              <w:bidi w:val="0"/>
              <w:adjustRightInd/>
              <w:spacing w:line="260" w:lineRule="exact"/>
              <w:jc w:val="left"/>
              <w:rPr>
                <w:rFonts w:ascii="宋体" w:hAnsi="宋体" w:cs="宋体"/>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04636DF5">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3F454735">
            <w:pPr>
              <w:keepNext w:val="0"/>
              <w:keepLines w:val="0"/>
              <w:pageBreakBefore w:val="0"/>
              <w:widowControl/>
              <w:kinsoku/>
              <w:overflowPunct/>
              <w:topLinePunct w:val="0"/>
              <w:autoSpaceDE/>
              <w:autoSpaceDN/>
              <w:bidi w:val="0"/>
              <w:adjustRightInd/>
              <w:spacing w:line="260" w:lineRule="exact"/>
              <w:jc w:val="left"/>
              <w:rPr>
                <w:rFonts w:ascii="宋体" w:hAnsi="宋体" w:cs="宋体"/>
                <w:color w:val="000000" w:themeColor="text1"/>
                <w:kern w:val="0"/>
                <w:szCs w:val="21"/>
                <w14:textFill>
                  <w14:solidFill>
                    <w14:schemeClr w14:val="tx1"/>
                  </w14:solidFill>
                </w14:textFill>
              </w:rPr>
            </w:pPr>
          </w:p>
        </w:tc>
        <w:tc>
          <w:tcPr>
            <w:tcW w:w="912" w:type="dxa"/>
            <w:vMerge w:val="continue"/>
            <w:tcBorders>
              <w:tl2br w:val="nil"/>
              <w:tr2bl w:val="nil"/>
            </w:tcBorders>
            <w:vAlign w:val="center"/>
          </w:tcPr>
          <w:p w14:paraId="57F4A760">
            <w:pPr>
              <w:keepNext w:val="0"/>
              <w:keepLines w:val="0"/>
              <w:pageBreakBefore w:val="0"/>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1085CE3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（2）同一项目中，未按照5条以上工程建设强制性标准进行勘察；或3次以上违反工程建设强制性标准进行勘察；或造成一般质量事故的。</w:t>
            </w:r>
          </w:p>
        </w:tc>
        <w:tc>
          <w:tcPr>
            <w:tcW w:w="3375" w:type="dxa"/>
            <w:tcBorders>
              <w:tl2br w:val="nil"/>
              <w:tr2bl w:val="nil"/>
            </w:tcBorders>
            <w:vAlign w:val="center"/>
          </w:tcPr>
          <w:p w14:paraId="44131BD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责令改正，处25万元以上30万元以下的罚款，对单位直接负责的主管人员和其他直接责任人员处单位罚款数额百分之八点五以上百分之十以下的罚款。</w:t>
            </w:r>
          </w:p>
        </w:tc>
      </w:tr>
      <w:tr w14:paraId="5842A4D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6" w:hRule="atLeast"/>
          <w:jc w:val="center"/>
        </w:trPr>
        <w:tc>
          <w:tcPr>
            <w:tcW w:w="533" w:type="dxa"/>
            <w:gridSpan w:val="2"/>
            <w:vMerge w:val="continue"/>
            <w:tcBorders>
              <w:tl2br w:val="nil"/>
              <w:tr2bl w:val="nil"/>
            </w:tcBorders>
            <w:vAlign w:val="center"/>
          </w:tcPr>
          <w:p w14:paraId="2B5B27D1">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7D3884C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35B24B2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tcPr>
          <w:p w14:paraId="4804C16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restart"/>
            <w:tcBorders>
              <w:tl2br w:val="nil"/>
              <w:tr2bl w:val="nil"/>
            </w:tcBorders>
            <w:vAlign w:val="center"/>
          </w:tcPr>
          <w:p w14:paraId="4D3A01E8">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485E8C0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1000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2000</w:t>
            </w:r>
            <w:r>
              <w:rPr>
                <w:rFonts w:hint="eastAsia" w:ascii="仿宋_GB2312" w:hAnsi="宋体" w:eastAsia="仿宋_GB2312"/>
                <w:color w:val="000000" w:themeColor="text1"/>
                <w:kern w:val="0"/>
                <w:szCs w:val="21"/>
                <w14:textFill>
                  <w14:solidFill>
                    <w14:schemeClr w14:val="tx1"/>
                  </w14:solidFill>
                </w14:textFill>
              </w:rPr>
              <w:t>万元以下直接经济损失的。</w:t>
            </w:r>
          </w:p>
        </w:tc>
        <w:tc>
          <w:tcPr>
            <w:tcW w:w="3375" w:type="dxa"/>
            <w:tcBorders>
              <w:tl2br w:val="nil"/>
              <w:tr2bl w:val="nil"/>
            </w:tcBorders>
            <w:vAlign w:val="center"/>
          </w:tcPr>
          <w:p w14:paraId="3CBBAFF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责令改正，处30万元的罚款，对单位直接负责的主管人员和其他直接责任人员处单位罚款数额百分之十的罚款；责令停业整顿60—90日。</w:t>
            </w:r>
          </w:p>
        </w:tc>
      </w:tr>
      <w:tr w14:paraId="6D847A9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9" w:hRule="atLeast"/>
          <w:jc w:val="center"/>
        </w:trPr>
        <w:tc>
          <w:tcPr>
            <w:tcW w:w="533" w:type="dxa"/>
            <w:gridSpan w:val="2"/>
            <w:vMerge w:val="continue"/>
            <w:tcBorders>
              <w:tl2br w:val="nil"/>
              <w:tr2bl w:val="nil"/>
            </w:tcBorders>
            <w:vAlign w:val="center"/>
          </w:tcPr>
          <w:p w14:paraId="45D9B732">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0570BD4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74E0ADF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tcPr>
          <w:p w14:paraId="5E78DE9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47E1CC4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75D27F7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7</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2000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3000</w:t>
            </w:r>
            <w:r>
              <w:rPr>
                <w:rFonts w:hint="eastAsia" w:ascii="仿宋_GB2312" w:hAnsi="宋体" w:eastAsia="仿宋_GB2312"/>
                <w:color w:val="000000" w:themeColor="text1"/>
                <w:kern w:val="0"/>
                <w:szCs w:val="21"/>
                <w14:textFill>
                  <w14:solidFill>
                    <w14:schemeClr w14:val="tx1"/>
                  </w14:solidFill>
                </w14:textFill>
              </w:rPr>
              <w:t>万元以下直接经济损失的。</w:t>
            </w:r>
          </w:p>
        </w:tc>
        <w:tc>
          <w:tcPr>
            <w:tcW w:w="3375" w:type="dxa"/>
            <w:tcBorders>
              <w:tl2br w:val="nil"/>
              <w:tr2bl w:val="nil"/>
            </w:tcBorders>
            <w:vAlign w:val="center"/>
          </w:tcPr>
          <w:p w14:paraId="014B47D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责令改正，处30万元的罚款，对单位直接负责的主管人员和其他直接责任人员处单位罚款数额百分之十的罚款；责令停业整顿90—120日。</w:t>
            </w:r>
          </w:p>
        </w:tc>
      </w:tr>
      <w:tr w14:paraId="0A488F1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5" w:hRule="atLeast"/>
          <w:jc w:val="center"/>
        </w:trPr>
        <w:tc>
          <w:tcPr>
            <w:tcW w:w="533" w:type="dxa"/>
            <w:gridSpan w:val="2"/>
            <w:vMerge w:val="continue"/>
            <w:tcBorders>
              <w:tl2br w:val="nil"/>
              <w:tr2bl w:val="nil"/>
            </w:tcBorders>
            <w:vAlign w:val="center"/>
          </w:tcPr>
          <w:p w14:paraId="4233A946">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7C73B0C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69ADD77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tcPr>
          <w:p w14:paraId="7EF1928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383C679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68840C4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w:t>
            </w:r>
            <w:r>
              <w:rPr>
                <w:rFonts w:ascii="仿宋_GB2312" w:hAnsi="宋体" w:eastAsia="仿宋_GB2312"/>
                <w:color w:val="000000" w:themeColor="text1"/>
                <w:kern w:val="0"/>
                <w:szCs w:val="21"/>
                <w14:textFill>
                  <w14:solidFill>
                    <w14:schemeClr w14:val="tx1"/>
                  </w14:solidFill>
                </w14:textFill>
              </w:rPr>
              <w:t>7</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50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3000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5000</w:t>
            </w:r>
            <w:r>
              <w:rPr>
                <w:rFonts w:hint="eastAsia" w:ascii="仿宋_GB2312" w:hAnsi="宋体" w:eastAsia="仿宋_GB2312"/>
                <w:color w:val="000000" w:themeColor="text1"/>
                <w:kern w:val="0"/>
                <w:szCs w:val="21"/>
                <w14:textFill>
                  <w14:solidFill>
                    <w14:schemeClr w14:val="tx1"/>
                  </w14:solidFill>
                </w14:textFill>
              </w:rPr>
              <w:t>万元以下直接经济损失的。</w:t>
            </w:r>
          </w:p>
        </w:tc>
        <w:tc>
          <w:tcPr>
            <w:tcW w:w="3375" w:type="dxa"/>
            <w:tcBorders>
              <w:tl2br w:val="nil"/>
              <w:tr2bl w:val="nil"/>
            </w:tcBorders>
            <w:vAlign w:val="center"/>
          </w:tcPr>
          <w:p w14:paraId="20BAB3F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责令改正，处30万元的罚款，对单位直接负责的主管人员和其他直接责任人员处单位罚款数额百分之十的罚款；责令停业整顿120—180日。</w:t>
            </w:r>
          </w:p>
        </w:tc>
      </w:tr>
      <w:tr w14:paraId="0EFB441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9" w:hRule="atLeast"/>
          <w:jc w:val="center"/>
        </w:trPr>
        <w:tc>
          <w:tcPr>
            <w:tcW w:w="533" w:type="dxa"/>
            <w:gridSpan w:val="2"/>
            <w:vMerge w:val="continue"/>
            <w:tcBorders>
              <w:tl2br w:val="nil"/>
              <w:tr2bl w:val="nil"/>
            </w:tcBorders>
            <w:vAlign w:val="center"/>
          </w:tcPr>
          <w:p w14:paraId="53BCD16D">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788E940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546243E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tcPr>
          <w:p w14:paraId="180B96D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0755762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38C8847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（4）造成重大质量安全事故；或造成分部工程存在严重缺陷，经返修和加固处理仍不能满足安全使用要求。</w:t>
            </w:r>
          </w:p>
        </w:tc>
        <w:tc>
          <w:tcPr>
            <w:tcW w:w="3375" w:type="dxa"/>
            <w:tcBorders>
              <w:tl2br w:val="nil"/>
              <w:tr2bl w:val="nil"/>
            </w:tcBorders>
            <w:vAlign w:val="center"/>
          </w:tcPr>
          <w:p w14:paraId="42FF8D3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责令改正，处30万元的罚款，对单位直接负责的主管人员和其他直接责任人员处单位罚款数额百分之十的罚款；降低资质等级。</w:t>
            </w:r>
          </w:p>
        </w:tc>
      </w:tr>
      <w:tr w14:paraId="6373EEA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45" w:hRule="atLeast"/>
          <w:jc w:val="center"/>
        </w:trPr>
        <w:tc>
          <w:tcPr>
            <w:tcW w:w="533" w:type="dxa"/>
            <w:gridSpan w:val="2"/>
            <w:vMerge w:val="continue"/>
            <w:tcBorders>
              <w:tl2br w:val="nil"/>
              <w:tr2bl w:val="nil"/>
            </w:tcBorders>
            <w:vAlign w:val="center"/>
          </w:tcPr>
          <w:p w14:paraId="1A5B1E52">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781DEBA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7088207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tcPr>
          <w:p w14:paraId="49027F3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2A9CAEB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1A66DC5D">
            <w:pPr>
              <w:keepNext w:val="0"/>
              <w:keepLines w:val="0"/>
              <w:pageBreakBefore w:val="0"/>
              <w:widowControl/>
              <w:kinsoku/>
              <w:overflowPunct/>
              <w:topLinePunct w:val="0"/>
              <w:autoSpaceDE/>
              <w:autoSpaceDN/>
              <w:bidi w:val="0"/>
              <w:adjustRightInd/>
              <w:spacing w:line="260" w:lineRule="exact"/>
              <w:ind w:firstLine="210" w:firstLineChars="1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（5）造成特别重大质量安全事故；或造成单位（子单位）工程存在严重缺陷，经返修和加固处理仍不能满足安全使用要求</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或造成特别严重的社会影响。</w:t>
            </w:r>
          </w:p>
        </w:tc>
        <w:tc>
          <w:tcPr>
            <w:tcW w:w="3375" w:type="dxa"/>
            <w:tcBorders>
              <w:tl2br w:val="nil"/>
              <w:tr2bl w:val="nil"/>
            </w:tcBorders>
            <w:vAlign w:val="center"/>
          </w:tcPr>
          <w:p w14:paraId="551D0A4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责令改正，处30万元的罚款，对单位直接负责的主管人员和其他直接责任人员处单位罚款数额百分之十的罚款；吊销资质证书。</w:t>
            </w:r>
          </w:p>
        </w:tc>
      </w:tr>
      <w:tr w14:paraId="7BCDC81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7DB11FD5">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35</w:t>
            </w:r>
          </w:p>
        </w:tc>
        <w:tc>
          <w:tcPr>
            <w:tcW w:w="1376" w:type="dxa"/>
            <w:vMerge w:val="restart"/>
            <w:tcBorders>
              <w:tl2br w:val="nil"/>
              <w:tr2bl w:val="nil"/>
            </w:tcBorders>
            <w:vAlign w:val="center"/>
          </w:tcPr>
          <w:p w14:paraId="77B5F94A">
            <w:pPr>
              <w:keepNext w:val="0"/>
              <w:keepLines w:val="0"/>
              <w:pageBreakBefore w:val="0"/>
              <w:kinsoku/>
              <w:overflowPunct/>
              <w:topLinePunct w:val="0"/>
              <w:autoSpaceDE/>
              <w:autoSpaceDN/>
              <w:bidi w:val="0"/>
              <w:adjustRightInd/>
              <w:spacing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设计单位未根据勘察成果文件进行工程设计</w:t>
            </w:r>
          </w:p>
        </w:tc>
        <w:tc>
          <w:tcPr>
            <w:tcW w:w="1128" w:type="dxa"/>
            <w:gridSpan w:val="2"/>
            <w:vMerge w:val="restart"/>
            <w:tcBorders>
              <w:tl2br w:val="nil"/>
              <w:tr2bl w:val="nil"/>
            </w:tcBorders>
            <w:vAlign w:val="center"/>
          </w:tcPr>
          <w:p w14:paraId="1C2DD9B8">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《建设工程质量管理条例》第二十一条第一款</w:t>
            </w:r>
          </w:p>
        </w:tc>
        <w:tc>
          <w:tcPr>
            <w:tcW w:w="4354" w:type="dxa"/>
            <w:vMerge w:val="restart"/>
            <w:tcBorders>
              <w:tl2br w:val="nil"/>
              <w:tr2bl w:val="nil"/>
            </w:tcBorders>
            <w:vAlign w:val="center"/>
          </w:tcPr>
          <w:p w14:paraId="46955E39">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《建设工程质量管理条例》第六十三条第(二)项</w:t>
            </w:r>
          </w:p>
          <w:p w14:paraId="73349CA1">
            <w:pPr>
              <w:keepNext w:val="0"/>
              <w:keepLines w:val="0"/>
              <w:pageBreakBefore w:val="0"/>
              <w:widowControl/>
              <w:kinsoku/>
              <w:overflowPunct/>
              <w:topLinePunct w:val="0"/>
              <w:autoSpaceDE/>
              <w:autoSpaceDN/>
              <w:bidi w:val="0"/>
              <w:adjustRightInd/>
              <w:spacing w:line="260" w:lineRule="exact"/>
              <w:ind w:firstLine="210" w:firstLineChars="1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违反本条例规定，有下列行为之一的，责令改正，处10万元以上30万元以下的罚款： </w:t>
            </w:r>
          </w:p>
          <w:p w14:paraId="1A0734D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（二）设计单位未根据勘察成果文件进行工程设计的；</w:t>
            </w:r>
          </w:p>
          <w:p w14:paraId="0DE18C5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有前款所列行为，造成工程质量事故的，责令停业整顿，降低资质等级；情节严重的，吊销资质证书；造成损失的，依法承担赔偿责任。</w:t>
            </w:r>
          </w:p>
          <w:p w14:paraId="1A1453E4">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1A35C617">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24C37186">
            <w:pPr>
              <w:keepNext w:val="0"/>
              <w:keepLines w:val="0"/>
              <w:pageBreakBefore w:val="0"/>
              <w:widowControl/>
              <w:kinsoku/>
              <w:overflowPunct/>
              <w:topLinePunct w:val="0"/>
              <w:autoSpaceDE/>
              <w:autoSpaceDN/>
              <w:bidi w:val="0"/>
              <w:adjustRightInd/>
              <w:spacing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r>
              <w:rPr>
                <w:rFonts w:hint="eastAsia" w:ascii="宋体" w:hAnsi="宋体" w:cs="Arial"/>
                <w:color w:val="000000" w:themeColor="text1"/>
                <w:spacing w:val="8"/>
                <w:kern w:val="0"/>
                <w:szCs w:val="21"/>
                <w14:textFill>
                  <w14:solidFill>
                    <w14:schemeClr w14:val="tx1"/>
                  </w14:solidFill>
                </w14:textFill>
              </w:rPr>
              <w:t>。</w:t>
            </w:r>
          </w:p>
        </w:tc>
        <w:tc>
          <w:tcPr>
            <w:tcW w:w="912" w:type="dxa"/>
            <w:tcBorders>
              <w:tl2br w:val="nil"/>
              <w:tr2bl w:val="nil"/>
            </w:tcBorders>
            <w:vAlign w:val="center"/>
          </w:tcPr>
          <w:p w14:paraId="5C27ECF2">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007DB4D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375" w:type="dxa"/>
            <w:tcBorders>
              <w:tl2br w:val="nil"/>
              <w:tr2bl w:val="nil"/>
            </w:tcBorders>
            <w:vAlign w:val="center"/>
          </w:tcPr>
          <w:p w14:paraId="2E5C429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责令改正，处10万元以上12万元以下的罚款，对单位直接负责的主管人员和其他直接责任人员处单位罚款数额百分之五以上百分之六以下的罚款。</w:t>
            </w:r>
          </w:p>
        </w:tc>
      </w:tr>
      <w:tr w14:paraId="66BD069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 w:hRule="atLeast"/>
          <w:jc w:val="center"/>
        </w:trPr>
        <w:tc>
          <w:tcPr>
            <w:tcW w:w="533" w:type="dxa"/>
            <w:gridSpan w:val="2"/>
            <w:vMerge w:val="continue"/>
            <w:tcBorders>
              <w:tl2br w:val="nil"/>
              <w:tr2bl w:val="nil"/>
            </w:tcBorders>
            <w:vAlign w:val="center"/>
          </w:tcPr>
          <w:p w14:paraId="7143CCCD">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7F20807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31E33D4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73FC6F3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restart"/>
            <w:tcBorders>
              <w:tl2br w:val="nil"/>
              <w:tr2bl w:val="nil"/>
            </w:tcBorders>
            <w:vAlign w:val="center"/>
          </w:tcPr>
          <w:p w14:paraId="213909F1">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679006D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（1）造成一般危害后果的。</w:t>
            </w:r>
          </w:p>
        </w:tc>
        <w:tc>
          <w:tcPr>
            <w:tcW w:w="3375" w:type="dxa"/>
            <w:tcBorders>
              <w:tl2br w:val="nil"/>
              <w:tr2bl w:val="nil"/>
            </w:tcBorders>
            <w:vAlign w:val="center"/>
          </w:tcPr>
          <w:p w14:paraId="7811DD8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责令改正，处12万元以上25万元以下的罚款，对单位直接负责的主管人员和其他直接责任人员处单位罚款数额百分之六以上百分之八点五以下的罚款。</w:t>
            </w:r>
          </w:p>
        </w:tc>
      </w:tr>
      <w:tr w14:paraId="4CDF46D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 w:hRule="atLeast"/>
          <w:jc w:val="center"/>
        </w:trPr>
        <w:tc>
          <w:tcPr>
            <w:tcW w:w="533" w:type="dxa"/>
            <w:gridSpan w:val="2"/>
            <w:vMerge w:val="continue"/>
            <w:tcBorders>
              <w:tl2br w:val="nil"/>
              <w:tr2bl w:val="nil"/>
            </w:tcBorders>
            <w:vAlign w:val="center"/>
          </w:tcPr>
          <w:p w14:paraId="2268DA10">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08BF4AA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555D1FC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3D4BAE0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05FE9A8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5F2E0D3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（2）造成一般质量、安全事故的。</w:t>
            </w:r>
          </w:p>
        </w:tc>
        <w:tc>
          <w:tcPr>
            <w:tcW w:w="3375" w:type="dxa"/>
            <w:tcBorders>
              <w:tl2br w:val="nil"/>
              <w:tr2bl w:val="nil"/>
            </w:tcBorders>
            <w:vAlign w:val="center"/>
          </w:tcPr>
          <w:p w14:paraId="270691B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责令改正，处25万元以上30万元以下的罚款，对单位直接负责的主管人员和其他直接责任人员处单位罚款数额百分之八点五以上百分之十以下的罚款。</w:t>
            </w:r>
          </w:p>
        </w:tc>
      </w:tr>
      <w:tr w14:paraId="3DD9DD0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6" w:hRule="atLeast"/>
          <w:jc w:val="center"/>
        </w:trPr>
        <w:tc>
          <w:tcPr>
            <w:tcW w:w="533" w:type="dxa"/>
            <w:gridSpan w:val="2"/>
            <w:vMerge w:val="continue"/>
            <w:tcBorders>
              <w:tl2br w:val="nil"/>
              <w:tr2bl w:val="nil"/>
            </w:tcBorders>
            <w:vAlign w:val="center"/>
          </w:tcPr>
          <w:p w14:paraId="2E89161A">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19ABDC4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3B2D044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7C0700C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restart"/>
            <w:tcBorders>
              <w:tl2br w:val="nil"/>
              <w:tr2bl w:val="nil"/>
            </w:tcBorders>
            <w:vAlign w:val="center"/>
          </w:tcPr>
          <w:p w14:paraId="798BF22F">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788AA09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590695B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1000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2000</w:t>
            </w:r>
            <w:r>
              <w:rPr>
                <w:rFonts w:hint="eastAsia" w:ascii="仿宋_GB2312" w:hAnsi="宋体" w:eastAsia="仿宋_GB2312"/>
                <w:color w:val="000000" w:themeColor="text1"/>
                <w:kern w:val="0"/>
                <w:szCs w:val="21"/>
                <w14:textFill>
                  <w14:solidFill>
                    <w14:schemeClr w14:val="tx1"/>
                  </w14:solidFill>
                </w14:textFill>
              </w:rPr>
              <w:t>万元以下直接经济损失的。</w:t>
            </w:r>
          </w:p>
        </w:tc>
        <w:tc>
          <w:tcPr>
            <w:tcW w:w="3375" w:type="dxa"/>
            <w:tcBorders>
              <w:tl2br w:val="nil"/>
              <w:tr2bl w:val="nil"/>
            </w:tcBorders>
            <w:vAlign w:val="center"/>
          </w:tcPr>
          <w:p w14:paraId="68182C7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责令改正，处30万元的罚款，对单位直接负责的主管人员和其他直接责任人员处单位罚款数额百分之十的罚款；责令停业整顿60—90日。</w:t>
            </w:r>
          </w:p>
        </w:tc>
      </w:tr>
      <w:tr w14:paraId="4A340B1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2" w:hRule="atLeast"/>
          <w:jc w:val="center"/>
        </w:trPr>
        <w:tc>
          <w:tcPr>
            <w:tcW w:w="533" w:type="dxa"/>
            <w:gridSpan w:val="2"/>
            <w:vMerge w:val="continue"/>
            <w:tcBorders>
              <w:tl2br w:val="nil"/>
              <w:tr2bl w:val="nil"/>
            </w:tcBorders>
            <w:vAlign w:val="center"/>
          </w:tcPr>
          <w:p w14:paraId="1855CA1E">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1AB715B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4361D57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75F89EC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1FA77DF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5C7BCC3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7</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2000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3000</w:t>
            </w:r>
            <w:r>
              <w:rPr>
                <w:rFonts w:hint="eastAsia" w:ascii="仿宋_GB2312" w:hAnsi="宋体" w:eastAsia="仿宋_GB2312"/>
                <w:color w:val="000000" w:themeColor="text1"/>
                <w:kern w:val="0"/>
                <w:szCs w:val="21"/>
                <w14:textFill>
                  <w14:solidFill>
                    <w14:schemeClr w14:val="tx1"/>
                  </w14:solidFill>
                </w14:textFill>
              </w:rPr>
              <w:t>万元以下直接经济损失的。</w:t>
            </w:r>
          </w:p>
        </w:tc>
        <w:tc>
          <w:tcPr>
            <w:tcW w:w="3375" w:type="dxa"/>
            <w:tcBorders>
              <w:tl2br w:val="nil"/>
              <w:tr2bl w:val="nil"/>
            </w:tcBorders>
            <w:vAlign w:val="center"/>
          </w:tcPr>
          <w:p w14:paraId="2A91FD6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责令改正，处30万元的罚款，对单位直接负责的主管人员和其他直接责任人员处单位罚款数额百分之十的罚款；责令停业整顿90—120日。</w:t>
            </w:r>
          </w:p>
        </w:tc>
      </w:tr>
      <w:tr w14:paraId="02C6732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1" w:hRule="atLeast"/>
          <w:jc w:val="center"/>
        </w:trPr>
        <w:tc>
          <w:tcPr>
            <w:tcW w:w="533" w:type="dxa"/>
            <w:gridSpan w:val="2"/>
            <w:vMerge w:val="continue"/>
            <w:tcBorders>
              <w:tl2br w:val="nil"/>
              <w:tr2bl w:val="nil"/>
            </w:tcBorders>
            <w:vAlign w:val="center"/>
          </w:tcPr>
          <w:p w14:paraId="2E3AD337">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6CB269D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31E443F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622907D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2460138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2013D5B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w:t>
            </w:r>
            <w:r>
              <w:rPr>
                <w:rFonts w:ascii="仿宋_GB2312" w:hAnsi="宋体" w:eastAsia="仿宋_GB2312"/>
                <w:color w:val="000000" w:themeColor="text1"/>
                <w:kern w:val="0"/>
                <w:szCs w:val="21"/>
                <w14:textFill>
                  <w14:solidFill>
                    <w14:schemeClr w14:val="tx1"/>
                  </w14:solidFill>
                </w14:textFill>
              </w:rPr>
              <w:t>7</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50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3000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5000</w:t>
            </w:r>
            <w:r>
              <w:rPr>
                <w:rFonts w:hint="eastAsia" w:ascii="仿宋_GB2312" w:hAnsi="宋体" w:eastAsia="仿宋_GB2312"/>
                <w:color w:val="000000" w:themeColor="text1"/>
                <w:kern w:val="0"/>
                <w:szCs w:val="21"/>
                <w14:textFill>
                  <w14:solidFill>
                    <w14:schemeClr w14:val="tx1"/>
                  </w14:solidFill>
                </w14:textFill>
              </w:rPr>
              <w:t>万元以下直接经济损失的。</w:t>
            </w:r>
          </w:p>
        </w:tc>
        <w:tc>
          <w:tcPr>
            <w:tcW w:w="3375" w:type="dxa"/>
            <w:tcBorders>
              <w:tl2br w:val="nil"/>
              <w:tr2bl w:val="nil"/>
            </w:tcBorders>
            <w:vAlign w:val="center"/>
          </w:tcPr>
          <w:p w14:paraId="6A19D9A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责令改正，处30万元的罚款，对单位直接负责的主管人员和其他直接责任人员处单位罚款数额百分之十的罚款；责令停业整顿120—180日。</w:t>
            </w:r>
          </w:p>
        </w:tc>
      </w:tr>
      <w:tr w14:paraId="54047C8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jc w:val="center"/>
        </w:trPr>
        <w:tc>
          <w:tcPr>
            <w:tcW w:w="533" w:type="dxa"/>
            <w:gridSpan w:val="2"/>
            <w:vMerge w:val="continue"/>
            <w:tcBorders>
              <w:tl2br w:val="nil"/>
              <w:tr2bl w:val="nil"/>
            </w:tcBorders>
            <w:vAlign w:val="center"/>
          </w:tcPr>
          <w:p w14:paraId="629A2D71">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25FDE3A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5D6C6FF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07EB939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0A19AA0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2C84434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（4）造成重大质量安全事故；或造成分部工程存在严重缺陷，经返修和加固处理仍不能满足安全使用要求。</w:t>
            </w:r>
          </w:p>
        </w:tc>
        <w:tc>
          <w:tcPr>
            <w:tcW w:w="3375" w:type="dxa"/>
            <w:tcBorders>
              <w:tl2br w:val="nil"/>
              <w:tr2bl w:val="nil"/>
            </w:tcBorders>
            <w:vAlign w:val="center"/>
          </w:tcPr>
          <w:p w14:paraId="23D15FA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责令改正，处30万元的罚款，对单位直接负责的主管人员和其他直接责任人员处单位罚款数额百分之十的罚款；降低资质等级。</w:t>
            </w:r>
          </w:p>
        </w:tc>
      </w:tr>
      <w:tr w14:paraId="1043602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4" w:hRule="atLeast"/>
          <w:jc w:val="center"/>
        </w:trPr>
        <w:tc>
          <w:tcPr>
            <w:tcW w:w="533" w:type="dxa"/>
            <w:gridSpan w:val="2"/>
            <w:vMerge w:val="continue"/>
            <w:tcBorders>
              <w:tl2br w:val="nil"/>
              <w:tr2bl w:val="nil"/>
            </w:tcBorders>
            <w:vAlign w:val="center"/>
          </w:tcPr>
          <w:p w14:paraId="19B0CF84">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1E6D4AF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76110E4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0FAF300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711A9EC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1B4D7A76">
            <w:pPr>
              <w:keepNext w:val="0"/>
              <w:keepLines w:val="0"/>
              <w:pageBreakBefore w:val="0"/>
              <w:widowControl/>
              <w:kinsoku/>
              <w:overflowPunct/>
              <w:topLinePunct w:val="0"/>
              <w:autoSpaceDE/>
              <w:autoSpaceDN/>
              <w:bidi w:val="0"/>
              <w:adjustRightInd/>
              <w:spacing w:line="260" w:lineRule="exact"/>
              <w:ind w:firstLine="210" w:firstLineChars="1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（5）造成特别重大质量安全事故；或造成单位（子单位）工程存在严重缺陷，经返修和加固处理仍不能满足安全使用要求</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或造成特别严重的社会影响。</w:t>
            </w:r>
          </w:p>
        </w:tc>
        <w:tc>
          <w:tcPr>
            <w:tcW w:w="3375" w:type="dxa"/>
            <w:tcBorders>
              <w:tl2br w:val="nil"/>
              <w:tr2bl w:val="nil"/>
            </w:tcBorders>
            <w:vAlign w:val="center"/>
          </w:tcPr>
          <w:p w14:paraId="5A8E1A7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责令改正，处30万元的罚款，对单位直接负责的主管人员和其他直接责任人员处单位罚款数额百分之十的罚款；吊销资质证书。</w:t>
            </w:r>
          </w:p>
        </w:tc>
      </w:tr>
      <w:tr w14:paraId="7377F92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76E03431">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36</w:t>
            </w:r>
          </w:p>
        </w:tc>
        <w:tc>
          <w:tcPr>
            <w:tcW w:w="1376" w:type="dxa"/>
            <w:vMerge w:val="restart"/>
            <w:tcBorders>
              <w:tl2br w:val="nil"/>
              <w:tr2bl w:val="nil"/>
            </w:tcBorders>
            <w:vAlign w:val="center"/>
          </w:tcPr>
          <w:p w14:paraId="44E899C2">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1ED9DBF1">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2417D0D1">
            <w:pPr>
              <w:keepNext w:val="0"/>
              <w:keepLines w:val="0"/>
              <w:pageBreakBefore w:val="0"/>
              <w:kinsoku/>
              <w:overflowPunct/>
              <w:topLinePunct w:val="0"/>
              <w:autoSpaceDE/>
              <w:autoSpaceDN/>
              <w:bidi w:val="0"/>
              <w:adjustRightInd/>
              <w:spacing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设计单位指定建筑材料、建筑构配件的生产厂、供应商</w:t>
            </w:r>
          </w:p>
        </w:tc>
        <w:tc>
          <w:tcPr>
            <w:tcW w:w="1128" w:type="dxa"/>
            <w:gridSpan w:val="2"/>
            <w:vMerge w:val="restart"/>
            <w:tcBorders>
              <w:tl2br w:val="nil"/>
              <w:tr2bl w:val="nil"/>
            </w:tcBorders>
            <w:vAlign w:val="center"/>
          </w:tcPr>
          <w:p w14:paraId="6FB8BF02">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46A337D5">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6CB3AC16">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《建设工程质量管理条例》第二十二条第二款</w:t>
            </w:r>
          </w:p>
        </w:tc>
        <w:tc>
          <w:tcPr>
            <w:tcW w:w="4354" w:type="dxa"/>
            <w:vMerge w:val="restart"/>
            <w:tcBorders>
              <w:tl2br w:val="nil"/>
              <w:tr2bl w:val="nil"/>
            </w:tcBorders>
            <w:vAlign w:val="center"/>
          </w:tcPr>
          <w:p w14:paraId="7C2482F6">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2D5BED30">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79A6C8B6">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《建设工程质量管理条例》第六十三条第(三)项</w:t>
            </w:r>
          </w:p>
          <w:p w14:paraId="7B1BFF84">
            <w:pPr>
              <w:keepNext w:val="0"/>
              <w:keepLines w:val="0"/>
              <w:pageBreakBefore w:val="0"/>
              <w:kinsoku/>
              <w:overflowPunct/>
              <w:topLinePunct w:val="0"/>
              <w:autoSpaceDE/>
              <w:autoSpaceDN/>
              <w:bidi w:val="0"/>
              <w:adjustRightInd/>
              <w:spacing w:line="260" w:lineRule="exact"/>
              <w:ind w:firstLine="210" w:firstLineChars="1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违反本条例规定，有下列行为之一的，责令改正，处10万元以上30万元以下的罚款： </w:t>
            </w:r>
          </w:p>
          <w:p w14:paraId="04204E0F">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（三）设计单位指定建筑材料、建筑构配件的生产厂、供应商的；</w:t>
            </w:r>
          </w:p>
          <w:p w14:paraId="7A7178F4">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有前款所列行为，造成工程质量事故的，责令停业整顿，降低资质等级；情节严重的，吊销资质证书；造成损失的，依法承担赔偿责任。</w:t>
            </w:r>
          </w:p>
          <w:p w14:paraId="29FACFB7">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18FD778E">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22D3EF3A">
            <w:pPr>
              <w:keepNext w:val="0"/>
              <w:keepLines w:val="0"/>
              <w:pageBreakBefore w:val="0"/>
              <w:kinsoku/>
              <w:overflowPunct/>
              <w:topLinePunct w:val="0"/>
              <w:autoSpaceDE/>
              <w:autoSpaceDN/>
              <w:bidi w:val="0"/>
              <w:adjustRightInd/>
              <w:spacing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912" w:type="dxa"/>
            <w:tcBorders>
              <w:tl2br w:val="nil"/>
              <w:tr2bl w:val="nil"/>
            </w:tcBorders>
            <w:vAlign w:val="center"/>
          </w:tcPr>
          <w:p w14:paraId="75E798A8">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1978E31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375" w:type="dxa"/>
            <w:tcBorders>
              <w:tl2br w:val="nil"/>
              <w:tr2bl w:val="nil"/>
            </w:tcBorders>
            <w:vAlign w:val="center"/>
          </w:tcPr>
          <w:p w14:paraId="5AD30072">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责令改正，处10万元以上12万元以下的罚款，对单位直接负责的主管人员和其他直接责任人员处单位罚款数额百分之五以上百分之六以下的罚款。</w:t>
            </w:r>
          </w:p>
        </w:tc>
      </w:tr>
      <w:tr w14:paraId="62B3A71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jc w:val="center"/>
        </w:trPr>
        <w:tc>
          <w:tcPr>
            <w:tcW w:w="533" w:type="dxa"/>
            <w:gridSpan w:val="2"/>
            <w:vMerge w:val="continue"/>
            <w:tcBorders>
              <w:tl2br w:val="nil"/>
              <w:tr2bl w:val="nil"/>
            </w:tcBorders>
            <w:vAlign w:val="center"/>
          </w:tcPr>
          <w:p w14:paraId="189BCF2D">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06A4428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33D2FB1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6C913E3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restart"/>
            <w:tcBorders>
              <w:tl2br w:val="nil"/>
              <w:tr2bl w:val="nil"/>
            </w:tcBorders>
            <w:vAlign w:val="center"/>
          </w:tcPr>
          <w:p w14:paraId="01E1C37C">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0ADC50A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（1）造成一般危害后果的。</w:t>
            </w:r>
          </w:p>
        </w:tc>
        <w:tc>
          <w:tcPr>
            <w:tcW w:w="3375" w:type="dxa"/>
            <w:tcBorders>
              <w:tl2br w:val="nil"/>
              <w:tr2bl w:val="nil"/>
            </w:tcBorders>
            <w:vAlign w:val="center"/>
          </w:tcPr>
          <w:p w14:paraId="0505926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责令改正，处12万元以上25万元以下的罚款，对单位直接负责的主管人员和其他直接责任人员处单位罚款数额百分之六以上百分之八点五以下的罚款。</w:t>
            </w:r>
          </w:p>
        </w:tc>
      </w:tr>
      <w:tr w14:paraId="231F3DF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 w:hRule="atLeast"/>
          <w:jc w:val="center"/>
        </w:trPr>
        <w:tc>
          <w:tcPr>
            <w:tcW w:w="533" w:type="dxa"/>
            <w:gridSpan w:val="2"/>
            <w:vMerge w:val="continue"/>
            <w:tcBorders>
              <w:tl2br w:val="nil"/>
              <w:tr2bl w:val="nil"/>
            </w:tcBorders>
            <w:vAlign w:val="center"/>
          </w:tcPr>
          <w:p w14:paraId="12F506A7">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762E6B9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29C8AF2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3930E90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50D1C7F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0708D00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（2）造成一般质量、安全事故的。</w:t>
            </w:r>
          </w:p>
        </w:tc>
        <w:tc>
          <w:tcPr>
            <w:tcW w:w="3375" w:type="dxa"/>
            <w:tcBorders>
              <w:tl2br w:val="nil"/>
              <w:tr2bl w:val="nil"/>
            </w:tcBorders>
            <w:vAlign w:val="center"/>
          </w:tcPr>
          <w:p w14:paraId="4673EA4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责令改正，处25万元以上30万元以下的罚款，对单位直接负责的主管人员和其他直接责任人员处单位罚款数额百分之八点五以上百分之十以下的罚款。</w:t>
            </w:r>
          </w:p>
        </w:tc>
      </w:tr>
      <w:tr w14:paraId="7C03AD7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6" w:hRule="atLeast"/>
          <w:jc w:val="center"/>
        </w:trPr>
        <w:tc>
          <w:tcPr>
            <w:tcW w:w="533" w:type="dxa"/>
            <w:gridSpan w:val="2"/>
            <w:vMerge w:val="continue"/>
            <w:tcBorders>
              <w:tl2br w:val="nil"/>
              <w:tr2bl w:val="nil"/>
            </w:tcBorders>
            <w:vAlign w:val="center"/>
          </w:tcPr>
          <w:p w14:paraId="4897B970">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3C82128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55FB6D4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68F9B45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restart"/>
            <w:tcBorders>
              <w:tl2br w:val="nil"/>
              <w:tr2bl w:val="nil"/>
            </w:tcBorders>
            <w:vAlign w:val="center"/>
          </w:tcPr>
          <w:p w14:paraId="11FB207A">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3E10953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1000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2000</w:t>
            </w:r>
            <w:r>
              <w:rPr>
                <w:rFonts w:hint="eastAsia" w:ascii="仿宋_GB2312" w:hAnsi="宋体" w:eastAsia="仿宋_GB2312"/>
                <w:color w:val="000000" w:themeColor="text1"/>
                <w:kern w:val="0"/>
                <w:szCs w:val="21"/>
                <w14:textFill>
                  <w14:solidFill>
                    <w14:schemeClr w14:val="tx1"/>
                  </w14:solidFill>
                </w14:textFill>
              </w:rPr>
              <w:t>万元以下直接经济损失的。</w:t>
            </w:r>
          </w:p>
        </w:tc>
        <w:tc>
          <w:tcPr>
            <w:tcW w:w="3375" w:type="dxa"/>
            <w:tcBorders>
              <w:tl2br w:val="nil"/>
              <w:tr2bl w:val="nil"/>
            </w:tcBorders>
            <w:vAlign w:val="center"/>
          </w:tcPr>
          <w:p w14:paraId="35F255D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责令改正，处30万元的罚款，对单位直接负责的主管人员和其他直接责任人员处单位罚款数额百分之十的罚款；责令停业整顿60—90日。</w:t>
            </w:r>
          </w:p>
        </w:tc>
      </w:tr>
      <w:tr w14:paraId="439C248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533" w:type="dxa"/>
            <w:gridSpan w:val="2"/>
            <w:vMerge w:val="continue"/>
            <w:tcBorders>
              <w:tl2br w:val="nil"/>
              <w:tr2bl w:val="nil"/>
            </w:tcBorders>
            <w:vAlign w:val="center"/>
          </w:tcPr>
          <w:p w14:paraId="7EC22267">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6A12807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74E1790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29C49C9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731AE40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6B9FEA6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7</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2000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3000</w:t>
            </w:r>
            <w:r>
              <w:rPr>
                <w:rFonts w:hint="eastAsia" w:ascii="仿宋_GB2312" w:hAnsi="宋体" w:eastAsia="仿宋_GB2312"/>
                <w:color w:val="000000" w:themeColor="text1"/>
                <w:kern w:val="0"/>
                <w:szCs w:val="21"/>
                <w14:textFill>
                  <w14:solidFill>
                    <w14:schemeClr w14:val="tx1"/>
                  </w14:solidFill>
                </w14:textFill>
              </w:rPr>
              <w:t>万元以下直接经济损失的。</w:t>
            </w:r>
          </w:p>
        </w:tc>
        <w:tc>
          <w:tcPr>
            <w:tcW w:w="3375" w:type="dxa"/>
            <w:tcBorders>
              <w:tl2br w:val="nil"/>
              <w:tr2bl w:val="nil"/>
            </w:tcBorders>
            <w:vAlign w:val="center"/>
          </w:tcPr>
          <w:p w14:paraId="22589C7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责令改正，处30万元的罚款，对单位直接负责的主管人员和其他直接责任人员处单位罚款数额百分之十的罚款；责令停业整顿90—120日。</w:t>
            </w:r>
          </w:p>
        </w:tc>
      </w:tr>
      <w:tr w14:paraId="7440D82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533" w:type="dxa"/>
            <w:gridSpan w:val="2"/>
            <w:vMerge w:val="continue"/>
            <w:tcBorders>
              <w:tl2br w:val="nil"/>
              <w:tr2bl w:val="nil"/>
            </w:tcBorders>
            <w:vAlign w:val="center"/>
          </w:tcPr>
          <w:p w14:paraId="30229DD6">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607A38B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7DEFEF5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41CD8C2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7702518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789B802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w:t>
            </w:r>
            <w:r>
              <w:rPr>
                <w:rFonts w:ascii="仿宋_GB2312" w:hAnsi="宋体" w:eastAsia="仿宋_GB2312"/>
                <w:color w:val="000000" w:themeColor="text1"/>
                <w:kern w:val="0"/>
                <w:szCs w:val="21"/>
                <w14:textFill>
                  <w14:solidFill>
                    <w14:schemeClr w14:val="tx1"/>
                  </w14:solidFill>
                </w14:textFill>
              </w:rPr>
              <w:t>7</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50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3000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5000</w:t>
            </w:r>
            <w:r>
              <w:rPr>
                <w:rFonts w:hint="eastAsia" w:ascii="仿宋_GB2312" w:hAnsi="宋体" w:eastAsia="仿宋_GB2312"/>
                <w:color w:val="000000" w:themeColor="text1"/>
                <w:kern w:val="0"/>
                <w:szCs w:val="21"/>
                <w14:textFill>
                  <w14:solidFill>
                    <w14:schemeClr w14:val="tx1"/>
                  </w14:solidFill>
                </w14:textFill>
              </w:rPr>
              <w:t>万元以下直接经济损失的。</w:t>
            </w:r>
          </w:p>
        </w:tc>
        <w:tc>
          <w:tcPr>
            <w:tcW w:w="3375" w:type="dxa"/>
            <w:tcBorders>
              <w:tl2br w:val="nil"/>
              <w:tr2bl w:val="nil"/>
            </w:tcBorders>
            <w:vAlign w:val="center"/>
          </w:tcPr>
          <w:p w14:paraId="03AB51E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责令改正，处30万元的罚款，对单位直接负责的主管人员和其他直接责任人员处单位罚款数额百分之十的罚款；责令停业整顿120—180日。</w:t>
            </w:r>
          </w:p>
        </w:tc>
      </w:tr>
      <w:tr w14:paraId="111060E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9" w:hRule="atLeast"/>
          <w:jc w:val="center"/>
        </w:trPr>
        <w:tc>
          <w:tcPr>
            <w:tcW w:w="533" w:type="dxa"/>
            <w:gridSpan w:val="2"/>
            <w:vMerge w:val="continue"/>
            <w:tcBorders>
              <w:tl2br w:val="nil"/>
              <w:tr2bl w:val="nil"/>
            </w:tcBorders>
            <w:vAlign w:val="center"/>
          </w:tcPr>
          <w:p w14:paraId="694D0A37">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419345B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7CBEFE2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14EFDD4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4320CB7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20B253B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（4）造成重大质量安全事故；或造成分部工程存在严重缺陷，经返修和加固处理仍不能满足安全使用要求。</w:t>
            </w:r>
          </w:p>
        </w:tc>
        <w:tc>
          <w:tcPr>
            <w:tcW w:w="3375" w:type="dxa"/>
            <w:tcBorders>
              <w:tl2br w:val="nil"/>
              <w:tr2bl w:val="nil"/>
            </w:tcBorders>
            <w:vAlign w:val="center"/>
          </w:tcPr>
          <w:p w14:paraId="4CA9012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责令改正，处30万元的罚款，对单位直接负责的主管人员和其他直接责任人员处单位罚款数额百分之十的罚款；降低资质等级。</w:t>
            </w:r>
          </w:p>
        </w:tc>
      </w:tr>
      <w:tr w14:paraId="295C17E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7" w:hRule="atLeast"/>
          <w:jc w:val="center"/>
        </w:trPr>
        <w:tc>
          <w:tcPr>
            <w:tcW w:w="533" w:type="dxa"/>
            <w:gridSpan w:val="2"/>
            <w:vMerge w:val="continue"/>
            <w:tcBorders>
              <w:tl2br w:val="nil"/>
              <w:tr2bl w:val="nil"/>
            </w:tcBorders>
            <w:vAlign w:val="center"/>
          </w:tcPr>
          <w:p w14:paraId="5A3889FA">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6EDA0D2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0A26984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0BA88DF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3B62FDC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47D58C57">
            <w:pPr>
              <w:keepNext w:val="0"/>
              <w:keepLines w:val="0"/>
              <w:pageBreakBefore w:val="0"/>
              <w:widowControl/>
              <w:kinsoku/>
              <w:overflowPunct/>
              <w:topLinePunct w:val="0"/>
              <w:autoSpaceDE/>
              <w:autoSpaceDN/>
              <w:bidi w:val="0"/>
              <w:adjustRightInd/>
              <w:spacing w:line="260" w:lineRule="exact"/>
              <w:ind w:firstLine="210" w:firstLineChars="1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（5）造成特别重大质量安全事故；或造成单位（子单位）工程存在严重缺陷，经返修和加固处理仍不能满足安全使用要求</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或造成特别严重的社会影响。</w:t>
            </w:r>
          </w:p>
        </w:tc>
        <w:tc>
          <w:tcPr>
            <w:tcW w:w="3375" w:type="dxa"/>
            <w:tcBorders>
              <w:tl2br w:val="nil"/>
              <w:tr2bl w:val="nil"/>
            </w:tcBorders>
            <w:vAlign w:val="center"/>
          </w:tcPr>
          <w:p w14:paraId="627FB51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责令改正，处30万元的罚款，对单位直接负责的主管人员和其他直接责任人员处单位罚款数额百分之十的罚款；吊销资质证书。</w:t>
            </w:r>
          </w:p>
        </w:tc>
      </w:tr>
      <w:tr w14:paraId="76EBB2F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21380178">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37</w:t>
            </w:r>
          </w:p>
        </w:tc>
        <w:tc>
          <w:tcPr>
            <w:tcW w:w="1376" w:type="dxa"/>
            <w:vMerge w:val="restart"/>
            <w:tcBorders>
              <w:tl2br w:val="nil"/>
              <w:tr2bl w:val="nil"/>
            </w:tcBorders>
            <w:vAlign w:val="center"/>
          </w:tcPr>
          <w:p w14:paraId="14950275">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7C57DA2D">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71C7AF41">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55E54FA0">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62C3B43E">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5F6E9149">
            <w:pPr>
              <w:keepNext w:val="0"/>
              <w:keepLines w:val="0"/>
              <w:pageBreakBefore w:val="0"/>
              <w:kinsoku/>
              <w:overflowPunct/>
              <w:topLinePunct w:val="0"/>
              <w:autoSpaceDE/>
              <w:autoSpaceDN/>
              <w:bidi w:val="0"/>
              <w:adjustRightInd/>
              <w:spacing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设计单位未按照工程建设强制性标准进行设计</w:t>
            </w:r>
          </w:p>
        </w:tc>
        <w:tc>
          <w:tcPr>
            <w:tcW w:w="1128" w:type="dxa"/>
            <w:gridSpan w:val="2"/>
            <w:vMerge w:val="restart"/>
            <w:tcBorders>
              <w:tl2br w:val="nil"/>
              <w:tr2bl w:val="nil"/>
            </w:tcBorders>
            <w:vAlign w:val="center"/>
          </w:tcPr>
          <w:p w14:paraId="29D567DA">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5E6053E6">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20F8F572">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0B27D6D2">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7D7AA8C8">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《建设工程质量管理条例》第十九条第一款</w:t>
            </w:r>
          </w:p>
        </w:tc>
        <w:tc>
          <w:tcPr>
            <w:tcW w:w="4354" w:type="dxa"/>
            <w:vMerge w:val="restart"/>
            <w:tcBorders>
              <w:tl2br w:val="nil"/>
              <w:tr2bl w:val="nil"/>
            </w:tcBorders>
            <w:vAlign w:val="center"/>
          </w:tcPr>
          <w:p w14:paraId="763A97FA">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5EEDE2DD">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2B08DF0A">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11C7C8C3">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175241C3">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0E244C1A">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1CF1251B">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《建设工程质量管理条例》第六十三条第(四)项</w:t>
            </w:r>
          </w:p>
          <w:p w14:paraId="2F9D2CE8">
            <w:pPr>
              <w:keepNext w:val="0"/>
              <w:keepLines w:val="0"/>
              <w:pageBreakBefore w:val="0"/>
              <w:kinsoku/>
              <w:overflowPunct/>
              <w:topLinePunct w:val="0"/>
              <w:autoSpaceDE/>
              <w:autoSpaceDN/>
              <w:bidi w:val="0"/>
              <w:adjustRightInd/>
              <w:spacing w:line="260" w:lineRule="exact"/>
              <w:ind w:firstLine="210" w:firstLineChars="1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违反本条例规定，有下列行为之一的，责令改正，处10万元以上30万元以下的罚款： </w:t>
            </w:r>
          </w:p>
          <w:p w14:paraId="126856E2">
            <w:pPr>
              <w:keepNext w:val="0"/>
              <w:keepLines w:val="0"/>
              <w:pageBreakBefore w:val="0"/>
              <w:kinsoku/>
              <w:overflowPunct/>
              <w:topLinePunct w:val="0"/>
              <w:autoSpaceDE/>
              <w:autoSpaceDN/>
              <w:bidi w:val="0"/>
              <w:adjustRightInd/>
              <w:spacing w:line="260" w:lineRule="exact"/>
              <w:ind w:firstLine="210" w:firstLineChars="1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（四）设计单位未按照工程建设强制性标准进行设计的。</w:t>
            </w:r>
          </w:p>
          <w:p w14:paraId="5199E556">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有前款所列行为，造成工程质量事故的，责令停业整顿，降低资质等级；情节严重的，吊销资质证书；造成损失的，依法承担赔偿责任。</w:t>
            </w:r>
          </w:p>
          <w:p w14:paraId="5C20E9AE">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65BAA7D5">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38503131">
            <w:pPr>
              <w:keepNext w:val="0"/>
              <w:keepLines w:val="0"/>
              <w:pageBreakBefore w:val="0"/>
              <w:kinsoku/>
              <w:overflowPunct/>
              <w:topLinePunct w:val="0"/>
              <w:autoSpaceDE/>
              <w:autoSpaceDN/>
              <w:bidi w:val="0"/>
              <w:adjustRightInd/>
              <w:spacing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912" w:type="dxa"/>
            <w:tcBorders>
              <w:tl2br w:val="nil"/>
              <w:tr2bl w:val="nil"/>
            </w:tcBorders>
            <w:vAlign w:val="center"/>
          </w:tcPr>
          <w:p w14:paraId="7989CDFA">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4FDF03E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375" w:type="dxa"/>
            <w:tcBorders>
              <w:tl2br w:val="nil"/>
              <w:tr2bl w:val="nil"/>
            </w:tcBorders>
            <w:vAlign w:val="center"/>
          </w:tcPr>
          <w:p w14:paraId="1F56706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责令改正，处10万元以上12万元以下的罚款，对单位直接负责的主管人员和其他直接责任人员处单位罚款数额百分之五以上百分之六以下的罚款。</w:t>
            </w:r>
          </w:p>
        </w:tc>
      </w:tr>
      <w:tr w14:paraId="2936B52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 w:hRule="atLeast"/>
          <w:jc w:val="center"/>
        </w:trPr>
        <w:tc>
          <w:tcPr>
            <w:tcW w:w="533" w:type="dxa"/>
            <w:gridSpan w:val="2"/>
            <w:vMerge w:val="continue"/>
            <w:tcBorders>
              <w:tl2br w:val="nil"/>
              <w:tr2bl w:val="nil"/>
            </w:tcBorders>
            <w:vAlign w:val="center"/>
          </w:tcPr>
          <w:p w14:paraId="05D4093B">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12CF6C2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32A0A78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7D85EA2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restart"/>
            <w:tcBorders>
              <w:tl2br w:val="nil"/>
              <w:tr2bl w:val="nil"/>
            </w:tcBorders>
            <w:vAlign w:val="center"/>
          </w:tcPr>
          <w:p w14:paraId="15FEEBCE">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550EF02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（1）造成一般危害后果的。</w:t>
            </w:r>
          </w:p>
        </w:tc>
        <w:tc>
          <w:tcPr>
            <w:tcW w:w="3375" w:type="dxa"/>
            <w:tcBorders>
              <w:tl2br w:val="nil"/>
              <w:tr2bl w:val="nil"/>
            </w:tcBorders>
            <w:vAlign w:val="center"/>
          </w:tcPr>
          <w:p w14:paraId="53AD961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责令改正，处12万元以上25万元以下的罚款，对单位直接负责的主管人员和其他直接责任人员处单位罚款数额百分之六以上百分之八点五以下的罚款</w:t>
            </w:r>
          </w:p>
        </w:tc>
      </w:tr>
      <w:tr w14:paraId="0A7B2AB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 w:hRule="atLeast"/>
          <w:jc w:val="center"/>
        </w:trPr>
        <w:tc>
          <w:tcPr>
            <w:tcW w:w="533" w:type="dxa"/>
            <w:gridSpan w:val="2"/>
            <w:vMerge w:val="continue"/>
            <w:tcBorders>
              <w:tl2br w:val="nil"/>
              <w:tr2bl w:val="nil"/>
            </w:tcBorders>
            <w:vAlign w:val="center"/>
          </w:tcPr>
          <w:p w14:paraId="78ABE8C4">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37E2254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01BBCB6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1A13619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3A364E7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4C9505E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（2）造成一般质量、安全事故的。</w:t>
            </w:r>
          </w:p>
        </w:tc>
        <w:tc>
          <w:tcPr>
            <w:tcW w:w="3375" w:type="dxa"/>
            <w:tcBorders>
              <w:tl2br w:val="nil"/>
              <w:tr2bl w:val="nil"/>
            </w:tcBorders>
            <w:vAlign w:val="center"/>
          </w:tcPr>
          <w:p w14:paraId="4ADF1F3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责令改正，处25万元以上30万元以下的罚款，对单位直接负责的主管人员和其他直接责任人员处单位罚款数额百分之八点五以上百分之十以下的罚款。</w:t>
            </w:r>
          </w:p>
        </w:tc>
      </w:tr>
      <w:tr w14:paraId="70177EF5">
        <w:tblPrEx>
          <w:tblCellMar>
            <w:top w:w="0" w:type="dxa"/>
            <w:left w:w="0" w:type="dxa"/>
            <w:bottom w:w="0" w:type="dxa"/>
            <w:right w:w="0" w:type="dxa"/>
          </w:tblCellMar>
        </w:tblPrEx>
        <w:trPr>
          <w:trHeight w:val="442" w:hRule="atLeast"/>
          <w:jc w:val="center"/>
        </w:trPr>
        <w:tc>
          <w:tcPr>
            <w:tcW w:w="533" w:type="dxa"/>
            <w:gridSpan w:val="2"/>
            <w:vMerge w:val="continue"/>
            <w:tcBorders>
              <w:tl2br w:val="nil"/>
              <w:tr2bl w:val="nil"/>
            </w:tcBorders>
            <w:vAlign w:val="center"/>
          </w:tcPr>
          <w:p w14:paraId="5D3A01AD">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28CB42E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307E647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65811DF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restart"/>
            <w:tcBorders>
              <w:tl2br w:val="nil"/>
              <w:tr2bl w:val="nil"/>
            </w:tcBorders>
            <w:vAlign w:val="center"/>
          </w:tcPr>
          <w:p w14:paraId="23D1315C">
            <w:pPr>
              <w:keepNext w:val="0"/>
              <w:keepLines w:val="0"/>
              <w:pageBreakBefore w:val="0"/>
              <w:widowControl/>
              <w:kinsoku/>
              <w:overflowPunct/>
              <w:topLinePunct w:val="0"/>
              <w:autoSpaceDE/>
              <w:autoSpaceDN/>
              <w:bidi w:val="0"/>
              <w:adjustRightInd/>
              <w:spacing w:line="260" w:lineRule="exact"/>
              <w:jc w:val="left"/>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490F804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1000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2000</w:t>
            </w:r>
            <w:r>
              <w:rPr>
                <w:rFonts w:hint="eastAsia" w:ascii="仿宋_GB2312" w:hAnsi="宋体" w:eastAsia="仿宋_GB2312"/>
                <w:color w:val="000000" w:themeColor="text1"/>
                <w:kern w:val="0"/>
                <w:szCs w:val="21"/>
                <w14:textFill>
                  <w14:solidFill>
                    <w14:schemeClr w14:val="tx1"/>
                  </w14:solidFill>
                </w14:textFill>
              </w:rPr>
              <w:t>万元以下直接经济损失的。</w:t>
            </w:r>
          </w:p>
        </w:tc>
        <w:tc>
          <w:tcPr>
            <w:tcW w:w="3375" w:type="dxa"/>
            <w:tcBorders>
              <w:tl2br w:val="nil"/>
              <w:tr2bl w:val="nil"/>
            </w:tcBorders>
            <w:vAlign w:val="center"/>
          </w:tcPr>
          <w:p w14:paraId="616CB4E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责令改正，处30万元的罚款，对单位直接负责的主管人员和其他直接责任人员处单位罚款数额百分之十的罚款；责令停业整顿60—90日。</w:t>
            </w:r>
          </w:p>
        </w:tc>
      </w:tr>
      <w:tr w14:paraId="27A007A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jc w:val="center"/>
        </w:trPr>
        <w:tc>
          <w:tcPr>
            <w:tcW w:w="533" w:type="dxa"/>
            <w:gridSpan w:val="2"/>
            <w:vMerge w:val="continue"/>
            <w:tcBorders>
              <w:tl2br w:val="nil"/>
              <w:tr2bl w:val="nil"/>
            </w:tcBorders>
            <w:vAlign w:val="center"/>
          </w:tcPr>
          <w:p w14:paraId="00FF6DE6">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7FC0E03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411513F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7BA480D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43493AA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3C393DE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7</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2000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3000</w:t>
            </w:r>
            <w:r>
              <w:rPr>
                <w:rFonts w:hint="eastAsia" w:ascii="仿宋_GB2312" w:hAnsi="宋体" w:eastAsia="仿宋_GB2312"/>
                <w:color w:val="000000" w:themeColor="text1"/>
                <w:kern w:val="0"/>
                <w:szCs w:val="21"/>
                <w14:textFill>
                  <w14:solidFill>
                    <w14:schemeClr w14:val="tx1"/>
                  </w14:solidFill>
                </w14:textFill>
              </w:rPr>
              <w:t>万元以下直接经济损失的。</w:t>
            </w:r>
          </w:p>
        </w:tc>
        <w:tc>
          <w:tcPr>
            <w:tcW w:w="3375" w:type="dxa"/>
            <w:tcBorders>
              <w:tl2br w:val="nil"/>
              <w:tr2bl w:val="nil"/>
            </w:tcBorders>
            <w:vAlign w:val="center"/>
          </w:tcPr>
          <w:p w14:paraId="2847203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责令改正，处30万元的罚款，对单位直接负责的主管人员和其他直接责任人员处单位罚款数额百分之十的罚款；责令停业整顿90—120日。</w:t>
            </w:r>
          </w:p>
        </w:tc>
      </w:tr>
      <w:tr w14:paraId="2F531A2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4" w:hRule="atLeast"/>
          <w:jc w:val="center"/>
        </w:trPr>
        <w:tc>
          <w:tcPr>
            <w:tcW w:w="533" w:type="dxa"/>
            <w:gridSpan w:val="2"/>
            <w:vMerge w:val="continue"/>
            <w:tcBorders>
              <w:tl2br w:val="nil"/>
              <w:tr2bl w:val="nil"/>
            </w:tcBorders>
            <w:vAlign w:val="center"/>
          </w:tcPr>
          <w:p w14:paraId="54E8FBFF">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4FAE43A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007A2DC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052E205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1233182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1C26A8E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w:t>
            </w:r>
            <w:r>
              <w:rPr>
                <w:rFonts w:ascii="仿宋_GB2312" w:hAnsi="宋体" w:eastAsia="仿宋_GB2312"/>
                <w:color w:val="000000" w:themeColor="text1"/>
                <w:kern w:val="0"/>
                <w:szCs w:val="21"/>
                <w14:textFill>
                  <w14:solidFill>
                    <w14:schemeClr w14:val="tx1"/>
                  </w14:solidFill>
                </w14:textFill>
              </w:rPr>
              <w:t>7</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50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3000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5000</w:t>
            </w:r>
            <w:r>
              <w:rPr>
                <w:rFonts w:hint="eastAsia" w:ascii="仿宋_GB2312" w:hAnsi="宋体" w:eastAsia="仿宋_GB2312"/>
                <w:color w:val="000000" w:themeColor="text1"/>
                <w:kern w:val="0"/>
                <w:szCs w:val="21"/>
                <w14:textFill>
                  <w14:solidFill>
                    <w14:schemeClr w14:val="tx1"/>
                  </w14:solidFill>
                </w14:textFill>
              </w:rPr>
              <w:t>万元以下直接经济损失的。</w:t>
            </w:r>
          </w:p>
        </w:tc>
        <w:tc>
          <w:tcPr>
            <w:tcW w:w="3375" w:type="dxa"/>
            <w:tcBorders>
              <w:tl2br w:val="nil"/>
              <w:tr2bl w:val="nil"/>
            </w:tcBorders>
            <w:vAlign w:val="center"/>
          </w:tcPr>
          <w:p w14:paraId="3496C87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责令改正，处30万元的罚款，对单位直接负责的主管人员和其他直接责任人员处单位罚款数额百分之十的罚款；责令停业整顿120—180日。</w:t>
            </w:r>
          </w:p>
        </w:tc>
      </w:tr>
      <w:tr w14:paraId="0333E65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6" w:hRule="atLeast"/>
          <w:jc w:val="center"/>
        </w:trPr>
        <w:tc>
          <w:tcPr>
            <w:tcW w:w="533" w:type="dxa"/>
            <w:gridSpan w:val="2"/>
            <w:vMerge w:val="continue"/>
            <w:tcBorders>
              <w:tl2br w:val="nil"/>
              <w:tr2bl w:val="nil"/>
            </w:tcBorders>
            <w:vAlign w:val="center"/>
          </w:tcPr>
          <w:p w14:paraId="433B52C0">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6253D8D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4994669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0975FFB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56F9781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398AE3A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（4）造成重大质量安全事故；或造成分部工程存在严重缺陷，经返修和加固处理仍不能满足安全使用要求。</w:t>
            </w:r>
          </w:p>
        </w:tc>
        <w:tc>
          <w:tcPr>
            <w:tcW w:w="3375" w:type="dxa"/>
            <w:tcBorders>
              <w:tl2br w:val="nil"/>
              <w:tr2bl w:val="nil"/>
            </w:tcBorders>
            <w:vAlign w:val="center"/>
          </w:tcPr>
          <w:p w14:paraId="7CDDCE1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责令改正，处30万元的罚款，对单位直接负责的主管人员和其他直接责任人员处单位罚款数额百分之十的罚款；降低资质等级。</w:t>
            </w:r>
          </w:p>
        </w:tc>
      </w:tr>
      <w:tr w14:paraId="1A3AEFC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9" w:hRule="atLeast"/>
          <w:jc w:val="center"/>
        </w:trPr>
        <w:tc>
          <w:tcPr>
            <w:tcW w:w="533" w:type="dxa"/>
            <w:gridSpan w:val="2"/>
            <w:vMerge w:val="continue"/>
            <w:tcBorders>
              <w:tl2br w:val="nil"/>
              <w:tr2bl w:val="nil"/>
            </w:tcBorders>
            <w:vAlign w:val="center"/>
          </w:tcPr>
          <w:p w14:paraId="6B06C761">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05B73A2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481908B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6D9982E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0EAC263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26A9F274">
            <w:pPr>
              <w:keepNext w:val="0"/>
              <w:keepLines w:val="0"/>
              <w:pageBreakBefore w:val="0"/>
              <w:widowControl/>
              <w:kinsoku/>
              <w:overflowPunct/>
              <w:topLinePunct w:val="0"/>
              <w:autoSpaceDE/>
              <w:autoSpaceDN/>
              <w:bidi w:val="0"/>
              <w:adjustRightInd/>
              <w:spacing w:line="260" w:lineRule="exact"/>
              <w:ind w:firstLine="210" w:firstLineChars="1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（5）造成特别重大质量安全事故；或造成单位（子单位）工程存在严重缺陷，经返修和加固处理仍不能满足安全使用要求</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或造成特别严重的社会影响。</w:t>
            </w:r>
          </w:p>
        </w:tc>
        <w:tc>
          <w:tcPr>
            <w:tcW w:w="3375" w:type="dxa"/>
            <w:tcBorders>
              <w:tl2br w:val="nil"/>
              <w:tr2bl w:val="nil"/>
            </w:tcBorders>
            <w:vAlign w:val="center"/>
          </w:tcPr>
          <w:p w14:paraId="4AE820D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责令改正，处30万元的罚款，对单位直接负责的主管人员和其他直接责任人员处单位罚款数额百分之十的罚款；吊销资质证书。</w:t>
            </w:r>
          </w:p>
        </w:tc>
      </w:tr>
      <w:tr w14:paraId="197441F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37122FF2">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38</w:t>
            </w:r>
          </w:p>
        </w:tc>
        <w:tc>
          <w:tcPr>
            <w:tcW w:w="1376" w:type="dxa"/>
            <w:vMerge w:val="restart"/>
            <w:tcBorders>
              <w:tl2br w:val="nil"/>
              <w:tr2bl w:val="nil"/>
            </w:tcBorders>
            <w:vAlign w:val="center"/>
          </w:tcPr>
          <w:p w14:paraId="05273954">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（1）施工单位偷工减料；</w:t>
            </w:r>
          </w:p>
          <w:p w14:paraId="0DDB68C4">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（2）施工单位使用不合格的建筑材料；</w:t>
            </w:r>
          </w:p>
          <w:p w14:paraId="1BCF100D">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（3）施工单位使用不合格的建筑构配件；</w:t>
            </w:r>
          </w:p>
          <w:p w14:paraId="594A689A">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（4）施工单位使用不合格的设备</w:t>
            </w:r>
          </w:p>
          <w:p w14:paraId="63F99BFC">
            <w:pPr>
              <w:keepNext w:val="0"/>
              <w:keepLines w:val="0"/>
              <w:pageBreakBefore w:val="0"/>
              <w:kinsoku/>
              <w:overflowPunct/>
              <w:topLinePunct w:val="0"/>
              <w:autoSpaceDE/>
              <w:autoSpaceDN/>
              <w:bidi w:val="0"/>
              <w:adjustRightInd/>
              <w:spacing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（5）其他不按照工程设计图纸或者施工技术标准施工的行为</w:t>
            </w:r>
          </w:p>
        </w:tc>
        <w:tc>
          <w:tcPr>
            <w:tcW w:w="1128" w:type="dxa"/>
            <w:gridSpan w:val="2"/>
            <w:vMerge w:val="restart"/>
            <w:tcBorders>
              <w:tl2br w:val="nil"/>
              <w:tr2bl w:val="nil"/>
            </w:tcBorders>
            <w:vAlign w:val="center"/>
          </w:tcPr>
          <w:p w14:paraId="6290FB10">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《建设工程质量管理条例》第六十四条</w:t>
            </w:r>
          </w:p>
        </w:tc>
        <w:tc>
          <w:tcPr>
            <w:tcW w:w="4354" w:type="dxa"/>
            <w:vMerge w:val="restart"/>
            <w:tcBorders>
              <w:tl2br w:val="nil"/>
              <w:tr2bl w:val="nil"/>
            </w:tcBorders>
            <w:vAlign w:val="center"/>
          </w:tcPr>
          <w:p w14:paraId="22CB5899">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《建设工程质量管理条例》第六十四条</w:t>
            </w:r>
          </w:p>
          <w:p w14:paraId="64E5082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施工单位在施工中偷工减料的，使用不合格的建筑材料、建筑构配件和设备的，或者有不按照工程设计图纸或者施工技术标准施工的其他行为的，责令改正，处工程合同价款百分之二以上百分之四以下的罚款；造成建设工程质量不符合规定的质量标准的，负责返工、修理，并赔偿因此造成的损失；情节严重的，责令停业整顿，降低资质等级或者吊销资质证书。</w:t>
            </w:r>
          </w:p>
          <w:p w14:paraId="510CFC07">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0124272B">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36556FDD">
            <w:pPr>
              <w:keepNext w:val="0"/>
              <w:keepLines w:val="0"/>
              <w:pageBreakBefore w:val="0"/>
              <w:widowControl/>
              <w:kinsoku/>
              <w:overflowPunct/>
              <w:topLinePunct w:val="0"/>
              <w:autoSpaceDE/>
              <w:autoSpaceDN/>
              <w:bidi w:val="0"/>
              <w:adjustRightInd/>
              <w:spacing w:line="260" w:lineRule="exact"/>
              <w:ind w:firstLine="210" w:firstLineChars="100"/>
              <w:jc w:val="left"/>
              <w:rPr>
                <w:rFonts w:ascii="宋体" w:hAnsi="宋体" w:cs="宋体"/>
                <w:bCs/>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912" w:type="dxa"/>
            <w:tcBorders>
              <w:tl2br w:val="nil"/>
              <w:tr2bl w:val="nil"/>
            </w:tcBorders>
            <w:vAlign w:val="center"/>
          </w:tcPr>
          <w:p w14:paraId="28990632">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7C3C8A2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375" w:type="dxa"/>
            <w:tcBorders>
              <w:tl2br w:val="nil"/>
              <w:tr2bl w:val="nil"/>
            </w:tcBorders>
            <w:vAlign w:val="center"/>
          </w:tcPr>
          <w:p w14:paraId="1748868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责令改正，对施工单位处工程合同价款百分之二以上百分之二点二以下的罚款，对单位直接负责的主管人员和其他直接责任人员处单位罚款数额百分之五以上百分之六以下的罚款。</w:t>
            </w:r>
          </w:p>
        </w:tc>
      </w:tr>
      <w:tr w14:paraId="5CA59BA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 w:hRule="atLeast"/>
          <w:jc w:val="center"/>
        </w:trPr>
        <w:tc>
          <w:tcPr>
            <w:tcW w:w="533" w:type="dxa"/>
            <w:gridSpan w:val="2"/>
            <w:vMerge w:val="continue"/>
            <w:tcBorders>
              <w:tl2br w:val="nil"/>
              <w:tr2bl w:val="nil"/>
            </w:tcBorders>
            <w:vAlign w:val="center"/>
          </w:tcPr>
          <w:p w14:paraId="0DED22F7">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4F44788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518FDB2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tcPr>
          <w:p w14:paraId="7DD4B7E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restart"/>
            <w:tcBorders>
              <w:tl2br w:val="nil"/>
              <w:tr2bl w:val="nil"/>
            </w:tcBorders>
            <w:vAlign w:val="center"/>
          </w:tcPr>
          <w:p w14:paraId="3EAE93F1">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0406255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（1）造成一般危害后果的。</w:t>
            </w:r>
          </w:p>
        </w:tc>
        <w:tc>
          <w:tcPr>
            <w:tcW w:w="3375" w:type="dxa"/>
            <w:tcBorders>
              <w:tl2br w:val="nil"/>
              <w:tr2bl w:val="nil"/>
            </w:tcBorders>
            <w:vAlign w:val="center"/>
          </w:tcPr>
          <w:p w14:paraId="1CB39C9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责令改正，对施工单位处工程合同价款百分之二点二以上百分之三点五以下的罚款，对单位直接负责的主管人员和其他直接责任人员处单位罚款数额百分之六以上百分之八点五以下的罚款。</w:t>
            </w:r>
          </w:p>
        </w:tc>
      </w:tr>
      <w:tr w14:paraId="4DDD050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 w:hRule="atLeast"/>
          <w:jc w:val="center"/>
        </w:trPr>
        <w:tc>
          <w:tcPr>
            <w:tcW w:w="533" w:type="dxa"/>
            <w:gridSpan w:val="2"/>
            <w:vMerge w:val="continue"/>
            <w:tcBorders>
              <w:tl2br w:val="nil"/>
              <w:tr2bl w:val="nil"/>
            </w:tcBorders>
            <w:vAlign w:val="center"/>
          </w:tcPr>
          <w:p w14:paraId="58851D2B">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3591631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6215760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tcPr>
          <w:p w14:paraId="26FF32E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597C653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49A1B6D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（2）造成一般质量事故的。</w:t>
            </w:r>
          </w:p>
          <w:p w14:paraId="736F013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3375" w:type="dxa"/>
            <w:tcBorders>
              <w:tl2br w:val="nil"/>
              <w:tr2bl w:val="nil"/>
            </w:tcBorders>
            <w:vAlign w:val="center"/>
          </w:tcPr>
          <w:p w14:paraId="3E2BA3D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责令改正，对施工单位处工程合同价款百分之三点五以上百分之四以下的罚款，对单位直接负责的主管人员和其他直接责任人员处单位罚款数额百分之八点五以上百分之十以下的罚款。</w:t>
            </w:r>
          </w:p>
        </w:tc>
      </w:tr>
      <w:tr w14:paraId="7D2E90F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533" w:type="dxa"/>
            <w:gridSpan w:val="2"/>
            <w:vMerge w:val="continue"/>
            <w:tcBorders>
              <w:tl2br w:val="nil"/>
              <w:tr2bl w:val="nil"/>
            </w:tcBorders>
            <w:vAlign w:val="center"/>
          </w:tcPr>
          <w:p w14:paraId="1D87DE22">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139C8D1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20EBB3C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2E097B5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restart"/>
            <w:tcBorders>
              <w:tl2br w:val="nil"/>
              <w:tr2bl w:val="nil"/>
            </w:tcBorders>
            <w:vAlign w:val="center"/>
          </w:tcPr>
          <w:p w14:paraId="14E700A6">
            <w:pPr>
              <w:keepNext w:val="0"/>
              <w:keepLines w:val="0"/>
              <w:pageBreakBefore w:val="0"/>
              <w:widowControl/>
              <w:kinsoku/>
              <w:overflowPunct/>
              <w:topLinePunct w:val="0"/>
              <w:autoSpaceDE/>
              <w:autoSpaceDN/>
              <w:bidi w:val="0"/>
              <w:adjustRightInd/>
              <w:spacing w:line="260" w:lineRule="exact"/>
              <w:jc w:val="left"/>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4B29716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（1）造成较大质量事故（</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1000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2000</w:t>
            </w:r>
            <w:r>
              <w:rPr>
                <w:rFonts w:hint="eastAsia" w:ascii="仿宋_GB2312" w:hAnsi="宋体" w:eastAsia="仿宋_GB2312"/>
                <w:color w:val="000000" w:themeColor="text1"/>
                <w:kern w:val="0"/>
                <w:szCs w:val="21"/>
                <w14:textFill>
                  <w14:solidFill>
                    <w14:schemeClr w14:val="tx1"/>
                  </w14:solidFill>
                </w14:textFill>
              </w:rPr>
              <w:t>万元以下直接经济损失）；或造成重要的检验批达不到设计要求。</w:t>
            </w:r>
          </w:p>
        </w:tc>
        <w:tc>
          <w:tcPr>
            <w:tcW w:w="3375" w:type="dxa"/>
            <w:tcBorders>
              <w:tl2br w:val="nil"/>
              <w:tr2bl w:val="nil"/>
            </w:tcBorders>
            <w:vAlign w:val="center"/>
          </w:tcPr>
          <w:p w14:paraId="4CCE7724">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责令改正，对施工单位处工程合同价款百分之四的罚款，对单位直接负责的主管人员和其他直接责任人员处单位罚款数额百分之十的罚款；责令停业整顿60-90日。</w:t>
            </w:r>
          </w:p>
        </w:tc>
      </w:tr>
      <w:tr w14:paraId="2EE735D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6" w:hRule="atLeast"/>
          <w:jc w:val="center"/>
        </w:trPr>
        <w:tc>
          <w:tcPr>
            <w:tcW w:w="533" w:type="dxa"/>
            <w:gridSpan w:val="2"/>
            <w:vMerge w:val="continue"/>
            <w:tcBorders>
              <w:tl2br w:val="nil"/>
              <w:tr2bl w:val="nil"/>
            </w:tcBorders>
            <w:vAlign w:val="center"/>
          </w:tcPr>
          <w:p w14:paraId="5BAE2880">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52FCEF6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70462BF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7DF2136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42F9B3D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6E4A8AF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（2）造成较大质量事故（</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7</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2000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3000</w:t>
            </w:r>
            <w:r>
              <w:rPr>
                <w:rFonts w:hint="eastAsia" w:ascii="仿宋_GB2312" w:hAnsi="宋体" w:eastAsia="仿宋_GB2312"/>
                <w:color w:val="000000" w:themeColor="text1"/>
                <w:kern w:val="0"/>
                <w:szCs w:val="21"/>
                <w14:textFill>
                  <w14:solidFill>
                    <w14:schemeClr w14:val="tx1"/>
                  </w14:solidFill>
                </w14:textFill>
              </w:rPr>
              <w:t>万元以下直接经济损失）；或造成重要的分项工程质量不符合要求。</w:t>
            </w:r>
          </w:p>
        </w:tc>
        <w:tc>
          <w:tcPr>
            <w:tcW w:w="3375" w:type="dxa"/>
            <w:tcBorders>
              <w:tl2br w:val="nil"/>
              <w:tr2bl w:val="nil"/>
            </w:tcBorders>
            <w:vAlign w:val="center"/>
          </w:tcPr>
          <w:p w14:paraId="0FF08DE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责令改正，对施工单位处工程合同价款百分之四的罚款，对单位直接负责的主管人员和其他直接责任人员处单位罚款数额百分之十的罚款；责令停业整顿90-120日。</w:t>
            </w:r>
          </w:p>
        </w:tc>
      </w:tr>
      <w:tr w14:paraId="38B9AE4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9" w:hRule="atLeast"/>
          <w:jc w:val="center"/>
        </w:trPr>
        <w:tc>
          <w:tcPr>
            <w:tcW w:w="533" w:type="dxa"/>
            <w:gridSpan w:val="2"/>
            <w:vMerge w:val="continue"/>
            <w:tcBorders>
              <w:tl2br w:val="nil"/>
              <w:tr2bl w:val="nil"/>
            </w:tcBorders>
            <w:vAlign w:val="center"/>
          </w:tcPr>
          <w:p w14:paraId="471B3F6F">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0E16342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6AA470C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522486B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1C5692C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6CD841C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（3）造成较大质量事故（</w:t>
            </w:r>
            <w:r>
              <w:rPr>
                <w:rFonts w:ascii="仿宋_GB2312" w:hAnsi="宋体" w:eastAsia="仿宋_GB2312"/>
                <w:color w:val="000000" w:themeColor="text1"/>
                <w:kern w:val="0"/>
                <w:szCs w:val="21"/>
                <w14:textFill>
                  <w14:solidFill>
                    <w14:schemeClr w14:val="tx1"/>
                  </w14:solidFill>
                </w14:textFill>
              </w:rPr>
              <w:t>7</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50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3000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5000</w:t>
            </w:r>
            <w:r>
              <w:rPr>
                <w:rFonts w:hint="eastAsia" w:ascii="仿宋_GB2312" w:hAnsi="宋体" w:eastAsia="仿宋_GB2312"/>
                <w:color w:val="000000" w:themeColor="text1"/>
                <w:kern w:val="0"/>
                <w:szCs w:val="21"/>
                <w14:textFill>
                  <w14:solidFill>
                    <w14:schemeClr w14:val="tx1"/>
                  </w14:solidFill>
                </w14:textFill>
              </w:rPr>
              <w:t>万元以下直接经济损失）；或造成重要分部工程质量不符合要求，经返修或加固处理才能满足安全使用要求。</w:t>
            </w:r>
          </w:p>
        </w:tc>
        <w:tc>
          <w:tcPr>
            <w:tcW w:w="3375" w:type="dxa"/>
            <w:tcBorders>
              <w:tl2br w:val="nil"/>
              <w:tr2bl w:val="nil"/>
            </w:tcBorders>
            <w:vAlign w:val="center"/>
          </w:tcPr>
          <w:p w14:paraId="73C77F01">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786E13FD">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1B7F7040">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责令改正，对施工单位处工程合同价款百分之四的罚款，对单位直接负责的主管人员和其他直接责任人员处单位罚款数额百分之十的罚款；责令停业整顿120-180日。</w:t>
            </w:r>
          </w:p>
        </w:tc>
      </w:tr>
      <w:tr w14:paraId="743C1AF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533" w:type="dxa"/>
            <w:gridSpan w:val="2"/>
            <w:vMerge w:val="continue"/>
            <w:tcBorders>
              <w:tl2br w:val="nil"/>
              <w:tr2bl w:val="nil"/>
            </w:tcBorders>
            <w:vAlign w:val="center"/>
          </w:tcPr>
          <w:p w14:paraId="1DC36237">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11AE58E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26813F9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52D8576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58CF614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433F9F9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（4）造成重大质量事故；或造成分部工程存在严重缺陷，经返修和加固处理仍不能满足安全使用要求。</w:t>
            </w:r>
          </w:p>
        </w:tc>
        <w:tc>
          <w:tcPr>
            <w:tcW w:w="3375" w:type="dxa"/>
            <w:tcBorders>
              <w:tl2br w:val="nil"/>
              <w:tr2bl w:val="nil"/>
            </w:tcBorders>
            <w:vAlign w:val="center"/>
          </w:tcPr>
          <w:p w14:paraId="2A8C20C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责令改正，对施工单位处工程合同价款百分之四的罚款，对单位直接负责的主管人员和其他直接责任人员处单位罚款数额百分之十的罚款；降低资质等级。</w:t>
            </w:r>
          </w:p>
        </w:tc>
      </w:tr>
      <w:tr w14:paraId="3D013CB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6" w:hRule="atLeast"/>
          <w:jc w:val="center"/>
        </w:trPr>
        <w:tc>
          <w:tcPr>
            <w:tcW w:w="533" w:type="dxa"/>
            <w:gridSpan w:val="2"/>
            <w:vMerge w:val="continue"/>
            <w:tcBorders>
              <w:tl2br w:val="nil"/>
              <w:tr2bl w:val="nil"/>
            </w:tcBorders>
            <w:vAlign w:val="center"/>
          </w:tcPr>
          <w:p w14:paraId="778DA0B1">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45A0214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14A3BF4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777EE69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477A407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188CB12C">
            <w:pPr>
              <w:keepNext w:val="0"/>
              <w:keepLines w:val="0"/>
              <w:pageBreakBefore w:val="0"/>
              <w:widowControl/>
              <w:kinsoku/>
              <w:overflowPunct/>
              <w:topLinePunct w:val="0"/>
              <w:autoSpaceDE/>
              <w:autoSpaceDN/>
              <w:bidi w:val="0"/>
              <w:adjustRightInd/>
              <w:spacing w:line="260" w:lineRule="exact"/>
              <w:ind w:firstLine="210" w:firstLineChars="1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（5）造成特别重大质量事故；或造成单位（子单位）工程存在严重缺陷，经返修和加固处理仍不能满足安全使用要求</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或造成特别严重的社会影响。</w:t>
            </w:r>
          </w:p>
        </w:tc>
        <w:tc>
          <w:tcPr>
            <w:tcW w:w="3375" w:type="dxa"/>
            <w:tcBorders>
              <w:tl2br w:val="nil"/>
              <w:tr2bl w:val="nil"/>
            </w:tcBorders>
            <w:vAlign w:val="center"/>
          </w:tcPr>
          <w:p w14:paraId="6034B82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责令改正，对施工单位处工程合同价款百分之四的罚款，对单位直接负责的主管人员和其他直接责任人员处单位罚款数额百分之十的罚款；吊销资质证书。</w:t>
            </w:r>
          </w:p>
        </w:tc>
      </w:tr>
      <w:tr w14:paraId="7C236E8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241E6350">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39</w:t>
            </w:r>
          </w:p>
        </w:tc>
        <w:tc>
          <w:tcPr>
            <w:tcW w:w="1376" w:type="dxa"/>
            <w:vMerge w:val="restart"/>
            <w:tcBorders>
              <w:tl2br w:val="nil"/>
              <w:tr2bl w:val="nil"/>
            </w:tcBorders>
            <w:vAlign w:val="center"/>
          </w:tcPr>
          <w:p w14:paraId="5A51C828">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1A35C77F">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22C804BE">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3CB1A5D1">
            <w:pPr>
              <w:keepNext w:val="0"/>
              <w:keepLines w:val="0"/>
              <w:pageBreakBefore w:val="0"/>
              <w:kinsoku/>
              <w:overflowPunct/>
              <w:topLinePunct w:val="0"/>
              <w:autoSpaceDE/>
              <w:autoSpaceDN/>
              <w:bidi w:val="0"/>
              <w:adjustRightInd/>
              <w:spacing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施工单位未对建筑材料、建筑构配件、设备和商品混凝土进行检验，或者未对涉及结构安全的试块、试件以及有关材料取样检测</w:t>
            </w:r>
          </w:p>
        </w:tc>
        <w:tc>
          <w:tcPr>
            <w:tcW w:w="1128" w:type="dxa"/>
            <w:gridSpan w:val="2"/>
            <w:vMerge w:val="restart"/>
            <w:tcBorders>
              <w:tl2br w:val="nil"/>
              <w:tr2bl w:val="nil"/>
            </w:tcBorders>
            <w:vAlign w:val="center"/>
          </w:tcPr>
          <w:p w14:paraId="5502F95C">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《建设工程质量管理条例》第三十一条</w:t>
            </w:r>
          </w:p>
        </w:tc>
        <w:tc>
          <w:tcPr>
            <w:tcW w:w="4354" w:type="dxa"/>
            <w:vMerge w:val="restart"/>
            <w:tcBorders>
              <w:tl2br w:val="nil"/>
              <w:tr2bl w:val="nil"/>
            </w:tcBorders>
            <w:vAlign w:val="center"/>
          </w:tcPr>
          <w:p w14:paraId="64C692AC">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《建设工程质量管理条例》第六十五条</w:t>
            </w:r>
          </w:p>
          <w:p w14:paraId="2A4E6AF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施工单位未对建筑材料、建筑构配件、设备和商品混凝土进行检验，或者未对涉及结构安全的试块、试件以及有关材料取样检测的，责令改正，处10万元以上20万元以下的罚款；情节严重的，责令停业整顿，降低资质等级或者吊销资质证书；造成损失的，依法承担赔偿责任。</w:t>
            </w:r>
          </w:p>
          <w:p w14:paraId="73A22681">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33C8EFF5">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0688EF17">
            <w:pPr>
              <w:keepNext w:val="0"/>
              <w:keepLines w:val="0"/>
              <w:pageBreakBefore w:val="0"/>
              <w:widowControl/>
              <w:kinsoku/>
              <w:overflowPunct/>
              <w:topLinePunct w:val="0"/>
              <w:autoSpaceDE/>
              <w:autoSpaceDN/>
              <w:bidi w:val="0"/>
              <w:adjustRightInd/>
              <w:spacing w:line="260" w:lineRule="exact"/>
              <w:ind w:firstLine="210" w:firstLineChars="100"/>
              <w:jc w:val="left"/>
              <w:rPr>
                <w:rFonts w:ascii="宋体" w:hAnsi="宋体" w:cs="宋体"/>
                <w:bCs/>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912" w:type="dxa"/>
            <w:tcBorders>
              <w:tl2br w:val="nil"/>
              <w:tr2bl w:val="nil"/>
            </w:tcBorders>
            <w:vAlign w:val="center"/>
          </w:tcPr>
          <w:p w14:paraId="7B01867B">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24DB3C8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375" w:type="dxa"/>
            <w:tcBorders>
              <w:tl2br w:val="nil"/>
              <w:tr2bl w:val="nil"/>
            </w:tcBorders>
            <w:vAlign w:val="center"/>
          </w:tcPr>
          <w:p w14:paraId="530E0FB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责令改正，处10万元以上12万元以下的罚款，对单位直接负责的主管人员和其他直接责任人员处单位罚款数额百分之五以上百分之六以下的罚款。</w:t>
            </w:r>
          </w:p>
        </w:tc>
      </w:tr>
      <w:tr w14:paraId="331A81C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 w:hRule="atLeast"/>
          <w:jc w:val="center"/>
        </w:trPr>
        <w:tc>
          <w:tcPr>
            <w:tcW w:w="533" w:type="dxa"/>
            <w:gridSpan w:val="2"/>
            <w:vMerge w:val="continue"/>
            <w:tcBorders>
              <w:tl2br w:val="nil"/>
              <w:tr2bl w:val="nil"/>
            </w:tcBorders>
            <w:vAlign w:val="center"/>
          </w:tcPr>
          <w:p w14:paraId="4A20AEB2">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07087F9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063F3A4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tcPr>
          <w:p w14:paraId="2F8BC50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restart"/>
            <w:tcBorders>
              <w:tl2br w:val="nil"/>
              <w:tr2bl w:val="nil"/>
            </w:tcBorders>
            <w:vAlign w:val="center"/>
          </w:tcPr>
          <w:p w14:paraId="23ED8C5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6911DBA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（1）造成一般危害后果的。</w:t>
            </w:r>
          </w:p>
        </w:tc>
        <w:tc>
          <w:tcPr>
            <w:tcW w:w="3375" w:type="dxa"/>
            <w:tcBorders>
              <w:tl2br w:val="nil"/>
              <w:tr2bl w:val="nil"/>
            </w:tcBorders>
            <w:vAlign w:val="center"/>
          </w:tcPr>
          <w:p w14:paraId="3F2158C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处12万元以上17万元以下的罚款，责令改正，对单位直接负责的主管人员和其他直接责任人员处单位罚款数额百分之六以上百分之八点五以下的罚款。</w:t>
            </w:r>
          </w:p>
        </w:tc>
      </w:tr>
      <w:tr w14:paraId="42D9941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 w:hRule="atLeast"/>
          <w:jc w:val="center"/>
        </w:trPr>
        <w:tc>
          <w:tcPr>
            <w:tcW w:w="533" w:type="dxa"/>
            <w:gridSpan w:val="2"/>
            <w:vMerge w:val="continue"/>
            <w:tcBorders>
              <w:tl2br w:val="nil"/>
              <w:tr2bl w:val="nil"/>
            </w:tcBorders>
            <w:vAlign w:val="center"/>
          </w:tcPr>
          <w:p w14:paraId="6EF29DAB">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4716873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231A612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tcPr>
          <w:p w14:paraId="069417B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4049662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72F502A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（2）造成一般质量事故的。</w:t>
            </w:r>
          </w:p>
          <w:p w14:paraId="1901F38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3375" w:type="dxa"/>
            <w:tcBorders>
              <w:tl2br w:val="nil"/>
              <w:tr2bl w:val="nil"/>
            </w:tcBorders>
            <w:vAlign w:val="center"/>
          </w:tcPr>
          <w:p w14:paraId="7ED462C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责令改正，处17万元以上20万元以下的罚款，对单位直接负责的主管人员和其他直接责任人员处单位罚款数额百分之八点五以上百分之十以下的罚款。</w:t>
            </w:r>
          </w:p>
        </w:tc>
      </w:tr>
      <w:tr w14:paraId="037EB52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3" w:type="dxa"/>
            <w:gridSpan w:val="2"/>
            <w:vMerge w:val="continue"/>
            <w:tcBorders>
              <w:tl2br w:val="nil"/>
              <w:tr2bl w:val="nil"/>
            </w:tcBorders>
            <w:vAlign w:val="center"/>
          </w:tcPr>
          <w:p w14:paraId="5BE84694">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3D6CFDE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5128C0E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6359FFC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restart"/>
            <w:tcBorders>
              <w:tl2br w:val="nil"/>
              <w:tr2bl w:val="nil"/>
            </w:tcBorders>
            <w:vAlign w:val="center"/>
          </w:tcPr>
          <w:p w14:paraId="583FB52C">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6520043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（1）造成较大质量事故（</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1000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2000</w:t>
            </w:r>
            <w:r>
              <w:rPr>
                <w:rFonts w:hint="eastAsia" w:ascii="仿宋_GB2312" w:hAnsi="宋体" w:eastAsia="仿宋_GB2312"/>
                <w:color w:val="000000" w:themeColor="text1"/>
                <w:kern w:val="0"/>
                <w:szCs w:val="21"/>
                <w14:textFill>
                  <w14:solidFill>
                    <w14:schemeClr w14:val="tx1"/>
                  </w14:solidFill>
                </w14:textFill>
              </w:rPr>
              <w:t>万元以下直接经济损失）；或造成重要的检验批达不到设计要求。</w:t>
            </w:r>
          </w:p>
        </w:tc>
        <w:tc>
          <w:tcPr>
            <w:tcW w:w="3375" w:type="dxa"/>
            <w:tcBorders>
              <w:tl2br w:val="nil"/>
              <w:tr2bl w:val="nil"/>
            </w:tcBorders>
            <w:vAlign w:val="center"/>
          </w:tcPr>
          <w:p w14:paraId="210614F6">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责令改正，处20万元的罚款，对单位直接负责的主管人员和其他直接责任人员处单位罚款数额百分之十的罚款；责令停业整顿60-90日。</w:t>
            </w:r>
          </w:p>
        </w:tc>
      </w:tr>
      <w:tr w14:paraId="72BEDCB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3" w:type="dxa"/>
            <w:gridSpan w:val="2"/>
            <w:vMerge w:val="continue"/>
            <w:tcBorders>
              <w:tl2br w:val="nil"/>
              <w:tr2bl w:val="nil"/>
            </w:tcBorders>
            <w:vAlign w:val="center"/>
          </w:tcPr>
          <w:p w14:paraId="68B65632">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117904C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7013B04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28EA39E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5806088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6269ECD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（2）造成较大质量事故（</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7</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2000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3000</w:t>
            </w:r>
            <w:r>
              <w:rPr>
                <w:rFonts w:hint="eastAsia" w:ascii="仿宋_GB2312" w:hAnsi="宋体" w:eastAsia="仿宋_GB2312"/>
                <w:color w:val="000000" w:themeColor="text1"/>
                <w:kern w:val="0"/>
                <w:szCs w:val="21"/>
                <w14:textFill>
                  <w14:solidFill>
                    <w14:schemeClr w14:val="tx1"/>
                  </w14:solidFill>
                </w14:textFill>
              </w:rPr>
              <w:t>万元以下直接经济损失）；或造成重要的分项工程质量不符合要求。</w:t>
            </w:r>
          </w:p>
        </w:tc>
        <w:tc>
          <w:tcPr>
            <w:tcW w:w="3375" w:type="dxa"/>
            <w:tcBorders>
              <w:tl2br w:val="nil"/>
              <w:tr2bl w:val="nil"/>
            </w:tcBorders>
            <w:vAlign w:val="center"/>
          </w:tcPr>
          <w:p w14:paraId="255A5C1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责令改正，处20万元的罚款，对单位直接负责的主管人员和其他直接责任人员处单位罚款数额百分之十的罚款；责令停业整顿90-120日。</w:t>
            </w:r>
          </w:p>
        </w:tc>
      </w:tr>
      <w:tr w14:paraId="38957BD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533" w:type="dxa"/>
            <w:gridSpan w:val="2"/>
            <w:vMerge w:val="continue"/>
            <w:tcBorders>
              <w:tl2br w:val="nil"/>
              <w:tr2bl w:val="nil"/>
            </w:tcBorders>
            <w:vAlign w:val="center"/>
          </w:tcPr>
          <w:p w14:paraId="6F0612BC">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7E97D68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183753C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4ECC59F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2ED9FD5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3F78E36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（3）造成较大质量事故（</w:t>
            </w:r>
            <w:r>
              <w:rPr>
                <w:rFonts w:ascii="仿宋_GB2312" w:hAnsi="宋体" w:eastAsia="仿宋_GB2312"/>
                <w:color w:val="000000" w:themeColor="text1"/>
                <w:kern w:val="0"/>
                <w:szCs w:val="21"/>
                <w14:textFill>
                  <w14:solidFill>
                    <w14:schemeClr w14:val="tx1"/>
                  </w14:solidFill>
                </w14:textFill>
              </w:rPr>
              <w:t>7</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50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3000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5000</w:t>
            </w:r>
            <w:r>
              <w:rPr>
                <w:rFonts w:hint="eastAsia" w:ascii="仿宋_GB2312" w:hAnsi="宋体" w:eastAsia="仿宋_GB2312"/>
                <w:color w:val="000000" w:themeColor="text1"/>
                <w:kern w:val="0"/>
                <w:szCs w:val="21"/>
                <w14:textFill>
                  <w14:solidFill>
                    <w14:schemeClr w14:val="tx1"/>
                  </w14:solidFill>
                </w14:textFill>
              </w:rPr>
              <w:t>万元以下直接经济损失）；或造成重要分部工程质量不符合要求，经返修或加固处理才能满足安全使用要求。</w:t>
            </w:r>
          </w:p>
        </w:tc>
        <w:tc>
          <w:tcPr>
            <w:tcW w:w="3375" w:type="dxa"/>
            <w:tcBorders>
              <w:tl2br w:val="nil"/>
              <w:tr2bl w:val="nil"/>
            </w:tcBorders>
            <w:vAlign w:val="center"/>
          </w:tcPr>
          <w:p w14:paraId="4E4E9276">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责令改正，处20万元的罚款，对单位直接负责的主管人员和其他直接责任人员处单位罚款数额百分之十的罚款；责令停业整顿120-180日。</w:t>
            </w:r>
          </w:p>
        </w:tc>
      </w:tr>
      <w:tr w14:paraId="621C466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1" w:hRule="atLeast"/>
          <w:jc w:val="center"/>
        </w:trPr>
        <w:tc>
          <w:tcPr>
            <w:tcW w:w="533" w:type="dxa"/>
            <w:gridSpan w:val="2"/>
            <w:vMerge w:val="continue"/>
            <w:tcBorders>
              <w:tl2br w:val="nil"/>
              <w:tr2bl w:val="nil"/>
            </w:tcBorders>
            <w:vAlign w:val="center"/>
          </w:tcPr>
          <w:p w14:paraId="2BFE2282">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508034A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5C1458B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63B26D4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13163C2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372625B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（4）造成重大质量事故；或造成分部工程存在严重缺陷，经返修和加固处理仍不能满足安全使用要求。</w:t>
            </w:r>
          </w:p>
        </w:tc>
        <w:tc>
          <w:tcPr>
            <w:tcW w:w="3375" w:type="dxa"/>
            <w:tcBorders>
              <w:tl2br w:val="nil"/>
              <w:tr2bl w:val="nil"/>
            </w:tcBorders>
            <w:vAlign w:val="center"/>
          </w:tcPr>
          <w:p w14:paraId="734FF16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责令改正，处20万元的罚款，对单位直接负责的主管人员和其他直接责任人员处单位罚款数额百分之十的罚款；降低资质等级。</w:t>
            </w:r>
          </w:p>
        </w:tc>
      </w:tr>
      <w:tr w14:paraId="7FF61E7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0" w:hRule="atLeast"/>
          <w:jc w:val="center"/>
        </w:trPr>
        <w:tc>
          <w:tcPr>
            <w:tcW w:w="533" w:type="dxa"/>
            <w:gridSpan w:val="2"/>
            <w:vMerge w:val="continue"/>
            <w:tcBorders>
              <w:tl2br w:val="nil"/>
              <w:tr2bl w:val="nil"/>
            </w:tcBorders>
            <w:vAlign w:val="center"/>
          </w:tcPr>
          <w:p w14:paraId="08916754">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3C6BC44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368AF74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23CEB5D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1711492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65B49372">
            <w:pPr>
              <w:keepNext w:val="0"/>
              <w:keepLines w:val="0"/>
              <w:pageBreakBefore w:val="0"/>
              <w:widowControl/>
              <w:kinsoku/>
              <w:overflowPunct/>
              <w:topLinePunct w:val="0"/>
              <w:autoSpaceDE/>
              <w:autoSpaceDN/>
              <w:bidi w:val="0"/>
              <w:adjustRightInd/>
              <w:spacing w:line="260" w:lineRule="exact"/>
              <w:ind w:firstLine="210" w:firstLineChars="1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（5）造成特别重大质量事故；或造成单位（子单位）工程存在严重缺陷，经返修和加固处理仍不能满足安全使用要求</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或造成特别严重的社会影响。</w:t>
            </w:r>
          </w:p>
        </w:tc>
        <w:tc>
          <w:tcPr>
            <w:tcW w:w="3375" w:type="dxa"/>
            <w:tcBorders>
              <w:tl2br w:val="nil"/>
              <w:tr2bl w:val="nil"/>
            </w:tcBorders>
            <w:vAlign w:val="center"/>
          </w:tcPr>
          <w:p w14:paraId="6AF798A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责令改正，处20万元的罚款，对单位直接负责的主管人员和其他直接责任人员处单位罚款数额百分之十的罚款；吊销资质证书。</w:t>
            </w:r>
          </w:p>
        </w:tc>
      </w:tr>
      <w:tr w14:paraId="4A6DD9B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58B85012">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40</w:t>
            </w:r>
          </w:p>
        </w:tc>
        <w:tc>
          <w:tcPr>
            <w:tcW w:w="1376" w:type="dxa"/>
            <w:vMerge w:val="restart"/>
            <w:tcBorders>
              <w:tl2br w:val="nil"/>
              <w:tr2bl w:val="nil"/>
            </w:tcBorders>
            <w:vAlign w:val="center"/>
          </w:tcPr>
          <w:p w14:paraId="4BAD5749">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037690C5">
            <w:pPr>
              <w:keepNext w:val="0"/>
              <w:keepLines w:val="0"/>
              <w:pageBreakBefore w:val="0"/>
              <w:kinsoku/>
              <w:overflowPunct/>
              <w:topLinePunct w:val="0"/>
              <w:autoSpaceDE/>
              <w:autoSpaceDN/>
              <w:bidi w:val="0"/>
              <w:adjustRightInd/>
              <w:spacing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施工单位不履行保修义务或者拖延履行保修义务</w:t>
            </w:r>
          </w:p>
        </w:tc>
        <w:tc>
          <w:tcPr>
            <w:tcW w:w="1128" w:type="dxa"/>
            <w:gridSpan w:val="2"/>
            <w:vMerge w:val="restart"/>
            <w:tcBorders>
              <w:tl2br w:val="nil"/>
              <w:tr2bl w:val="nil"/>
            </w:tcBorders>
            <w:vAlign w:val="center"/>
          </w:tcPr>
          <w:p w14:paraId="188D7FA4">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567B1006">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3DA425BC">
            <w:pPr>
              <w:keepNext w:val="0"/>
              <w:keepLines w:val="0"/>
              <w:pageBreakBefore w:val="0"/>
              <w:widowControl/>
              <w:kinsoku/>
              <w:overflowPunct/>
              <w:topLinePunct w:val="0"/>
              <w:autoSpaceDE/>
              <w:autoSpaceDN/>
              <w:bidi w:val="0"/>
              <w:adjustRightInd/>
              <w:spacing w:line="260" w:lineRule="exact"/>
              <w:jc w:val="left"/>
              <w:rPr>
                <w:rFonts w:ascii="宋体" w:hAnsi="宋体" w:cs="Arial"/>
                <w:color w:val="000000" w:themeColor="text1"/>
                <w:spacing w:val="8"/>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《建设工程质量管理条例》第四十一条</w:t>
            </w:r>
          </w:p>
        </w:tc>
        <w:tc>
          <w:tcPr>
            <w:tcW w:w="4354" w:type="dxa"/>
            <w:vMerge w:val="restart"/>
            <w:tcBorders>
              <w:tl2br w:val="nil"/>
              <w:tr2bl w:val="nil"/>
            </w:tcBorders>
            <w:vAlign w:val="center"/>
          </w:tcPr>
          <w:p w14:paraId="3F817B48">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《建设工程质量管理条例》第六十六条</w:t>
            </w:r>
          </w:p>
          <w:p w14:paraId="79BA0343">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违反本条例规定，施工单位不履行保修义务或者拖延履行保修义务的，责令改正，处10万元以上20万元以下的罚款，并对在保修期内因质量缺陷造成的损失承担赔偿责任。</w:t>
            </w:r>
          </w:p>
          <w:p w14:paraId="73C6B831">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0429A774">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1A622AA2">
            <w:pPr>
              <w:keepNext w:val="0"/>
              <w:keepLines w:val="0"/>
              <w:pageBreakBefore w:val="0"/>
              <w:kinsoku/>
              <w:overflowPunct/>
              <w:topLinePunct w:val="0"/>
              <w:autoSpaceDE/>
              <w:autoSpaceDN/>
              <w:bidi w:val="0"/>
              <w:adjustRightInd/>
              <w:spacing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912" w:type="dxa"/>
            <w:tcBorders>
              <w:tl2br w:val="nil"/>
              <w:tr2bl w:val="nil"/>
            </w:tcBorders>
            <w:vAlign w:val="center"/>
          </w:tcPr>
          <w:p w14:paraId="022ACE6A">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172E08F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施工单位拖延履行保修义务15日以下的。</w:t>
            </w:r>
          </w:p>
        </w:tc>
        <w:tc>
          <w:tcPr>
            <w:tcW w:w="3375" w:type="dxa"/>
            <w:tcBorders>
              <w:tl2br w:val="nil"/>
              <w:tr2bl w:val="nil"/>
            </w:tcBorders>
            <w:vAlign w:val="center"/>
          </w:tcPr>
          <w:p w14:paraId="49F88FA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责令改正，处10万元以上12万元以下的罚款，对单位直接负责的主管人员和其他直接责任人员处单位罚款数额百分之五以上百分之六以下的罚款。</w:t>
            </w:r>
          </w:p>
        </w:tc>
      </w:tr>
      <w:tr w14:paraId="79A7ECD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6A57543E">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052F809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4189941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tcPr>
          <w:p w14:paraId="645477B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628B833E">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51F5C49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施工单位拖延履行保修义务15日以上30日以下的。</w:t>
            </w:r>
          </w:p>
        </w:tc>
        <w:tc>
          <w:tcPr>
            <w:tcW w:w="3375" w:type="dxa"/>
            <w:tcBorders>
              <w:tl2br w:val="nil"/>
              <w:tr2bl w:val="nil"/>
            </w:tcBorders>
            <w:vAlign w:val="center"/>
          </w:tcPr>
          <w:p w14:paraId="13C9615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责令改正，处12万元以上17万元以下的罚款，对单位直接负责的主管人员和其他直接责任人员处单位罚款数额百分之六以上百分之八点五以下的罚款。</w:t>
            </w:r>
          </w:p>
        </w:tc>
      </w:tr>
      <w:tr w14:paraId="4D32C93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2874E0A8">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67DE293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0E431AA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7728A0A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08C1349E">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6F2A0B0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施工单位拖延履行保修义务30日以上或不履行保修义务的。</w:t>
            </w:r>
          </w:p>
        </w:tc>
        <w:tc>
          <w:tcPr>
            <w:tcW w:w="3375" w:type="dxa"/>
            <w:tcBorders>
              <w:tl2br w:val="nil"/>
              <w:tr2bl w:val="nil"/>
            </w:tcBorders>
            <w:vAlign w:val="center"/>
          </w:tcPr>
          <w:p w14:paraId="7463993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责令改正，处17万元以上20万元以下的罚款，对单位直接负责的主管人员和其他直接责任人员处单位罚款数额百分之八点五以上百分之十以下的罚款。</w:t>
            </w:r>
          </w:p>
          <w:p w14:paraId="02397E8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r>
      <w:tr w14:paraId="53F4C5D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050087E9">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41</w:t>
            </w:r>
          </w:p>
        </w:tc>
        <w:tc>
          <w:tcPr>
            <w:tcW w:w="1376" w:type="dxa"/>
            <w:vMerge w:val="restart"/>
            <w:tcBorders>
              <w:tl2br w:val="nil"/>
              <w:tr2bl w:val="nil"/>
            </w:tcBorders>
            <w:vAlign w:val="center"/>
          </w:tcPr>
          <w:p w14:paraId="72F0597C">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1C2ED8CC">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2DF8ECDC">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1AB4C58F">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435CE60B">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（一）与建设单位或者施工单位串通，弄虚作假、降低工程质量的；</w:t>
            </w:r>
          </w:p>
          <w:p w14:paraId="7385649E">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（二）将不合格的建设工程、建筑材料、建筑构配件和设备按照合格签字的。</w:t>
            </w:r>
          </w:p>
          <w:p w14:paraId="111C7725">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11645B95">
            <w:pPr>
              <w:keepNext w:val="0"/>
              <w:keepLines w:val="0"/>
              <w:pageBreakBefore w:val="0"/>
              <w:widowControl/>
              <w:kinsoku/>
              <w:overflowPunct/>
              <w:topLinePunct w:val="0"/>
              <w:autoSpaceDE/>
              <w:autoSpaceDN/>
              <w:bidi w:val="0"/>
              <w:adjustRightInd/>
              <w:spacing w:line="260" w:lineRule="exact"/>
              <w:jc w:val="left"/>
              <w:rPr>
                <w:rFonts w:ascii="宋体" w:hAnsi="宋体" w:cs="宋体"/>
                <w:color w:val="000000" w:themeColor="text1"/>
                <w:kern w:val="0"/>
                <w:szCs w:val="21"/>
                <w14:textFill>
                  <w14:solidFill>
                    <w14:schemeClr w14:val="tx1"/>
                  </w14:solidFill>
                </w14:textFill>
              </w:rPr>
            </w:pPr>
          </w:p>
        </w:tc>
        <w:tc>
          <w:tcPr>
            <w:tcW w:w="1128" w:type="dxa"/>
            <w:gridSpan w:val="2"/>
            <w:vMerge w:val="restart"/>
            <w:tcBorders>
              <w:tl2br w:val="nil"/>
              <w:tr2bl w:val="nil"/>
            </w:tcBorders>
            <w:vAlign w:val="center"/>
          </w:tcPr>
          <w:p w14:paraId="2F81093D">
            <w:pPr>
              <w:keepNext w:val="0"/>
              <w:keepLines w:val="0"/>
              <w:pageBreakBefore w:val="0"/>
              <w:widowControl/>
              <w:kinsoku/>
              <w:overflowPunct/>
              <w:topLinePunct w:val="0"/>
              <w:autoSpaceDE/>
              <w:autoSpaceDN/>
              <w:bidi w:val="0"/>
              <w:adjustRightInd/>
              <w:spacing w:line="260" w:lineRule="exact"/>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《建设工程质量管理条例》第六十七条第(一)项</w:t>
            </w:r>
          </w:p>
        </w:tc>
        <w:tc>
          <w:tcPr>
            <w:tcW w:w="4354" w:type="dxa"/>
            <w:vMerge w:val="restart"/>
            <w:tcBorders>
              <w:tl2br w:val="nil"/>
              <w:tr2bl w:val="nil"/>
            </w:tcBorders>
            <w:vAlign w:val="center"/>
          </w:tcPr>
          <w:p w14:paraId="06B48794">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《建设工程质量管理条例》第六十七条</w:t>
            </w:r>
          </w:p>
          <w:p w14:paraId="0C71AC27">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工程监理单位有下列行为之一的，责令改正，处５０万元以上１００万元以下的罚款，降低资质等级或者吊销资质证书；有违法所得的，予以没收；造成损失的，承担连带赔偿责任：</w:t>
            </w:r>
          </w:p>
          <w:p w14:paraId="7739794E">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（一）与建设单位或者施工单位串通，弄虚作假、降低工程质量的；</w:t>
            </w:r>
          </w:p>
          <w:p w14:paraId="3894F6DD">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（二）将不合格的建设工程、建筑材料、建筑构配件和设备按照合格签字的。</w:t>
            </w:r>
          </w:p>
          <w:p w14:paraId="6C39425E">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4BAE8297">
            <w:pPr>
              <w:keepNext w:val="0"/>
              <w:keepLines w:val="0"/>
              <w:pageBreakBefore w:val="0"/>
              <w:kinsoku/>
              <w:overflowPunct/>
              <w:topLinePunct w:val="0"/>
              <w:autoSpaceDE/>
              <w:autoSpaceDN/>
              <w:bidi w:val="0"/>
              <w:adjustRightInd/>
              <w:spacing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912" w:type="dxa"/>
            <w:tcBorders>
              <w:tl2br w:val="nil"/>
              <w:tr2bl w:val="nil"/>
            </w:tcBorders>
            <w:vAlign w:val="center"/>
          </w:tcPr>
          <w:p w14:paraId="4B67F68E">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0EB1CA2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375" w:type="dxa"/>
            <w:tcBorders>
              <w:tl2br w:val="nil"/>
              <w:tr2bl w:val="nil"/>
            </w:tcBorders>
            <w:vAlign w:val="center"/>
          </w:tcPr>
          <w:p w14:paraId="54D8E55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责令改正，处50万元以上60万元以下的罚款，对单位直接负责的主管人员和其他直接责任人员处单位罚款数额百分之五以上百分之六以下的罚款；有违法所得的，予以没收。</w:t>
            </w:r>
          </w:p>
        </w:tc>
      </w:tr>
      <w:tr w14:paraId="311571E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2F0AC16D">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71779CB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5100E5F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tcPr>
          <w:p w14:paraId="01073C0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66E917F1">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42C079C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6D3A187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责令改正，处60万元以上85万元以下的罚款，对单位直接负责的主管人员和其他直接责任人员处单位罚款数额百分之六以上百分之八点五以下的罚款；有违法所得的，予以没收。</w:t>
            </w:r>
          </w:p>
        </w:tc>
      </w:tr>
      <w:tr w14:paraId="4E34BE5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jc w:val="center"/>
        </w:trPr>
        <w:tc>
          <w:tcPr>
            <w:tcW w:w="533" w:type="dxa"/>
            <w:gridSpan w:val="2"/>
            <w:vMerge w:val="continue"/>
            <w:tcBorders>
              <w:tl2br w:val="nil"/>
              <w:tr2bl w:val="nil"/>
            </w:tcBorders>
            <w:vAlign w:val="center"/>
          </w:tcPr>
          <w:p w14:paraId="0BADCDBF">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7A18B82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3B2E1C8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tcPr>
          <w:p w14:paraId="35FADCD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restart"/>
            <w:tcBorders>
              <w:tl2br w:val="nil"/>
              <w:tr2bl w:val="nil"/>
            </w:tcBorders>
            <w:vAlign w:val="center"/>
          </w:tcPr>
          <w:p w14:paraId="4885CA42">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396A84E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（1）造成一般或较大质量事故的。</w:t>
            </w:r>
          </w:p>
        </w:tc>
        <w:tc>
          <w:tcPr>
            <w:tcW w:w="3375" w:type="dxa"/>
            <w:tcBorders>
              <w:tl2br w:val="nil"/>
              <w:tr2bl w:val="nil"/>
            </w:tcBorders>
            <w:vAlign w:val="center"/>
          </w:tcPr>
          <w:p w14:paraId="12589DC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责令改正，处85万元以上100万元以下的罚款，对单位直接负责的主管人员和其他直接责任人员处单位罚款数额百分之八点五以上百分之十以下的罚款；有违法所得的，予以没收。</w:t>
            </w:r>
          </w:p>
        </w:tc>
      </w:tr>
      <w:tr w14:paraId="6479950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3" w:hRule="atLeast"/>
          <w:jc w:val="center"/>
        </w:trPr>
        <w:tc>
          <w:tcPr>
            <w:tcW w:w="533" w:type="dxa"/>
            <w:gridSpan w:val="2"/>
            <w:vMerge w:val="continue"/>
            <w:tcBorders>
              <w:tl2br w:val="nil"/>
              <w:tr2bl w:val="nil"/>
            </w:tcBorders>
            <w:vAlign w:val="center"/>
          </w:tcPr>
          <w:p w14:paraId="4BE5FBB6">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6AC6ADD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5AA59D9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tcPr>
          <w:p w14:paraId="0675D67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51924D7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44B3DE6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（2）造成重大质量事故；或造成分部工程存在严重缺陷，经返修和加固处理仍不能满足安全使用要求。</w:t>
            </w:r>
          </w:p>
        </w:tc>
        <w:tc>
          <w:tcPr>
            <w:tcW w:w="3375" w:type="dxa"/>
            <w:tcBorders>
              <w:tl2br w:val="nil"/>
              <w:tr2bl w:val="nil"/>
            </w:tcBorders>
            <w:vAlign w:val="center"/>
          </w:tcPr>
          <w:p w14:paraId="101F315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责令改正，处100万元的罚款，对单位直接负责的主管人员和其他直接责任人员处单位罚款数额百分之十的罚款，降低资质等级；有违法所得的，予以没收。</w:t>
            </w:r>
          </w:p>
        </w:tc>
      </w:tr>
      <w:tr w14:paraId="289340A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2" w:hRule="atLeast"/>
          <w:jc w:val="center"/>
        </w:trPr>
        <w:tc>
          <w:tcPr>
            <w:tcW w:w="533" w:type="dxa"/>
            <w:gridSpan w:val="2"/>
            <w:vMerge w:val="continue"/>
            <w:tcBorders>
              <w:tl2br w:val="nil"/>
              <w:tr2bl w:val="nil"/>
            </w:tcBorders>
            <w:vAlign w:val="center"/>
          </w:tcPr>
          <w:p w14:paraId="4F35A9B2">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0C531B6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5023837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tcPr>
          <w:p w14:paraId="61D0750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1203588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5B2319B1">
            <w:pPr>
              <w:keepNext w:val="0"/>
              <w:keepLines w:val="0"/>
              <w:pageBreakBefore w:val="0"/>
              <w:widowControl/>
              <w:kinsoku/>
              <w:overflowPunct/>
              <w:topLinePunct w:val="0"/>
              <w:autoSpaceDE/>
              <w:autoSpaceDN/>
              <w:bidi w:val="0"/>
              <w:adjustRightInd/>
              <w:spacing w:line="260" w:lineRule="exact"/>
              <w:ind w:firstLine="210" w:firstLineChars="1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（3）造成特别重大质量；或造成单位（子单位）工程存在严重缺陷，经返修和加固处理仍不能满足安全使用要求</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或造成特别严重的社会影响。</w:t>
            </w:r>
          </w:p>
        </w:tc>
        <w:tc>
          <w:tcPr>
            <w:tcW w:w="3375" w:type="dxa"/>
            <w:tcBorders>
              <w:tl2br w:val="nil"/>
              <w:tr2bl w:val="nil"/>
            </w:tcBorders>
            <w:vAlign w:val="center"/>
          </w:tcPr>
          <w:p w14:paraId="2E148BF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责令改正，处100万元的罚款，对单位直接负责的主管人员和其他直接责任人员处单位罚款数额百分之十的罚款，吊销资质证书；有违法所得的，予以没收。</w:t>
            </w:r>
          </w:p>
        </w:tc>
      </w:tr>
      <w:tr w14:paraId="71DEB4C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4D0A4610">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42</w:t>
            </w:r>
          </w:p>
        </w:tc>
        <w:tc>
          <w:tcPr>
            <w:tcW w:w="1376" w:type="dxa"/>
            <w:vMerge w:val="restart"/>
            <w:tcBorders>
              <w:tl2br w:val="nil"/>
              <w:tr2bl w:val="nil"/>
            </w:tcBorders>
            <w:vAlign w:val="center"/>
          </w:tcPr>
          <w:p w14:paraId="1E789C86">
            <w:pPr>
              <w:keepNext w:val="0"/>
              <w:keepLines w:val="0"/>
              <w:pageBreakBefore w:val="0"/>
              <w:widowControl/>
              <w:kinsoku/>
              <w:overflowPunct/>
              <w:topLinePunct w:val="0"/>
              <w:autoSpaceDE/>
              <w:autoSpaceDN/>
              <w:bidi w:val="0"/>
              <w:adjustRightInd/>
              <w:spacing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p>
          <w:p w14:paraId="57701E8C">
            <w:pPr>
              <w:keepNext w:val="0"/>
              <w:keepLines w:val="0"/>
              <w:pageBreakBefore w:val="0"/>
              <w:widowControl/>
              <w:kinsoku/>
              <w:overflowPunct/>
              <w:topLinePunct w:val="0"/>
              <w:autoSpaceDE/>
              <w:autoSpaceDN/>
              <w:bidi w:val="0"/>
              <w:adjustRightInd/>
              <w:spacing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p>
          <w:p w14:paraId="48259540">
            <w:pPr>
              <w:keepNext w:val="0"/>
              <w:keepLines w:val="0"/>
              <w:pageBreakBefore w:val="0"/>
              <w:widowControl/>
              <w:kinsoku/>
              <w:overflowPunct/>
              <w:topLinePunct w:val="0"/>
              <w:autoSpaceDE/>
              <w:autoSpaceDN/>
              <w:bidi w:val="0"/>
              <w:adjustRightInd/>
              <w:spacing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p>
          <w:p w14:paraId="5306BF9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79856180">
            <w:pPr>
              <w:keepNext w:val="0"/>
              <w:keepLines w:val="0"/>
              <w:pageBreakBefore w:val="0"/>
              <w:widowControl/>
              <w:kinsoku/>
              <w:overflowPunct/>
              <w:topLinePunct w:val="0"/>
              <w:autoSpaceDE/>
              <w:autoSpaceDN/>
              <w:bidi w:val="0"/>
              <w:adjustRightInd/>
              <w:spacing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工程监理单位与被监理工程的施工承包单位以及建筑材料、建筑构配件和设备供应单位有隶属关系或者其他利害关系承担该项建设工程的监理业务</w:t>
            </w:r>
          </w:p>
        </w:tc>
        <w:tc>
          <w:tcPr>
            <w:tcW w:w="1128" w:type="dxa"/>
            <w:gridSpan w:val="2"/>
            <w:vMerge w:val="restart"/>
            <w:tcBorders>
              <w:tl2br w:val="nil"/>
              <w:tr2bl w:val="nil"/>
            </w:tcBorders>
            <w:vAlign w:val="center"/>
          </w:tcPr>
          <w:p w14:paraId="3B231AD0">
            <w:pPr>
              <w:keepNext w:val="0"/>
              <w:keepLines w:val="0"/>
              <w:pageBreakBefore w:val="0"/>
              <w:widowControl/>
              <w:kinsoku/>
              <w:overflowPunct/>
              <w:topLinePunct w:val="0"/>
              <w:autoSpaceDE/>
              <w:autoSpaceDN/>
              <w:bidi w:val="0"/>
              <w:adjustRightInd/>
              <w:spacing w:line="260" w:lineRule="exact"/>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《建设工程质量管理条例》第三十五条</w:t>
            </w:r>
          </w:p>
        </w:tc>
        <w:tc>
          <w:tcPr>
            <w:tcW w:w="4354" w:type="dxa"/>
            <w:vMerge w:val="restart"/>
            <w:tcBorders>
              <w:tl2br w:val="nil"/>
              <w:tr2bl w:val="nil"/>
            </w:tcBorders>
            <w:vAlign w:val="center"/>
          </w:tcPr>
          <w:p w14:paraId="30B18205">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75C554FB">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《建设工程质量管理条例》第六十八条</w:t>
            </w:r>
          </w:p>
          <w:p w14:paraId="65625746">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工程监理单位与被监理工程的施工承包单位以及建筑材料、建筑构配件和设备供应单位有隶属关系或者其他利害关系承担该项建设工程的监理业务的，责令改正，处5万元以上10万元以下的罚款，降低资质等级或者吊销资质证书；有违法所得的，予以没收。</w:t>
            </w:r>
          </w:p>
          <w:p w14:paraId="229677CE">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4731EFE2">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58ED7075">
            <w:pPr>
              <w:keepNext w:val="0"/>
              <w:keepLines w:val="0"/>
              <w:pageBreakBefore w:val="0"/>
              <w:kinsoku/>
              <w:overflowPunct/>
              <w:topLinePunct w:val="0"/>
              <w:autoSpaceDE/>
              <w:autoSpaceDN/>
              <w:bidi w:val="0"/>
              <w:adjustRightInd/>
              <w:spacing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912" w:type="dxa"/>
            <w:tcBorders>
              <w:tl2br w:val="nil"/>
              <w:tr2bl w:val="nil"/>
            </w:tcBorders>
            <w:vAlign w:val="center"/>
          </w:tcPr>
          <w:p w14:paraId="576C1367">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3273029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375" w:type="dxa"/>
            <w:tcBorders>
              <w:tl2br w:val="nil"/>
              <w:tr2bl w:val="nil"/>
            </w:tcBorders>
            <w:vAlign w:val="center"/>
          </w:tcPr>
          <w:p w14:paraId="09339E7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责令改正，处5万元以上6万元以下的罚款，对单位直接负责的主管人员和其他直接责任人员处单位罚款数额百分之五以上百分之六以下的罚款；有违法所得的，予以没收。</w:t>
            </w:r>
          </w:p>
        </w:tc>
      </w:tr>
      <w:tr w14:paraId="7A57EBB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325509B4">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5E30A7C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2728D64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tcPr>
          <w:p w14:paraId="4F30F4A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09CEA348">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1EB5AD8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7A5616F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责令改正，处6万元以上8.5万元以下的罚款，对单位直接负责的主管人员和其他直接责任人员处单位罚款数额百分之六以上百分之八点五以下的罚款；有违法所得的，予以没收。</w:t>
            </w:r>
          </w:p>
        </w:tc>
      </w:tr>
      <w:tr w14:paraId="10AA8DD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3" w:hRule="atLeast"/>
          <w:jc w:val="center"/>
        </w:trPr>
        <w:tc>
          <w:tcPr>
            <w:tcW w:w="533" w:type="dxa"/>
            <w:gridSpan w:val="2"/>
            <w:vMerge w:val="continue"/>
            <w:tcBorders>
              <w:tl2br w:val="nil"/>
              <w:tr2bl w:val="nil"/>
            </w:tcBorders>
            <w:vAlign w:val="center"/>
          </w:tcPr>
          <w:p w14:paraId="4547B6EC">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7F1A317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0201B10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338E21F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restart"/>
            <w:tcBorders>
              <w:tl2br w:val="nil"/>
              <w:tr2bl w:val="nil"/>
            </w:tcBorders>
            <w:vAlign w:val="center"/>
          </w:tcPr>
          <w:p w14:paraId="055F3908">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683119C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（1）造成一般或较大质量事故的。</w:t>
            </w:r>
          </w:p>
        </w:tc>
        <w:tc>
          <w:tcPr>
            <w:tcW w:w="3375" w:type="dxa"/>
            <w:tcBorders>
              <w:tl2br w:val="nil"/>
              <w:tr2bl w:val="nil"/>
            </w:tcBorders>
            <w:vAlign w:val="center"/>
          </w:tcPr>
          <w:p w14:paraId="3B74976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责令改正，处8.5万元以上10万元以下的罚款，对单位直接负责的主管人员和其他直接责任人员处单位罚款数额百分之八点五以上百分之十以下的罚款；有违法所得的，予以没收。</w:t>
            </w:r>
          </w:p>
        </w:tc>
      </w:tr>
      <w:tr w14:paraId="2A21D57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7" w:hRule="atLeast"/>
          <w:jc w:val="center"/>
        </w:trPr>
        <w:tc>
          <w:tcPr>
            <w:tcW w:w="533" w:type="dxa"/>
            <w:gridSpan w:val="2"/>
            <w:vMerge w:val="continue"/>
            <w:tcBorders>
              <w:tl2br w:val="nil"/>
              <w:tr2bl w:val="nil"/>
            </w:tcBorders>
            <w:vAlign w:val="center"/>
          </w:tcPr>
          <w:p w14:paraId="4AA25D7A">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233E682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1409F4A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5FDB95E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32D70BA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3A6BBA9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（2）造成重大质量事故；或造成分部工程存在严重缺陷，经返修和加固处理仍不能满足安全使用要求。</w:t>
            </w:r>
          </w:p>
        </w:tc>
        <w:tc>
          <w:tcPr>
            <w:tcW w:w="3375" w:type="dxa"/>
            <w:tcBorders>
              <w:tl2br w:val="nil"/>
              <w:tr2bl w:val="nil"/>
            </w:tcBorders>
            <w:vAlign w:val="center"/>
          </w:tcPr>
          <w:p w14:paraId="5F4E8F1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责令改正，处10万元的罚款，对单位直接负责的主管人员和其他直接责任人员处单位罚款数额百分之十的罚款有违法所得的，予以没收；降低资质等级。</w:t>
            </w:r>
          </w:p>
        </w:tc>
      </w:tr>
      <w:tr w14:paraId="2C71DE6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8" w:hRule="atLeast"/>
          <w:jc w:val="center"/>
        </w:trPr>
        <w:tc>
          <w:tcPr>
            <w:tcW w:w="533" w:type="dxa"/>
            <w:gridSpan w:val="2"/>
            <w:vMerge w:val="continue"/>
            <w:tcBorders>
              <w:tl2br w:val="nil"/>
              <w:tr2bl w:val="nil"/>
            </w:tcBorders>
            <w:vAlign w:val="center"/>
          </w:tcPr>
          <w:p w14:paraId="3A3AA204">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70175B9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1F6414B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614F98F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011071E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0DA82D8C">
            <w:pPr>
              <w:keepNext w:val="0"/>
              <w:keepLines w:val="0"/>
              <w:pageBreakBefore w:val="0"/>
              <w:widowControl/>
              <w:kinsoku/>
              <w:overflowPunct/>
              <w:topLinePunct w:val="0"/>
              <w:autoSpaceDE/>
              <w:autoSpaceDN/>
              <w:bidi w:val="0"/>
              <w:adjustRightInd/>
              <w:spacing w:line="260" w:lineRule="exact"/>
              <w:ind w:firstLine="210" w:firstLineChars="1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（3）造成特别重大质量；或造成单位（子单位）工程存在严重缺陷，经返修和加固处理仍不能满足安全使用要</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或造成特别严重的社会影响。</w:t>
            </w:r>
          </w:p>
        </w:tc>
        <w:tc>
          <w:tcPr>
            <w:tcW w:w="3375" w:type="dxa"/>
            <w:tcBorders>
              <w:tl2br w:val="nil"/>
              <w:tr2bl w:val="nil"/>
            </w:tcBorders>
            <w:vAlign w:val="center"/>
          </w:tcPr>
          <w:p w14:paraId="6ECA999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责令改正，处10万元的罚款，对单位直接负责的主管人员和其他直接责任人员处单位罚款数额百分之十的罚款；有违法所得的，予以没收；吊销资质证书。</w:t>
            </w:r>
          </w:p>
        </w:tc>
      </w:tr>
      <w:tr w14:paraId="26855A6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 w:hRule="atLeast"/>
          <w:jc w:val="center"/>
        </w:trPr>
        <w:tc>
          <w:tcPr>
            <w:tcW w:w="533" w:type="dxa"/>
            <w:gridSpan w:val="2"/>
            <w:vMerge w:val="restart"/>
            <w:tcBorders>
              <w:tl2br w:val="nil"/>
              <w:tr2bl w:val="nil"/>
            </w:tcBorders>
            <w:vAlign w:val="center"/>
          </w:tcPr>
          <w:p w14:paraId="1A120B67">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43</w:t>
            </w:r>
          </w:p>
        </w:tc>
        <w:tc>
          <w:tcPr>
            <w:tcW w:w="1376" w:type="dxa"/>
            <w:vMerge w:val="restart"/>
            <w:tcBorders>
              <w:tl2br w:val="nil"/>
              <w:tr2bl w:val="nil"/>
            </w:tcBorders>
            <w:vAlign w:val="center"/>
          </w:tcPr>
          <w:p w14:paraId="1E5B8A5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091D370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63DA35C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52330A89">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097C702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涉及建筑主体或者承重结构变动的装修工程，没有设计方案擅自施工的；</w:t>
            </w:r>
          </w:p>
          <w:p w14:paraId="26CF80D1">
            <w:pPr>
              <w:keepNext w:val="0"/>
              <w:keepLines w:val="0"/>
              <w:pageBreakBefore w:val="0"/>
              <w:widowControl/>
              <w:kinsoku/>
              <w:overflowPunct/>
              <w:topLinePunct w:val="0"/>
              <w:autoSpaceDE/>
              <w:autoSpaceDN/>
              <w:bidi w:val="0"/>
              <w:adjustRightInd/>
              <w:spacing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房屋建筑使用者在装修过程中擅自变动房屋建筑主体和承重结构的</w:t>
            </w:r>
          </w:p>
        </w:tc>
        <w:tc>
          <w:tcPr>
            <w:tcW w:w="1128" w:type="dxa"/>
            <w:gridSpan w:val="2"/>
            <w:vMerge w:val="restart"/>
            <w:tcBorders>
              <w:tl2br w:val="nil"/>
              <w:tr2bl w:val="nil"/>
            </w:tcBorders>
            <w:vAlign w:val="center"/>
          </w:tcPr>
          <w:p w14:paraId="57CFD763">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1B024A53">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4F6AA892">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656613B2">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506848FF">
            <w:pPr>
              <w:keepNext w:val="0"/>
              <w:keepLines w:val="0"/>
              <w:pageBreakBefore w:val="0"/>
              <w:widowControl/>
              <w:kinsoku/>
              <w:overflowPunct/>
              <w:topLinePunct w:val="0"/>
              <w:autoSpaceDE/>
              <w:autoSpaceDN/>
              <w:bidi w:val="0"/>
              <w:adjustRightInd/>
              <w:spacing w:line="260" w:lineRule="exact"/>
              <w:jc w:val="left"/>
              <w:rPr>
                <w:rFonts w:ascii="宋体" w:hAnsi="宋体" w:cs="Arial"/>
                <w:color w:val="000000" w:themeColor="text1"/>
                <w:spacing w:val="8"/>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《建设工程质量管理条例》第十五条</w:t>
            </w:r>
          </w:p>
        </w:tc>
        <w:tc>
          <w:tcPr>
            <w:tcW w:w="4354" w:type="dxa"/>
            <w:vMerge w:val="restart"/>
            <w:tcBorders>
              <w:tl2br w:val="nil"/>
              <w:tr2bl w:val="nil"/>
            </w:tcBorders>
            <w:vAlign w:val="center"/>
          </w:tcPr>
          <w:p w14:paraId="589A1160">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6304B970">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1ADD8107">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18AEF552">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054B0081">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《建设工程质量管理条例》第六十九条</w:t>
            </w:r>
          </w:p>
          <w:p w14:paraId="5BB70D7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涉及建筑主体或者承重结构变动的装修工程，没有设计方案擅自施工的，责令改正，处50万元以上100万元以下的罚款；房屋建筑使用者在装修过程中擅自变动房屋建筑主体和承重结构的，责令改正，处5万元以上10万元以下的罚款；</w:t>
            </w:r>
          </w:p>
          <w:p w14:paraId="567C609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有前款所列行为，造成损失的，依法承担赔偿责任。</w:t>
            </w:r>
          </w:p>
          <w:p w14:paraId="6F16FD3A">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619B9033">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54386AE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p w14:paraId="02B22EE5">
            <w:pPr>
              <w:keepNext w:val="0"/>
              <w:keepLines w:val="0"/>
              <w:pageBreakBefore w:val="0"/>
              <w:kinsoku/>
              <w:overflowPunct/>
              <w:topLinePunct w:val="0"/>
              <w:autoSpaceDE/>
              <w:autoSpaceDN/>
              <w:bidi w:val="0"/>
              <w:adjustRightInd/>
              <w:spacing w:line="260" w:lineRule="exact"/>
              <w:jc w:val="left"/>
              <w:rPr>
                <w:rFonts w:ascii="宋体" w:hAnsi="宋体" w:cs="宋体"/>
                <w:color w:val="000000" w:themeColor="text1"/>
                <w:kern w:val="0"/>
                <w:szCs w:val="21"/>
                <w14:textFill>
                  <w14:solidFill>
                    <w14:schemeClr w14:val="tx1"/>
                  </w14:solidFill>
                </w14:textFill>
              </w:rPr>
            </w:pPr>
          </w:p>
        </w:tc>
        <w:tc>
          <w:tcPr>
            <w:tcW w:w="912" w:type="dxa"/>
            <w:vMerge w:val="restart"/>
            <w:tcBorders>
              <w:tl2br w:val="nil"/>
              <w:tr2bl w:val="nil"/>
            </w:tcBorders>
            <w:vAlign w:val="center"/>
          </w:tcPr>
          <w:p w14:paraId="67BB15B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1C1CD40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（1）涉及建筑主体或者承重结构变动的装修工程，没有设计方案擅自施工，未造成质量事故，不需要加固补强的。</w:t>
            </w:r>
          </w:p>
        </w:tc>
        <w:tc>
          <w:tcPr>
            <w:tcW w:w="3375" w:type="dxa"/>
            <w:tcBorders>
              <w:tl2br w:val="nil"/>
              <w:tr2bl w:val="nil"/>
            </w:tcBorders>
            <w:vAlign w:val="center"/>
          </w:tcPr>
          <w:p w14:paraId="307E59E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责令改正，处50万元以上65万元以下的罚款，对单位直接负责的主管人员和其他直接责任人员处单位罚款数额百分之五以上百分之六点五以下的罚款。</w:t>
            </w:r>
          </w:p>
        </w:tc>
      </w:tr>
      <w:tr w14:paraId="2EF8CEA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 w:hRule="atLeast"/>
          <w:jc w:val="center"/>
        </w:trPr>
        <w:tc>
          <w:tcPr>
            <w:tcW w:w="533" w:type="dxa"/>
            <w:gridSpan w:val="2"/>
            <w:vMerge w:val="continue"/>
            <w:tcBorders>
              <w:tl2br w:val="nil"/>
              <w:tr2bl w:val="nil"/>
            </w:tcBorders>
            <w:vAlign w:val="center"/>
          </w:tcPr>
          <w:p w14:paraId="70229647">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0B3EF8BE">
            <w:pPr>
              <w:keepNext w:val="0"/>
              <w:keepLines w:val="0"/>
              <w:pageBreakBefore w:val="0"/>
              <w:widowControl/>
              <w:kinsoku/>
              <w:overflowPunct/>
              <w:topLinePunct w:val="0"/>
              <w:autoSpaceDE/>
              <w:autoSpaceDN/>
              <w:bidi w:val="0"/>
              <w:adjustRightInd/>
              <w:spacing w:line="260" w:lineRule="exact"/>
              <w:jc w:val="left"/>
              <w:rPr>
                <w:rFonts w:ascii="宋体" w:hAnsi="宋体" w:cs="Arial"/>
                <w:color w:val="000000" w:themeColor="text1"/>
                <w:spacing w:val="8"/>
                <w:kern w:val="0"/>
                <w:szCs w:val="21"/>
                <w14:textFill>
                  <w14:solidFill>
                    <w14:schemeClr w14:val="tx1"/>
                  </w14:solidFill>
                </w14:textFill>
              </w:rPr>
            </w:pPr>
          </w:p>
        </w:tc>
        <w:tc>
          <w:tcPr>
            <w:tcW w:w="1128" w:type="dxa"/>
            <w:gridSpan w:val="2"/>
            <w:vMerge w:val="continue"/>
            <w:tcBorders>
              <w:tl2br w:val="nil"/>
              <w:tr2bl w:val="nil"/>
            </w:tcBorders>
            <w:vAlign w:val="center"/>
          </w:tcPr>
          <w:p w14:paraId="7D6E74E6">
            <w:pPr>
              <w:keepNext w:val="0"/>
              <w:keepLines w:val="0"/>
              <w:pageBreakBefore w:val="0"/>
              <w:widowControl/>
              <w:kinsoku/>
              <w:overflowPunct/>
              <w:topLinePunct w:val="0"/>
              <w:autoSpaceDE/>
              <w:autoSpaceDN/>
              <w:bidi w:val="0"/>
              <w:adjustRightInd/>
              <w:spacing w:line="260" w:lineRule="exact"/>
              <w:jc w:val="left"/>
              <w:rPr>
                <w:rFonts w:ascii="宋体" w:hAnsi="宋体" w:cs="宋体"/>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10C0D77D">
            <w:pPr>
              <w:keepNext w:val="0"/>
              <w:keepLines w:val="0"/>
              <w:pageBreakBefore w:val="0"/>
              <w:widowControl/>
              <w:kinsoku/>
              <w:overflowPunct/>
              <w:topLinePunct w:val="0"/>
              <w:autoSpaceDE/>
              <w:autoSpaceDN/>
              <w:bidi w:val="0"/>
              <w:adjustRightInd/>
              <w:spacing w:line="260" w:lineRule="exact"/>
              <w:jc w:val="left"/>
              <w:rPr>
                <w:rFonts w:ascii="宋体" w:hAnsi="宋体" w:cs="宋体"/>
                <w:color w:val="000000" w:themeColor="text1"/>
                <w:kern w:val="0"/>
                <w:szCs w:val="21"/>
                <w14:textFill>
                  <w14:solidFill>
                    <w14:schemeClr w14:val="tx1"/>
                  </w14:solidFill>
                </w14:textFill>
              </w:rPr>
            </w:pPr>
          </w:p>
        </w:tc>
        <w:tc>
          <w:tcPr>
            <w:tcW w:w="912" w:type="dxa"/>
            <w:vMerge w:val="continue"/>
            <w:tcBorders>
              <w:tl2br w:val="nil"/>
              <w:tr2bl w:val="nil"/>
            </w:tcBorders>
            <w:vAlign w:val="center"/>
          </w:tcPr>
          <w:p w14:paraId="4E67195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483BDE4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（2）房屋建筑使用者在装修过程中擅自变动房屋建筑主体和承重结构，未造成质量事故，不需要加固补强的。</w:t>
            </w:r>
          </w:p>
        </w:tc>
        <w:tc>
          <w:tcPr>
            <w:tcW w:w="3375" w:type="dxa"/>
            <w:tcBorders>
              <w:tl2br w:val="nil"/>
              <w:tr2bl w:val="nil"/>
            </w:tcBorders>
            <w:vAlign w:val="center"/>
          </w:tcPr>
          <w:p w14:paraId="7BFA09F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责令改正，处5万元以上6.5万元以下的罚款，对单位直接负责的主管人员和其他直接责任人员处单位罚款数额百分之五以上百分之六点五以下的罚款。</w:t>
            </w:r>
          </w:p>
        </w:tc>
      </w:tr>
      <w:tr w14:paraId="64AFAEA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 w:hRule="atLeast"/>
          <w:jc w:val="center"/>
        </w:trPr>
        <w:tc>
          <w:tcPr>
            <w:tcW w:w="533" w:type="dxa"/>
            <w:gridSpan w:val="2"/>
            <w:vMerge w:val="continue"/>
            <w:tcBorders>
              <w:tl2br w:val="nil"/>
              <w:tr2bl w:val="nil"/>
            </w:tcBorders>
            <w:vAlign w:val="center"/>
          </w:tcPr>
          <w:p w14:paraId="34C93DD0">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4588D52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306998B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tcPr>
          <w:p w14:paraId="4722FA5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restart"/>
            <w:tcBorders>
              <w:tl2br w:val="nil"/>
              <w:tr2bl w:val="nil"/>
            </w:tcBorders>
            <w:vAlign w:val="center"/>
          </w:tcPr>
          <w:p w14:paraId="66D0FDE5">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08220D8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（1）涉及建筑主体或者承重结构变动的装修工程，没有设计方案擅自施工，造成一般质量事故；或不满足结构安全，需局部加固补强的。</w:t>
            </w:r>
          </w:p>
        </w:tc>
        <w:tc>
          <w:tcPr>
            <w:tcW w:w="3375" w:type="dxa"/>
            <w:tcBorders>
              <w:tl2br w:val="nil"/>
              <w:tr2bl w:val="nil"/>
            </w:tcBorders>
            <w:vAlign w:val="center"/>
          </w:tcPr>
          <w:p w14:paraId="4F49B68E">
            <w:pPr>
              <w:keepNext w:val="0"/>
              <w:keepLines w:val="0"/>
              <w:pageBreakBefore w:val="0"/>
              <w:widowControl/>
              <w:kinsoku/>
              <w:overflowPunct/>
              <w:topLinePunct w:val="0"/>
              <w:autoSpaceDE/>
              <w:autoSpaceDN/>
              <w:bidi w:val="0"/>
              <w:adjustRightInd/>
              <w:spacing w:line="260" w:lineRule="exact"/>
              <w:ind w:left="-2" w:leftChars="-1"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责令改正，处65万元以上85万元以下的罚款，对单位直接负责的主管人员和其他直接责任人员处单位罚款数额百分之六点五以上百分之八点五以下的罚款。</w:t>
            </w:r>
          </w:p>
        </w:tc>
      </w:tr>
      <w:tr w14:paraId="3307BB8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 w:hRule="atLeast"/>
          <w:jc w:val="center"/>
        </w:trPr>
        <w:tc>
          <w:tcPr>
            <w:tcW w:w="533" w:type="dxa"/>
            <w:gridSpan w:val="2"/>
            <w:vMerge w:val="continue"/>
            <w:tcBorders>
              <w:tl2br w:val="nil"/>
              <w:tr2bl w:val="nil"/>
            </w:tcBorders>
            <w:vAlign w:val="center"/>
          </w:tcPr>
          <w:p w14:paraId="34BE9EEE">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7C9400F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21EA5FC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tcPr>
          <w:p w14:paraId="0D46DA0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47FB201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440DB76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（2）房屋建筑使用者在装修过程中擅自变动房屋建筑主体和承重结构，造成一般质量事故；或不满足结构安全，需局部加固补强的。</w:t>
            </w:r>
          </w:p>
        </w:tc>
        <w:tc>
          <w:tcPr>
            <w:tcW w:w="3375" w:type="dxa"/>
            <w:tcBorders>
              <w:tl2br w:val="nil"/>
              <w:tr2bl w:val="nil"/>
            </w:tcBorders>
            <w:vAlign w:val="center"/>
          </w:tcPr>
          <w:p w14:paraId="4A5B8DA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责令改正，处6.5万元以上8.5万元以下的罚款，对单位直接负责的主管人员和其他直接责任人员处单位罚款数额百分之六点五以上百分之八点五以下的罚款。</w:t>
            </w:r>
          </w:p>
        </w:tc>
      </w:tr>
      <w:tr w14:paraId="3F39617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1" w:hRule="atLeast"/>
          <w:jc w:val="center"/>
        </w:trPr>
        <w:tc>
          <w:tcPr>
            <w:tcW w:w="533" w:type="dxa"/>
            <w:gridSpan w:val="2"/>
            <w:vMerge w:val="continue"/>
            <w:tcBorders>
              <w:tl2br w:val="nil"/>
              <w:tr2bl w:val="nil"/>
            </w:tcBorders>
            <w:vAlign w:val="center"/>
          </w:tcPr>
          <w:p w14:paraId="028E78E9">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584E04E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74515A6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tcPr>
          <w:p w14:paraId="4D83B16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restart"/>
            <w:tcBorders>
              <w:tl2br w:val="nil"/>
              <w:tr2bl w:val="nil"/>
            </w:tcBorders>
            <w:vAlign w:val="center"/>
          </w:tcPr>
          <w:p w14:paraId="64C3CFB7">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651293F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（1）涉及建筑主体或者承重结构变动的装修工程，没有设计方案擅自施工， 造成较大以上质量事故；或影响结构安全，需全面加固处理的。</w:t>
            </w:r>
          </w:p>
        </w:tc>
        <w:tc>
          <w:tcPr>
            <w:tcW w:w="3375" w:type="dxa"/>
            <w:tcBorders>
              <w:tl2br w:val="nil"/>
              <w:tr2bl w:val="nil"/>
            </w:tcBorders>
            <w:vAlign w:val="center"/>
          </w:tcPr>
          <w:p w14:paraId="7136B47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责令改正，处85万元以上100万元以下的罚款，对单位直接负责的主管人员和其他直接责任人员处单位罚款数额百分之八点五以上百分之十以下的罚款。</w:t>
            </w:r>
          </w:p>
        </w:tc>
      </w:tr>
      <w:tr w14:paraId="4AFAC0D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8" w:hRule="atLeast"/>
          <w:jc w:val="center"/>
        </w:trPr>
        <w:tc>
          <w:tcPr>
            <w:tcW w:w="533" w:type="dxa"/>
            <w:gridSpan w:val="2"/>
            <w:vMerge w:val="continue"/>
            <w:tcBorders>
              <w:tl2br w:val="nil"/>
              <w:tr2bl w:val="nil"/>
            </w:tcBorders>
            <w:vAlign w:val="center"/>
          </w:tcPr>
          <w:p w14:paraId="63523DC5">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03CA695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5637D2C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tcPr>
          <w:p w14:paraId="67C6E98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49757FD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7606A366">
            <w:pPr>
              <w:keepNext w:val="0"/>
              <w:keepLines w:val="0"/>
              <w:pageBreakBefore w:val="0"/>
              <w:widowControl/>
              <w:kinsoku/>
              <w:overflowPunct/>
              <w:topLinePunct w:val="0"/>
              <w:autoSpaceDE/>
              <w:autoSpaceDN/>
              <w:bidi w:val="0"/>
              <w:adjustRightInd/>
              <w:spacing w:line="260" w:lineRule="exact"/>
              <w:ind w:firstLine="210" w:firstLineChars="1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（2）房屋建筑使用者在装修过程中擅自变动房屋建筑主体和承重结构，造成较大以上质量事故；或影响结构安全，需全面加固处理的</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或造成特别严重的社会影响。</w:t>
            </w:r>
          </w:p>
        </w:tc>
        <w:tc>
          <w:tcPr>
            <w:tcW w:w="3375" w:type="dxa"/>
            <w:tcBorders>
              <w:tl2br w:val="nil"/>
              <w:tr2bl w:val="nil"/>
            </w:tcBorders>
            <w:vAlign w:val="center"/>
          </w:tcPr>
          <w:p w14:paraId="2B1414F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责令改正，处8.5万元以上10万元以下的罚款，对单位直接负责的主管人员和其他直接责任人员处单位罚款数额百分之八点五以上百分之十以下的罚款。</w:t>
            </w:r>
          </w:p>
        </w:tc>
      </w:tr>
      <w:tr w14:paraId="49A9261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524B9B9E">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44</w:t>
            </w:r>
          </w:p>
        </w:tc>
        <w:tc>
          <w:tcPr>
            <w:tcW w:w="1376" w:type="dxa"/>
            <w:vMerge w:val="restart"/>
            <w:tcBorders>
              <w:tl2br w:val="nil"/>
              <w:tr2bl w:val="nil"/>
            </w:tcBorders>
            <w:vAlign w:val="center"/>
          </w:tcPr>
          <w:p w14:paraId="1ED4FAD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注册建筑师、注册结构工程师、监理工程师等注册执业人员因过错造成质量事故的</w:t>
            </w:r>
          </w:p>
        </w:tc>
        <w:tc>
          <w:tcPr>
            <w:tcW w:w="1128" w:type="dxa"/>
            <w:gridSpan w:val="2"/>
            <w:vMerge w:val="restart"/>
            <w:tcBorders>
              <w:tl2br w:val="nil"/>
              <w:tr2bl w:val="nil"/>
            </w:tcBorders>
            <w:vAlign w:val="center"/>
          </w:tcPr>
          <w:p w14:paraId="49F54910">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《建设工程质量管理条例》第七十二条</w:t>
            </w:r>
          </w:p>
        </w:tc>
        <w:tc>
          <w:tcPr>
            <w:tcW w:w="4354" w:type="dxa"/>
            <w:vMerge w:val="restart"/>
            <w:tcBorders>
              <w:tl2br w:val="nil"/>
              <w:tr2bl w:val="nil"/>
            </w:tcBorders>
            <w:vAlign w:val="center"/>
          </w:tcPr>
          <w:p w14:paraId="63DA1947">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《建设工程质量管理条例》第七十二条</w:t>
            </w:r>
          </w:p>
          <w:p w14:paraId="26A14F8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注册建筑师、注册结构工程师、监理工程师等注册执业人员因过错造成质量事故的，责令停止执业1年；造成重大质量事故的，吊销执业资格证书，5年以内不予注册；情节特别恶劣的，终身不予注册。</w:t>
            </w:r>
          </w:p>
        </w:tc>
        <w:tc>
          <w:tcPr>
            <w:tcW w:w="912" w:type="dxa"/>
            <w:tcBorders>
              <w:tl2br w:val="nil"/>
              <w:tr2bl w:val="nil"/>
            </w:tcBorders>
            <w:vAlign w:val="center"/>
          </w:tcPr>
          <w:p w14:paraId="3AAF277E">
            <w:pPr>
              <w:keepNext w:val="0"/>
              <w:keepLines w:val="0"/>
              <w:pageBreakBefore w:val="0"/>
              <w:widowControl/>
              <w:kinsoku/>
              <w:overflowPunct/>
              <w:topLinePunct w:val="0"/>
              <w:autoSpaceDE/>
              <w:autoSpaceDN/>
              <w:bidi w:val="0"/>
              <w:adjustRightInd/>
              <w:spacing w:line="260" w:lineRule="exact"/>
              <w:jc w:val="left"/>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49819A8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造成一般质量事故或者其他较严重后果的。</w:t>
            </w:r>
          </w:p>
        </w:tc>
        <w:tc>
          <w:tcPr>
            <w:tcW w:w="3375" w:type="dxa"/>
            <w:tcBorders>
              <w:tl2br w:val="nil"/>
              <w:tr2bl w:val="nil"/>
            </w:tcBorders>
            <w:vAlign w:val="center"/>
          </w:tcPr>
          <w:p w14:paraId="4128DD8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责令停止执业1年。</w:t>
            </w:r>
          </w:p>
        </w:tc>
      </w:tr>
      <w:tr w14:paraId="2790B9F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2A629993">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561EE1C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1239DBB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tcPr>
          <w:p w14:paraId="2A26541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79D0F9F4">
            <w:pPr>
              <w:keepNext w:val="0"/>
              <w:keepLines w:val="0"/>
              <w:pageBreakBefore w:val="0"/>
              <w:widowControl/>
              <w:kinsoku/>
              <w:overflowPunct/>
              <w:topLinePunct w:val="0"/>
              <w:autoSpaceDE/>
              <w:autoSpaceDN/>
              <w:bidi w:val="0"/>
              <w:adjustRightInd/>
              <w:spacing w:line="260" w:lineRule="exact"/>
              <w:jc w:val="left"/>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195EF73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w:t>
            </w:r>
            <w:r>
              <w:rPr>
                <w:rFonts w:hint="eastAsia" w:ascii="仿宋_GB2312" w:hAnsi="宋体" w:eastAsia="仿宋_GB2312"/>
                <w:color w:val="000000" w:themeColor="text1"/>
                <w:kern w:val="0"/>
                <w:szCs w:val="21"/>
                <w:lang w:val="en-US" w:eastAsia="zh-CN"/>
                <w14:textFill>
                  <w14:solidFill>
                    <w14:schemeClr w14:val="tx1"/>
                  </w14:solidFill>
                </w14:textFill>
              </w:rPr>
              <w:t>重</w:t>
            </w:r>
            <w:r>
              <w:rPr>
                <w:rFonts w:hint="eastAsia" w:ascii="仿宋_GB2312" w:hAnsi="宋体" w:eastAsia="仿宋_GB2312"/>
                <w:color w:val="000000" w:themeColor="text1"/>
                <w:kern w:val="0"/>
                <w:szCs w:val="21"/>
                <w14:textFill>
                  <w14:solidFill>
                    <w14:schemeClr w14:val="tx1"/>
                  </w14:solidFill>
                </w14:textFill>
              </w:rPr>
              <w:t>大质量事故或者其他严重后果的。</w:t>
            </w:r>
          </w:p>
        </w:tc>
        <w:tc>
          <w:tcPr>
            <w:tcW w:w="3375" w:type="dxa"/>
            <w:tcBorders>
              <w:tl2br w:val="nil"/>
              <w:tr2bl w:val="nil"/>
            </w:tcBorders>
            <w:vAlign w:val="center"/>
          </w:tcPr>
          <w:p w14:paraId="2B330F8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吊销执业资格证书，5年内不予注册。</w:t>
            </w:r>
          </w:p>
        </w:tc>
      </w:tr>
      <w:tr w14:paraId="2CEF53F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74D268FF">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3EF6C11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46D19B3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7087247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0CC49B1F">
            <w:pPr>
              <w:keepNext w:val="0"/>
              <w:keepLines w:val="0"/>
              <w:pageBreakBefore w:val="0"/>
              <w:widowControl/>
              <w:kinsoku/>
              <w:overflowPunct/>
              <w:topLinePunct w:val="0"/>
              <w:autoSpaceDE/>
              <w:autoSpaceDN/>
              <w:bidi w:val="0"/>
              <w:adjustRightInd/>
              <w:spacing w:line="260" w:lineRule="exact"/>
              <w:jc w:val="left"/>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7C368F1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造成特别重大质量事故或者其他特别严重后果的。</w:t>
            </w:r>
          </w:p>
        </w:tc>
        <w:tc>
          <w:tcPr>
            <w:tcW w:w="3375" w:type="dxa"/>
            <w:tcBorders>
              <w:tl2br w:val="nil"/>
              <w:tr2bl w:val="nil"/>
            </w:tcBorders>
            <w:vAlign w:val="center"/>
          </w:tcPr>
          <w:p w14:paraId="3A05B16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吊销执业资格证书，终身不予注册。</w:t>
            </w:r>
          </w:p>
        </w:tc>
      </w:tr>
      <w:tr w14:paraId="36C1235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tcBorders>
              <w:tl2br w:val="nil"/>
              <w:tr2bl w:val="nil"/>
            </w:tcBorders>
            <w:vAlign w:val="center"/>
          </w:tcPr>
          <w:p w14:paraId="067387C1">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45</w:t>
            </w:r>
          </w:p>
        </w:tc>
        <w:tc>
          <w:tcPr>
            <w:tcW w:w="1376" w:type="dxa"/>
            <w:tcBorders>
              <w:tl2br w:val="nil"/>
              <w:tr2bl w:val="nil"/>
            </w:tcBorders>
            <w:vAlign w:val="center"/>
          </w:tcPr>
          <w:p w14:paraId="3AE457A8">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施工单位未对建筑材料、建筑构配件、设备和商品混凝土进行检验，或者未对涉及结构安全的试块、试件以及有关材料取样检测的</w:t>
            </w:r>
          </w:p>
        </w:tc>
        <w:tc>
          <w:tcPr>
            <w:tcW w:w="1128" w:type="dxa"/>
            <w:gridSpan w:val="2"/>
            <w:tcBorders>
              <w:tl2br w:val="nil"/>
              <w:tr2bl w:val="nil"/>
            </w:tcBorders>
            <w:vAlign w:val="center"/>
          </w:tcPr>
          <w:p w14:paraId="402A8072">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《建设工程质量管理条例》第二十九条</w:t>
            </w:r>
          </w:p>
        </w:tc>
        <w:tc>
          <w:tcPr>
            <w:tcW w:w="4354" w:type="dxa"/>
            <w:tcBorders>
              <w:tl2br w:val="nil"/>
              <w:tr2bl w:val="nil"/>
            </w:tcBorders>
            <w:vAlign w:val="center"/>
          </w:tcPr>
          <w:p w14:paraId="0F8A864E">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《建设工程质量管理条例》第六十五条</w:t>
            </w:r>
          </w:p>
          <w:p w14:paraId="097E18FF">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施工单位未对建筑材料、建筑构配件、设备和商品混凝土进行检验，或者未对涉及结构安全的试块、试件以及有关材料取样检测的，责令改正，处10万元以上20万元以下的罚款；情节严重的，责令停业整顿，降低资质等级或者吊销资质证书；造成损失的，依法承担赔偿责任。</w:t>
            </w:r>
          </w:p>
          <w:p w14:paraId="3C089FB7">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p w14:paraId="25E6EDF9">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《建设工程质量管理条例》第七十三条</w:t>
            </w:r>
          </w:p>
          <w:p w14:paraId="58FDE26F">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strike/>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912" w:type="dxa"/>
            <w:tcBorders>
              <w:tl2br w:val="nil"/>
              <w:tr2bl w:val="nil"/>
            </w:tcBorders>
            <w:vAlign w:val="center"/>
          </w:tcPr>
          <w:p w14:paraId="5AB69710">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795AED19">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hint="eastAsia" w:ascii="仿宋_GB2312" w:hAnsi="宋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初次违法，主动消除或减轻违法行为危害后果的。</w:t>
            </w:r>
          </w:p>
        </w:tc>
        <w:tc>
          <w:tcPr>
            <w:tcW w:w="3375" w:type="dxa"/>
            <w:tcBorders>
              <w:tl2br w:val="nil"/>
              <w:tr2bl w:val="nil"/>
            </w:tcBorders>
            <w:vAlign w:val="center"/>
          </w:tcPr>
          <w:p w14:paraId="1267C22F">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hint="eastAsia" w:ascii="仿宋_GB2312" w:hAnsi="宋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w:t>
            </w:r>
            <w:r>
              <w:rPr>
                <w:rFonts w:ascii="仿宋_GB2312" w:hAnsi="宋体" w:eastAsia="仿宋_GB2312" w:cs="Times New Roman"/>
                <w:color w:val="000000" w:themeColor="text1"/>
                <w:kern w:val="0"/>
                <w:szCs w:val="21"/>
                <w14:textFill>
                  <w14:solidFill>
                    <w14:schemeClr w14:val="tx1"/>
                  </w14:solidFill>
                </w14:textFill>
              </w:rPr>
              <w:t>10</w:t>
            </w:r>
            <w:r>
              <w:rPr>
                <w:rFonts w:hint="eastAsia" w:ascii="仿宋_GB2312" w:hAnsi="宋体" w:eastAsia="仿宋_GB2312" w:cs="Times New Roman"/>
                <w:color w:val="000000" w:themeColor="text1"/>
                <w:kern w:val="0"/>
                <w:szCs w:val="21"/>
                <w14:textFill>
                  <w14:solidFill>
                    <w14:schemeClr w14:val="tx1"/>
                  </w14:solidFill>
                </w14:textFill>
              </w:rPr>
              <w:t>万元罚款，对单位直接负责的主管人员和其他直接责任人员处单位罚款数额百分之五的罚款。</w:t>
            </w:r>
          </w:p>
        </w:tc>
      </w:tr>
      <w:tr w14:paraId="6694AC1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tcBorders>
              <w:tl2br w:val="nil"/>
              <w:tr2bl w:val="nil"/>
            </w:tcBorders>
            <w:vAlign w:val="center"/>
          </w:tcPr>
          <w:p w14:paraId="4717CED6">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tcBorders>
              <w:tl2br w:val="nil"/>
              <w:tr2bl w:val="nil"/>
            </w:tcBorders>
            <w:vAlign w:val="center"/>
          </w:tcPr>
          <w:p w14:paraId="32284C4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tcBorders>
              <w:tl2br w:val="nil"/>
              <w:tr2bl w:val="nil"/>
            </w:tcBorders>
            <w:vAlign w:val="center"/>
          </w:tcPr>
          <w:p w14:paraId="1F47F21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tcBorders>
              <w:tl2br w:val="nil"/>
              <w:tr2bl w:val="nil"/>
            </w:tcBorders>
            <w:vAlign w:val="center"/>
          </w:tcPr>
          <w:p w14:paraId="69B0873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42022C9C">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1ABA3EE9">
            <w:pPr>
              <w:keepNext w:val="0"/>
              <w:keepLines w:val="0"/>
              <w:pageBreakBefore w:val="0"/>
              <w:kinsoku/>
              <w:overflowPunct/>
              <w:topLinePunct w:val="0"/>
              <w:autoSpaceDE/>
              <w:autoSpaceDN/>
              <w:bidi w:val="0"/>
              <w:adjustRightInd/>
              <w:spacing w:line="260" w:lineRule="exact"/>
              <w:ind w:firstLine="210" w:firstLineChars="100"/>
              <w:textAlignment w:val="center"/>
              <w:rPr>
                <w:rFonts w:hint="eastAsia" w:ascii="仿宋_GB2312" w:hAnsi="宋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未造成质量事故，不具有从轻、</w:t>
            </w:r>
            <w:r>
              <w:rPr>
                <w:rFonts w:hint="eastAsia" w:ascii="仿宋_GB2312" w:hAnsi="宋体" w:eastAsia="仿宋_GB2312"/>
                <w:color w:val="000000" w:themeColor="text1"/>
                <w:szCs w:val="21"/>
                <w:lang w:eastAsia="zh-CN"/>
                <w14:textFill>
                  <w14:solidFill>
                    <w14:schemeClr w14:val="tx1"/>
                  </w14:solidFill>
                </w14:textFill>
              </w:rPr>
              <w:t>从重情节</w:t>
            </w:r>
            <w:r>
              <w:rPr>
                <w:rFonts w:hint="eastAsia" w:ascii="仿宋_GB2312" w:hAnsi="宋体" w:eastAsia="仿宋_GB2312"/>
                <w:color w:val="000000" w:themeColor="text1"/>
                <w:szCs w:val="21"/>
                <w14:textFill>
                  <w14:solidFill>
                    <w14:schemeClr w14:val="tx1"/>
                  </w14:solidFill>
                </w14:textFill>
              </w:rPr>
              <w:t>的。</w:t>
            </w:r>
          </w:p>
        </w:tc>
        <w:tc>
          <w:tcPr>
            <w:tcW w:w="3375" w:type="dxa"/>
            <w:tcBorders>
              <w:tl2br w:val="nil"/>
              <w:tr2bl w:val="nil"/>
            </w:tcBorders>
            <w:vAlign w:val="center"/>
          </w:tcPr>
          <w:p w14:paraId="6BB6946F">
            <w:pPr>
              <w:keepNext w:val="0"/>
              <w:keepLines w:val="0"/>
              <w:pageBreakBefore w:val="0"/>
              <w:kinsoku/>
              <w:overflowPunct/>
              <w:topLinePunct w:val="0"/>
              <w:autoSpaceDE/>
              <w:autoSpaceDN/>
              <w:bidi w:val="0"/>
              <w:adjustRightInd/>
              <w:spacing w:line="260" w:lineRule="exact"/>
              <w:ind w:firstLine="210" w:firstLineChars="100"/>
              <w:textAlignment w:val="center"/>
              <w:rPr>
                <w:rFonts w:hint="eastAsia" w:ascii="仿宋_GB2312" w:hAnsi="宋体" w:eastAsia="仿宋_GB2312" w:cs="Times New Roman"/>
                <w:strike/>
                <w:color w:val="000000" w:themeColor="text1"/>
                <w:kern w:val="2"/>
                <w:sz w:val="21"/>
                <w:szCs w:val="21"/>
                <w:lang w:val="en-US" w:eastAsia="zh-CN" w:bidi="ar-SA"/>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责令改正，处10万元以上15万元以下的罚款，对单位直接负责的主管人员和其他直接责任人员处单位罚款数额百分</w:t>
            </w:r>
            <w:r>
              <w:rPr>
                <w:rFonts w:ascii="仿宋_GB2312" w:hAnsi="宋体" w:eastAsia="仿宋_GB2312" w:cs="Times New Roman"/>
                <w:color w:val="000000" w:themeColor="text1"/>
                <w:kern w:val="0"/>
                <w:szCs w:val="21"/>
                <w14:textFill>
                  <w14:solidFill>
                    <w14:schemeClr w14:val="tx1"/>
                  </w14:solidFill>
                </w14:textFill>
              </w:rPr>
              <w:t>之五</w:t>
            </w:r>
            <w:r>
              <w:rPr>
                <w:rFonts w:hint="eastAsia" w:ascii="仿宋_GB2312" w:hAnsi="宋体" w:eastAsia="仿宋_GB2312" w:cs="Times New Roman"/>
                <w:color w:val="000000" w:themeColor="text1"/>
                <w:kern w:val="0"/>
                <w:szCs w:val="21"/>
                <w14:textFill>
                  <w14:solidFill>
                    <w14:schemeClr w14:val="tx1"/>
                  </w14:solidFill>
                </w14:textFill>
              </w:rPr>
              <w:t>以上百分</w:t>
            </w:r>
            <w:r>
              <w:rPr>
                <w:rFonts w:ascii="仿宋_GB2312" w:hAnsi="宋体" w:eastAsia="仿宋_GB2312" w:cs="Times New Roman"/>
                <w:color w:val="000000" w:themeColor="text1"/>
                <w:kern w:val="0"/>
                <w:szCs w:val="21"/>
                <w14:textFill>
                  <w14:solidFill>
                    <w14:schemeClr w14:val="tx1"/>
                  </w14:solidFill>
                </w14:textFill>
              </w:rPr>
              <w:t>之</w:t>
            </w:r>
            <w:r>
              <w:rPr>
                <w:rFonts w:hint="eastAsia" w:ascii="仿宋_GB2312" w:hAnsi="宋体" w:eastAsia="仿宋_GB2312" w:cs="Times New Roman"/>
                <w:color w:val="000000" w:themeColor="text1"/>
                <w:kern w:val="0"/>
                <w:szCs w:val="21"/>
                <w14:textFill>
                  <w14:solidFill>
                    <w14:schemeClr w14:val="tx1"/>
                  </w14:solidFill>
                </w14:textFill>
              </w:rPr>
              <w:t>七以下的罚款。</w:t>
            </w:r>
          </w:p>
        </w:tc>
      </w:tr>
      <w:tr w14:paraId="1EAE14B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tcBorders>
              <w:tl2br w:val="nil"/>
              <w:tr2bl w:val="nil"/>
            </w:tcBorders>
            <w:vAlign w:val="center"/>
          </w:tcPr>
          <w:p w14:paraId="578F8C48">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tcBorders>
              <w:tl2br w:val="nil"/>
              <w:tr2bl w:val="nil"/>
            </w:tcBorders>
            <w:vAlign w:val="center"/>
          </w:tcPr>
          <w:p w14:paraId="058AD42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tcBorders>
              <w:tl2br w:val="nil"/>
              <w:tr2bl w:val="nil"/>
            </w:tcBorders>
            <w:vAlign w:val="center"/>
          </w:tcPr>
          <w:p w14:paraId="1ABD852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tcBorders>
              <w:tl2br w:val="nil"/>
              <w:tr2bl w:val="nil"/>
            </w:tcBorders>
            <w:vAlign w:val="center"/>
          </w:tcPr>
          <w:p w14:paraId="44A3890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0B10716C">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565186FE">
            <w:pPr>
              <w:keepNext w:val="0"/>
              <w:keepLines w:val="0"/>
              <w:pageBreakBefore w:val="0"/>
              <w:kinsoku/>
              <w:overflowPunct/>
              <w:topLinePunct w:val="0"/>
              <w:autoSpaceDE/>
              <w:autoSpaceDN/>
              <w:bidi w:val="0"/>
              <w:adjustRightInd/>
              <w:spacing w:line="260" w:lineRule="exact"/>
              <w:ind w:firstLine="210" w:firstLineChars="100"/>
              <w:textAlignment w:val="center"/>
              <w:rPr>
                <w:rFonts w:hint="eastAsia" w:ascii="仿宋_GB2312" w:hAnsi="宋体" w:eastAsia="仿宋_GB2312" w:cs="Times New Roman"/>
                <w:strike/>
                <w:color w:val="000000" w:themeColor="text1"/>
                <w:kern w:val="2"/>
                <w:sz w:val="21"/>
                <w:szCs w:val="21"/>
                <w:lang w:val="en-US" w:eastAsia="zh-CN" w:bidi="ar-SA"/>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人以下重伤，或者100万以上</w:t>
            </w:r>
            <w:r>
              <w:rPr>
                <w:rFonts w:ascii="仿宋_GB2312" w:hAnsi="宋体" w:eastAsia="仿宋_GB2312"/>
                <w:color w:val="000000" w:themeColor="text1"/>
                <w:kern w:val="0"/>
                <w:szCs w:val="21"/>
                <w14:textFill>
                  <w14:solidFill>
                    <w14:schemeClr w14:val="tx1"/>
                  </w14:solidFill>
                </w14:textFill>
              </w:rPr>
              <w:t>1000</w:t>
            </w:r>
            <w:r>
              <w:rPr>
                <w:rFonts w:hint="eastAsia" w:ascii="仿宋_GB2312" w:hAnsi="宋体" w:eastAsia="仿宋_GB2312"/>
                <w:color w:val="000000" w:themeColor="text1"/>
                <w:kern w:val="0"/>
                <w:szCs w:val="21"/>
                <w14:textFill>
                  <w14:solidFill>
                    <w14:schemeClr w14:val="tx1"/>
                  </w14:solidFill>
                </w14:textFill>
              </w:rPr>
              <w:t>万元以下直接经济损失的。</w:t>
            </w:r>
          </w:p>
        </w:tc>
        <w:tc>
          <w:tcPr>
            <w:tcW w:w="3375" w:type="dxa"/>
            <w:tcBorders>
              <w:tl2br w:val="nil"/>
              <w:tr2bl w:val="nil"/>
            </w:tcBorders>
            <w:vAlign w:val="center"/>
          </w:tcPr>
          <w:p w14:paraId="2C5D2FCC">
            <w:pPr>
              <w:keepNext w:val="0"/>
              <w:keepLines w:val="0"/>
              <w:pageBreakBefore w:val="0"/>
              <w:kinsoku/>
              <w:overflowPunct/>
              <w:topLinePunct w:val="0"/>
              <w:autoSpaceDE/>
              <w:autoSpaceDN/>
              <w:bidi w:val="0"/>
              <w:adjustRightInd/>
              <w:spacing w:line="260" w:lineRule="exact"/>
              <w:ind w:firstLine="210" w:firstLineChars="100"/>
              <w:textAlignment w:val="center"/>
              <w:rPr>
                <w:rFonts w:hint="eastAsia" w:ascii="仿宋_GB2312" w:hAnsi="宋体" w:eastAsia="仿宋_GB2312" w:cs="Times New Roman"/>
                <w:strike/>
                <w:color w:val="000000" w:themeColor="text1"/>
                <w:kern w:val="2"/>
                <w:sz w:val="21"/>
                <w:szCs w:val="21"/>
                <w:lang w:val="en-US" w:eastAsia="zh-CN" w:bidi="ar-SA"/>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责令改正，处1</w:t>
            </w:r>
            <w:r>
              <w:rPr>
                <w:rFonts w:ascii="仿宋_GB2312" w:hAnsi="宋体" w:eastAsia="仿宋_GB2312" w:cs="Times New Roman"/>
                <w:color w:val="000000" w:themeColor="text1"/>
                <w:kern w:val="0"/>
                <w:szCs w:val="21"/>
                <w14:textFill>
                  <w14:solidFill>
                    <w14:schemeClr w14:val="tx1"/>
                  </w14:solidFill>
                </w14:textFill>
              </w:rPr>
              <w:t>5</w:t>
            </w:r>
            <w:r>
              <w:rPr>
                <w:rFonts w:hint="eastAsia" w:ascii="仿宋_GB2312" w:hAnsi="宋体" w:eastAsia="仿宋_GB2312" w:cs="Times New Roman"/>
                <w:color w:val="000000" w:themeColor="text1"/>
                <w:kern w:val="0"/>
                <w:szCs w:val="21"/>
                <w14:textFill>
                  <w14:solidFill>
                    <w14:schemeClr w14:val="tx1"/>
                  </w14:solidFill>
                </w14:textFill>
              </w:rPr>
              <w:t>万元以上</w:t>
            </w:r>
            <w:r>
              <w:rPr>
                <w:rFonts w:ascii="仿宋_GB2312" w:hAnsi="宋体" w:eastAsia="仿宋_GB2312" w:cs="Times New Roman"/>
                <w:color w:val="000000" w:themeColor="text1"/>
                <w:kern w:val="0"/>
                <w:szCs w:val="21"/>
                <w14:textFill>
                  <w14:solidFill>
                    <w14:schemeClr w14:val="tx1"/>
                  </w14:solidFill>
                </w14:textFill>
              </w:rPr>
              <w:t>17</w:t>
            </w:r>
            <w:r>
              <w:rPr>
                <w:rFonts w:hint="eastAsia" w:ascii="仿宋_GB2312" w:hAnsi="宋体" w:eastAsia="仿宋_GB2312" w:cs="Times New Roman"/>
                <w:color w:val="000000" w:themeColor="text1"/>
                <w:kern w:val="0"/>
                <w:szCs w:val="21"/>
                <w14:textFill>
                  <w14:solidFill>
                    <w14:schemeClr w14:val="tx1"/>
                  </w14:solidFill>
                </w14:textFill>
              </w:rPr>
              <w:t>万元以下的罚款，对单位直接负责的主管人员和其他直接责任人员处单位罚款数额百分</w:t>
            </w:r>
            <w:r>
              <w:rPr>
                <w:rFonts w:ascii="仿宋_GB2312" w:hAnsi="宋体" w:eastAsia="仿宋_GB2312" w:cs="Times New Roman"/>
                <w:color w:val="000000" w:themeColor="text1"/>
                <w:kern w:val="0"/>
                <w:szCs w:val="21"/>
                <w14:textFill>
                  <w14:solidFill>
                    <w14:schemeClr w14:val="tx1"/>
                  </w14:solidFill>
                </w14:textFill>
              </w:rPr>
              <w:t>之七</w:t>
            </w:r>
            <w:r>
              <w:rPr>
                <w:rFonts w:hint="eastAsia" w:ascii="仿宋_GB2312" w:hAnsi="宋体" w:eastAsia="仿宋_GB2312" w:cs="Times New Roman"/>
                <w:color w:val="000000" w:themeColor="text1"/>
                <w:kern w:val="0"/>
                <w:szCs w:val="21"/>
                <w14:textFill>
                  <w14:solidFill>
                    <w14:schemeClr w14:val="tx1"/>
                  </w14:solidFill>
                </w14:textFill>
              </w:rPr>
              <w:t>以上百分之八以下的罚款，责令停业整顿30-</w:t>
            </w:r>
            <w:r>
              <w:rPr>
                <w:rFonts w:ascii="仿宋_GB2312" w:hAnsi="宋体" w:eastAsia="仿宋_GB2312" w:cs="Times New Roman"/>
                <w:color w:val="000000" w:themeColor="text1"/>
                <w:kern w:val="0"/>
                <w:szCs w:val="21"/>
                <w14:textFill>
                  <w14:solidFill>
                    <w14:schemeClr w14:val="tx1"/>
                  </w14:solidFill>
                </w14:textFill>
              </w:rPr>
              <w:t>60日</w:t>
            </w:r>
            <w:r>
              <w:rPr>
                <w:rFonts w:hint="eastAsia" w:ascii="仿宋_GB2312" w:hAnsi="宋体" w:eastAsia="仿宋_GB2312" w:cs="Times New Roman"/>
                <w:color w:val="000000" w:themeColor="text1"/>
                <w:kern w:val="0"/>
                <w:szCs w:val="21"/>
                <w14:textFill>
                  <w14:solidFill>
                    <w14:schemeClr w14:val="tx1"/>
                  </w14:solidFill>
                </w14:textFill>
              </w:rPr>
              <w:t>。</w:t>
            </w:r>
          </w:p>
        </w:tc>
      </w:tr>
      <w:tr w14:paraId="6F36B1B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tcBorders>
              <w:tl2br w:val="nil"/>
              <w:tr2bl w:val="nil"/>
            </w:tcBorders>
            <w:vAlign w:val="center"/>
          </w:tcPr>
          <w:p w14:paraId="26A812AA">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tcBorders>
              <w:tl2br w:val="nil"/>
              <w:tr2bl w:val="nil"/>
            </w:tcBorders>
            <w:vAlign w:val="center"/>
          </w:tcPr>
          <w:p w14:paraId="7BCB37D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tcBorders>
              <w:tl2br w:val="nil"/>
              <w:tr2bl w:val="nil"/>
            </w:tcBorders>
            <w:vAlign w:val="center"/>
          </w:tcPr>
          <w:p w14:paraId="6A0FDCE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tcBorders>
              <w:tl2br w:val="nil"/>
              <w:tr2bl w:val="nil"/>
            </w:tcBorders>
            <w:vAlign w:val="center"/>
          </w:tcPr>
          <w:p w14:paraId="3E337D0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6AD82391">
            <w:pPr>
              <w:keepNext w:val="0"/>
              <w:keepLines w:val="0"/>
              <w:pageBreakBefore w:val="0"/>
              <w:widowControl/>
              <w:kinsoku/>
              <w:overflowPunct/>
              <w:topLinePunct w:val="0"/>
              <w:autoSpaceDE/>
              <w:autoSpaceDN/>
              <w:bidi w:val="0"/>
              <w:adjustRightInd/>
              <w:spacing w:line="260" w:lineRule="exact"/>
              <w:jc w:val="left"/>
              <w:textAlignment w:val="center"/>
              <w:rPr>
                <w:rFonts w:hint="eastAsia" w:ascii="仿宋_GB2312" w:hAnsi="宋体" w:eastAsia="仿宋_GB2312"/>
                <w:color w:val="000000" w:themeColor="text1"/>
                <w:kern w:val="0"/>
                <w:szCs w:val="21"/>
                <w:lang w:eastAsia="zh-CN"/>
                <w14:textFill>
                  <w14:solidFill>
                    <w14:schemeClr w14:val="tx1"/>
                  </w14:solidFill>
                </w14:textFill>
              </w:rPr>
            </w:pPr>
          </w:p>
        </w:tc>
        <w:tc>
          <w:tcPr>
            <w:tcW w:w="2407" w:type="dxa"/>
            <w:gridSpan w:val="2"/>
            <w:tcBorders>
              <w:tl2br w:val="nil"/>
              <w:tr2bl w:val="nil"/>
            </w:tcBorders>
            <w:vAlign w:val="center"/>
          </w:tcPr>
          <w:p w14:paraId="2829A197">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hint="eastAsia" w:ascii="仿宋_GB2312" w:hAnsi="宋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（2）</w:t>
            </w:r>
            <w:r>
              <w:rPr>
                <w:rFonts w:hint="eastAsia" w:ascii="仿宋" w:hAnsi="仿宋" w:eastAsia="仿宋"/>
                <w:color w:val="000000" w:themeColor="text1"/>
                <w:szCs w:val="21"/>
                <w14:textFill>
                  <w14:solidFill>
                    <w14:schemeClr w14:val="tx1"/>
                  </w14:solidFill>
                </w14:textFill>
              </w:rPr>
              <w:t>①</w:t>
            </w:r>
            <w:r>
              <w:rPr>
                <w:rFonts w:hint="eastAsia" w:ascii="仿宋_GB2312" w:hAnsi="宋体" w:eastAsia="仿宋_GB2312"/>
                <w:color w:val="000000" w:themeColor="text1"/>
                <w:szCs w:val="21"/>
                <w14:textFill>
                  <w14:solidFill>
                    <w14:schemeClr w14:val="tx1"/>
                  </w14:solidFill>
                </w14:textFill>
              </w:rPr>
              <w:t>造成较大质量事故（3人以上5人以下死亡，或者10人以上20人以下重伤，或者1000万元以上2000万元以下直接经济损失）的；</w:t>
            </w:r>
            <w:r>
              <w:rPr>
                <w:rFonts w:hint="eastAsia" w:ascii="仿宋" w:hAnsi="仿宋" w:eastAsia="仿宋"/>
                <w:color w:val="000000" w:themeColor="text1"/>
                <w:szCs w:val="21"/>
                <w14:textFill>
                  <w14:solidFill>
                    <w14:schemeClr w14:val="tx1"/>
                  </w14:solidFill>
                </w14:textFill>
              </w:rPr>
              <w:t>②</w:t>
            </w:r>
            <w:r>
              <w:rPr>
                <w:rFonts w:hint="eastAsia" w:ascii="仿宋_GB2312" w:hAnsi="宋体" w:eastAsia="仿宋_GB2312"/>
                <w:color w:val="000000" w:themeColor="text1"/>
                <w:szCs w:val="21"/>
                <w14:textFill>
                  <w14:solidFill>
                    <w14:schemeClr w14:val="tx1"/>
                  </w14:solidFill>
                </w14:textFill>
              </w:rPr>
              <w:t>造成重要的检验批达不到设计要求的。</w:t>
            </w:r>
          </w:p>
        </w:tc>
        <w:tc>
          <w:tcPr>
            <w:tcW w:w="3375" w:type="dxa"/>
            <w:tcBorders>
              <w:tl2br w:val="nil"/>
              <w:tr2bl w:val="nil"/>
            </w:tcBorders>
            <w:vAlign w:val="center"/>
          </w:tcPr>
          <w:p w14:paraId="5EC61B04">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hint="eastAsia" w:ascii="仿宋_GB2312" w:hAnsi="宋体" w:eastAsia="仿宋_GB2312" w:cs="Times New Roman"/>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责令改正，处1</w:t>
            </w:r>
            <w:r>
              <w:rPr>
                <w:rFonts w:ascii="仿宋_GB2312" w:hAnsi="宋体" w:eastAsia="仿宋_GB2312" w:cs="Times New Roman"/>
                <w:color w:val="000000" w:themeColor="text1"/>
                <w:kern w:val="0"/>
                <w:szCs w:val="21"/>
                <w14:textFill>
                  <w14:solidFill>
                    <w14:schemeClr w14:val="tx1"/>
                  </w14:solidFill>
                </w14:textFill>
              </w:rPr>
              <w:t>7</w:t>
            </w:r>
            <w:r>
              <w:rPr>
                <w:rFonts w:hint="eastAsia" w:ascii="仿宋_GB2312" w:hAnsi="宋体" w:eastAsia="仿宋_GB2312" w:cs="Times New Roman"/>
                <w:color w:val="000000" w:themeColor="text1"/>
                <w:kern w:val="0"/>
                <w:szCs w:val="21"/>
                <w14:textFill>
                  <w14:solidFill>
                    <w14:schemeClr w14:val="tx1"/>
                  </w14:solidFill>
                </w14:textFill>
              </w:rPr>
              <w:t>万元以上</w:t>
            </w:r>
            <w:r>
              <w:rPr>
                <w:rFonts w:ascii="仿宋_GB2312" w:hAnsi="宋体" w:eastAsia="仿宋_GB2312" w:cs="Times New Roman"/>
                <w:color w:val="000000" w:themeColor="text1"/>
                <w:kern w:val="0"/>
                <w:szCs w:val="21"/>
                <w14:textFill>
                  <w14:solidFill>
                    <w14:schemeClr w14:val="tx1"/>
                  </w14:solidFill>
                </w14:textFill>
              </w:rPr>
              <w:t>19</w:t>
            </w:r>
            <w:r>
              <w:rPr>
                <w:rFonts w:hint="eastAsia" w:ascii="仿宋_GB2312" w:hAnsi="宋体" w:eastAsia="仿宋_GB2312" w:cs="Times New Roman"/>
                <w:color w:val="000000" w:themeColor="text1"/>
                <w:kern w:val="0"/>
                <w:szCs w:val="21"/>
                <w14:textFill>
                  <w14:solidFill>
                    <w14:schemeClr w14:val="tx1"/>
                  </w14:solidFill>
                </w14:textFill>
              </w:rPr>
              <w:t>万元以下的罚款，对单位直接负责的主管人员和其他直接责任人员处单位罚款数额百分</w:t>
            </w:r>
            <w:r>
              <w:rPr>
                <w:rFonts w:ascii="仿宋_GB2312" w:hAnsi="宋体" w:eastAsia="仿宋_GB2312" w:cs="Times New Roman"/>
                <w:color w:val="000000" w:themeColor="text1"/>
                <w:kern w:val="0"/>
                <w:szCs w:val="21"/>
                <w14:textFill>
                  <w14:solidFill>
                    <w14:schemeClr w14:val="tx1"/>
                  </w14:solidFill>
                </w14:textFill>
              </w:rPr>
              <w:t>之八</w:t>
            </w:r>
            <w:r>
              <w:rPr>
                <w:rFonts w:hint="eastAsia" w:ascii="仿宋_GB2312" w:hAnsi="宋体" w:eastAsia="仿宋_GB2312" w:cs="Times New Roman"/>
                <w:color w:val="000000" w:themeColor="text1"/>
                <w:kern w:val="0"/>
                <w:szCs w:val="21"/>
                <w14:textFill>
                  <w14:solidFill>
                    <w14:schemeClr w14:val="tx1"/>
                  </w14:solidFill>
                </w14:textFill>
              </w:rPr>
              <w:t>以上百分之九以下的罚款，责令停业整顿</w:t>
            </w:r>
            <w:r>
              <w:rPr>
                <w:rFonts w:ascii="仿宋_GB2312" w:hAnsi="宋体" w:eastAsia="仿宋_GB2312" w:cs="Times New Roman"/>
                <w:color w:val="000000" w:themeColor="text1"/>
                <w:kern w:val="0"/>
                <w:szCs w:val="21"/>
                <w14:textFill>
                  <w14:solidFill>
                    <w14:schemeClr w14:val="tx1"/>
                  </w14:solidFill>
                </w14:textFill>
              </w:rPr>
              <w:t>6</w:t>
            </w:r>
            <w:r>
              <w:rPr>
                <w:rFonts w:hint="eastAsia" w:ascii="仿宋_GB2312" w:hAnsi="宋体" w:eastAsia="仿宋_GB2312" w:cs="Times New Roman"/>
                <w:color w:val="000000" w:themeColor="text1"/>
                <w:kern w:val="0"/>
                <w:szCs w:val="21"/>
                <w14:textFill>
                  <w14:solidFill>
                    <w14:schemeClr w14:val="tx1"/>
                  </w14:solidFill>
                </w14:textFill>
              </w:rPr>
              <w:t>0-</w:t>
            </w:r>
            <w:r>
              <w:rPr>
                <w:rFonts w:ascii="仿宋_GB2312" w:hAnsi="宋体" w:eastAsia="仿宋_GB2312" w:cs="Times New Roman"/>
                <w:color w:val="000000" w:themeColor="text1"/>
                <w:kern w:val="0"/>
                <w:szCs w:val="21"/>
                <w14:textFill>
                  <w14:solidFill>
                    <w14:schemeClr w14:val="tx1"/>
                  </w14:solidFill>
                </w14:textFill>
              </w:rPr>
              <w:t>9</w:t>
            </w:r>
            <w:r>
              <w:rPr>
                <w:rFonts w:hint="eastAsia" w:ascii="仿宋_GB2312" w:hAnsi="宋体" w:eastAsia="仿宋_GB2312" w:cs="Times New Roman"/>
                <w:color w:val="000000" w:themeColor="text1"/>
                <w:kern w:val="0"/>
                <w:szCs w:val="21"/>
                <w14:textFill>
                  <w14:solidFill>
                    <w14:schemeClr w14:val="tx1"/>
                  </w14:solidFill>
                </w14:textFill>
              </w:rPr>
              <w:t>0日。</w:t>
            </w:r>
          </w:p>
        </w:tc>
      </w:tr>
      <w:tr w14:paraId="02E71CB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tcBorders>
              <w:tl2br w:val="nil"/>
              <w:tr2bl w:val="nil"/>
            </w:tcBorders>
            <w:vAlign w:val="center"/>
          </w:tcPr>
          <w:p w14:paraId="3494D460">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tcBorders>
              <w:tl2br w:val="nil"/>
              <w:tr2bl w:val="nil"/>
            </w:tcBorders>
            <w:vAlign w:val="center"/>
          </w:tcPr>
          <w:p w14:paraId="1E4E388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tcBorders>
              <w:tl2br w:val="nil"/>
              <w:tr2bl w:val="nil"/>
            </w:tcBorders>
            <w:vAlign w:val="center"/>
          </w:tcPr>
          <w:p w14:paraId="73F6826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tcBorders>
              <w:tl2br w:val="nil"/>
              <w:tr2bl w:val="nil"/>
            </w:tcBorders>
            <w:vAlign w:val="center"/>
          </w:tcPr>
          <w:p w14:paraId="2B89F9B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0609026F">
            <w:pPr>
              <w:keepNext w:val="0"/>
              <w:keepLines w:val="0"/>
              <w:pageBreakBefore w:val="0"/>
              <w:widowControl/>
              <w:kinsoku/>
              <w:overflowPunct/>
              <w:topLinePunct w:val="0"/>
              <w:autoSpaceDE/>
              <w:autoSpaceDN/>
              <w:bidi w:val="0"/>
              <w:adjustRightInd/>
              <w:spacing w:line="260" w:lineRule="exact"/>
              <w:jc w:val="left"/>
              <w:textAlignment w:val="center"/>
              <w:rPr>
                <w:rFonts w:hint="eastAsia" w:ascii="仿宋_GB2312" w:hAnsi="宋体" w:eastAsia="仿宋_GB2312"/>
                <w:color w:val="000000" w:themeColor="text1"/>
                <w:kern w:val="0"/>
                <w:szCs w:val="21"/>
                <w:lang w:eastAsia="zh-CN"/>
                <w14:textFill>
                  <w14:solidFill>
                    <w14:schemeClr w14:val="tx1"/>
                  </w14:solidFill>
                </w14:textFill>
              </w:rPr>
            </w:pPr>
          </w:p>
        </w:tc>
        <w:tc>
          <w:tcPr>
            <w:tcW w:w="2407" w:type="dxa"/>
            <w:gridSpan w:val="2"/>
            <w:tcBorders>
              <w:tl2br w:val="nil"/>
              <w:tr2bl w:val="nil"/>
            </w:tcBorders>
            <w:vAlign w:val="center"/>
          </w:tcPr>
          <w:p w14:paraId="464FD5D7">
            <w:pPr>
              <w:keepNext w:val="0"/>
              <w:keepLines w:val="0"/>
              <w:pageBreakBefore w:val="0"/>
              <w:widowControl/>
              <w:kinsoku/>
              <w:overflowPunct/>
              <w:topLinePunct w:val="0"/>
              <w:autoSpaceDE/>
              <w:autoSpaceDN/>
              <w:bidi w:val="0"/>
              <w:adjustRightInd/>
              <w:spacing w:line="260" w:lineRule="exact"/>
              <w:ind w:firstLine="210" w:firstLineChars="100"/>
              <w:rPr>
                <w:rFonts w:hint="eastAsia" w:ascii="仿宋_GB2312" w:hAnsi="宋体" w:eastAsia="仿宋_GB2312" w:cs="Times New Roman"/>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造成较大质量事故（5人以上7人以下死亡，或者20人以上30人以下重伤，或者2000万元以上3000万元以下直接经济损失）的；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造成重要的分项工程质量不符合要求的。</w:t>
            </w:r>
          </w:p>
        </w:tc>
        <w:tc>
          <w:tcPr>
            <w:tcW w:w="3375" w:type="dxa"/>
            <w:tcBorders>
              <w:tl2br w:val="nil"/>
              <w:tr2bl w:val="nil"/>
            </w:tcBorders>
            <w:vAlign w:val="center"/>
          </w:tcPr>
          <w:p w14:paraId="23704C09">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hint="eastAsia" w:ascii="仿宋_GB2312" w:hAnsi="宋体" w:eastAsia="仿宋_GB2312" w:cs="Times New Roman"/>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责令改正，处1</w:t>
            </w:r>
            <w:r>
              <w:rPr>
                <w:rFonts w:ascii="仿宋_GB2312" w:hAnsi="宋体" w:eastAsia="仿宋_GB2312" w:cs="Times New Roman"/>
                <w:color w:val="000000" w:themeColor="text1"/>
                <w:kern w:val="0"/>
                <w:szCs w:val="21"/>
                <w14:textFill>
                  <w14:solidFill>
                    <w14:schemeClr w14:val="tx1"/>
                  </w14:solidFill>
                </w14:textFill>
              </w:rPr>
              <w:t>9</w:t>
            </w:r>
            <w:r>
              <w:rPr>
                <w:rFonts w:hint="eastAsia" w:ascii="仿宋_GB2312" w:hAnsi="宋体" w:eastAsia="仿宋_GB2312" w:cs="Times New Roman"/>
                <w:color w:val="000000" w:themeColor="text1"/>
                <w:kern w:val="0"/>
                <w:szCs w:val="21"/>
                <w14:textFill>
                  <w14:solidFill>
                    <w14:schemeClr w14:val="tx1"/>
                  </w14:solidFill>
                </w14:textFill>
              </w:rPr>
              <w:t>万元以上20万元以下的罚款，对单位直接负责的主管人员和其他直接责任人员处单位罚款数额百分</w:t>
            </w:r>
            <w:r>
              <w:rPr>
                <w:rFonts w:ascii="仿宋_GB2312" w:hAnsi="宋体" w:eastAsia="仿宋_GB2312" w:cs="Times New Roman"/>
                <w:color w:val="000000" w:themeColor="text1"/>
                <w:kern w:val="0"/>
                <w:szCs w:val="21"/>
                <w14:textFill>
                  <w14:solidFill>
                    <w14:schemeClr w14:val="tx1"/>
                  </w14:solidFill>
                </w14:textFill>
              </w:rPr>
              <w:t>之</w:t>
            </w:r>
            <w:r>
              <w:rPr>
                <w:rFonts w:hint="eastAsia" w:ascii="仿宋_GB2312" w:hAnsi="宋体" w:eastAsia="仿宋_GB2312" w:cs="Times New Roman"/>
                <w:color w:val="000000" w:themeColor="text1"/>
                <w:kern w:val="0"/>
                <w:szCs w:val="21"/>
                <w14:textFill>
                  <w14:solidFill>
                    <w14:schemeClr w14:val="tx1"/>
                  </w14:solidFill>
                </w14:textFill>
              </w:rPr>
              <w:t>九以上百分</w:t>
            </w:r>
            <w:r>
              <w:rPr>
                <w:rFonts w:ascii="仿宋_GB2312" w:hAnsi="宋体" w:eastAsia="仿宋_GB2312" w:cs="Times New Roman"/>
                <w:color w:val="000000" w:themeColor="text1"/>
                <w:kern w:val="0"/>
                <w:szCs w:val="21"/>
                <w14:textFill>
                  <w14:solidFill>
                    <w14:schemeClr w14:val="tx1"/>
                  </w14:solidFill>
                </w14:textFill>
              </w:rPr>
              <w:t>之</w:t>
            </w:r>
            <w:r>
              <w:rPr>
                <w:rFonts w:hint="eastAsia" w:ascii="仿宋_GB2312" w:hAnsi="宋体" w:eastAsia="仿宋_GB2312" w:cs="Times New Roman"/>
                <w:color w:val="000000" w:themeColor="text1"/>
                <w:kern w:val="0"/>
                <w:szCs w:val="21"/>
                <w14:textFill>
                  <w14:solidFill>
                    <w14:schemeClr w14:val="tx1"/>
                  </w14:solidFill>
                </w14:textFill>
              </w:rPr>
              <w:t>十以下的罚款，责令停业整顿</w:t>
            </w:r>
            <w:r>
              <w:rPr>
                <w:rFonts w:ascii="仿宋_GB2312" w:hAnsi="宋体" w:eastAsia="仿宋_GB2312" w:cs="Times New Roman"/>
                <w:color w:val="000000" w:themeColor="text1"/>
                <w:kern w:val="0"/>
                <w:szCs w:val="21"/>
                <w14:textFill>
                  <w14:solidFill>
                    <w14:schemeClr w14:val="tx1"/>
                  </w14:solidFill>
                </w14:textFill>
              </w:rPr>
              <w:t>9</w:t>
            </w:r>
            <w:r>
              <w:rPr>
                <w:rFonts w:hint="eastAsia" w:ascii="仿宋_GB2312" w:hAnsi="宋体" w:eastAsia="仿宋_GB2312" w:cs="Times New Roman"/>
                <w:color w:val="000000" w:themeColor="text1"/>
                <w:kern w:val="0"/>
                <w:szCs w:val="21"/>
                <w14:textFill>
                  <w14:solidFill>
                    <w14:schemeClr w14:val="tx1"/>
                  </w14:solidFill>
                </w14:textFill>
              </w:rPr>
              <w:t>0-</w:t>
            </w:r>
            <w:r>
              <w:rPr>
                <w:rFonts w:ascii="仿宋_GB2312" w:hAnsi="宋体" w:eastAsia="仿宋_GB2312" w:cs="Times New Roman"/>
                <w:color w:val="000000" w:themeColor="text1"/>
                <w:kern w:val="0"/>
                <w:szCs w:val="21"/>
                <w14:textFill>
                  <w14:solidFill>
                    <w14:schemeClr w14:val="tx1"/>
                  </w14:solidFill>
                </w14:textFill>
              </w:rPr>
              <w:t>12</w:t>
            </w:r>
            <w:r>
              <w:rPr>
                <w:rFonts w:hint="eastAsia" w:ascii="仿宋_GB2312" w:hAnsi="宋体" w:eastAsia="仿宋_GB2312" w:cs="Times New Roman"/>
                <w:color w:val="000000" w:themeColor="text1"/>
                <w:kern w:val="0"/>
                <w:szCs w:val="21"/>
                <w14:textFill>
                  <w14:solidFill>
                    <w14:schemeClr w14:val="tx1"/>
                  </w14:solidFill>
                </w14:textFill>
              </w:rPr>
              <w:t>0日。</w:t>
            </w:r>
          </w:p>
        </w:tc>
      </w:tr>
      <w:tr w14:paraId="03D9FDC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tcBorders>
              <w:tl2br w:val="nil"/>
              <w:tr2bl w:val="nil"/>
            </w:tcBorders>
            <w:vAlign w:val="center"/>
          </w:tcPr>
          <w:p w14:paraId="76B18EE1">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tcBorders>
              <w:tl2br w:val="nil"/>
              <w:tr2bl w:val="nil"/>
            </w:tcBorders>
            <w:vAlign w:val="center"/>
          </w:tcPr>
          <w:p w14:paraId="59C51D9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tcBorders>
              <w:tl2br w:val="nil"/>
              <w:tr2bl w:val="nil"/>
            </w:tcBorders>
            <w:vAlign w:val="center"/>
          </w:tcPr>
          <w:p w14:paraId="2DFC699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tcBorders>
              <w:tl2br w:val="nil"/>
              <w:tr2bl w:val="nil"/>
            </w:tcBorders>
            <w:vAlign w:val="center"/>
          </w:tcPr>
          <w:p w14:paraId="481E278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5B4C8DD0">
            <w:pPr>
              <w:keepNext w:val="0"/>
              <w:keepLines w:val="0"/>
              <w:pageBreakBefore w:val="0"/>
              <w:widowControl/>
              <w:kinsoku/>
              <w:overflowPunct/>
              <w:topLinePunct w:val="0"/>
              <w:autoSpaceDE/>
              <w:autoSpaceDN/>
              <w:bidi w:val="0"/>
              <w:adjustRightInd/>
              <w:spacing w:line="260" w:lineRule="exact"/>
              <w:jc w:val="left"/>
              <w:textAlignment w:val="center"/>
              <w:rPr>
                <w:rFonts w:hint="eastAsia" w:ascii="仿宋_GB2312" w:hAnsi="宋体" w:eastAsia="仿宋_GB2312"/>
                <w:color w:val="000000" w:themeColor="text1"/>
                <w:kern w:val="0"/>
                <w:szCs w:val="21"/>
                <w:lang w:eastAsia="zh-CN"/>
                <w14:textFill>
                  <w14:solidFill>
                    <w14:schemeClr w14:val="tx1"/>
                  </w14:solidFill>
                </w14:textFill>
              </w:rPr>
            </w:pPr>
          </w:p>
        </w:tc>
        <w:tc>
          <w:tcPr>
            <w:tcW w:w="2407" w:type="dxa"/>
            <w:gridSpan w:val="2"/>
            <w:tcBorders>
              <w:tl2br w:val="nil"/>
              <w:tr2bl w:val="nil"/>
            </w:tcBorders>
            <w:vAlign w:val="center"/>
          </w:tcPr>
          <w:p w14:paraId="3B4BDDC2">
            <w:pPr>
              <w:keepNext w:val="0"/>
              <w:keepLines w:val="0"/>
              <w:pageBreakBefore w:val="0"/>
              <w:widowControl/>
              <w:kinsoku/>
              <w:overflowPunct/>
              <w:topLinePunct w:val="0"/>
              <w:autoSpaceDE/>
              <w:autoSpaceDN/>
              <w:bidi w:val="0"/>
              <w:adjustRightInd/>
              <w:spacing w:line="260" w:lineRule="exact"/>
              <w:ind w:firstLine="210" w:firstLineChars="100"/>
              <w:rPr>
                <w:rFonts w:hint="eastAsia" w:ascii="仿宋_GB2312" w:hAnsi="宋体" w:eastAsia="仿宋_GB2312" w:cs="Times New Roman"/>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造成较大质量事故（7人以上10人以下死亡，或者30人以上50人以下重伤，或者3000万元以上5000万元以下直接经济损失）的；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造成重要分部工程质量不符合要求，经返修或加固处理才能满足安全使用要求的。</w:t>
            </w:r>
          </w:p>
        </w:tc>
        <w:tc>
          <w:tcPr>
            <w:tcW w:w="3375" w:type="dxa"/>
            <w:tcBorders>
              <w:tl2br w:val="nil"/>
              <w:tr2bl w:val="nil"/>
            </w:tcBorders>
            <w:vAlign w:val="center"/>
          </w:tcPr>
          <w:p w14:paraId="677DB366">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hint="eastAsia" w:ascii="仿宋_GB2312" w:hAnsi="宋体" w:eastAsia="仿宋_GB2312" w:cs="Times New Roman"/>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责令改正，处1</w:t>
            </w:r>
            <w:r>
              <w:rPr>
                <w:rFonts w:ascii="仿宋_GB2312" w:hAnsi="宋体" w:eastAsia="仿宋_GB2312" w:cs="Times New Roman"/>
                <w:color w:val="000000" w:themeColor="text1"/>
                <w:kern w:val="0"/>
                <w:szCs w:val="21"/>
                <w14:textFill>
                  <w14:solidFill>
                    <w14:schemeClr w14:val="tx1"/>
                  </w14:solidFill>
                </w14:textFill>
              </w:rPr>
              <w:t>9</w:t>
            </w:r>
            <w:r>
              <w:rPr>
                <w:rFonts w:hint="eastAsia" w:ascii="仿宋_GB2312" w:hAnsi="宋体" w:eastAsia="仿宋_GB2312" w:cs="Times New Roman"/>
                <w:color w:val="000000" w:themeColor="text1"/>
                <w:kern w:val="0"/>
                <w:szCs w:val="21"/>
                <w14:textFill>
                  <w14:solidFill>
                    <w14:schemeClr w14:val="tx1"/>
                  </w14:solidFill>
                </w14:textFill>
              </w:rPr>
              <w:t>万元以上20万元以下的罚款，对单位直接负责的主管人员和其他直接责任人员处单位罚款数额百分</w:t>
            </w:r>
            <w:r>
              <w:rPr>
                <w:rFonts w:ascii="仿宋_GB2312" w:hAnsi="宋体" w:eastAsia="仿宋_GB2312" w:cs="Times New Roman"/>
                <w:color w:val="000000" w:themeColor="text1"/>
                <w:kern w:val="0"/>
                <w:szCs w:val="21"/>
                <w14:textFill>
                  <w14:solidFill>
                    <w14:schemeClr w14:val="tx1"/>
                  </w14:solidFill>
                </w14:textFill>
              </w:rPr>
              <w:t>之十</w:t>
            </w:r>
            <w:r>
              <w:rPr>
                <w:rFonts w:hint="eastAsia" w:ascii="仿宋_GB2312" w:hAnsi="宋体" w:eastAsia="仿宋_GB2312" w:cs="Times New Roman"/>
                <w:color w:val="000000" w:themeColor="text1"/>
                <w:kern w:val="0"/>
                <w:szCs w:val="21"/>
                <w14:textFill>
                  <w14:solidFill>
                    <w14:schemeClr w14:val="tx1"/>
                  </w14:solidFill>
                </w14:textFill>
              </w:rPr>
              <w:t>的罚款，责令停业整顿</w:t>
            </w:r>
            <w:r>
              <w:rPr>
                <w:rFonts w:ascii="仿宋_GB2312" w:hAnsi="宋体" w:eastAsia="仿宋_GB2312" w:cs="Times New Roman"/>
                <w:color w:val="000000" w:themeColor="text1"/>
                <w:kern w:val="0"/>
                <w:szCs w:val="21"/>
                <w14:textFill>
                  <w14:solidFill>
                    <w14:schemeClr w14:val="tx1"/>
                  </w14:solidFill>
                </w14:textFill>
              </w:rPr>
              <w:t>120</w:t>
            </w:r>
            <w:r>
              <w:rPr>
                <w:rFonts w:hint="eastAsia" w:ascii="仿宋_GB2312" w:hAnsi="宋体" w:eastAsia="仿宋_GB2312" w:cs="Times New Roman"/>
                <w:color w:val="000000" w:themeColor="text1"/>
                <w:kern w:val="0"/>
                <w:szCs w:val="21"/>
                <w14:textFill>
                  <w14:solidFill>
                    <w14:schemeClr w14:val="tx1"/>
                  </w14:solidFill>
                </w14:textFill>
              </w:rPr>
              <w:t>-</w:t>
            </w:r>
            <w:r>
              <w:rPr>
                <w:rFonts w:ascii="仿宋_GB2312" w:hAnsi="宋体" w:eastAsia="仿宋_GB2312" w:cs="Times New Roman"/>
                <w:color w:val="000000" w:themeColor="text1"/>
                <w:kern w:val="0"/>
                <w:szCs w:val="21"/>
                <w14:textFill>
                  <w14:solidFill>
                    <w14:schemeClr w14:val="tx1"/>
                  </w14:solidFill>
                </w14:textFill>
              </w:rPr>
              <w:t>18</w:t>
            </w:r>
            <w:r>
              <w:rPr>
                <w:rFonts w:hint="eastAsia" w:ascii="仿宋_GB2312" w:hAnsi="宋体" w:eastAsia="仿宋_GB2312" w:cs="Times New Roman"/>
                <w:color w:val="000000" w:themeColor="text1"/>
                <w:kern w:val="0"/>
                <w:szCs w:val="21"/>
                <w14:textFill>
                  <w14:solidFill>
                    <w14:schemeClr w14:val="tx1"/>
                  </w14:solidFill>
                </w14:textFill>
              </w:rPr>
              <w:t>0日。</w:t>
            </w:r>
          </w:p>
        </w:tc>
      </w:tr>
      <w:tr w14:paraId="5A0C979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tcBorders>
              <w:tl2br w:val="nil"/>
              <w:tr2bl w:val="nil"/>
            </w:tcBorders>
            <w:vAlign w:val="center"/>
          </w:tcPr>
          <w:p w14:paraId="3415DFB8">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tcBorders>
              <w:tl2br w:val="nil"/>
              <w:tr2bl w:val="nil"/>
            </w:tcBorders>
            <w:vAlign w:val="center"/>
          </w:tcPr>
          <w:p w14:paraId="707A18A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tcBorders>
              <w:tl2br w:val="nil"/>
              <w:tr2bl w:val="nil"/>
            </w:tcBorders>
            <w:vAlign w:val="center"/>
          </w:tcPr>
          <w:p w14:paraId="49A7AB3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tcBorders>
              <w:tl2br w:val="nil"/>
              <w:tr2bl w:val="nil"/>
            </w:tcBorders>
            <w:vAlign w:val="center"/>
          </w:tcPr>
          <w:p w14:paraId="5F26E6F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151995C2">
            <w:pPr>
              <w:keepNext w:val="0"/>
              <w:keepLines w:val="0"/>
              <w:pageBreakBefore w:val="0"/>
              <w:widowControl/>
              <w:kinsoku/>
              <w:overflowPunct/>
              <w:topLinePunct w:val="0"/>
              <w:autoSpaceDE/>
              <w:autoSpaceDN/>
              <w:bidi w:val="0"/>
              <w:adjustRightInd/>
              <w:spacing w:line="260" w:lineRule="exact"/>
              <w:jc w:val="left"/>
              <w:textAlignment w:val="center"/>
              <w:rPr>
                <w:rFonts w:hint="eastAsia" w:ascii="仿宋_GB2312" w:hAnsi="宋体" w:eastAsia="仿宋_GB2312"/>
                <w:color w:val="000000" w:themeColor="text1"/>
                <w:kern w:val="0"/>
                <w:szCs w:val="21"/>
                <w:lang w:eastAsia="zh-CN"/>
                <w14:textFill>
                  <w14:solidFill>
                    <w14:schemeClr w14:val="tx1"/>
                  </w14:solidFill>
                </w14:textFill>
              </w:rPr>
            </w:pPr>
          </w:p>
        </w:tc>
        <w:tc>
          <w:tcPr>
            <w:tcW w:w="2407" w:type="dxa"/>
            <w:gridSpan w:val="2"/>
            <w:tcBorders>
              <w:tl2br w:val="nil"/>
              <w:tr2bl w:val="nil"/>
            </w:tcBorders>
            <w:vAlign w:val="center"/>
          </w:tcPr>
          <w:p w14:paraId="54F09EF0">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hint="eastAsia" w:ascii="仿宋_GB2312" w:hAnsi="宋体" w:eastAsia="仿宋_GB2312" w:cs="Times New Roman"/>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（4）造成重大质量事故的；</w:t>
            </w:r>
            <w:r>
              <w:rPr>
                <w:rFonts w:hint="eastAsia" w:ascii="仿宋_GB2312" w:hAnsi="宋体" w:eastAsia="仿宋_GB2312"/>
                <w:color w:val="000000" w:themeColor="text1"/>
                <w:kern w:val="0"/>
                <w:szCs w:val="21"/>
                <w:lang w:val="en-US" w:eastAsia="zh-CN"/>
                <w14:textFill>
                  <w14:solidFill>
                    <w14:schemeClr w14:val="tx1"/>
                  </w14:solidFill>
                </w14:textFill>
              </w:rPr>
              <w:t>或</w:t>
            </w:r>
            <w:r>
              <w:rPr>
                <w:rFonts w:hint="eastAsia" w:ascii="仿宋_GB2312" w:hAnsi="宋体" w:eastAsia="仿宋_GB2312"/>
                <w:color w:val="000000" w:themeColor="text1"/>
                <w:kern w:val="0"/>
                <w:szCs w:val="21"/>
                <w14:textFill>
                  <w14:solidFill>
                    <w14:schemeClr w14:val="tx1"/>
                  </w14:solidFill>
                </w14:textFill>
              </w:rPr>
              <w:t>造成分部工程存在严重缺陷，经返修和加固处理仍不能满足安全使用要求的。</w:t>
            </w:r>
          </w:p>
        </w:tc>
        <w:tc>
          <w:tcPr>
            <w:tcW w:w="3375" w:type="dxa"/>
            <w:tcBorders>
              <w:tl2br w:val="nil"/>
              <w:tr2bl w:val="nil"/>
            </w:tcBorders>
            <w:vAlign w:val="center"/>
          </w:tcPr>
          <w:p w14:paraId="5F7CC67A">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hint="eastAsia" w:ascii="仿宋_GB2312" w:hAnsi="宋体" w:eastAsia="仿宋_GB2312" w:cs="Times New Roman"/>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责令改正，处20万元的罚款，对单位直接负责的主管人员和其他直接责任人员处单位罚款数额百分</w:t>
            </w:r>
            <w:r>
              <w:rPr>
                <w:rFonts w:ascii="仿宋_GB2312" w:hAnsi="宋体" w:eastAsia="仿宋_GB2312" w:cs="Times New Roman"/>
                <w:color w:val="000000" w:themeColor="text1"/>
                <w:kern w:val="0"/>
                <w:szCs w:val="21"/>
                <w14:textFill>
                  <w14:solidFill>
                    <w14:schemeClr w14:val="tx1"/>
                  </w14:solidFill>
                </w14:textFill>
              </w:rPr>
              <w:t>之十</w:t>
            </w:r>
            <w:r>
              <w:rPr>
                <w:rFonts w:hint="eastAsia" w:ascii="仿宋_GB2312" w:hAnsi="宋体" w:eastAsia="仿宋_GB2312" w:cs="Times New Roman"/>
                <w:color w:val="000000" w:themeColor="text1"/>
                <w:kern w:val="0"/>
                <w:szCs w:val="21"/>
                <w14:textFill>
                  <w14:solidFill>
                    <w14:schemeClr w14:val="tx1"/>
                  </w14:solidFill>
                </w14:textFill>
              </w:rPr>
              <w:t>的罚款，降低资质等级。</w:t>
            </w:r>
          </w:p>
        </w:tc>
      </w:tr>
      <w:tr w14:paraId="4C46F11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tcBorders>
              <w:tl2br w:val="nil"/>
              <w:tr2bl w:val="nil"/>
            </w:tcBorders>
            <w:vAlign w:val="center"/>
          </w:tcPr>
          <w:p w14:paraId="12CFA7BD">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tcBorders>
              <w:tl2br w:val="nil"/>
              <w:tr2bl w:val="nil"/>
            </w:tcBorders>
            <w:vAlign w:val="center"/>
          </w:tcPr>
          <w:p w14:paraId="15DD659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tcBorders>
              <w:tl2br w:val="nil"/>
              <w:tr2bl w:val="nil"/>
            </w:tcBorders>
            <w:vAlign w:val="center"/>
          </w:tcPr>
          <w:p w14:paraId="6E33F8A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tcBorders>
              <w:tl2br w:val="nil"/>
              <w:tr2bl w:val="nil"/>
            </w:tcBorders>
            <w:vAlign w:val="center"/>
          </w:tcPr>
          <w:p w14:paraId="502CBD1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5ECD2CA5">
            <w:pPr>
              <w:keepNext w:val="0"/>
              <w:keepLines w:val="0"/>
              <w:pageBreakBefore w:val="0"/>
              <w:widowControl/>
              <w:kinsoku/>
              <w:overflowPunct/>
              <w:topLinePunct w:val="0"/>
              <w:autoSpaceDE/>
              <w:autoSpaceDN/>
              <w:bidi w:val="0"/>
              <w:adjustRightInd/>
              <w:spacing w:line="260" w:lineRule="exact"/>
              <w:jc w:val="left"/>
              <w:textAlignment w:val="center"/>
              <w:rPr>
                <w:rFonts w:hint="eastAsia" w:ascii="仿宋_GB2312" w:hAnsi="宋体" w:eastAsia="仿宋_GB2312"/>
                <w:color w:val="000000" w:themeColor="text1"/>
                <w:kern w:val="0"/>
                <w:szCs w:val="21"/>
                <w:lang w:eastAsia="zh-CN"/>
                <w14:textFill>
                  <w14:solidFill>
                    <w14:schemeClr w14:val="tx1"/>
                  </w14:solidFill>
                </w14:textFill>
              </w:rPr>
            </w:pPr>
          </w:p>
        </w:tc>
        <w:tc>
          <w:tcPr>
            <w:tcW w:w="2407" w:type="dxa"/>
            <w:gridSpan w:val="2"/>
            <w:tcBorders>
              <w:tl2br w:val="nil"/>
              <w:tr2bl w:val="nil"/>
            </w:tcBorders>
            <w:vAlign w:val="center"/>
          </w:tcPr>
          <w:p w14:paraId="1509AECC">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hint="eastAsia" w:ascii="仿宋_GB2312" w:hAnsi="宋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（5）造成特别重大质量事故的；造成单位（子单位）工程存在严重缺陷，经返修和加固处理仍不能满足安全使用要求的</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或造成特别严重社会影响。</w:t>
            </w:r>
          </w:p>
        </w:tc>
        <w:tc>
          <w:tcPr>
            <w:tcW w:w="3375" w:type="dxa"/>
            <w:tcBorders>
              <w:tl2br w:val="nil"/>
              <w:tr2bl w:val="nil"/>
            </w:tcBorders>
            <w:vAlign w:val="center"/>
          </w:tcPr>
          <w:p w14:paraId="644C4841">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hint="eastAsia" w:ascii="仿宋_GB2312" w:hAnsi="宋体" w:eastAsia="仿宋_GB2312" w:cs="Times New Roman"/>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责令改正，处20万元的罚款，对单位直接负责的主管人员和其他直接责任人员处单位罚款数额百分</w:t>
            </w:r>
            <w:r>
              <w:rPr>
                <w:rFonts w:ascii="仿宋_GB2312" w:hAnsi="宋体" w:eastAsia="仿宋_GB2312" w:cs="Times New Roman"/>
                <w:color w:val="000000" w:themeColor="text1"/>
                <w:kern w:val="0"/>
                <w:szCs w:val="21"/>
                <w14:textFill>
                  <w14:solidFill>
                    <w14:schemeClr w14:val="tx1"/>
                  </w14:solidFill>
                </w14:textFill>
              </w:rPr>
              <w:t>之十</w:t>
            </w:r>
            <w:r>
              <w:rPr>
                <w:rFonts w:hint="eastAsia" w:ascii="仿宋_GB2312" w:hAnsi="宋体" w:eastAsia="仿宋_GB2312" w:cs="Times New Roman"/>
                <w:color w:val="000000" w:themeColor="text1"/>
                <w:kern w:val="0"/>
                <w:szCs w:val="21"/>
                <w14:textFill>
                  <w14:solidFill>
                    <w14:schemeClr w14:val="tx1"/>
                  </w14:solidFill>
                </w14:textFill>
              </w:rPr>
              <w:t>的罚款，吊销资质证书。</w:t>
            </w:r>
          </w:p>
        </w:tc>
      </w:tr>
      <w:tr w14:paraId="4E70698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1B349557">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46</w:t>
            </w:r>
          </w:p>
        </w:tc>
        <w:tc>
          <w:tcPr>
            <w:tcW w:w="1376" w:type="dxa"/>
            <w:vMerge w:val="restart"/>
            <w:tcBorders>
              <w:tl2br w:val="nil"/>
              <w:tr2bl w:val="nil"/>
            </w:tcBorders>
            <w:vAlign w:val="center"/>
          </w:tcPr>
          <w:p w14:paraId="5EA53F9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未取得施工许可证或者为规避办理施工许可证将工程项目分解后擅自施工</w:t>
            </w:r>
          </w:p>
        </w:tc>
        <w:tc>
          <w:tcPr>
            <w:tcW w:w="1128" w:type="dxa"/>
            <w:gridSpan w:val="2"/>
            <w:vMerge w:val="restart"/>
            <w:tcBorders>
              <w:tl2br w:val="nil"/>
              <w:tr2bl w:val="nil"/>
            </w:tcBorders>
            <w:vAlign w:val="center"/>
          </w:tcPr>
          <w:p w14:paraId="2E1BB7C4">
            <w:pPr>
              <w:keepNext w:val="0"/>
              <w:keepLines w:val="0"/>
              <w:pageBreakBefore w:val="0"/>
              <w:tabs>
                <w:tab w:val="left" w:pos="1560"/>
              </w:tabs>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《建筑工程施工许可管理办法》第三条</w:t>
            </w:r>
          </w:p>
        </w:tc>
        <w:tc>
          <w:tcPr>
            <w:tcW w:w="4354" w:type="dxa"/>
            <w:vMerge w:val="restart"/>
            <w:tcBorders>
              <w:tl2br w:val="nil"/>
              <w:tr2bl w:val="nil"/>
            </w:tcBorders>
            <w:vAlign w:val="center"/>
          </w:tcPr>
          <w:p w14:paraId="724A12A8">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《建筑工程施工许可管理办法》</w:t>
            </w:r>
          </w:p>
          <w:p w14:paraId="160B884D">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第十二条</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ascii="仿宋_GB2312" w:hAnsi="宋体" w:eastAsia="仿宋_GB2312"/>
                <w:color w:val="000000" w:themeColor="text1"/>
                <w:kern w:val="0"/>
                <w:szCs w:val="21"/>
                <w14:textFill>
                  <w14:solidFill>
                    <w14:schemeClr w14:val="tx1"/>
                  </w14:solidFill>
                </w14:textFill>
              </w:rPr>
              <w:t>对于未取得施工许可证或者为规避办理施工许可证将工程项目分解后擅自施工的，由有管辖权的发证机关责令停止施工，限期改正，对建设单位处工程合同价款1%以上2%以下罚款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对施工单位处3万元以下罚款。</w:t>
            </w:r>
          </w:p>
          <w:p w14:paraId="2A1BCEC6">
            <w:pPr>
              <w:keepNext w:val="0"/>
              <w:keepLines w:val="0"/>
              <w:pageBreakBefore w:val="0"/>
              <w:kinsoku/>
              <w:overflowPunct/>
              <w:topLinePunct w:val="0"/>
              <w:autoSpaceDE/>
              <w:autoSpaceDN/>
              <w:bidi w:val="0"/>
              <w:adjustRightInd/>
              <w:spacing w:line="260" w:lineRule="exact"/>
              <w:ind w:firstLine="210"/>
              <w:jc w:val="left"/>
              <w:rPr>
                <w:rFonts w:ascii="仿宋_GB2312" w:hAnsi="宋体" w:eastAsia="仿宋_GB2312"/>
                <w:color w:val="000000" w:themeColor="text1"/>
                <w:kern w:val="0"/>
                <w:szCs w:val="21"/>
                <w14:textFill>
                  <w14:solidFill>
                    <w14:schemeClr w14:val="tx1"/>
                  </w14:solidFill>
                </w14:textFill>
              </w:rPr>
            </w:pPr>
          </w:p>
          <w:p w14:paraId="61C8E576">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《建筑工程施工许可管理办法》</w:t>
            </w:r>
          </w:p>
          <w:p w14:paraId="502C009E">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第十五条</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ascii="仿宋_GB2312" w:hAnsi="宋体" w:eastAsia="仿宋_GB2312"/>
                <w:color w:val="000000" w:themeColor="text1"/>
                <w:kern w:val="0"/>
                <w:szCs w:val="21"/>
                <w14:textFill>
                  <w14:solidFill>
                    <w14:schemeClr w14:val="tx1"/>
                  </w14:solidFill>
                </w14:textFill>
              </w:rPr>
              <w:t>依照本办法规定，给予单位罚款处罚的，对单位直接负责的主管人员和其他直接责任人员处单位罚款数额5%以上10%以下罚款。</w:t>
            </w:r>
          </w:p>
          <w:p w14:paraId="2195B7E0">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单位及相关责任人受到处罚的，作为不良行为记录予以通报。</w:t>
            </w:r>
          </w:p>
        </w:tc>
        <w:tc>
          <w:tcPr>
            <w:tcW w:w="912" w:type="dxa"/>
            <w:tcBorders>
              <w:tl2br w:val="nil"/>
              <w:tr2bl w:val="nil"/>
            </w:tcBorders>
            <w:vAlign w:val="center"/>
          </w:tcPr>
          <w:p w14:paraId="1F3A7AF3">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0E2D59A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初次违法，危害后果轻微，主动采取措施消除或减轻违法行为危害后果。</w:t>
            </w:r>
          </w:p>
        </w:tc>
        <w:tc>
          <w:tcPr>
            <w:tcW w:w="3375" w:type="dxa"/>
            <w:tcBorders>
              <w:tl2br w:val="nil"/>
              <w:tr2bl w:val="nil"/>
            </w:tcBorders>
            <w:vAlign w:val="center"/>
          </w:tcPr>
          <w:p w14:paraId="5DDAD324">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限期改正，</w:t>
            </w:r>
            <w:r>
              <w:rPr>
                <w:rFonts w:ascii="仿宋_GB2312" w:hAnsi="宋体" w:eastAsia="仿宋_GB2312"/>
                <w:color w:val="000000" w:themeColor="text1"/>
                <w:kern w:val="0"/>
                <w:szCs w:val="21"/>
                <w14:textFill>
                  <w14:solidFill>
                    <w14:schemeClr w14:val="tx1"/>
                  </w14:solidFill>
                </w14:textFill>
              </w:rPr>
              <w:t>对建设单位处工程合同价款</w:t>
            </w:r>
            <w:r>
              <w:rPr>
                <w:rFonts w:hint="eastAsia" w:ascii="仿宋_GB2312" w:hAnsi="宋体" w:eastAsia="仿宋_GB2312"/>
                <w:color w:val="000000" w:themeColor="text1"/>
                <w:kern w:val="0"/>
                <w:szCs w:val="21"/>
                <w14:textFill>
                  <w14:solidFill>
                    <w14:schemeClr w14:val="tx1"/>
                  </w14:solidFill>
                </w14:textFill>
              </w:rPr>
              <w:t>百分之一</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百分之一点二</w:t>
            </w:r>
            <w:r>
              <w:rPr>
                <w:rFonts w:ascii="仿宋_GB2312" w:hAnsi="宋体" w:eastAsia="仿宋_GB2312"/>
                <w:color w:val="000000" w:themeColor="text1"/>
                <w:kern w:val="0"/>
                <w:szCs w:val="21"/>
                <w14:textFill>
                  <w14:solidFill>
                    <w14:schemeClr w14:val="tx1"/>
                  </w14:solidFill>
                </w14:textFill>
              </w:rPr>
              <w:t>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对施工单位处</w:t>
            </w:r>
            <w:r>
              <w:rPr>
                <w:rFonts w:hint="eastAsia" w:ascii="仿宋_GB2312" w:hAnsi="宋体" w:eastAsia="仿宋_GB2312"/>
                <w:color w:val="000000" w:themeColor="text1"/>
                <w:kern w:val="0"/>
                <w:szCs w:val="21"/>
                <w14:textFill>
                  <w14:solidFill>
                    <w14:schemeClr w14:val="tx1"/>
                  </w14:solidFill>
                </w14:textFill>
              </w:rPr>
              <w:t>1</w:t>
            </w:r>
            <w:r>
              <w:rPr>
                <w:rFonts w:ascii="仿宋_GB2312" w:hAnsi="宋体" w:eastAsia="仿宋_GB2312"/>
                <w:color w:val="000000" w:themeColor="text1"/>
                <w:kern w:val="0"/>
                <w:szCs w:val="21"/>
                <w14:textFill>
                  <w14:solidFill>
                    <w14:schemeClr w14:val="tx1"/>
                  </w14:solidFill>
                </w14:textFill>
              </w:rPr>
              <w:t>万元以</w:t>
            </w:r>
            <w:r>
              <w:rPr>
                <w:rFonts w:hint="eastAsia" w:ascii="仿宋_GB2312" w:hAnsi="宋体" w:eastAsia="仿宋_GB2312"/>
                <w:color w:val="000000" w:themeColor="text1"/>
                <w:kern w:val="0"/>
                <w:szCs w:val="21"/>
                <w14:textFill>
                  <w14:solidFill>
                    <w14:schemeClr w14:val="tx1"/>
                  </w14:solidFill>
                </w14:textFill>
              </w:rPr>
              <w:t>上1.5</w:t>
            </w:r>
            <w:r>
              <w:rPr>
                <w:rFonts w:ascii="仿宋_GB2312" w:hAnsi="宋体" w:eastAsia="仿宋_GB2312"/>
                <w:color w:val="000000" w:themeColor="text1"/>
                <w:kern w:val="0"/>
                <w:szCs w:val="21"/>
                <w14:textFill>
                  <w14:solidFill>
                    <w14:schemeClr w14:val="tx1"/>
                  </w14:solidFill>
                </w14:textFill>
              </w:rPr>
              <w:t>万元以下罚款罚款。对单位直接负责的主管人员和其他直接责任人员处单位罚款数额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百分之五</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百分之六</w:t>
            </w:r>
            <w:r>
              <w:rPr>
                <w:rFonts w:ascii="仿宋_GB2312" w:hAnsi="宋体" w:eastAsia="仿宋_GB2312"/>
                <w:color w:val="000000" w:themeColor="text1"/>
                <w:kern w:val="0"/>
                <w:szCs w:val="21"/>
                <w14:textFill>
                  <w14:solidFill>
                    <w14:schemeClr w14:val="tx1"/>
                  </w14:solidFill>
                </w14:textFill>
              </w:rPr>
              <w:t>以下罚款</w:t>
            </w:r>
            <w:r>
              <w:rPr>
                <w:rFonts w:hint="eastAsia" w:ascii="仿宋_GB2312" w:hAnsi="宋体" w:eastAsia="仿宋_GB2312"/>
                <w:color w:val="000000" w:themeColor="text1"/>
                <w:kern w:val="0"/>
                <w:szCs w:val="21"/>
                <w14:textFill>
                  <w14:solidFill>
                    <w14:schemeClr w14:val="tx1"/>
                  </w14:solidFill>
                </w14:textFill>
              </w:rPr>
              <w:t>。</w:t>
            </w:r>
          </w:p>
        </w:tc>
      </w:tr>
      <w:tr w14:paraId="73BE18E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61A7640B">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59BE38E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4C0F79B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54AAB9F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4761D59B">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291FBE6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非初次违法，造成一般危害后果的。</w:t>
            </w:r>
          </w:p>
        </w:tc>
        <w:tc>
          <w:tcPr>
            <w:tcW w:w="3375" w:type="dxa"/>
            <w:tcBorders>
              <w:tl2br w:val="nil"/>
              <w:tr2bl w:val="nil"/>
            </w:tcBorders>
            <w:vAlign w:val="center"/>
          </w:tcPr>
          <w:p w14:paraId="13F56E38">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限期改正，</w:t>
            </w:r>
            <w:r>
              <w:rPr>
                <w:rFonts w:ascii="仿宋_GB2312" w:hAnsi="宋体" w:eastAsia="仿宋_GB2312"/>
                <w:color w:val="000000" w:themeColor="text1"/>
                <w:kern w:val="0"/>
                <w:szCs w:val="21"/>
                <w14:textFill>
                  <w14:solidFill>
                    <w14:schemeClr w14:val="tx1"/>
                  </w14:solidFill>
                </w14:textFill>
              </w:rPr>
              <w:t>对建设单位处工程合同价款</w:t>
            </w:r>
            <w:r>
              <w:rPr>
                <w:rFonts w:hint="eastAsia" w:ascii="仿宋_GB2312" w:hAnsi="宋体" w:eastAsia="仿宋_GB2312"/>
                <w:color w:val="000000" w:themeColor="text1"/>
                <w:kern w:val="0"/>
                <w:szCs w:val="21"/>
                <w14:textFill>
                  <w14:solidFill>
                    <w14:schemeClr w14:val="tx1"/>
                  </w14:solidFill>
                </w14:textFill>
              </w:rPr>
              <w:t>百分之一点二</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百分之一点七</w:t>
            </w:r>
            <w:r>
              <w:rPr>
                <w:rFonts w:ascii="仿宋_GB2312" w:hAnsi="宋体" w:eastAsia="仿宋_GB2312"/>
                <w:color w:val="000000" w:themeColor="text1"/>
                <w:kern w:val="0"/>
                <w:szCs w:val="21"/>
                <w14:textFill>
                  <w14:solidFill>
                    <w14:schemeClr w14:val="tx1"/>
                  </w14:solidFill>
                </w14:textFill>
              </w:rPr>
              <w:t>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对施工单位处</w:t>
            </w:r>
            <w:r>
              <w:rPr>
                <w:rFonts w:hint="eastAsia" w:ascii="仿宋_GB2312" w:hAnsi="宋体" w:eastAsia="仿宋_GB2312"/>
                <w:color w:val="000000" w:themeColor="text1"/>
                <w:kern w:val="0"/>
                <w:szCs w:val="21"/>
                <w14:textFill>
                  <w14:solidFill>
                    <w14:schemeClr w14:val="tx1"/>
                  </w14:solidFill>
                </w14:textFill>
              </w:rPr>
              <w:t>1.5</w:t>
            </w:r>
            <w:r>
              <w:rPr>
                <w:rFonts w:ascii="仿宋_GB2312" w:hAnsi="宋体" w:eastAsia="仿宋_GB2312"/>
                <w:color w:val="000000" w:themeColor="text1"/>
                <w:kern w:val="0"/>
                <w:szCs w:val="21"/>
                <w14:textFill>
                  <w14:solidFill>
                    <w14:schemeClr w14:val="tx1"/>
                  </w14:solidFill>
                </w14:textFill>
              </w:rPr>
              <w:t>万元以</w:t>
            </w:r>
            <w:r>
              <w:rPr>
                <w:rFonts w:hint="eastAsia" w:ascii="仿宋_GB2312" w:hAnsi="宋体" w:eastAsia="仿宋_GB2312"/>
                <w:color w:val="000000" w:themeColor="text1"/>
                <w:kern w:val="0"/>
                <w:szCs w:val="21"/>
                <w14:textFill>
                  <w14:solidFill>
                    <w14:schemeClr w14:val="tx1"/>
                  </w14:solidFill>
                </w14:textFill>
              </w:rPr>
              <w:t>上2</w:t>
            </w:r>
            <w:r>
              <w:rPr>
                <w:rFonts w:ascii="仿宋_GB2312" w:hAnsi="宋体" w:eastAsia="仿宋_GB2312"/>
                <w:color w:val="000000" w:themeColor="text1"/>
                <w:kern w:val="0"/>
                <w:szCs w:val="21"/>
                <w14:textFill>
                  <w14:solidFill>
                    <w14:schemeClr w14:val="tx1"/>
                  </w14:solidFill>
                </w14:textFill>
              </w:rPr>
              <w:t>万元以下罚款罚款。对单位直接负责的主管人员和其他直接责任人员处单位罚款数额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百分之六</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百分之八点五</w:t>
            </w:r>
            <w:r>
              <w:rPr>
                <w:rFonts w:ascii="仿宋_GB2312" w:hAnsi="宋体" w:eastAsia="仿宋_GB2312"/>
                <w:color w:val="000000" w:themeColor="text1"/>
                <w:kern w:val="0"/>
                <w:szCs w:val="21"/>
                <w14:textFill>
                  <w14:solidFill>
                    <w14:schemeClr w14:val="tx1"/>
                  </w14:solidFill>
                </w14:textFill>
              </w:rPr>
              <w:t>以下罚款</w:t>
            </w:r>
            <w:r>
              <w:rPr>
                <w:rFonts w:hint="eastAsia" w:ascii="仿宋_GB2312" w:hAnsi="宋体" w:eastAsia="仿宋_GB2312"/>
                <w:color w:val="000000" w:themeColor="text1"/>
                <w:kern w:val="0"/>
                <w:szCs w:val="21"/>
                <w14:textFill>
                  <w14:solidFill>
                    <w14:schemeClr w14:val="tx1"/>
                  </w14:solidFill>
                </w14:textFill>
              </w:rPr>
              <w:t>。</w:t>
            </w:r>
          </w:p>
        </w:tc>
      </w:tr>
      <w:tr w14:paraId="73409F3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718CCEFF">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5326B31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4EA023C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2249F41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21744A65">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05C64CF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工程项目不符合发放施工许可或开工报告条件，无法补办施工许可证或开工报告的；其他情节恶劣，或造成严重后果的违法行为。</w:t>
            </w:r>
          </w:p>
        </w:tc>
        <w:tc>
          <w:tcPr>
            <w:tcW w:w="3375" w:type="dxa"/>
            <w:tcBorders>
              <w:tl2br w:val="nil"/>
              <w:tr2bl w:val="nil"/>
            </w:tcBorders>
            <w:vAlign w:val="center"/>
          </w:tcPr>
          <w:p w14:paraId="343893D8">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限期改正，</w:t>
            </w:r>
            <w:r>
              <w:rPr>
                <w:rFonts w:ascii="仿宋_GB2312" w:hAnsi="宋体" w:eastAsia="仿宋_GB2312"/>
                <w:color w:val="000000" w:themeColor="text1"/>
                <w:kern w:val="0"/>
                <w:szCs w:val="21"/>
                <w14:textFill>
                  <w14:solidFill>
                    <w14:schemeClr w14:val="tx1"/>
                  </w14:solidFill>
                </w14:textFill>
              </w:rPr>
              <w:t>对建设单位处工程合同价款</w:t>
            </w:r>
            <w:r>
              <w:rPr>
                <w:rFonts w:hint="eastAsia" w:ascii="仿宋_GB2312" w:hAnsi="宋体" w:eastAsia="仿宋_GB2312"/>
                <w:color w:val="000000" w:themeColor="text1"/>
                <w:kern w:val="0"/>
                <w:szCs w:val="21"/>
                <w14:textFill>
                  <w14:solidFill>
                    <w14:schemeClr w14:val="tx1"/>
                  </w14:solidFill>
                </w14:textFill>
              </w:rPr>
              <w:t>百分之一点七</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百分之二</w:t>
            </w:r>
            <w:r>
              <w:rPr>
                <w:rFonts w:ascii="仿宋_GB2312" w:hAnsi="宋体" w:eastAsia="仿宋_GB2312"/>
                <w:color w:val="000000" w:themeColor="text1"/>
                <w:kern w:val="0"/>
                <w:szCs w:val="21"/>
                <w14:textFill>
                  <w14:solidFill>
                    <w14:schemeClr w14:val="tx1"/>
                  </w14:solidFill>
                </w14:textFill>
              </w:rPr>
              <w:t>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对施工单位处</w:t>
            </w:r>
            <w:r>
              <w:rPr>
                <w:rFonts w:hint="eastAsia" w:ascii="仿宋_GB2312" w:hAnsi="宋体" w:eastAsia="仿宋_GB2312"/>
                <w:color w:val="000000" w:themeColor="text1"/>
                <w:kern w:val="0"/>
                <w:szCs w:val="21"/>
                <w14:textFill>
                  <w14:solidFill>
                    <w14:schemeClr w14:val="tx1"/>
                  </w14:solidFill>
                </w14:textFill>
              </w:rPr>
              <w:t>2</w:t>
            </w:r>
            <w:r>
              <w:rPr>
                <w:rFonts w:ascii="仿宋_GB2312" w:hAnsi="宋体" w:eastAsia="仿宋_GB2312"/>
                <w:color w:val="000000" w:themeColor="text1"/>
                <w:kern w:val="0"/>
                <w:szCs w:val="21"/>
                <w14:textFill>
                  <w14:solidFill>
                    <w14:schemeClr w14:val="tx1"/>
                  </w14:solidFill>
                </w14:textFill>
              </w:rPr>
              <w:t>万元以</w:t>
            </w:r>
            <w:r>
              <w:rPr>
                <w:rFonts w:hint="eastAsia" w:ascii="仿宋_GB2312" w:hAnsi="宋体" w:eastAsia="仿宋_GB2312"/>
                <w:color w:val="000000" w:themeColor="text1"/>
                <w:kern w:val="0"/>
                <w:szCs w:val="21"/>
                <w14:textFill>
                  <w14:solidFill>
                    <w14:schemeClr w14:val="tx1"/>
                  </w14:solidFill>
                </w14:textFill>
              </w:rPr>
              <w:t>上3</w:t>
            </w:r>
            <w:r>
              <w:rPr>
                <w:rFonts w:ascii="仿宋_GB2312" w:hAnsi="宋体" w:eastAsia="仿宋_GB2312"/>
                <w:color w:val="000000" w:themeColor="text1"/>
                <w:kern w:val="0"/>
                <w:szCs w:val="21"/>
                <w14:textFill>
                  <w14:solidFill>
                    <w14:schemeClr w14:val="tx1"/>
                  </w14:solidFill>
                </w14:textFill>
              </w:rPr>
              <w:t>万元以下罚款。对单位直接负责的主管人员和其他直接责任人员处单位罚款数额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百分之八点五</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百分之十</w:t>
            </w:r>
            <w:r>
              <w:rPr>
                <w:rFonts w:ascii="仿宋_GB2312" w:hAnsi="宋体" w:eastAsia="仿宋_GB2312"/>
                <w:color w:val="000000" w:themeColor="text1"/>
                <w:kern w:val="0"/>
                <w:szCs w:val="21"/>
                <w14:textFill>
                  <w14:solidFill>
                    <w14:schemeClr w14:val="tx1"/>
                  </w14:solidFill>
                </w14:textFill>
              </w:rPr>
              <w:t>以下罚款</w:t>
            </w:r>
            <w:r>
              <w:rPr>
                <w:rFonts w:hint="eastAsia" w:ascii="仿宋_GB2312" w:hAnsi="宋体" w:eastAsia="仿宋_GB2312"/>
                <w:color w:val="000000" w:themeColor="text1"/>
                <w:kern w:val="0"/>
                <w:szCs w:val="21"/>
                <w14:textFill>
                  <w14:solidFill>
                    <w14:schemeClr w14:val="tx1"/>
                  </w14:solidFill>
                </w14:textFill>
              </w:rPr>
              <w:t>。</w:t>
            </w:r>
          </w:p>
        </w:tc>
      </w:tr>
      <w:tr w14:paraId="23439CE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1A714EDD">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47</w:t>
            </w:r>
          </w:p>
        </w:tc>
        <w:tc>
          <w:tcPr>
            <w:tcW w:w="1376" w:type="dxa"/>
            <w:vMerge w:val="restart"/>
            <w:tcBorders>
              <w:tl2br w:val="nil"/>
              <w:tr2bl w:val="nil"/>
            </w:tcBorders>
            <w:vAlign w:val="center"/>
          </w:tcPr>
          <w:p w14:paraId="4D726E6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建设单位采用欺骗、贿赂等不正当手段取得施工许可证</w:t>
            </w:r>
          </w:p>
        </w:tc>
        <w:tc>
          <w:tcPr>
            <w:tcW w:w="1128" w:type="dxa"/>
            <w:gridSpan w:val="2"/>
            <w:vMerge w:val="restart"/>
            <w:tcBorders>
              <w:tl2br w:val="nil"/>
              <w:tr2bl w:val="nil"/>
            </w:tcBorders>
            <w:vAlign w:val="center"/>
          </w:tcPr>
          <w:p w14:paraId="73E8E5D4">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《建筑工程施工许可管理办法》第十一条</w:t>
            </w:r>
          </w:p>
        </w:tc>
        <w:tc>
          <w:tcPr>
            <w:tcW w:w="4354" w:type="dxa"/>
            <w:vMerge w:val="restart"/>
            <w:tcBorders>
              <w:tl2br w:val="nil"/>
              <w:tr2bl w:val="nil"/>
            </w:tcBorders>
            <w:vAlign w:val="center"/>
          </w:tcPr>
          <w:p w14:paraId="6630361D">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《建筑工程施工许可管理办法》</w:t>
            </w:r>
          </w:p>
          <w:p w14:paraId="36562DB8">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第十三条</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ascii="仿宋_GB2312" w:hAnsi="宋体" w:eastAsia="仿宋_GB2312"/>
                <w:color w:val="000000" w:themeColor="text1"/>
                <w:kern w:val="0"/>
                <w:szCs w:val="21"/>
                <w14:textFill>
                  <w14:solidFill>
                    <w14:schemeClr w14:val="tx1"/>
                  </w14:solidFill>
                </w14:textFill>
              </w:rPr>
              <w:t>建设单位采用欺骗、贿赂等不正当手段取得施工许可证的，由原发证机关撤销施工许可证，责令停止施工，并处1万元以上3万元以下罚款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构成犯罪的，依法追究刑事责任。</w:t>
            </w:r>
          </w:p>
          <w:p w14:paraId="259BBA03">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2F5FAFD3">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《建筑工程施工许可管理办法》</w:t>
            </w:r>
          </w:p>
          <w:p w14:paraId="32249C60">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第十五条</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ascii="仿宋_GB2312" w:hAnsi="宋体" w:eastAsia="仿宋_GB2312"/>
                <w:color w:val="000000" w:themeColor="text1"/>
                <w:kern w:val="0"/>
                <w:szCs w:val="21"/>
                <w14:textFill>
                  <w14:solidFill>
                    <w14:schemeClr w14:val="tx1"/>
                  </w14:solidFill>
                </w14:textFill>
              </w:rPr>
              <w:t>依照本办法规定，给予单位罚款处罚的，对单位直接负责的主管人员和其他直接责任人员处单位罚款数额5%以上10%以下罚款。</w:t>
            </w:r>
          </w:p>
          <w:p w14:paraId="58B78132">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单位及相关责任人受到处罚的，作为不良行为记录予以通报。</w:t>
            </w:r>
          </w:p>
        </w:tc>
        <w:tc>
          <w:tcPr>
            <w:tcW w:w="912" w:type="dxa"/>
            <w:tcBorders>
              <w:tl2br w:val="nil"/>
              <w:tr2bl w:val="nil"/>
            </w:tcBorders>
            <w:vAlign w:val="center"/>
          </w:tcPr>
          <w:p w14:paraId="21C49417">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27CF577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375" w:type="dxa"/>
            <w:tcBorders>
              <w:tl2br w:val="nil"/>
              <w:tr2bl w:val="nil"/>
            </w:tcBorders>
            <w:vAlign w:val="center"/>
          </w:tcPr>
          <w:p w14:paraId="1DAF7583">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撤销施工许可证，责令停止施工，</w:t>
            </w:r>
            <w:r>
              <w:rPr>
                <w:rFonts w:ascii="仿宋_GB2312" w:hAnsi="宋体" w:eastAsia="仿宋_GB2312"/>
                <w:color w:val="000000" w:themeColor="text1"/>
                <w:kern w:val="0"/>
                <w:szCs w:val="21"/>
                <w14:textFill>
                  <w14:solidFill>
                    <w14:schemeClr w14:val="tx1"/>
                  </w14:solidFill>
                </w14:textFill>
              </w:rPr>
              <w:t>处1万元以上</w:t>
            </w:r>
            <w:r>
              <w:rPr>
                <w:rFonts w:hint="eastAsia" w:ascii="仿宋_GB2312" w:hAnsi="宋体" w:eastAsia="仿宋_GB2312"/>
                <w:color w:val="000000" w:themeColor="text1"/>
                <w:kern w:val="0"/>
                <w:szCs w:val="21"/>
                <w14:textFill>
                  <w14:solidFill>
                    <w14:schemeClr w14:val="tx1"/>
                  </w14:solidFill>
                </w14:textFill>
              </w:rPr>
              <w:t>1.52</w:t>
            </w:r>
            <w:r>
              <w:rPr>
                <w:rFonts w:ascii="仿宋_GB2312" w:hAnsi="宋体" w:eastAsia="仿宋_GB2312"/>
                <w:color w:val="000000" w:themeColor="text1"/>
                <w:kern w:val="0"/>
                <w:szCs w:val="21"/>
                <w14:textFill>
                  <w14:solidFill>
                    <w14:schemeClr w14:val="tx1"/>
                  </w14:solidFill>
                </w14:textFill>
              </w:rPr>
              <w:t>万元以下罚款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百分之五</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百分之六</w:t>
            </w:r>
            <w:r>
              <w:rPr>
                <w:rFonts w:ascii="仿宋_GB2312" w:hAnsi="宋体" w:eastAsia="仿宋_GB2312"/>
                <w:color w:val="000000" w:themeColor="text1"/>
                <w:kern w:val="0"/>
                <w:szCs w:val="21"/>
                <w14:textFill>
                  <w14:solidFill>
                    <w14:schemeClr w14:val="tx1"/>
                  </w14:solidFill>
                </w14:textFill>
              </w:rPr>
              <w:t>以下罚款</w:t>
            </w:r>
            <w:r>
              <w:rPr>
                <w:rFonts w:hint="eastAsia" w:ascii="仿宋_GB2312" w:hAnsi="宋体" w:eastAsia="仿宋_GB2312"/>
                <w:color w:val="000000" w:themeColor="text1"/>
                <w:kern w:val="0"/>
                <w:szCs w:val="21"/>
                <w14:textFill>
                  <w14:solidFill>
                    <w14:schemeClr w14:val="tx1"/>
                  </w14:solidFill>
                </w14:textFill>
              </w:rPr>
              <w:t>。</w:t>
            </w:r>
          </w:p>
        </w:tc>
      </w:tr>
      <w:tr w14:paraId="131ED0A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5" w:hRule="atLeast"/>
          <w:jc w:val="center"/>
        </w:trPr>
        <w:tc>
          <w:tcPr>
            <w:tcW w:w="533" w:type="dxa"/>
            <w:gridSpan w:val="2"/>
            <w:vMerge w:val="continue"/>
            <w:tcBorders>
              <w:tl2br w:val="nil"/>
              <w:tr2bl w:val="nil"/>
            </w:tcBorders>
            <w:vAlign w:val="center"/>
          </w:tcPr>
          <w:p w14:paraId="05D3DEDE">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0F62135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方正书宋简体" w:eastAsia="仿宋_GB2312"/>
                <w:color w:val="000000" w:themeColor="text1"/>
                <w:kern w:val="0"/>
                <w:sz w:val="22"/>
                <w14:textFill>
                  <w14:solidFill>
                    <w14:schemeClr w14:val="tx1"/>
                  </w14:solidFill>
                </w14:textFill>
              </w:rPr>
            </w:pPr>
          </w:p>
        </w:tc>
        <w:tc>
          <w:tcPr>
            <w:tcW w:w="1128" w:type="dxa"/>
            <w:gridSpan w:val="2"/>
            <w:vMerge w:val="continue"/>
            <w:tcBorders>
              <w:tl2br w:val="nil"/>
              <w:tr2bl w:val="nil"/>
            </w:tcBorders>
            <w:vAlign w:val="center"/>
          </w:tcPr>
          <w:p w14:paraId="3F63893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方正书宋简体" w:eastAsia="仿宋_GB2312"/>
                <w:color w:val="000000" w:themeColor="text1"/>
                <w:kern w:val="0"/>
                <w:sz w:val="22"/>
                <w14:textFill>
                  <w14:solidFill>
                    <w14:schemeClr w14:val="tx1"/>
                  </w14:solidFill>
                </w14:textFill>
              </w:rPr>
            </w:pPr>
          </w:p>
        </w:tc>
        <w:tc>
          <w:tcPr>
            <w:tcW w:w="4354" w:type="dxa"/>
            <w:vMerge w:val="continue"/>
            <w:tcBorders>
              <w:tl2br w:val="nil"/>
              <w:tr2bl w:val="nil"/>
            </w:tcBorders>
          </w:tcPr>
          <w:p w14:paraId="5A8586B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方正书宋简体" w:eastAsia="仿宋_GB2312"/>
                <w:color w:val="000000" w:themeColor="text1"/>
                <w:kern w:val="0"/>
                <w:sz w:val="22"/>
                <w14:textFill>
                  <w14:solidFill>
                    <w14:schemeClr w14:val="tx1"/>
                  </w14:solidFill>
                </w14:textFill>
              </w:rPr>
            </w:pPr>
          </w:p>
        </w:tc>
        <w:tc>
          <w:tcPr>
            <w:tcW w:w="912" w:type="dxa"/>
            <w:tcBorders>
              <w:tl2br w:val="nil"/>
              <w:tr2bl w:val="nil"/>
            </w:tcBorders>
            <w:vAlign w:val="center"/>
          </w:tcPr>
          <w:p w14:paraId="48D48DE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2AA6753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4982F368">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撤销施工许可证，责令停止施工，</w:t>
            </w:r>
            <w:r>
              <w:rPr>
                <w:rFonts w:ascii="仿宋_GB2312" w:hAnsi="宋体" w:eastAsia="仿宋_GB2312"/>
                <w:color w:val="000000" w:themeColor="text1"/>
                <w:kern w:val="0"/>
                <w:szCs w:val="21"/>
                <w14:textFill>
                  <w14:solidFill>
                    <w14:schemeClr w14:val="tx1"/>
                  </w14:solidFill>
                </w14:textFill>
              </w:rPr>
              <w:t>处</w:t>
            </w:r>
            <w:r>
              <w:rPr>
                <w:rFonts w:hint="eastAsia" w:ascii="仿宋_GB2312" w:hAnsi="宋体" w:eastAsia="仿宋_GB2312"/>
                <w:color w:val="000000" w:themeColor="text1"/>
                <w:kern w:val="0"/>
                <w:szCs w:val="21"/>
                <w14:textFill>
                  <w14:solidFill>
                    <w14:schemeClr w14:val="tx1"/>
                  </w14:solidFill>
                </w14:textFill>
              </w:rPr>
              <w:t>1.5</w:t>
            </w:r>
            <w:r>
              <w:rPr>
                <w:rFonts w:ascii="仿宋_GB2312" w:hAnsi="宋体" w:eastAsia="仿宋_GB2312"/>
                <w:color w:val="000000" w:themeColor="text1"/>
                <w:kern w:val="0"/>
                <w:szCs w:val="21"/>
                <w14:textFill>
                  <w14:solidFill>
                    <w14:schemeClr w14:val="tx1"/>
                  </w14:solidFill>
                </w14:textFill>
              </w:rPr>
              <w:t>万元以上</w:t>
            </w:r>
            <w:r>
              <w:rPr>
                <w:rFonts w:hint="eastAsia" w:ascii="仿宋_GB2312" w:hAnsi="宋体" w:eastAsia="仿宋_GB2312"/>
                <w:color w:val="000000" w:themeColor="text1"/>
                <w:kern w:val="0"/>
                <w:szCs w:val="21"/>
                <w14:textFill>
                  <w14:solidFill>
                    <w14:schemeClr w14:val="tx1"/>
                  </w14:solidFill>
                </w14:textFill>
              </w:rPr>
              <w:t>2.5</w:t>
            </w:r>
            <w:r>
              <w:rPr>
                <w:rFonts w:ascii="仿宋_GB2312" w:hAnsi="宋体" w:eastAsia="仿宋_GB2312"/>
                <w:color w:val="000000" w:themeColor="text1"/>
                <w:kern w:val="0"/>
                <w:szCs w:val="21"/>
                <w14:textFill>
                  <w14:solidFill>
                    <w14:schemeClr w14:val="tx1"/>
                  </w14:solidFill>
                </w14:textFill>
              </w:rPr>
              <w:t>万元以下罚款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百分之六</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百分之八点五</w:t>
            </w:r>
            <w:r>
              <w:rPr>
                <w:rFonts w:ascii="仿宋_GB2312" w:hAnsi="宋体" w:eastAsia="仿宋_GB2312"/>
                <w:color w:val="000000" w:themeColor="text1"/>
                <w:kern w:val="0"/>
                <w:szCs w:val="21"/>
                <w14:textFill>
                  <w14:solidFill>
                    <w14:schemeClr w14:val="tx1"/>
                  </w14:solidFill>
                </w14:textFill>
              </w:rPr>
              <w:t>以下罚款</w:t>
            </w:r>
            <w:r>
              <w:rPr>
                <w:rFonts w:hint="eastAsia" w:ascii="仿宋_GB2312" w:hAnsi="宋体" w:eastAsia="仿宋_GB2312"/>
                <w:color w:val="000000" w:themeColor="text1"/>
                <w:kern w:val="0"/>
                <w:szCs w:val="21"/>
                <w14:textFill>
                  <w14:solidFill>
                    <w14:schemeClr w14:val="tx1"/>
                  </w14:solidFill>
                </w14:textFill>
              </w:rPr>
              <w:t>。</w:t>
            </w:r>
          </w:p>
        </w:tc>
      </w:tr>
      <w:tr w14:paraId="6BBFD23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59D810F7">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7674C7A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方正书宋简体" w:eastAsia="仿宋_GB2312"/>
                <w:color w:val="000000" w:themeColor="text1"/>
                <w:kern w:val="0"/>
                <w:sz w:val="22"/>
                <w14:textFill>
                  <w14:solidFill>
                    <w14:schemeClr w14:val="tx1"/>
                  </w14:solidFill>
                </w14:textFill>
              </w:rPr>
            </w:pPr>
          </w:p>
        </w:tc>
        <w:tc>
          <w:tcPr>
            <w:tcW w:w="1128" w:type="dxa"/>
            <w:gridSpan w:val="2"/>
            <w:vMerge w:val="continue"/>
            <w:tcBorders>
              <w:tl2br w:val="nil"/>
              <w:tr2bl w:val="nil"/>
            </w:tcBorders>
            <w:vAlign w:val="center"/>
          </w:tcPr>
          <w:p w14:paraId="6669605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方正书宋简体" w:eastAsia="仿宋_GB2312"/>
                <w:color w:val="000000" w:themeColor="text1"/>
                <w:kern w:val="0"/>
                <w:sz w:val="22"/>
                <w14:textFill>
                  <w14:solidFill>
                    <w14:schemeClr w14:val="tx1"/>
                  </w14:solidFill>
                </w14:textFill>
              </w:rPr>
            </w:pPr>
          </w:p>
        </w:tc>
        <w:tc>
          <w:tcPr>
            <w:tcW w:w="4354" w:type="dxa"/>
            <w:vMerge w:val="continue"/>
            <w:tcBorders>
              <w:tl2br w:val="nil"/>
              <w:tr2bl w:val="nil"/>
            </w:tcBorders>
            <w:vAlign w:val="center"/>
          </w:tcPr>
          <w:p w14:paraId="124D700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方正书宋简体" w:eastAsia="仿宋_GB2312"/>
                <w:color w:val="000000" w:themeColor="text1"/>
                <w:kern w:val="0"/>
                <w:sz w:val="22"/>
                <w14:textFill>
                  <w14:solidFill>
                    <w14:schemeClr w14:val="tx1"/>
                  </w14:solidFill>
                </w14:textFill>
              </w:rPr>
            </w:pPr>
          </w:p>
        </w:tc>
        <w:tc>
          <w:tcPr>
            <w:tcW w:w="912" w:type="dxa"/>
            <w:tcBorders>
              <w:tl2br w:val="nil"/>
              <w:tr2bl w:val="nil"/>
            </w:tcBorders>
            <w:vAlign w:val="center"/>
          </w:tcPr>
          <w:p w14:paraId="43D67C52">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6A56B3B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（1）曾因该违法行为被依法查处，再次实施该违法行为的；</w:t>
            </w:r>
          </w:p>
          <w:p w14:paraId="3D95A51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（2）造成工程质量事故的；</w:t>
            </w:r>
          </w:p>
          <w:p w14:paraId="336243B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（3）经有关部门确认，存在商业贿赂情形的；</w:t>
            </w:r>
          </w:p>
          <w:p w14:paraId="0E5F9C9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（4）其他依法应予从重处罚的情形</w:t>
            </w:r>
          </w:p>
        </w:tc>
        <w:tc>
          <w:tcPr>
            <w:tcW w:w="3375" w:type="dxa"/>
            <w:tcBorders>
              <w:tl2br w:val="nil"/>
              <w:tr2bl w:val="nil"/>
            </w:tcBorders>
            <w:vAlign w:val="center"/>
          </w:tcPr>
          <w:p w14:paraId="6B54760B">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撤销施工许可证，责令停止施工，</w:t>
            </w:r>
            <w:r>
              <w:rPr>
                <w:rFonts w:ascii="仿宋_GB2312" w:hAnsi="宋体" w:eastAsia="仿宋_GB2312"/>
                <w:color w:val="000000" w:themeColor="text1"/>
                <w:kern w:val="0"/>
                <w:szCs w:val="21"/>
                <w14:textFill>
                  <w14:solidFill>
                    <w14:schemeClr w14:val="tx1"/>
                  </w14:solidFill>
                </w14:textFill>
              </w:rPr>
              <w:t>处</w:t>
            </w:r>
            <w:r>
              <w:rPr>
                <w:rFonts w:hint="eastAsia" w:ascii="仿宋_GB2312" w:hAnsi="宋体" w:eastAsia="仿宋_GB2312"/>
                <w:color w:val="000000" w:themeColor="text1"/>
                <w:kern w:val="0"/>
                <w:szCs w:val="21"/>
                <w14:textFill>
                  <w14:solidFill>
                    <w14:schemeClr w14:val="tx1"/>
                  </w14:solidFill>
                </w14:textFill>
              </w:rPr>
              <w:t>2.5</w:t>
            </w:r>
            <w:r>
              <w:rPr>
                <w:rFonts w:ascii="仿宋_GB2312" w:hAnsi="宋体" w:eastAsia="仿宋_GB2312"/>
                <w:color w:val="000000" w:themeColor="text1"/>
                <w:kern w:val="0"/>
                <w:szCs w:val="21"/>
                <w14:textFill>
                  <w14:solidFill>
                    <w14:schemeClr w14:val="tx1"/>
                  </w14:solidFill>
                </w14:textFill>
              </w:rPr>
              <w:t>万元以上</w:t>
            </w:r>
            <w:r>
              <w:rPr>
                <w:rFonts w:hint="eastAsia" w:ascii="仿宋_GB2312" w:hAnsi="宋体" w:eastAsia="仿宋_GB2312"/>
                <w:color w:val="000000" w:themeColor="text1"/>
                <w:kern w:val="0"/>
                <w:szCs w:val="21"/>
                <w14:textFill>
                  <w14:solidFill>
                    <w14:schemeClr w14:val="tx1"/>
                  </w14:solidFill>
                </w14:textFill>
              </w:rPr>
              <w:t>3</w:t>
            </w:r>
            <w:r>
              <w:rPr>
                <w:rFonts w:ascii="仿宋_GB2312" w:hAnsi="宋体" w:eastAsia="仿宋_GB2312"/>
                <w:color w:val="000000" w:themeColor="text1"/>
                <w:kern w:val="0"/>
                <w:szCs w:val="21"/>
                <w14:textFill>
                  <w14:solidFill>
                    <w14:schemeClr w14:val="tx1"/>
                  </w14:solidFill>
                </w14:textFill>
              </w:rPr>
              <w:t>万元以下罚款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 xml:space="preserve"> 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百分之八点五</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百分之十</w:t>
            </w:r>
            <w:r>
              <w:rPr>
                <w:rFonts w:ascii="仿宋_GB2312" w:hAnsi="宋体" w:eastAsia="仿宋_GB2312"/>
                <w:color w:val="000000" w:themeColor="text1"/>
                <w:kern w:val="0"/>
                <w:szCs w:val="21"/>
                <w14:textFill>
                  <w14:solidFill>
                    <w14:schemeClr w14:val="tx1"/>
                  </w14:solidFill>
                </w14:textFill>
              </w:rPr>
              <w:t>以下罚款</w:t>
            </w:r>
            <w:r>
              <w:rPr>
                <w:rFonts w:hint="eastAsia" w:ascii="仿宋_GB2312" w:hAnsi="宋体" w:eastAsia="仿宋_GB2312"/>
                <w:color w:val="000000" w:themeColor="text1"/>
                <w:kern w:val="0"/>
                <w:szCs w:val="21"/>
                <w14:textFill>
                  <w14:solidFill>
                    <w14:schemeClr w14:val="tx1"/>
                  </w14:solidFill>
                </w14:textFill>
              </w:rPr>
              <w:t>。</w:t>
            </w:r>
          </w:p>
        </w:tc>
      </w:tr>
      <w:tr w14:paraId="375D400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6C25D6D4">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48</w:t>
            </w:r>
          </w:p>
        </w:tc>
        <w:tc>
          <w:tcPr>
            <w:tcW w:w="1376" w:type="dxa"/>
            <w:vMerge w:val="restart"/>
            <w:tcBorders>
              <w:tl2br w:val="nil"/>
              <w:tr2bl w:val="nil"/>
            </w:tcBorders>
            <w:vAlign w:val="center"/>
          </w:tcPr>
          <w:p w14:paraId="763A165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2BD8863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2ECB838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建设单位隐瞒有关情况或者提供虚假材料申请施工许可证</w:t>
            </w:r>
          </w:p>
        </w:tc>
        <w:tc>
          <w:tcPr>
            <w:tcW w:w="1128" w:type="dxa"/>
            <w:gridSpan w:val="2"/>
            <w:vMerge w:val="restart"/>
            <w:tcBorders>
              <w:tl2br w:val="nil"/>
              <w:tr2bl w:val="nil"/>
            </w:tcBorders>
            <w:vAlign w:val="center"/>
          </w:tcPr>
          <w:p w14:paraId="05B82CB5">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《建筑工程施工许可管理办法》</w:t>
            </w:r>
            <w:r>
              <w:rPr>
                <w:rFonts w:ascii="仿宋_GB2312" w:hAnsi="宋体" w:eastAsia="仿宋_GB2312"/>
                <w:color w:val="000000" w:themeColor="text1"/>
                <w:kern w:val="0"/>
                <w:szCs w:val="21"/>
                <w14:textFill>
                  <w14:solidFill>
                    <w14:schemeClr w14:val="tx1"/>
                  </w14:solidFill>
                </w14:textFill>
              </w:rPr>
              <w:t>第十四条</w:t>
            </w:r>
            <w:r>
              <w:rPr>
                <w:rFonts w:hint="eastAsia" w:ascii="仿宋_GB2312" w:hAnsi="宋体" w:eastAsia="仿宋_GB2312"/>
                <w:color w:val="000000" w:themeColor="text1"/>
                <w:kern w:val="0"/>
                <w:szCs w:val="21"/>
                <w14:textFill>
                  <w14:solidFill>
                    <w14:schemeClr w14:val="tx1"/>
                  </w14:solidFill>
                </w14:textFill>
              </w:rPr>
              <w:t>第一款</w:t>
            </w:r>
          </w:p>
        </w:tc>
        <w:tc>
          <w:tcPr>
            <w:tcW w:w="4354" w:type="dxa"/>
            <w:vMerge w:val="restart"/>
            <w:tcBorders>
              <w:tl2br w:val="nil"/>
              <w:tr2bl w:val="nil"/>
            </w:tcBorders>
            <w:vAlign w:val="center"/>
          </w:tcPr>
          <w:p w14:paraId="199CFBE6">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《建筑工程施工许可管理办法》</w:t>
            </w:r>
          </w:p>
          <w:p w14:paraId="6472D94E">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第十四条</w:t>
            </w:r>
            <w:r>
              <w:rPr>
                <w:rFonts w:hint="eastAsia" w:ascii="仿宋_GB2312" w:hAnsi="宋体" w:eastAsia="仿宋_GB2312"/>
                <w:color w:val="000000" w:themeColor="text1"/>
                <w:kern w:val="0"/>
                <w:szCs w:val="21"/>
                <w14:textFill>
                  <w14:solidFill>
                    <w14:schemeClr w14:val="tx1"/>
                  </w14:solidFill>
                </w14:textFill>
              </w:rPr>
              <w:t>第一款</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ascii="仿宋_GB2312" w:hAnsi="宋体" w:eastAsia="仿宋_GB2312"/>
                <w:color w:val="000000" w:themeColor="text1"/>
                <w:kern w:val="0"/>
                <w:szCs w:val="21"/>
                <w14:textFill>
                  <w14:solidFill>
                    <w14:schemeClr w14:val="tx1"/>
                  </w14:solidFill>
                </w14:textFill>
              </w:rPr>
              <w:t>建设单位隐瞒有关情况或者提供虚假材料申请施工许可证的，发证机关不予受理或者不予许可，并处1万元以上3万元以下罚款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构成犯罪的，依法追究刑事责任。</w:t>
            </w:r>
          </w:p>
          <w:p w14:paraId="52AFFB9B">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lang w:eastAsia="zh-CN"/>
                <w14:textFill>
                  <w14:solidFill>
                    <w14:schemeClr w14:val="tx1"/>
                  </w14:solidFill>
                </w14:textFill>
              </w:rPr>
            </w:pPr>
          </w:p>
          <w:p w14:paraId="4E47BA2E">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《建筑工程施工许可管理办法》</w:t>
            </w:r>
          </w:p>
          <w:p w14:paraId="055DF104">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第十五条</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ascii="仿宋_GB2312" w:hAnsi="宋体" w:eastAsia="仿宋_GB2312"/>
                <w:color w:val="000000" w:themeColor="text1"/>
                <w:kern w:val="0"/>
                <w:szCs w:val="21"/>
                <w14:textFill>
                  <w14:solidFill>
                    <w14:schemeClr w14:val="tx1"/>
                  </w14:solidFill>
                </w14:textFill>
              </w:rPr>
              <w:t>依照本办法规定，给予单位罚款处罚的，对单位直接负责的主管人员和其他直接责任人员处单位罚款数额5%以上10%以下罚款。</w:t>
            </w:r>
          </w:p>
          <w:p w14:paraId="2F64D5CE">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单位及相关责任人受到处罚的，作为不良行为记录予以通报。</w:t>
            </w:r>
          </w:p>
        </w:tc>
        <w:tc>
          <w:tcPr>
            <w:tcW w:w="912" w:type="dxa"/>
            <w:tcBorders>
              <w:tl2br w:val="nil"/>
              <w:tr2bl w:val="nil"/>
            </w:tcBorders>
            <w:vAlign w:val="center"/>
          </w:tcPr>
          <w:p w14:paraId="251902B2">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3A4AA90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375" w:type="dxa"/>
            <w:tcBorders>
              <w:tl2br w:val="nil"/>
              <w:tr2bl w:val="nil"/>
            </w:tcBorders>
            <w:vAlign w:val="center"/>
          </w:tcPr>
          <w:p w14:paraId="3BD33DE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处1万元以上</w:t>
            </w:r>
            <w:r>
              <w:rPr>
                <w:rFonts w:hint="eastAsia" w:ascii="仿宋_GB2312" w:hAnsi="宋体" w:eastAsia="仿宋_GB2312"/>
                <w:color w:val="000000" w:themeColor="text1"/>
                <w:kern w:val="0"/>
                <w:szCs w:val="21"/>
                <w14:textFill>
                  <w14:solidFill>
                    <w14:schemeClr w14:val="tx1"/>
                  </w14:solidFill>
                </w14:textFill>
              </w:rPr>
              <w:t>1.5</w:t>
            </w:r>
            <w:r>
              <w:rPr>
                <w:rFonts w:ascii="仿宋_GB2312" w:hAnsi="宋体" w:eastAsia="仿宋_GB2312"/>
                <w:color w:val="000000" w:themeColor="text1"/>
                <w:kern w:val="0"/>
                <w:szCs w:val="21"/>
                <w14:textFill>
                  <w14:solidFill>
                    <w14:schemeClr w14:val="tx1"/>
                  </w14:solidFill>
                </w14:textFill>
              </w:rPr>
              <w:t>万元以下罚款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百分之五</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百分之八点五</w:t>
            </w:r>
            <w:r>
              <w:rPr>
                <w:rFonts w:ascii="仿宋_GB2312" w:hAnsi="宋体" w:eastAsia="仿宋_GB2312"/>
                <w:color w:val="000000" w:themeColor="text1"/>
                <w:kern w:val="0"/>
                <w:szCs w:val="21"/>
                <w14:textFill>
                  <w14:solidFill>
                    <w14:schemeClr w14:val="tx1"/>
                  </w14:solidFill>
                </w14:textFill>
              </w:rPr>
              <w:t>以下罚款</w:t>
            </w:r>
          </w:p>
        </w:tc>
      </w:tr>
      <w:tr w14:paraId="4B1D47C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5F99673F">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1E7A707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62C2763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方正书宋简体" w:eastAsia="仿宋_GB2312"/>
                <w:color w:val="000000" w:themeColor="text1"/>
                <w:kern w:val="0"/>
                <w:sz w:val="22"/>
                <w14:textFill>
                  <w14:solidFill>
                    <w14:schemeClr w14:val="tx1"/>
                  </w14:solidFill>
                </w14:textFill>
              </w:rPr>
            </w:pPr>
          </w:p>
        </w:tc>
        <w:tc>
          <w:tcPr>
            <w:tcW w:w="4354" w:type="dxa"/>
            <w:vMerge w:val="continue"/>
            <w:tcBorders>
              <w:tl2br w:val="nil"/>
              <w:tr2bl w:val="nil"/>
            </w:tcBorders>
          </w:tcPr>
          <w:p w14:paraId="1427720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方正书宋简体" w:eastAsia="仿宋_GB2312"/>
                <w:color w:val="000000" w:themeColor="text1"/>
                <w:kern w:val="0"/>
                <w:sz w:val="22"/>
                <w14:textFill>
                  <w14:solidFill>
                    <w14:schemeClr w14:val="tx1"/>
                  </w14:solidFill>
                </w14:textFill>
              </w:rPr>
            </w:pPr>
          </w:p>
        </w:tc>
        <w:tc>
          <w:tcPr>
            <w:tcW w:w="912" w:type="dxa"/>
            <w:tcBorders>
              <w:tl2br w:val="nil"/>
              <w:tr2bl w:val="nil"/>
            </w:tcBorders>
            <w:vAlign w:val="center"/>
          </w:tcPr>
          <w:p w14:paraId="38FA6843">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6C4F31F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0100158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处</w:t>
            </w:r>
            <w:r>
              <w:rPr>
                <w:rFonts w:hint="eastAsia" w:ascii="仿宋_GB2312" w:hAnsi="宋体" w:eastAsia="仿宋_GB2312"/>
                <w:color w:val="000000" w:themeColor="text1"/>
                <w:kern w:val="0"/>
                <w:szCs w:val="21"/>
                <w14:textFill>
                  <w14:solidFill>
                    <w14:schemeClr w14:val="tx1"/>
                  </w14:solidFill>
                </w14:textFill>
              </w:rPr>
              <w:t>1.5</w:t>
            </w:r>
            <w:r>
              <w:rPr>
                <w:rFonts w:ascii="仿宋_GB2312" w:hAnsi="宋体" w:eastAsia="仿宋_GB2312"/>
                <w:color w:val="000000" w:themeColor="text1"/>
                <w:kern w:val="0"/>
                <w:szCs w:val="21"/>
                <w14:textFill>
                  <w14:solidFill>
                    <w14:schemeClr w14:val="tx1"/>
                  </w14:solidFill>
                </w14:textFill>
              </w:rPr>
              <w:t>万元以上</w:t>
            </w:r>
            <w:r>
              <w:rPr>
                <w:rFonts w:hint="eastAsia" w:ascii="仿宋_GB2312" w:hAnsi="宋体" w:eastAsia="仿宋_GB2312"/>
                <w:color w:val="000000" w:themeColor="text1"/>
                <w:kern w:val="0"/>
                <w:szCs w:val="21"/>
                <w14:textFill>
                  <w14:solidFill>
                    <w14:schemeClr w14:val="tx1"/>
                  </w14:solidFill>
                </w14:textFill>
              </w:rPr>
              <w:t>2.5</w:t>
            </w:r>
            <w:r>
              <w:rPr>
                <w:rFonts w:ascii="仿宋_GB2312" w:hAnsi="宋体" w:eastAsia="仿宋_GB2312"/>
                <w:color w:val="000000" w:themeColor="text1"/>
                <w:kern w:val="0"/>
                <w:szCs w:val="21"/>
                <w14:textFill>
                  <w14:solidFill>
                    <w14:schemeClr w14:val="tx1"/>
                  </w14:solidFill>
                </w14:textFill>
              </w:rPr>
              <w:t>万元以下罚款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 xml:space="preserve"> 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百分之六</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百分之八点五</w:t>
            </w:r>
            <w:r>
              <w:rPr>
                <w:rFonts w:ascii="仿宋_GB2312" w:hAnsi="宋体" w:eastAsia="仿宋_GB2312"/>
                <w:color w:val="000000" w:themeColor="text1"/>
                <w:kern w:val="0"/>
                <w:szCs w:val="21"/>
                <w14:textFill>
                  <w14:solidFill>
                    <w14:schemeClr w14:val="tx1"/>
                  </w14:solidFill>
                </w14:textFill>
              </w:rPr>
              <w:t>以下罚款</w:t>
            </w:r>
            <w:r>
              <w:rPr>
                <w:rFonts w:hint="eastAsia" w:ascii="仿宋_GB2312" w:hAnsi="宋体" w:eastAsia="仿宋_GB2312"/>
                <w:color w:val="000000" w:themeColor="text1"/>
                <w:kern w:val="0"/>
                <w:szCs w:val="21"/>
                <w14:textFill>
                  <w14:solidFill>
                    <w14:schemeClr w14:val="tx1"/>
                  </w14:solidFill>
                </w14:textFill>
              </w:rPr>
              <w:t>。</w:t>
            </w:r>
          </w:p>
        </w:tc>
      </w:tr>
      <w:tr w14:paraId="327D24C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42C6C235">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02F3407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4DB8358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方正书宋简体" w:eastAsia="仿宋_GB2312"/>
                <w:color w:val="000000" w:themeColor="text1"/>
                <w:kern w:val="0"/>
                <w:sz w:val="22"/>
                <w14:textFill>
                  <w14:solidFill>
                    <w14:schemeClr w14:val="tx1"/>
                  </w14:solidFill>
                </w14:textFill>
              </w:rPr>
            </w:pPr>
          </w:p>
        </w:tc>
        <w:tc>
          <w:tcPr>
            <w:tcW w:w="4354" w:type="dxa"/>
            <w:vMerge w:val="continue"/>
            <w:tcBorders>
              <w:tl2br w:val="nil"/>
              <w:tr2bl w:val="nil"/>
            </w:tcBorders>
            <w:vAlign w:val="center"/>
          </w:tcPr>
          <w:p w14:paraId="51B3AB7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方正书宋简体" w:eastAsia="仿宋_GB2312"/>
                <w:color w:val="000000" w:themeColor="text1"/>
                <w:kern w:val="0"/>
                <w:sz w:val="22"/>
                <w14:textFill>
                  <w14:solidFill>
                    <w14:schemeClr w14:val="tx1"/>
                  </w14:solidFill>
                </w14:textFill>
              </w:rPr>
            </w:pPr>
          </w:p>
        </w:tc>
        <w:tc>
          <w:tcPr>
            <w:tcW w:w="912" w:type="dxa"/>
            <w:tcBorders>
              <w:tl2br w:val="nil"/>
              <w:tr2bl w:val="nil"/>
            </w:tcBorders>
            <w:vAlign w:val="center"/>
          </w:tcPr>
          <w:p w14:paraId="1027667A">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68D6F7D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2D69C24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（2）足以影响建设市场秩序和社会稳定的。</w:t>
            </w:r>
          </w:p>
        </w:tc>
        <w:tc>
          <w:tcPr>
            <w:tcW w:w="3375" w:type="dxa"/>
            <w:tcBorders>
              <w:tl2br w:val="nil"/>
              <w:tr2bl w:val="nil"/>
            </w:tcBorders>
            <w:vAlign w:val="center"/>
          </w:tcPr>
          <w:p w14:paraId="36D4C8D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处</w:t>
            </w:r>
            <w:r>
              <w:rPr>
                <w:rFonts w:hint="eastAsia" w:ascii="仿宋_GB2312" w:hAnsi="宋体" w:eastAsia="仿宋_GB2312"/>
                <w:color w:val="000000" w:themeColor="text1"/>
                <w:kern w:val="0"/>
                <w:szCs w:val="21"/>
                <w14:textFill>
                  <w14:solidFill>
                    <w14:schemeClr w14:val="tx1"/>
                  </w14:solidFill>
                </w14:textFill>
              </w:rPr>
              <w:t>2.5</w:t>
            </w:r>
            <w:r>
              <w:rPr>
                <w:rFonts w:ascii="仿宋_GB2312" w:hAnsi="宋体" w:eastAsia="仿宋_GB2312"/>
                <w:color w:val="000000" w:themeColor="text1"/>
                <w:kern w:val="0"/>
                <w:szCs w:val="21"/>
                <w14:textFill>
                  <w14:solidFill>
                    <w14:schemeClr w14:val="tx1"/>
                  </w14:solidFill>
                </w14:textFill>
              </w:rPr>
              <w:t>万元以上</w:t>
            </w:r>
            <w:r>
              <w:rPr>
                <w:rFonts w:hint="eastAsia" w:ascii="仿宋_GB2312" w:hAnsi="宋体" w:eastAsia="仿宋_GB2312"/>
                <w:color w:val="000000" w:themeColor="text1"/>
                <w:kern w:val="0"/>
                <w:szCs w:val="21"/>
                <w14:textFill>
                  <w14:solidFill>
                    <w14:schemeClr w14:val="tx1"/>
                  </w14:solidFill>
                </w14:textFill>
              </w:rPr>
              <w:t>3</w:t>
            </w:r>
            <w:r>
              <w:rPr>
                <w:rFonts w:ascii="仿宋_GB2312" w:hAnsi="宋体" w:eastAsia="仿宋_GB2312"/>
                <w:color w:val="000000" w:themeColor="text1"/>
                <w:kern w:val="0"/>
                <w:szCs w:val="21"/>
                <w14:textFill>
                  <w14:solidFill>
                    <w14:schemeClr w14:val="tx1"/>
                  </w14:solidFill>
                </w14:textFill>
              </w:rPr>
              <w:t>万元以下罚款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 xml:space="preserve"> 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百分之八点五</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百分之十</w:t>
            </w:r>
            <w:r>
              <w:rPr>
                <w:rFonts w:ascii="仿宋_GB2312" w:hAnsi="宋体" w:eastAsia="仿宋_GB2312"/>
                <w:color w:val="000000" w:themeColor="text1"/>
                <w:kern w:val="0"/>
                <w:szCs w:val="21"/>
                <w14:textFill>
                  <w14:solidFill>
                    <w14:schemeClr w14:val="tx1"/>
                  </w14:solidFill>
                </w14:textFill>
              </w:rPr>
              <w:t>以下罚款</w:t>
            </w:r>
            <w:r>
              <w:rPr>
                <w:rFonts w:hint="eastAsia" w:ascii="仿宋_GB2312" w:hAnsi="宋体" w:eastAsia="仿宋_GB2312"/>
                <w:color w:val="000000" w:themeColor="text1"/>
                <w:kern w:val="0"/>
                <w:szCs w:val="21"/>
                <w14:textFill>
                  <w14:solidFill>
                    <w14:schemeClr w14:val="tx1"/>
                  </w14:solidFill>
                </w14:textFill>
              </w:rPr>
              <w:t>。</w:t>
            </w:r>
          </w:p>
        </w:tc>
      </w:tr>
      <w:tr w14:paraId="5572091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72CE3493">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49</w:t>
            </w:r>
          </w:p>
        </w:tc>
        <w:tc>
          <w:tcPr>
            <w:tcW w:w="1376" w:type="dxa"/>
            <w:vMerge w:val="restart"/>
            <w:tcBorders>
              <w:tl2br w:val="nil"/>
              <w:tr2bl w:val="nil"/>
            </w:tcBorders>
            <w:vAlign w:val="center"/>
          </w:tcPr>
          <w:p w14:paraId="50A3BAF1">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520985CB">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4F5046A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建设单位伪造或者涂改施工许可证</w:t>
            </w:r>
          </w:p>
        </w:tc>
        <w:tc>
          <w:tcPr>
            <w:tcW w:w="1128" w:type="dxa"/>
            <w:gridSpan w:val="2"/>
            <w:vMerge w:val="restart"/>
            <w:tcBorders>
              <w:tl2br w:val="nil"/>
              <w:tr2bl w:val="nil"/>
            </w:tcBorders>
            <w:vAlign w:val="center"/>
          </w:tcPr>
          <w:p w14:paraId="6114B34A">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7883F8FE">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601303D9">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《建筑工程施工许可管理办法》第七条</w:t>
            </w:r>
          </w:p>
        </w:tc>
        <w:tc>
          <w:tcPr>
            <w:tcW w:w="4354" w:type="dxa"/>
            <w:vMerge w:val="restart"/>
            <w:tcBorders>
              <w:tl2br w:val="nil"/>
              <w:tr2bl w:val="nil"/>
            </w:tcBorders>
            <w:vAlign w:val="center"/>
          </w:tcPr>
          <w:p w14:paraId="48766782">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《建筑工程施工许可管理办法》</w:t>
            </w:r>
          </w:p>
          <w:p w14:paraId="12003FED">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第十四条</w:t>
            </w:r>
            <w:r>
              <w:rPr>
                <w:rFonts w:hint="eastAsia" w:ascii="仿宋_GB2312" w:hAnsi="宋体" w:eastAsia="仿宋_GB2312"/>
                <w:color w:val="000000" w:themeColor="text1"/>
                <w:kern w:val="0"/>
                <w:szCs w:val="21"/>
                <w14:textFill>
                  <w14:solidFill>
                    <w14:schemeClr w14:val="tx1"/>
                  </w14:solidFill>
                </w14:textFill>
              </w:rPr>
              <w:t>第二款</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ascii="仿宋_GB2312" w:hAnsi="宋体" w:eastAsia="仿宋_GB2312"/>
                <w:color w:val="000000" w:themeColor="text1"/>
                <w:kern w:val="0"/>
                <w:szCs w:val="21"/>
                <w14:textFill>
                  <w14:solidFill>
                    <w14:schemeClr w14:val="tx1"/>
                  </w14:solidFill>
                </w14:textFill>
              </w:rPr>
              <w:t>建设单位伪造或者涂改施工许可证的，由发证机关责令停止施工，并处1万元以上3万元以下罚款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构成犯罪的，依法追究刑事责任。</w:t>
            </w:r>
          </w:p>
          <w:p w14:paraId="43E5A6B0">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lang w:eastAsia="zh-CN"/>
                <w14:textFill>
                  <w14:solidFill>
                    <w14:schemeClr w14:val="tx1"/>
                  </w14:solidFill>
                </w14:textFill>
              </w:rPr>
            </w:pPr>
          </w:p>
          <w:p w14:paraId="543AE92A">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《建筑工程施工许可管理办法》</w:t>
            </w:r>
          </w:p>
          <w:p w14:paraId="73B20FDC">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第十五条</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ascii="仿宋_GB2312" w:hAnsi="宋体" w:eastAsia="仿宋_GB2312"/>
                <w:color w:val="000000" w:themeColor="text1"/>
                <w:kern w:val="0"/>
                <w:szCs w:val="21"/>
                <w14:textFill>
                  <w14:solidFill>
                    <w14:schemeClr w14:val="tx1"/>
                  </w14:solidFill>
                </w14:textFill>
              </w:rPr>
              <w:t>依照本办法规定，给予单位罚款处罚的，对单位直接负责的主管人员和其他直接责任人员处单位罚款数额5%以上10%以下罚款。</w:t>
            </w:r>
          </w:p>
          <w:p w14:paraId="3FD40A74">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单位及相关责任人受到处罚的，作为不良行为记录予以通报。</w:t>
            </w:r>
          </w:p>
        </w:tc>
        <w:tc>
          <w:tcPr>
            <w:tcW w:w="912" w:type="dxa"/>
            <w:tcBorders>
              <w:tl2br w:val="nil"/>
              <w:tr2bl w:val="nil"/>
            </w:tcBorders>
            <w:vAlign w:val="center"/>
          </w:tcPr>
          <w:p w14:paraId="1D7DF8B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2DDEDC0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375" w:type="dxa"/>
            <w:tcBorders>
              <w:tl2br w:val="nil"/>
              <w:tr2bl w:val="nil"/>
            </w:tcBorders>
            <w:vAlign w:val="center"/>
          </w:tcPr>
          <w:p w14:paraId="6E50B873">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责令停止施工，并</w:t>
            </w:r>
            <w:r>
              <w:rPr>
                <w:rFonts w:ascii="仿宋_GB2312" w:hAnsi="宋体" w:eastAsia="仿宋_GB2312"/>
                <w:color w:val="000000" w:themeColor="text1"/>
                <w:kern w:val="0"/>
                <w:szCs w:val="21"/>
                <w14:textFill>
                  <w14:solidFill>
                    <w14:schemeClr w14:val="tx1"/>
                  </w14:solidFill>
                </w14:textFill>
              </w:rPr>
              <w:t>处1万元以上</w:t>
            </w:r>
            <w:r>
              <w:rPr>
                <w:rFonts w:hint="eastAsia" w:ascii="仿宋_GB2312" w:hAnsi="宋体" w:eastAsia="仿宋_GB2312"/>
                <w:color w:val="000000" w:themeColor="text1"/>
                <w:kern w:val="0"/>
                <w:szCs w:val="21"/>
                <w14:textFill>
                  <w14:solidFill>
                    <w14:schemeClr w14:val="tx1"/>
                  </w14:solidFill>
                </w14:textFill>
              </w:rPr>
              <w:t>1.5</w:t>
            </w:r>
            <w:r>
              <w:rPr>
                <w:rFonts w:ascii="仿宋_GB2312" w:hAnsi="宋体" w:eastAsia="仿宋_GB2312"/>
                <w:color w:val="000000" w:themeColor="text1"/>
                <w:kern w:val="0"/>
                <w:szCs w:val="21"/>
                <w14:textFill>
                  <w14:solidFill>
                    <w14:schemeClr w14:val="tx1"/>
                  </w14:solidFill>
                </w14:textFill>
              </w:rPr>
              <w:t>万元以下罚款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百分之五</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百分之六</w:t>
            </w:r>
            <w:r>
              <w:rPr>
                <w:rFonts w:ascii="仿宋_GB2312" w:hAnsi="宋体" w:eastAsia="仿宋_GB2312"/>
                <w:color w:val="000000" w:themeColor="text1"/>
                <w:kern w:val="0"/>
                <w:szCs w:val="21"/>
                <w14:textFill>
                  <w14:solidFill>
                    <w14:schemeClr w14:val="tx1"/>
                  </w14:solidFill>
                </w14:textFill>
              </w:rPr>
              <w:t>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单位及相关责任人受到处罚的，作为不良行为记录予以通报</w:t>
            </w:r>
            <w:r>
              <w:rPr>
                <w:rFonts w:hint="eastAsia" w:ascii="仿宋_GB2312" w:hAnsi="宋体" w:eastAsia="仿宋_GB2312"/>
                <w:color w:val="000000" w:themeColor="text1"/>
                <w:kern w:val="0"/>
                <w:szCs w:val="21"/>
                <w14:textFill>
                  <w14:solidFill>
                    <w14:schemeClr w14:val="tx1"/>
                  </w14:solidFill>
                </w14:textFill>
              </w:rPr>
              <w:t>。</w:t>
            </w:r>
          </w:p>
        </w:tc>
      </w:tr>
      <w:tr w14:paraId="63D71D3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312BBD99">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29AE08E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34A11D7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tcPr>
          <w:p w14:paraId="5A8E286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4FAB6587">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571BD31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6F67A729">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责令停止施工，并</w:t>
            </w:r>
            <w:r>
              <w:rPr>
                <w:rFonts w:ascii="仿宋_GB2312" w:hAnsi="宋体" w:eastAsia="仿宋_GB2312"/>
                <w:color w:val="000000" w:themeColor="text1"/>
                <w:kern w:val="0"/>
                <w:szCs w:val="21"/>
                <w14:textFill>
                  <w14:solidFill>
                    <w14:schemeClr w14:val="tx1"/>
                  </w14:solidFill>
                </w14:textFill>
              </w:rPr>
              <w:t>处</w:t>
            </w:r>
            <w:r>
              <w:rPr>
                <w:rFonts w:hint="eastAsia" w:ascii="仿宋_GB2312" w:hAnsi="宋体" w:eastAsia="仿宋_GB2312"/>
                <w:color w:val="000000" w:themeColor="text1"/>
                <w:kern w:val="0"/>
                <w:szCs w:val="21"/>
                <w14:textFill>
                  <w14:solidFill>
                    <w14:schemeClr w14:val="tx1"/>
                  </w14:solidFill>
                </w14:textFill>
              </w:rPr>
              <w:t>1.5</w:t>
            </w:r>
            <w:r>
              <w:rPr>
                <w:rFonts w:ascii="仿宋_GB2312" w:hAnsi="宋体" w:eastAsia="仿宋_GB2312"/>
                <w:color w:val="000000" w:themeColor="text1"/>
                <w:kern w:val="0"/>
                <w:szCs w:val="21"/>
                <w14:textFill>
                  <w14:solidFill>
                    <w14:schemeClr w14:val="tx1"/>
                  </w14:solidFill>
                </w14:textFill>
              </w:rPr>
              <w:t>万元以上</w:t>
            </w:r>
            <w:r>
              <w:rPr>
                <w:rFonts w:hint="eastAsia" w:ascii="仿宋_GB2312" w:hAnsi="宋体" w:eastAsia="仿宋_GB2312"/>
                <w:color w:val="000000" w:themeColor="text1"/>
                <w:kern w:val="0"/>
                <w:szCs w:val="21"/>
                <w14:textFill>
                  <w14:solidFill>
                    <w14:schemeClr w14:val="tx1"/>
                  </w14:solidFill>
                </w14:textFill>
              </w:rPr>
              <w:t>2.5</w:t>
            </w:r>
            <w:r>
              <w:rPr>
                <w:rFonts w:ascii="仿宋_GB2312" w:hAnsi="宋体" w:eastAsia="仿宋_GB2312"/>
                <w:color w:val="000000" w:themeColor="text1"/>
                <w:kern w:val="0"/>
                <w:szCs w:val="21"/>
                <w14:textFill>
                  <w14:solidFill>
                    <w14:schemeClr w14:val="tx1"/>
                  </w14:solidFill>
                </w14:textFill>
              </w:rPr>
              <w:t>万元以下罚款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 xml:space="preserve"> 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百分之六</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百分之八点五</w:t>
            </w:r>
            <w:r>
              <w:rPr>
                <w:rFonts w:ascii="仿宋_GB2312" w:hAnsi="宋体" w:eastAsia="仿宋_GB2312"/>
                <w:color w:val="000000" w:themeColor="text1"/>
                <w:kern w:val="0"/>
                <w:szCs w:val="21"/>
                <w14:textFill>
                  <w14:solidFill>
                    <w14:schemeClr w14:val="tx1"/>
                  </w14:solidFill>
                </w14:textFill>
              </w:rPr>
              <w:t>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单位及相关责任人受到处罚的，作为不良行为记录予以通报</w:t>
            </w:r>
            <w:r>
              <w:rPr>
                <w:rFonts w:hint="eastAsia" w:ascii="仿宋_GB2312" w:hAnsi="宋体" w:eastAsia="仿宋_GB2312"/>
                <w:color w:val="000000" w:themeColor="text1"/>
                <w:kern w:val="0"/>
                <w:szCs w:val="21"/>
                <w14:textFill>
                  <w14:solidFill>
                    <w14:schemeClr w14:val="tx1"/>
                  </w14:solidFill>
                </w14:textFill>
              </w:rPr>
              <w:t>。</w:t>
            </w:r>
          </w:p>
        </w:tc>
      </w:tr>
      <w:tr w14:paraId="0B8D791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4AAE9510">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78CA5A9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1272E2B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3DAE18F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13E6DF5E">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0E706B0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（1）曾因该违法行为被依法查处，再次实施该违法行为的；</w:t>
            </w:r>
          </w:p>
          <w:p w14:paraId="23A67A9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（2）造成工程质量事故的；</w:t>
            </w:r>
          </w:p>
          <w:p w14:paraId="3933A86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（3）其他依法应予从重处罚的情形。</w:t>
            </w:r>
          </w:p>
        </w:tc>
        <w:tc>
          <w:tcPr>
            <w:tcW w:w="3375" w:type="dxa"/>
            <w:tcBorders>
              <w:tl2br w:val="nil"/>
              <w:tr2bl w:val="nil"/>
            </w:tcBorders>
            <w:vAlign w:val="center"/>
          </w:tcPr>
          <w:p w14:paraId="1DE3E367">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责令停止施工，并</w:t>
            </w:r>
            <w:r>
              <w:rPr>
                <w:rFonts w:ascii="仿宋_GB2312" w:hAnsi="宋体" w:eastAsia="仿宋_GB2312"/>
                <w:color w:val="000000" w:themeColor="text1"/>
                <w:kern w:val="0"/>
                <w:szCs w:val="21"/>
                <w14:textFill>
                  <w14:solidFill>
                    <w14:schemeClr w14:val="tx1"/>
                  </w14:solidFill>
                </w14:textFill>
              </w:rPr>
              <w:t>处</w:t>
            </w:r>
            <w:r>
              <w:rPr>
                <w:rFonts w:hint="eastAsia" w:ascii="仿宋_GB2312" w:hAnsi="宋体" w:eastAsia="仿宋_GB2312"/>
                <w:color w:val="000000" w:themeColor="text1"/>
                <w:kern w:val="0"/>
                <w:szCs w:val="21"/>
                <w14:textFill>
                  <w14:solidFill>
                    <w14:schemeClr w14:val="tx1"/>
                  </w14:solidFill>
                </w14:textFill>
              </w:rPr>
              <w:t>2.5</w:t>
            </w:r>
            <w:r>
              <w:rPr>
                <w:rFonts w:ascii="仿宋_GB2312" w:hAnsi="宋体" w:eastAsia="仿宋_GB2312"/>
                <w:color w:val="000000" w:themeColor="text1"/>
                <w:kern w:val="0"/>
                <w:szCs w:val="21"/>
                <w14:textFill>
                  <w14:solidFill>
                    <w14:schemeClr w14:val="tx1"/>
                  </w14:solidFill>
                </w14:textFill>
              </w:rPr>
              <w:t>万元以上</w:t>
            </w:r>
            <w:r>
              <w:rPr>
                <w:rFonts w:hint="eastAsia" w:ascii="仿宋_GB2312" w:hAnsi="宋体" w:eastAsia="仿宋_GB2312"/>
                <w:color w:val="000000" w:themeColor="text1"/>
                <w:kern w:val="0"/>
                <w:szCs w:val="21"/>
                <w14:textFill>
                  <w14:solidFill>
                    <w14:schemeClr w14:val="tx1"/>
                  </w14:solidFill>
                </w14:textFill>
              </w:rPr>
              <w:t>3</w:t>
            </w:r>
            <w:r>
              <w:rPr>
                <w:rFonts w:ascii="仿宋_GB2312" w:hAnsi="宋体" w:eastAsia="仿宋_GB2312"/>
                <w:color w:val="000000" w:themeColor="text1"/>
                <w:kern w:val="0"/>
                <w:szCs w:val="21"/>
                <w14:textFill>
                  <w14:solidFill>
                    <w14:schemeClr w14:val="tx1"/>
                  </w14:solidFill>
                </w14:textFill>
              </w:rPr>
              <w:t>万元以下罚款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 xml:space="preserve"> 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百分之八点五</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百分之十</w:t>
            </w:r>
            <w:r>
              <w:rPr>
                <w:rFonts w:ascii="仿宋_GB2312" w:hAnsi="宋体" w:eastAsia="仿宋_GB2312"/>
                <w:color w:val="000000" w:themeColor="text1"/>
                <w:kern w:val="0"/>
                <w:szCs w:val="21"/>
                <w14:textFill>
                  <w14:solidFill>
                    <w14:schemeClr w14:val="tx1"/>
                  </w14:solidFill>
                </w14:textFill>
              </w:rPr>
              <w:t>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单位及相关责任人受到处罚的，作为不良行为记录予以通报</w:t>
            </w:r>
            <w:r>
              <w:rPr>
                <w:rFonts w:hint="eastAsia" w:ascii="仿宋_GB2312" w:hAnsi="宋体" w:eastAsia="仿宋_GB2312"/>
                <w:color w:val="000000" w:themeColor="text1"/>
                <w:kern w:val="0"/>
                <w:szCs w:val="21"/>
                <w14:textFill>
                  <w14:solidFill>
                    <w14:schemeClr w14:val="tx1"/>
                  </w14:solidFill>
                </w14:textFill>
              </w:rPr>
              <w:t>。</w:t>
            </w:r>
          </w:p>
        </w:tc>
      </w:tr>
      <w:tr w14:paraId="451D9CE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0" w:hRule="atLeast"/>
          <w:jc w:val="center"/>
        </w:trPr>
        <w:tc>
          <w:tcPr>
            <w:tcW w:w="533" w:type="dxa"/>
            <w:gridSpan w:val="2"/>
            <w:vMerge w:val="restart"/>
            <w:tcBorders>
              <w:tl2br w:val="nil"/>
              <w:tr2bl w:val="nil"/>
            </w:tcBorders>
            <w:vAlign w:val="center"/>
          </w:tcPr>
          <w:p w14:paraId="77C6836C">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kern w:val="0"/>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50</w:t>
            </w:r>
          </w:p>
        </w:tc>
        <w:tc>
          <w:tcPr>
            <w:tcW w:w="1376" w:type="dxa"/>
            <w:vMerge w:val="restart"/>
            <w:tcBorders>
              <w:tl2br w:val="nil"/>
              <w:tr2bl w:val="nil"/>
            </w:tcBorders>
            <w:vAlign w:val="center"/>
          </w:tcPr>
          <w:p w14:paraId="59D2FAB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1DD1DF3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建设单位对勘察、设计、施工、工程监理等单位提出不符合安全生产法律、法规和强制性标准规定的要求</w:t>
            </w:r>
          </w:p>
        </w:tc>
        <w:tc>
          <w:tcPr>
            <w:tcW w:w="1128" w:type="dxa"/>
            <w:gridSpan w:val="2"/>
            <w:vMerge w:val="restart"/>
            <w:tcBorders>
              <w:tl2br w:val="nil"/>
              <w:tr2bl w:val="nil"/>
            </w:tcBorders>
            <w:vAlign w:val="center"/>
          </w:tcPr>
          <w:p w14:paraId="41E1C21B">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《建设工程安全生产管理条例》第七条</w:t>
            </w:r>
          </w:p>
        </w:tc>
        <w:tc>
          <w:tcPr>
            <w:tcW w:w="4354" w:type="dxa"/>
            <w:vMerge w:val="restart"/>
            <w:tcBorders>
              <w:tl2br w:val="nil"/>
              <w:tr2bl w:val="nil"/>
            </w:tcBorders>
            <w:vAlign w:val="center"/>
          </w:tcPr>
          <w:p w14:paraId="0A4DAADE">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w:t>
            </w:r>
          </w:p>
          <w:p w14:paraId="0107F7AD">
            <w:pPr>
              <w:keepNext w:val="0"/>
              <w:keepLines w:val="0"/>
              <w:pageBreakBefore w:val="0"/>
              <w:kinsoku/>
              <w:overflowPunct/>
              <w:topLinePunct w:val="0"/>
              <w:autoSpaceDE/>
              <w:autoSpaceDN/>
              <w:bidi w:val="0"/>
              <w:adjustRightInd/>
              <w:spacing w:line="260" w:lineRule="exact"/>
              <w:ind w:firstLine="420" w:firstLineChars="2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第五十五条第(一)项</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条例的规定，建设单位有下列行为之一的，责令限期改正，处20万元以上50万元以下的罚款；造成重大安全事故，构成犯罪的，对直接责任人员，依照刑法有关规定追究刑事责任；造成损失的，依法承担赔偿责任：</w:t>
            </w:r>
          </w:p>
          <w:p w14:paraId="0EFD5C11">
            <w:pPr>
              <w:keepNext w:val="0"/>
              <w:keepLines w:val="0"/>
              <w:pageBreakBefore w:val="0"/>
              <w:widowControl/>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(一)对勘察、设计、施工、工程监理等单位提出不符合安全生产法律、法规和强制性标准规定的要求的；</w:t>
            </w:r>
          </w:p>
        </w:tc>
        <w:tc>
          <w:tcPr>
            <w:tcW w:w="912" w:type="dxa"/>
            <w:tcBorders>
              <w:tl2br w:val="nil"/>
              <w:tr2bl w:val="nil"/>
            </w:tcBorders>
            <w:vAlign w:val="center"/>
          </w:tcPr>
          <w:p w14:paraId="28CFD65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4104F07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375" w:type="dxa"/>
            <w:tcBorders>
              <w:tl2br w:val="nil"/>
              <w:tr2bl w:val="nil"/>
            </w:tcBorders>
            <w:vAlign w:val="center"/>
          </w:tcPr>
          <w:p w14:paraId="5D47B928">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责令限期改正，处20万元以上</w:t>
            </w:r>
            <w:r>
              <w:rPr>
                <w:rFonts w:hint="eastAsia" w:ascii="仿宋_GB2312" w:hAnsi="宋体" w:eastAsia="仿宋_GB2312"/>
                <w:color w:val="000000" w:themeColor="text1"/>
                <w:kern w:val="0"/>
                <w:szCs w:val="21"/>
                <w:lang w:val="en-US" w:eastAsia="zh-CN"/>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万元以下的罚款。</w:t>
            </w:r>
          </w:p>
        </w:tc>
      </w:tr>
      <w:tr w14:paraId="24CFB86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1" w:hRule="atLeast"/>
          <w:jc w:val="center"/>
        </w:trPr>
        <w:tc>
          <w:tcPr>
            <w:tcW w:w="533" w:type="dxa"/>
            <w:gridSpan w:val="2"/>
            <w:vMerge w:val="continue"/>
            <w:tcBorders>
              <w:tl2br w:val="nil"/>
              <w:tr2bl w:val="nil"/>
            </w:tcBorders>
            <w:vAlign w:val="center"/>
          </w:tcPr>
          <w:p w14:paraId="6CF2689C">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2A71F70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1E9B4FE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56BF209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39555FD1">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2C7629E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6EB71B02">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w:t>
            </w:r>
            <w:r>
              <w:rPr>
                <w:rFonts w:hint="eastAsia" w:ascii="仿宋_GB2312" w:hAnsi="宋体" w:eastAsia="仿宋_GB2312"/>
                <w:color w:val="000000" w:themeColor="text1"/>
                <w:kern w:val="0"/>
                <w:szCs w:val="21"/>
                <w:lang w:val="en-US" w:eastAsia="zh-CN"/>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万元以上40万元以下的罚款。</w:t>
            </w:r>
          </w:p>
        </w:tc>
      </w:tr>
      <w:tr w14:paraId="03ECF73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540EFC99">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45FE019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0E0D48E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49AB396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1ED8227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69AC841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val="en-US" w:eastAsia="zh-CN"/>
                <w14:textFill>
                  <w14:solidFill>
                    <w14:schemeClr w14:val="tx1"/>
                  </w14:solidFill>
                </w14:textFill>
              </w:rPr>
              <w:t>有下列情形之一的：</w:t>
            </w:r>
            <w:r>
              <w:rPr>
                <w:rFonts w:hint="eastAsia" w:ascii="仿宋_GB2312" w:hAnsi="宋体" w:eastAsia="仿宋_GB2312"/>
                <w:color w:val="000000" w:themeColor="text1"/>
                <w:kern w:val="0"/>
                <w:szCs w:val="21"/>
                <w14:textFill>
                  <w14:solidFill>
                    <w14:schemeClr w14:val="tx1"/>
                  </w14:solidFill>
                </w14:textFill>
              </w:rPr>
              <w:t>（1）经责令改正后，逾期未改正的；</w:t>
            </w:r>
          </w:p>
          <w:p w14:paraId="74DFFD0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5092EBE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（3）造成工程质量事故的；</w:t>
            </w:r>
          </w:p>
          <w:p w14:paraId="598C040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（4）其他依法应予从重处罚的情形。</w:t>
            </w:r>
          </w:p>
        </w:tc>
        <w:tc>
          <w:tcPr>
            <w:tcW w:w="3375" w:type="dxa"/>
            <w:tcBorders>
              <w:tl2br w:val="nil"/>
              <w:tr2bl w:val="nil"/>
            </w:tcBorders>
            <w:vAlign w:val="center"/>
          </w:tcPr>
          <w:p w14:paraId="668A4F82">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责令限期改正，处40万元以上50万元以下的罚款。</w:t>
            </w:r>
          </w:p>
        </w:tc>
      </w:tr>
      <w:tr w14:paraId="56FEA3E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jc w:val="center"/>
        </w:trPr>
        <w:tc>
          <w:tcPr>
            <w:tcW w:w="533" w:type="dxa"/>
            <w:gridSpan w:val="2"/>
            <w:vMerge w:val="restart"/>
            <w:tcBorders>
              <w:tl2br w:val="nil"/>
              <w:tr2bl w:val="nil"/>
            </w:tcBorders>
            <w:vAlign w:val="center"/>
          </w:tcPr>
          <w:p w14:paraId="39DB9489">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仿宋" w:eastAsia="仿宋_GB2312" w:cs="Times New Roman"/>
                <w:color w:val="000000" w:themeColor="text1"/>
                <w:kern w:val="0"/>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51</w:t>
            </w:r>
          </w:p>
        </w:tc>
        <w:tc>
          <w:tcPr>
            <w:tcW w:w="1376" w:type="dxa"/>
            <w:vMerge w:val="restart"/>
            <w:tcBorders>
              <w:tl2br w:val="nil"/>
              <w:tr2bl w:val="nil"/>
            </w:tcBorders>
            <w:vAlign w:val="center"/>
          </w:tcPr>
          <w:p w14:paraId="5D43882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建设单位将拆除工程发包给不具有相应资质等级的施工单位</w:t>
            </w:r>
          </w:p>
        </w:tc>
        <w:tc>
          <w:tcPr>
            <w:tcW w:w="1128" w:type="dxa"/>
            <w:gridSpan w:val="2"/>
            <w:vMerge w:val="restart"/>
            <w:tcBorders>
              <w:tl2br w:val="nil"/>
              <w:tr2bl w:val="nil"/>
            </w:tcBorders>
            <w:vAlign w:val="center"/>
          </w:tcPr>
          <w:p w14:paraId="0BE62B08">
            <w:pPr>
              <w:keepNext w:val="0"/>
              <w:keepLines w:val="0"/>
              <w:pageBreakBefore w:val="0"/>
              <w:kinsoku/>
              <w:overflowPunct/>
              <w:topLinePunct w:val="0"/>
              <w:autoSpaceDE/>
              <w:autoSpaceDN/>
              <w:bidi w:val="0"/>
              <w:adjustRightInd/>
              <w:spacing w:line="260" w:lineRule="exact"/>
              <w:jc w:val="left"/>
              <w:rPr>
                <w:rFonts w:ascii="宋体"/>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《建设工程安全生产管理条例》第十一条第一款</w:t>
            </w:r>
          </w:p>
        </w:tc>
        <w:tc>
          <w:tcPr>
            <w:tcW w:w="4354" w:type="dxa"/>
            <w:vMerge w:val="restart"/>
            <w:tcBorders>
              <w:tl2br w:val="nil"/>
              <w:tr2bl w:val="nil"/>
            </w:tcBorders>
            <w:vAlign w:val="center"/>
          </w:tcPr>
          <w:p w14:paraId="1324D7DE">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w:t>
            </w:r>
          </w:p>
          <w:p w14:paraId="54036F28">
            <w:pPr>
              <w:keepNext w:val="0"/>
              <w:keepLines w:val="0"/>
              <w:pageBreakBefore w:val="0"/>
              <w:kinsoku/>
              <w:overflowPunct/>
              <w:topLinePunct w:val="0"/>
              <w:autoSpaceDE/>
              <w:autoSpaceDN/>
              <w:bidi w:val="0"/>
              <w:adjustRightInd/>
              <w:spacing w:line="260" w:lineRule="exact"/>
              <w:ind w:firstLine="420" w:firstLineChars="2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第五十五条第(三)项</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条例的规定，建设单位有下列行为之一的，责令限期改正，处20万元以上50万元以下的罚款；造成重大安全事故，构成犯罪的，对直接责任人员，依照刑法有关规定追究刑事责任；造成损失的，依法承担赔偿责任：</w:t>
            </w:r>
          </w:p>
          <w:p w14:paraId="0D28A0A7">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(三)将拆除工程发包给不具有相应资质等级的施工单位的。</w:t>
            </w:r>
          </w:p>
        </w:tc>
        <w:tc>
          <w:tcPr>
            <w:tcW w:w="912" w:type="dxa"/>
            <w:tcBorders>
              <w:tl2br w:val="nil"/>
              <w:tr2bl w:val="nil"/>
            </w:tcBorders>
            <w:vAlign w:val="center"/>
          </w:tcPr>
          <w:p w14:paraId="4E341B35">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4772B5C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375" w:type="dxa"/>
            <w:tcBorders>
              <w:tl2br w:val="nil"/>
              <w:tr2bl w:val="nil"/>
            </w:tcBorders>
            <w:vAlign w:val="center"/>
          </w:tcPr>
          <w:p w14:paraId="7B6F763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责令限期改正，处20万元以上25万元以下的罚款。</w:t>
            </w:r>
          </w:p>
        </w:tc>
      </w:tr>
      <w:tr w14:paraId="22F1D4F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atLeast"/>
          <w:jc w:val="center"/>
        </w:trPr>
        <w:tc>
          <w:tcPr>
            <w:tcW w:w="533" w:type="dxa"/>
            <w:gridSpan w:val="2"/>
            <w:vMerge w:val="continue"/>
            <w:tcBorders>
              <w:tl2br w:val="nil"/>
              <w:tr2bl w:val="nil"/>
            </w:tcBorders>
            <w:vAlign w:val="center"/>
          </w:tcPr>
          <w:p w14:paraId="6A872BB2">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3729E67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7E56039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22D9EDE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4FBC24AC">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24943D9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0AFBEF7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责令限期改正，处25万元以上40万元以下的罚款。</w:t>
            </w:r>
          </w:p>
        </w:tc>
      </w:tr>
      <w:tr w14:paraId="5E907F9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6DC9FB9C">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4A1892C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40994AC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46EB83E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3582779E">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47404BD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08C9549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375" w:type="dxa"/>
            <w:tcBorders>
              <w:tl2br w:val="nil"/>
              <w:tr2bl w:val="nil"/>
            </w:tcBorders>
            <w:vAlign w:val="center"/>
          </w:tcPr>
          <w:p w14:paraId="4390534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责令限期改正，处40万元以上50万元以下的罚款。</w:t>
            </w:r>
          </w:p>
        </w:tc>
      </w:tr>
      <w:tr w14:paraId="30D115A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1A993EE2">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仿宋" w:eastAsia="仿宋_GB2312" w:cs="Times New Roman"/>
                <w:color w:val="000000" w:themeColor="text1"/>
                <w:kern w:val="0"/>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52</w:t>
            </w:r>
          </w:p>
        </w:tc>
        <w:tc>
          <w:tcPr>
            <w:tcW w:w="1376" w:type="dxa"/>
            <w:vMerge w:val="restart"/>
            <w:tcBorders>
              <w:tl2br w:val="nil"/>
              <w:tr2bl w:val="nil"/>
            </w:tcBorders>
            <w:vAlign w:val="center"/>
          </w:tcPr>
          <w:p w14:paraId="1341E779">
            <w:pPr>
              <w:keepNext w:val="0"/>
              <w:keepLines w:val="0"/>
              <w:pageBreakBefore w:val="0"/>
              <w:widowControl/>
              <w:kinsoku/>
              <w:overflowPunct/>
              <w:topLinePunct w:val="0"/>
              <w:autoSpaceDE/>
              <w:autoSpaceDN/>
              <w:bidi w:val="0"/>
              <w:adjustRightInd/>
              <w:spacing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采用新结构、新材料、新工艺的建设工程和特殊结构的建设工程，设计单位未在设计中提出保障施工作业人员安全和预防生产安全事故的措施建议</w:t>
            </w:r>
          </w:p>
        </w:tc>
        <w:tc>
          <w:tcPr>
            <w:tcW w:w="1128" w:type="dxa"/>
            <w:gridSpan w:val="2"/>
            <w:vMerge w:val="restart"/>
            <w:tcBorders>
              <w:tl2br w:val="nil"/>
              <w:tr2bl w:val="nil"/>
            </w:tcBorders>
            <w:vAlign w:val="center"/>
          </w:tcPr>
          <w:p w14:paraId="0FA23507">
            <w:pPr>
              <w:keepNext w:val="0"/>
              <w:keepLines w:val="0"/>
              <w:pageBreakBefore w:val="0"/>
              <w:kinsoku/>
              <w:overflowPunct/>
              <w:topLinePunct w:val="0"/>
              <w:autoSpaceDE/>
              <w:autoSpaceDN/>
              <w:bidi w:val="0"/>
              <w:adjustRightInd/>
              <w:spacing w:line="260" w:lineRule="exact"/>
              <w:jc w:val="left"/>
              <w:rPr>
                <w:rFonts w:ascii="宋体" w:hAnsi="宋体"/>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《建设工程安全生产管理条例》第十三条第三款</w:t>
            </w:r>
          </w:p>
        </w:tc>
        <w:tc>
          <w:tcPr>
            <w:tcW w:w="4354" w:type="dxa"/>
            <w:vMerge w:val="restart"/>
            <w:tcBorders>
              <w:tl2br w:val="nil"/>
              <w:tr2bl w:val="nil"/>
            </w:tcBorders>
            <w:vAlign w:val="center"/>
          </w:tcPr>
          <w:p w14:paraId="149C0809">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w:t>
            </w:r>
          </w:p>
          <w:p w14:paraId="69C6467C">
            <w:pPr>
              <w:keepNext w:val="0"/>
              <w:keepLines w:val="0"/>
              <w:pageBreakBefore w:val="0"/>
              <w:kinsoku/>
              <w:overflowPunct/>
              <w:topLinePunct w:val="0"/>
              <w:autoSpaceDE/>
              <w:autoSpaceDN/>
              <w:bidi w:val="0"/>
              <w:adjustRightInd/>
              <w:spacing w:line="260" w:lineRule="exact"/>
              <w:ind w:firstLine="420" w:firstLineChars="2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第五十六条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条例的规定，勘察单位、设计单位有下列行为之一的，责令限期改正，处10万元以上30万元以下的罚款；情节严重的，责令停业整顿，降低资质等级，直至吊销资质证书；造成重大安全事故，构成犯罪的，对直接责任人员，依照刑法有关规定追究刑事责任；造成损失的，依法承担赔偿责任：</w:t>
            </w:r>
          </w:p>
          <w:p w14:paraId="1BA4BEF7">
            <w:pPr>
              <w:keepNext w:val="0"/>
              <w:keepLines w:val="0"/>
              <w:pageBreakBefore w:val="0"/>
              <w:kinsoku/>
              <w:overflowPunct/>
              <w:topLinePunct w:val="0"/>
              <w:autoSpaceDE/>
              <w:autoSpaceDN/>
              <w:bidi w:val="0"/>
              <w:adjustRightInd/>
              <w:spacing w:line="260" w:lineRule="exact"/>
              <w:ind w:firstLine="210" w:firstLineChars="100"/>
              <w:jc w:val="left"/>
              <w:rPr>
                <w:rFonts w:ascii="宋体" w:hAnsi="宋体" w:cs="宋体"/>
                <w:bCs/>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(二)采用新结构、新材料、新工艺的建设工程和特殊结构的建设工程，设计单位未在设计中提出保障施工作业人员安全和预防生产安全事故的措施建议的。</w:t>
            </w:r>
          </w:p>
        </w:tc>
        <w:tc>
          <w:tcPr>
            <w:tcW w:w="912" w:type="dxa"/>
            <w:tcBorders>
              <w:tl2br w:val="nil"/>
              <w:tr2bl w:val="nil"/>
            </w:tcBorders>
            <w:vAlign w:val="center"/>
          </w:tcPr>
          <w:p w14:paraId="79CC088A">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3ED7A89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375" w:type="dxa"/>
            <w:tcBorders>
              <w:tl2br w:val="nil"/>
              <w:tr2bl w:val="nil"/>
            </w:tcBorders>
            <w:vAlign w:val="center"/>
          </w:tcPr>
          <w:p w14:paraId="5CC9536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责令限期改正，处10万元以上12万元以下的罚款。</w:t>
            </w:r>
          </w:p>
        </w:tc>
      </w:tr>
      <w:tr w14:paraId="183602D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4" w:hRule="atLeast"/>
          <w:jc w:val="center"/>
        </w:trPr>
        <w:tc>
          <w:tcPr>
            <w:tcW w:w="533" w:type="dxa"/>
            <w:gridSpan w:val="2"/>
            <w:vMerge w:val="continue"/>
            <w:tcBorders>
              <w:tl2br w:val="nil"/>
              <w:tr2bl w:val="nil"/>
            </w:tcBorders>
            <w:vAlign w:val="center"/>
          </w:tcPr>
          <w:p w14:paraId="45B49431">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716AC3B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2EF1FDA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0BC9493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09A2CBAC">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30ABC07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6F3849C0">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责令限期改正，处12万元以上25万元以下的罚款。</w:t>
            </w:r>
          </w:p>
        </w:tc>
      </w:tr>
      <w:tr w14:paraId="79093EE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533" w:type="dxa"/>
            <w:gridSpan w:val="2"/>
            <w:vMerge w:val="continue"/>
            <w:tcBorders>
              <w:tl2br w:val="nil"/>
              <w:tr2bl w:val="nil"/>
            </w:tcBorders>
            <w:vAlign w:val="center"/>
          </w:tcPr>
          <w:p w14:paraId="259B4FF0">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6AE59A5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7DDB0D5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5E3714D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restart"/>
            <w:tcBorders>
              <w:tl2br w:val="nil"/>
              <w:tr2bl w:val="nil"/>
            </w:tcBorders>
            <w:vAlign w:val="center"/>
          </w:tcPr>
          <w:p w14:paraId="0991E99B">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23DE845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造成3人以下死亡，或者10人以下重伤，或者1000万元以下直接经济损失。</w:t>
            </w:r>
          </w:p>
        </w:tc>
        <w:tc>
          <w:tcPr>
            <w:tcW w:w="3375" w:type="dxa"/>
            <w:tcBorders>
              <w:tl2br w:val="nil"/>
              <w:tr2bl w:val="nil"/>
            </w:tcBorders>
            <w:vAlign w:val="center"/>
          </w:tcPr>
          <w:p w14:paraId="66A7E778">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责令限期改正，处25万元以上30万元以下的罚款；责令停业整顿30-60日。</w:t>
            </w:r>
          </w:p>
        </w:tc>
      </w:tr>
      <w:tr w14:paraId="29F048A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33" w:type="dxa"/>
            <w:gridSpan w:val="2"/>
            <w:vMerge w:val="continue"/>
            <w:tcBorders>
              <w:tl2br w:val="nil"/>
              <w:tr2bl w:val="nil"/>
            </w:tcBorders>
            <w:vAlign w:val="center"/>
          </w:tcPr>
          <w:p w14:paraId="20BB3228">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28EF7CE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4F969DE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75D8833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7F2A2A3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6C85EA6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造成3人以上5人以下死亡；或者10人以上20人以下重伤；或者1000万元以上2000万元以下直接经济损失的。</w:t>
            </w:r>
          </w:p>
        </w:tc>
        <w:tc>
          <w:tcPr>
            <w:tcW w:w="3375" w:type="dxa"/>
            <w:tcBorders>
              <w:tl2br w:val="nil"/>
              <w:tr2bl w:val="nil"/>
            </w:tcBorders>
            <w:vAlign w:val="center"/>
          </w:tcPr>
          <w:p w14:paraId="79946249">
            <w:pPr>
              <w:keepNext w:val="0"/>
              <w:keepLines w:val="0"/>
              <w:pageBreakBefore w:val="0"/>
              <w:kinsoku/>
              <w:overflowPunct/>
              <w:topLinePunct w:val="0"/>
              <w:autoSpaceDE/>
              <w:autoSpaceDN/>
              <w:bidi w:val="0"/>
              <w:adjustRightInd/>
              <w:spacing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责令限期改正，处30万元的罚款；责令停业整顿</w:t>
            </w:r>
            <w:r>
              <w:rPr>
                <w:rFonts w:hint="eastAsia" w:ascii="仿宋_GB2312" w:hAnsi="宋体" w:eastAsia="仿宋_GB2312"/>
                <w:color w:val="000000" w:themeColor="text1"/>
                <w:kern w:val="0"/>
                <w:szCs w:val="21"/>
                <w:lang w:val="en-US" w:eastAsia="zh-CN"/>
                <w14:textFill>
                  <w14:solidFill>
                    <w14:schemeClr w14:val="tx1"/>
                  </w14:solidFill>
                </w14:textFill>
              </w:rPr>
              <w:t>60</w:t>
            </w:r>
            <w:r>
              <w:rPr>
                <w:rFonts w:hint="eastAsia" w:ascii="仿宋_GB2312" w:hAnsi="宋体" w:eastAsia="仿宋_GB2312"/>
                <w:color w:val="000000" w:themeColor="text1"/>
                <w:kern w:val="0"/>
                <w:szCs w:val="21"/>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90</w:t>
            </w:r>
            <w:r>
              <w:rPr>
                <w:rFonts w:hint="eastAsia" w:ascii="仿宋_GB2312" w:hAnsi="宋体" w:eastAsia="仿宋_GB2312"/>
                <w:color w:val="000000" w:themeColor="text1"/>
                <w:kern w:val="0"/>
                <w:szCs w:val="21"/>
                <w14:textFill>
                  <w14:solidFill>
                    <w14:schemeClr w14:val="tx1"/>
                  </w14:solidFill>
                </w14:textFill>
              </w:rPr>
              <w:t>日。</w:t>
            </w:r>
          </w:p>
        </w:tc>
      </w:tr>
      <w:tr w14:paraId="415E9C8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533" w:type="dxa"/>
            <w:gridSpan w:val="2"/>
            <w:vMerge w:val="continue"/>
            <w:tcBorders>
              <w:tl2br w:val="nil"/>
              <w:tr2bl w:val="nil"/>
            </w:tcBorders>
            <w:vAlign w:val="center"/>
          </w:tcPr>
          <w:p w14:paraId="6FB96D80">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02CE538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3D5A182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2096597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40480F9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3A18D8BE">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造成5人以上7人以下死亡；或者20人以上30人以下重伤；或者2000万元以上3000万元以下直接经济损失的。</w:t>
            </w:r>
          </w:p>
        </w:tc>
        <w:tc>
          <w:tcPr>
            <w:tcW w:w="3375" w:type="dxa"/>
            <w:tcBorders>
              <w:tl2br w:val="nil"/>
              <w:tr2bl w:val="nil"/>
            </w:tcBorders>
            <w:vAlign w:val="center"/>
          </w:tcPr>
          <w:p w14:paraId="678E5C96">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责令限期改正，处30万元的罚款；责令停业整顿</w:t>
            </w:r>
            <w:r>
              <w:rPr>
                <w:rFonts w:hint="eastAsia" w:ascii="仿宋_GB2312" w:hAnsi="宋体" w:eastAsia="仿宋_GB2312"/>
                <w:color w:val="000000" w:themeColor="text1"/>
                <w:kern w:val="0"/>
                <w:szCs w:val="21"/>
                <w:lang w:val="en-US" w:eastAsia="zh-CN"/>
                <w14:textFill>
                  <w14:solidFill>
                    <w14:schemeClr w14:val="tx1"/>
                  </w14:solidFill>
                </w14:textFill>
              </w:rPr>
              <w:t>90</w:t>
            </w:r>
            <w:r>
              <w:rPr>
                <w:rFonts w:hint="eastAsia" w:ascii="仿宋_GB2312" w:hAnsi="宋体" w:eastAsia="仿宋_GB2312"/>
                <w:color w:val="000000" w:themeColor="text1"/>
                <w:kern w:val="0"/>
                <w:szCs w:val="21"/>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120</w:t>
            </w:r>
            <w:r>
              <w:rPr>
                <w:rFonts w:hint="eastAsia" w:ascii="仿宋_GB2312" w:hAnsi="宋体" w:eastAsia="仿宋_GB2312"/>
                <w:color w:val="000000" w:themeColor="text1"/>
                <w:kern w:val="0"/>
                <w:szCs w:val="21"/>
                <w14:textFill>
                  <w14:solidFill>
                    <w14:schemeClr w14:val="tx1"/>
                  </w14:solidFill>
                </w14:textFill>
              </w:rPr>
              <w:t>日。</w:t>
            </w:r>
          </w:p>
        </w:tc>
      </w:tr>
      <w:tr w14:paraId="6713504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533" w:type="dxa"/>
            <w:gridSpan w:val="2"/>
            <w:vMerge w:val="continue"/>
            <w:tcBorders>
              <w:tl2br w:val="nil"/>
              <w:tr2bl w:val="nil"/>
            </w:tcBorders>
            <w:vAlign w:val="center"/>
          </w:tcPr>
          <w:p w14:paraId="03EEB686">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64521F5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760F0FB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3B3BB71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5055938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1E4D69A6">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造成7人以上10人以下死亡；或者30人以上50人以下重伤；或者3000万元以上5000万元以下直接经济损失的。</w:t>
            </w:r>
          </w:p>
        </w:tc>
        <w:tc>
          <w:tcPr>
            <w:tcW w:w="3375" w:type="dxa"/>
            <w:tcBorders>
              <w:tl2br w:val="nil"/>
              <w:tr2bl w:val="nil"/>
            </w:tcBorders>
            <w:vAlign w:val="center"/>
          </w:tcPr>
          <w:p w14:paraId="3920BB44">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责令限期改正，处30万元的罚款；责令停业整顿</w:t>
            </w:r>
            <w:r>
              <w:rPr>
                <w:rFonts w:hint="eastAsia" w:ascii="仿宋_GB2312" w:hAnsi="宋体" w:eastAsia="仿宋_GB2312"/>
                <w:color w:val="000000" w:themeColor="text1"/>
                <w:kern w:val="0"/>
                <w:szCs w:val="21"/>
                <w:lang w:val="en-US" w:eastAsia="zh-CN"/>
                <w14:textFill>
                  <w14:solidFill>
                    <w14:schemeClr w14:val="tx1"/>
                  </w14:solidFill>
                </w14:textFill>
              </w:rPr>
              <w:t>120</w:t>
            </w:r>
            <w:r>
              <w:rPr>
                <w:rFonts w:hint="eastAsia" w:ascii="仿宋_GB2312" w:hAnsi="宋体" w:eastAsia="仿宋_GB2312"/>
                <w:color w:val="000000" w:themeColor="text1"/>
                <w:kern w:val="0"/>
                <w:szCs w:val="21"/>
                <w14:textFill>
                  <w14:solidFill>
                    <w14:schemeClr w14:val="tx1"/>
                  </w14:solidFill>
                </w14:textFill>
              </w:rPr>
              <w:t>-180日。</w:t>
            </w:r>
          </w:p>
        </w:tc>
      </w:tr>
      <w:tr w14:paraId="0741500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533" w:type="dxa"/>
            <w:gridSpan w:val="2"/>
            <w:vMerge w:val="continue"/>
            <w:tcBorders>
              <w:tl2br w:val="nil"/>
              <w:tr2bl w:val="nil"/>
            </w:tcBorders>
            <w:vAlign w:val="center"/>
          </w:tcPr>
          <w:p w14:paraId="1741C07A">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1724946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4BC80A0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2053CBA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5057F76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6D363D9F">
            <w:pPr>
              <w:keepNext w:val="0"/>
              <w:keepLines w:val="0"/>
              <w:pageBreakBefore w:val="0"/>
              <w:widowControl/>
              <w:kinsoku/>
              <w:overflowPunct/>
              <w:topLinePunct w:val="0"/>
              <w:autoSpaceDE/>
              <w:autoSpaceDN/>
              <w:bidi w:val="0"/>
              <w:adjustRightInd/>
              <w:spacing w:line="260" w:lineRule="exact"/>
              <w:ind w:firstLine="210" w:firstLineChars="100"/>
              <w:rPr>
                <w:rFonts w:hint="default" w:ascii="仿宋_GB2312" w:hAnsi="宋体" w:eastAsia="仿宋_GB2312"/>
                <w:color w:val="000000" w:themeColor="text1"/>
                <w:kern w:val="0"/>
                <w:szCs w:val="21"/>
                <w:lang w:val="en-US"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造成重大安全事故的</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或造成特别严重社会影响的。</w:t>
            </w:r>
          </w:p>
        </w:tc>
        <w:tc>
          <w:tcPr>
            <w:tcW w:w="3375" w:type="dxa"/>
            <w:tcBorders>
              <w:tl2br w:val="nil"/>
              <w:tr2bl w:val="nil"/>
            </w:tcBorders>
            <w:vAlign w:val="center"/>
          </w:tcPr>
          <w:p w14:paraId="415C3106">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责令限期改正，处30万元的罚款；降低资质等级。</w:t>
            </w:r>
          </w:p>
        </w:tc>
      </w:tr>
      <w:tr w14:paraId="0853EC5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33" w:type="dxa"/>
            <w:gridSpan w:val="2"/>
            <w:vMerge w:val="continue"/>
            <w:tcBorders>
              <w:tl2br w:val="nil"/>
              <w:tr2bl w:val="nil"/>
            </w:tcBorders>
            <w:vAlign w:val="center"/>
          </w:tcPr>
          <w:p w14:paraId="2D1C6C2E">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469D2A1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4CD7052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461E723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238B5CA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268825C3">
            <w:pPr>
              <w:keepNext w:val="0"/>
              <w:keepLines w:val="0"/>
              <w:pageBreakBefore w:val="0"/>
              <w:widowControl/>
              <w:kinsoku/>
              <w:overflowPunct/>
              <w:topLinePunct w:val="0"/>
              <w:autoSpaceDE/>
              <w:autoSpaceDN/>
              <w:bidi w:val="0"/>
              <w:adjustRightInd/>
              <w:spacing w:line="260" w:lineRule="exact"/>
              <w:ind w:firstLine="210" w:firstLineChars="100"/>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造成特别重大安全事故的</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或造成特别严重社会影响的。</w:t>
            </w:r>
          </w:p>
        </w:tc>
        <w:tc>
          <w:tcPr>
            <w:tcW w:w="3375" w:type="dxa"/>
            <w:tcBorders>
              <w:tl2br w:val="nil"/>
              <w:tr2bl w:val="nil"/>
            </w:tcBorders>
            <w:vAlign w:val="center"/>
          </w:tcPr>
          <w:p w14:paraId="71794D66">
            <w:pPr>
              <w:keepNext w:val="0"/>
              <w:keepLines w:val="0"/>
              <w:pageBreakBefore w:val="0"/>
              <w:kinsoku/>
              <w:overflowPunct/>
              <w:topLinePunct w:val="0"/>
              <w:autoSpaceDE/>
              <w:autoSpaceDN/>
              <w:bidi w:val="0"/>
              <w:adjustRightInd/>
              <w:spacing w:line="260" w:lineRule="exact"/>
              <w:ind w:firstLine="210" w:firstLineChars="100"/>
              <w:jc w:val="left"/>
              <w:rPr>
                <w:rFonts w:hint="eastAsia" w:ascii="仿宋_GB2312" w:hAnsi="宋体" w:eastAsia="仿宋_GB2312"/>
                <w:color w:val="000000" w:themeColor="text1"/>
                <w:kern w:val="0"/>
                <w:szCs w:val="21"/>
                <w:lang w:val="en-US"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责令限期改正，处30万元的罚款；吊销资质证书。</w:t>
            </w:r>
          </w:p>
        </w:tc>
      </w:tr>
      <w:tr w14:paraId="68B4580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6654FDDE">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仿宋" w:eastAsia="仿宋_GB2312" w:cs="Times New Roman"/>
                <w:color w:val="000000" w:themeColor="text1"/>
                <w:kern w:val="0"/>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53</w:t>
            </w:r>
          </w:p>
        </w:tc>
        <w:tc>
          <w:tcPr>
            <w:tcW w:w="1376" w:type="dxa"/>
            <w:vMerge w:val="restart"/>
            <w:tcBorders>
              <w:tl2br w:val="nil"/>
              <w:tr2bl w:val="nil"/>
            </w:tcBorders>
            <w:vAlign w:val="center"/>
          </w:tcPr>
          <w:p w14:paraId="00E7CCCC">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工程监理单位未对施工组织设计中的安全技术措施或者专项施工方案进行审查且经责令限期改正逾期未改正的</w:t>
            </w:r>
          </w:p>
        </w:tc>
        <w:tc>
          <w:tcPr>
            <w:tcW w:w="1128" w:type="dxa"/>
            <w:gridSpan w:val="2"/>
            <w:vMerge w:val="restart"/>
            <w:tcBorders>
              <w:tl2br w:val="nil"/>
              <w:tr2bl w:val="nil"/>
            </w:tcBorders>
            <w:vAlign w:val="center"/>
          </w:tcPr>
          <w:p w14:paraId="520BC4B6">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《建设工程安全生产管理条例》第十四条第一款/《危险性较大的分部分项工程安全管理规定》第十一条</w:t>
            </w:r>
          </w:p>
        </w:tc>
        <w:tc>
          <w:tcPr>
            <w:tcW w:w="4354" w:type="dxa"/>
            <w:vMerge w:val="restart"/>
            <w:tcBorders>
              <w:tl2br w:val="nil"/>
              <w:tr2bl w:val="nil"/>
            </w:tcBorders>
            <w:vAlign w:val="center"/>
          </w:tcPr>
          <w:p w14:paraId="161B62C1">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w:t>
            </w:r>
          </w:p>
          <w:p w14:paraId="0E97C0BF">
            <w:pPr>
              <w:keepNext w:val="0"/>
              <w:keepLines w:val="0"/>
              <w:pageBreakBefore w:val="0"/>
              <w:kinsoku/>
              <w:overflowPunct/>
              <w:topLinePunct w:val="0"/>
              <w:autoSpaceDE/>
              <w:autoSpaceDN/>
              <w:bidi w:val="0"/>
              <w:adjustRightInd/>
              <w:spacing w:line="260" w:lineRule="exact"/>
              <w:ind w:firstLine="420" w:firstLineChars="2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第五十七条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14:paraId="152894FA">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(一)未对施工组织设计中的安全技术措施或者专项施工方案进行审查的；</w:t>
            </w:r>
          </w:p>
          <w:p w14:paraId="028C0340">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0389DC47">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《危险性较大的分部分项工程安全管理规定》</w:t>
            </w:r>
          </w:p>
          <w:p w14:paraId="430AB293">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第三十六条第一项</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监理单位有下列行为之一的，依照《中华人民共和国安全生产法》《建设工程安全生产管理条例》对单位进行处罚；对直接负责的主管人员和其他直接责任人员处1000元以上5000元以下的罚款：</w:t>
            </w:r>
          </w:p>
          <w:p w14:paraId="77AFAEF1">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（一）总监理工程师未按照本规定审查危大工程专项施工方案的；</w:t>
            </w:r>
          </w:p>
        </w:tc>
        <w:tc>
          <w:tcPr>
            <w:tcW w:w="912" w:type="dxa"/>
            <w:tcBorders>
              <w:tl2br w:val="nil"/>
              <w:tr2bl w:val="nil"/>
            </w:tcBorders>
            <w:vAlign w:val="center"/>
          </w:tcPr>
          <w:p w14:paraId="76C8E25E">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762EB31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375" w:type="dxa"/>
            <w:tcBorders>
              <w:tl2br w:val="nil"/>
              <w:tr2bl w:val="nil"/>
            </w:tcBorders>
            <w:vAlign w:val="center"/>
          </w:tcPr>
          <w:p w14:paraId="4CBD7B3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责令停业整顿，直至改正违法行为；对工程监理单位处10万元以上12万元以下的罚款；责令停业整顿，直至改正违法行为；对直接负责的主管人员和其他直接责任人员处1千元以上2千元以下的罚款。</w:t>
            </w:r>
          </w:p>
        </w:tc>
      </w:tr>
      <w:tr w14:paraId="66C0023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7AB0C974">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185A0B4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0F7CDE8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132F2B9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29DA8844">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6AF184D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2C03A99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责令停业整顿，直至改正违法行为；对工程监理单位处12万元以上25万元以下的罚款；责令停业整顿，直至改正违法行为；对直接负责的主管人员和其他直接责任人员处2千元以上3千元以下的罚款。</w:t>
            </w:r>
          </w:p>
        </w:tc>
      </w:tr>
      <w:tr w14:paraId="3BC62A5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 w:hRule="atLeast"/>
          <w:jc w:val="center"/>
        </w:trPr>
        <w:tc>
          <w:tcPr>
            <w:tcW w:w="533" w:type="dxa"/>
            <w:gridSpan w:val="2"/>
            <w:vMerge w:val="continue"/>
            <w:tcBorders>
              <w:tl2br w:val="nil"/>
              <w:tr2bl w:val="nil"/>
            </w:tcBorders>
            <w:vAlign w:val="center"/>
          </w:tcPr>
          <w:p w14:paraId="4A9C7ECA">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08B6B3F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2D893FD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51419F8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restart"/>
            <w:tcBorders>
              <w:tl2br w:val="nil"/>
              <w:tr2bl w:val="nil"/>
            </w:tcBorders>
            <w:vAlign w:val="center"/>
          </w:tcPr>
          <w:p w14:paraId="272327FE">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4FC3611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造成3人以下死亡，或者10人以下重伤，或者1000万元以下直接经济损失。</w:t>
            </w:r>
          </w:p>
        </w:tc>
        <w:tc>
          <w:tcPr>
            <w:tcW w:w="3375" w:type="dxa"/>
            <w:tcBorders>
              <w:tl2br w:val="nil"/>
              <w:tr2bl w:val="nil"/>
            </w:tcBorders>
            <w:vAlign w:val="center"/>
          </w:tcPr>
          <w:p w14:paraId="2C41DBF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责令停业整顿30-60日；对工程监理单位处25万元以上30万元以下的罚款；对直接负责的主管人员和其他直接责任人员处3千元以上5千元以下的罚款。</w:t>
            </w:r>
          </w:p>
        </w:tc>
      </w:tr>
      <w:tr w14:paraId="4ADF018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 w:hRule="atLeast"/>
          <w:jc w:val="center"/>
        </w:trPr>
        <w:tc>
          <w:tcPr>
            <w:tcW w:w="533" w:type="dxa"/>
            <w:gridSpan w:val="2"/>
            <w:vMerge w:val="continue"/>
            <w:tcBorders>
              <w:tl2br w:val="nil"/>
              <w:tr2bl w:val="nil"/>
            </w:tcBorders>
            <w:vAlign w:val="center"/>
          </w:tcPr>
          <w:p w14:paraId="40015DE1">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1B4E1E7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4786CFC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38B281F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738B617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5FBA649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造成3人以上5人以下死亡；或者10人以上20人以下重伤；或者1000万元以上2000万元以下直接经济损失的。</w:t>
            </w:r>
          </w:p>
        </w:tc>
        <w:tc>
          <w:tcPr>
            <w:tcW w:w="3375" w:type="dxa"/>
            <w:tcBorders>
              <w:tl2br w:val="nil"/>
              <w:tr2bl w:val="nil"/>
            </w:tcBorders>
            <w:vAlign w:val="center"/>
          </w:tcPr>
          <w:p w14:paraId="06D6BC34">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责令停业整顿60-90日；对工程监理单位处30万元的罚款；对直接负责的主管人员和其他直接责任人员处5千元罚款。</w:t>
            </w:r>
          </w:p>
        </w:tc>
      </w:tr>
      <w:tr w14:paraId="6B1212C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 w:hRule="atLeast"/>
          <w:jc w:val="center"/>
        </w:trPr>
        <w:tc>
          <w:tcPr>
            <w:tcW w:w="533" w:type="dxa"/>
            <w:gridSpan w:val="2"/>
            <w:vMerge w:val="continue"/>
            <w:tcBorders>
              <w:tl2br w:val="nil"/>
              <w:tr2bl w:val="nil"/>
            </w:tcBorders>
            <w:vAlign w:val="center"/>
          </w:tcPr>
          <w:p w14:paraId="3835C490">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01F5A54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36D53AF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238CB6E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216A3F7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5882EEE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造成5人以上7人以下死亡；或者20人以上30人以下重伤；或者2000万元以上3000万元以下直接经济损失的。</w:t>
            </w:r>
          </w:p>
        </w:tc>
        <w:tc>
          <w:tcPr>
            <w:tcW w:w="3375" w:type="dxa"/>
            <w:tcBorders>
              <w:tl2br w:val="nil"/>
              <w:tr2bl w:val="nil"/>
            </w:tcBorders>
            <w:vAlign w:val="center"/>
          </w:tcPr>
          <w:p w14:paraId="5701DC2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责令停业整顿90-120日；对工程监理单位处30万元的罚款；对直接负责的主管人员和其他直接责任人员处5千元罚款。</w:t>
            </w:r>
          </w:p>
        </w:tc>
      </w:tr>
      <w:tr w14:paraId="156FE58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 w:hRule="atLeast"/>
          <w:jc w:val="center"/>
        </w:trPr>
        <w:tc>
          <w:tcPr>
            <w:tcW w:w="533" w:type="dxa"/>
            <w:gridSpan w:val="2"/>
            <w:vMerge w:val="continue"/>
            <w:tcBorders>
              <w:tl2br w:val="nil"/>
              <w:tr2bl w:val="nil"/>
            </w:tcBorders>
            <w:vAlign w:val="center"/>
          </w:tcPr>
          <w:p w14:paraId="598CA305">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6014FEA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7ABEA10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2EEEBD4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4410974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4DA139F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造成7人以上10人以下死亡；或者30人以上50人以下重伤；或者3000万元以上5000万元以下直接经济损失的。</w:t>
            </w:r>
          </w:p>
        </w:tc>
        <w:tc>
          <w:tcPr>
            <w:tcW w:w="3375" w:type="dxa"/>
            <w:tcBorders>
              <w:tl2br w:val="nil"/>
              <w:tr2bl w:val="nil"/>
            </w:tcBorders>
            <w:vAlign w:val="center"/>
          </w:tcPr>
          <w:p w14:paraId="01F72BB9">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责令停业整顿120-180日；对工程监理单位处30万元的罚款；对直接负责的主管人员和其他直接责任人员处5千元罚款。</w:t>
            </w:r>
          </w:p>
        </w:tc>
      </w:tr>
      <w:tr w14:paraId="14D301D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 w:hRule="atLeast"/>
          <w:jc w:val="center"/>
        </w:trPr>
        <w:tc>
          <w:tcPr>
            <w:tcW w:w="533" w:type="dxa"/>
            <w:gridSpan w:val="2"/>
            <w:vMerge w:val="continue"/>
            <w:tcBorders>
              <w:tl2br w:val="nil"/>
              <w:tr2bl w:val="nil"/>
            </w:tcBorders>
            <w:vAlign w:val="center"/>
          </w:tcPr>
          <w:p w14:paraId="7764AE19">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43CF3AB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7B448D7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4B66E49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0E02B97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31272E7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造成重大安全事故的</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或造成特别严重社会影响的。</w:t>
            </w:r>
          </w:p>
        </w:tc>
        <w:tc>
          <w:tcPr>
            <w:tcW w:w="3375" w:type="dxa"/>
            <w:tcBorders>
              <w:tl2br w:val="nil"/>
              <w:tr2bl w:val="nil"/>
            </w:tcBorders>
            <w:vAlign w:val="center"/>
          </w:tcPr>
          <w:p w14:paraId="16075F9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对工程监理单位处30万元的罚款，对直接负责的主管人员和其他直接责任人员处5千元罚款；降低资质等级。</w:t>
            </w:r>
          </w:p>
        </w:tc>
      </w:tr>
      <w:tr w14:paraId="732371A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0" w:hRule="atLeast"/>
          <w:jc w:val="center"/>
        </w:trPr>
        <w:tc>
          <w:tcPr>
            <w:tcW w:w="533" w:type="dxa"/>
            <w:gridSpan w:val="2"/>
            <w:vMerge w:val="continue"/>
            <w:tcBorders>
              <w:tl2br w:val="nil"/>
              <w:tr2bl w:val="nil"/>
            </w:tcBorders>
            <w:vAlign w:val="center"/>
          </w:tcPr>
          <w:p w14:paraId="17364658">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35C1984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2AC1E6F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5209AFD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4B598FD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6177E92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造成特别重大安全事故的</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或造成特别严重社会影响的。</w:t>
            </w:r>
            <w:r>
              <w:rPr>
                <w:rFonts w:hint="eastAsia" w:ascii="仿宋_GB2312" w:hAnsi="宋体" w:eastAsia="仿宋_GB2312"/>
                <w:color w:val="000000" w:themeColor="text1"/>
                <w:kern w:val="0"/>
                <w:szCs w:val="21"/>
                <w14:textFill>
                  <w14:solidFill>
                    <w14:schemeClr w14:val="tx1"/>
                  </w14:solidFill>
                </w14:textFill>
              </w:rPr>
              <w:t>。</w:t>
            </w:r>
          </w:p>
        </w:tc>
        <w:tc>
          <w:tcPr>
            <w:tcW w:w="3375" w:type="dxa"/>
            <w:tcBorders>
              <w:tl2br w:val="nil"/>
              <w:tr2bl w:val="nil"/>
            </w:tcBorders>
            <w:vAlign w:val="center"/>
          </w:tcPr>
          <w:p w14:paraId="421579A6">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对工程监理单位处30万元的罚款，对直接负责的主管人员和其他直接责任人员处5千元罚款；吊销资质证书。</w:t>
            </w:r>
          </w:p>
        </w:tc>
      </w:tr>
      <w:tr w14:paraId="7315058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7B1282A6">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54</w:t>
            </w:r>
          </w:p>
        </w:tc>
        <w:tc>
          <w:tcPr>
            <w:tcW w:w="1376" w:type="dxa"/>
            <w:vMerge w:val="restart"/>
            <w:tcBorders>
              <w:tl2br w:val="nil"/>
              <w:tr2bl w:val="nil"/>
            </w:tcBorders>
            <w:vAlign w:val="center"/>
          </w:tcPr>
          <w:p w14:paraId="36AB6628">
            <w:pPr>
              <w:keepNext w:val="0"/>
              <w:keepLines w:val="0"/>
              <w:pageBreakBefore w:val="0"/>
              <w:kinsoku/>
              <w:overflowPunct/>
              <w:topLinePunct w:val="0"/>
              <w:autoSpaceDE/>
              <w:autoSpaceDN/>
              <w:bidi w:val="0"/>
              <w:adjustRightInd/>
              <w:spacing w:line="260" w:lineRule="exact"/>
              <w:ind w:firstLine="315" w:firstLineChars="1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工程监理单位发现安全事故隐患未及时要求施工单位整改或者暂时停止施工且逾期未改正的</w:t>
            </w:r>
          </w:p>
        </w:tc>
        <w:tc>
          <w:tcPr>
            <w:tcW w:w="1128" w:type="dxa"/>
            <w:gridSpan w:val="2"/>
            <w:vMerge w:val="restart"/>
            <w:tcBorders>
              <w:tl2br w:val="nil"/>
              <w:tr2bl w:val="nil"/>
            </w:tcBorders>
            <w:vAlign w:val="center"/>
          </w:tcPr>
          <w:p w14:paraId="5789BEC7">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《建设工程安全生产管理条例》第十四条第二款</w:t>
            </w:r>
          </w:p>
        </w:tc>
        <w:tc>
          <w:tcPr>
            <w:tcW w:w="4354" w:type="dxa"/>
            <w:vMerge w:val="restart"/>
            <w:tcBorders>
              <w:tl2br w:val="nil"/>
              <w:tr2bl w:val="nil"/>
            </w:tcBorders>
            <w:vAlign w:val="center"/>
          </w:tcPr>
          <w:p w14:paraId="2C41422C">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w:t>
            </w:r>
          </w:p>
          <w:p w14:paraId="45C2651D">
            <w:pPr>
              <w:keepNext w:val="0"/>
              <w:keepLines w:val="0"/>
              <w:pageBreakBefore w:val="0"/>
              <w:kinsoku/>
              <w:overflowPunct/>
              <w:topLinePunct w:val="0"/>
              <w:autoSpaceDE/>
              <w:autoSpaceDN/>
              <w:bidi w:val="0"/>
              <w:adjustRightInd/>
              <w:spacing w:line="260" w:lineRule="exact"/>
              <w:ind w:firstLine="420" w:firstLineChars="2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第五十七条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14:paraId="1BF15D72">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(二)发现安全事故隐患未及时要求施工单位整改或者暂时停止施工的；</w:t>
            </w:r>
          </w:p>
        </w:tc>
        <w:tc>
          <w:tcPr>
            <w:tcW w:w="912" w:type="dxa"/>
            <w:tcBorders>
              <w:tl2br w:val="nil"/>
              <w:tr2bl w:val="nil"/>
            </w:tcBorders>
            <w:vAlign w:val="center"/>
          </w:tcPr>
          <w:p w14:paraId="032FC2BF">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005CF0A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375" w:type="dxa"/>
            <w:tcBorders>
              <w:tl2br w:val="nil"/>
              <w:tr2bl w:val="nil"/>
            </w:tcBorders>
            <w:vAlign w:val="center"/>
          </w:tcPr>
          <w:p w14:paraId="4DA9736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责令停业整顿，直至改正违法行为；处10万元以上12万元以下的罚款。</w:t>
            </w:r>
          </w:p>
        </w:tc>
      </w:tr>
      <w:tr w14:paraId="22D9D25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5569C6D2">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39E777F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5ABB60E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tcPr>
          <w:p w14:paraId="5430938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5E327A58">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0829E3C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469741A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责令停业整顿，直至改正违法行为；处12万元以上30万元以下的罚款。</w:t>
            </w:r>
          </w:p>
        </w:tc>
      </w:tr>
      <w:tr w14:paraId="670403E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jc w:val="center"/>
        </w:trPr>
        <w:tc>
          <w:tcPr>
            <w:tcW w:w="533" w:type="dxa"/>
            <w:gridSpan w:val="2"/>
            <w:vMerge w:val="continue"/>
            <w:tcBorders>
              <w:tl2br w:val="nil"/>
              <w:tr2bl w:val="nil"/>
            </w:tcBorders>
            <w:vAlign w:val="center"/>
          </w:tcPr>
          <w:p w14:paraId="2A8A917A">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35F490F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102F61E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tcPr>
          <w:p w14:paraId="5A4FC86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restart"/>
            <w:tcBorders>
              <w:tl2br w:val="nil"/>
              <w:tr2bl w:val="nil"/>
            </w:tcBorders>
            <w:vAlign w:val="center"/>
          </w:tcPr>
          <w:p w14:paraId="0D87452F">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2692961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造成3人以下死亡，或者10人以下重伤，或者1000万元以下直接经济损失。</w:t>
            </w:r>
          </w:p>
        </w:tc>
        <w:tc>
          <w:tcPr>
            <w:tcW w:w="3375" w:type="dxa"/>
            <w:tcBorders>
              <w:tl2br w:val="nil"/>
              <w:tr2bl w:val="nil"/>
            </w:tcBorders>
            <w:vAlign w:val="center"/>
          </w:tcPr>
          <w:p w14:paraId="5456E58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责令停业整顿30-60日；处25万元以上30万元以下的罚款。</w:t>
            </w:r>
          </w:p>
        </w:tc>
      </w:tr>
      <w:tr w14:paraId="47FB1DD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jc w:val="center"/>
        </w:trPr>
        <w:tc>
          <w:tcPr>
            <w:tcW w:w="533" w:type="dxa"/>
            <w:gridSpan w:val="2"/>
            <w:vMerge w:val="continue"/>
            <w:tcBorders>
              <w:tl2br w:val="nil"/>
              <w:tr2bl w:val="nil"/>
            </w:tcBorders>
            <w:vAlign w:val="center"/>
          </w:tcPr>
          <w:p w14:paraId="15366A9C">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1746E18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52D97A4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tcPr>
          <w:p w14:paraId="6FDE1D8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6DB2FDE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57E9970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造成3人以上5人以下死亡；或者10人以上20人以下重伤；或者1000万元以上2000万元以下直接经济损失的。</w:t>
            </w:r>
          </w:p>
        </w:tc>
        <w:tc>
          <w:tcPr>
            <w:tcW w:w="3375" w:type="dxa"/>
            <w:tcBorders>
              <w:tl2br w:val="nil"/>
              <w:tr2bl w:val="nil"/>
            </w:tcBorders>
            <w:vAlign w:val="center"/>
          </w:tcPr>
          <w:p w14:paraId="6EF51EDD">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责令停业整顿60-90日；处30万元的罚款。</w:t>
            </w:r>
          </w:p>
        </w:tc>
      </w:tr>
      <w:tr w14:paraId="7D6F1BF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533" w:type="dxa"/>
            <w:gridSpan w:val="2"/>
            <w:vMerge w:val="continue"/>
            <w:tcBorders>
              <w:tl2br w:val="nil"/>
              <w:tr2bl w:val="nil"/>
            </w:tcBorders>
            <w:vAlign w:val="center"/>
          </w:tcPr>
          <w:p w14:paraId="7571852F">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38C40B5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3E08971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tcPr>
          <w:p w14:paraId="3F07C25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660D968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10F3270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造成5人以上7人以下死亡；或者20人以上30人以下重伤；或者2000万元以上3000万元以下直接经济损失的。</w:t>
            </w:r>
          </w:p>
        </w:tc>
        <w:tc>
          <w:tcPr>
            <w:tcW w:w="3375" w:type="dxa"/>
            <w:tcBorders>
              <w:tl2br w:val="nil"/>
              <w:tr2bl w:val="nil"/>
            </w:tcBorders>
            <w:vAlign w:val="center"/>
          </w:tcPr>
          <w:p w14:paraId="19397A6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责令停业整顿90-120日；处30万元的罚款。</w:t>
            </w:r>
          </w:p>
        </w:tc>
      </w:tr>
      <w:tr w14:paraId="78638FF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33" w:type="dxa"/>
            <w:gridSpan w:val="2"/>
            <w:vMerge w:val="continue"/>
            <w:tcBorders>
              <w:tl2br w:val="nil"/>
              <w:tr2bl w:val="nil"/>
            </w:tcBorders>
            <w:vAlign w:val="center"/>
          </w:tcPr>
          <w:p w14:paraId="3E4F4ACB">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06114FA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41F99A9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tcPr>
          <w:p w14:paraId="642B741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2E536E8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5D9F8E4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造成7人以上10人以下死亡；或者30人以上50人以下重伤；或者3000万元以上5000万元以下直接经济损失的。</w:t>
            </w:r>
          </w:p>
        </w:tc>
        <w:tc>
          <w:tcPr>
            <w:tcW w:w="3375" w:type="dxa"/>
            <w:tcBorders>
              <w:tl2br w:val="nil"/>
              <w:tr2bl w:val="nil"/>
            </w:tcBorders>
            <w:vAlign w:val="center"/>
          </w:tcPr>
          <w:p w14:paraId="2EBD1E38">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责令停业整顿120-180日；处30万元的罚款。</w:t>
            </w:r>
          </w:p>
        </w:tc>
      </w:tr>
      <w:tr w14:paraId="2C62461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6" w:hRule="atLeast"/>
          <w:jc w:val="center"/>
        </w:trPr>
        <w:tc>
          <w:tcPr>
            <w:tcW w:w="533" w:type="dxa"/>
            <w:gridSpan w:val="2"/>
            <w:vMerge w:val="continue"/>
            <w:tcBorders>
              <w:tl2br w:val="nil"/>
              <w:tr2bl w:val="nil"/>
            </w:tcBorders>
            <w:vAlign w:val="center"/>
          </w:tcPr>
          <w:p w14:paraId="7B62E51D">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17BAD3A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2F15E88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tcPr>
          <w:p w14:paraId="4146505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011DD47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366B2773">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造成重大安全事故的</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或造成特别严重社会影响的。</w:t>
            </w:r>
          </w:p>
        </w:tc>
        <w:tc>
          <w:tcPr>
            <w:tcW w:w="3375" w:type="dxa"/>
            <w:tcBorders>
              <w:tl2br w:val="nil"/>
              <w:tr2bl w:val="nil"/>
            </w:tcBorders>
            <w:vAlign w:val="center"/>
          </w:tcPr>
          <w:p w14:paraId="1BB0418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处30万元的罚款；降低资质等级。</w:t>
            </w:r>
          </w:p>
        </w:tc>
      </w:tr>
      <w:tr w14:paraId="79E130A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533" w:type="dxa"/>
            <w:gridSpan w:val="2"/>
            <w:vMerge w:val="continue"/>
            <w:tcBorders>
              <w:tl2br w:val="nil"/>
              <w:tr2bl w:val="nil"/>
            </w:tcBorders>
            <w:vAlign w:val="center"/>
          </w:tcPr>
          <w:p w14:paraId="37275EBF">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08205E1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7C6575A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tcPr>
          <w:p w14:paraId="226B1CA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6217773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32513B69">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造成特别重大安全事故的</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或造成特别严重社会影响的。</w:t>
            </w:r>
          </w:p>
        </w:tc>
        <w:tc>
          <w:tcPr>
            <w:tcW w:w="3375" w:type="dxa"/>
            <w:tcBorders>
              <w:tl2br w:val="nil"/>
              <w:tr2bl w:val="nil"/>
            </w:tcBorders>
            <w:vAlign w:val="center"/>
          </w:tcPr>
          <w:p w14:paraId="41C19C23">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处30万元的罚款；吊销资质证书。</w:t>
            </w:r>
          </w:p>
        </w:tc>
      </w:tr>
      <w:tr w14:paraId="757BAFE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66F3CA98">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55</w:t>
            </w:r>
          </w:p>
        </w:tc>
        <w:tc>
          <w:tcPr>
            <w:tcW w:w="1376" w:type="dxa"/>
            <w:vMerge w:val="restart"/>
            <w:tcBorders>
              <w:tl2br w:val="nil"/>
              <w:tr2bl w:val="nil"/>
            </w:tcBorders>
            <w:vAlign w:val="center"/>
          </w:tcPr>
          <w:p w14:paraId="1148CA2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4ACA0BF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33310F0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工程监理单位对施工单位拒不整改或者不停止施工，未及时向有关主管部门报告且经责令限期改正逾期未改正的</w:t>
            </w:r>
          </w:p>
        </w:tc>
        <w:tc>
          <w:tcPr>
            <w:tcW w:w="1128" w:type="dxa"/>
            <w:gridSpan w:val="2"/>
            <w:vMerge w:val="restart"/>
            <w:tcBorders>
              <w:tl2br w:val="nil"/>
              <w:tr2bl w:val="nil"/>
            </w:tcBorders>
            <w:vAlign w:val="center"/>
          </w:tcPr>
          <w:p w14:paraId="60608DDE">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《建设工程安全生产管理条例》第十四条第二款</w:t>
            </w:r>
          </w:p>
        </w:tc>
        <w:tc>
          <w:tcPr>
            <w:tcW w:w="4354" w:type="dxa"/>
            <w:vMerge w:val="restart"/>
            <w:tcBorders>
              <w:tl2br w:val="nil"/>
              <w:tr2bl w:val="nil"/>
            </w:tcBorders>
            <w:vAlign w:val="center"/>
          </w:tcPr>
          <w:p w14:paraId="013896EE">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w:t>
            </w:r>
          </w:p>
          <w:p w14:paraId="5F075009">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第五十七条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三</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14:paraId="7970BCFA">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(三)施工单位拒不整改或者不停止施工，未及时向有关主管部门报告的；</w:t>
            </w:r>
          </w:p>
        </w:tc>
        <w:tc>
          <w:tcPr>
            <w:tcW w:w="912" w:type="dxa"/>
            <w:tcBorders>
              <w:tl2br w:val="nil"/>
              <w:tr2bl w:val="nil"/>
            </w:tcBorders>
            <w:vAlign w:val="center"/>
          </w:tcPr>
          <w:p w14:paraId="24D5E5AE">
            <w:pPr>
              <w:keepNext w:val="0"/>
              <w:keepLines w:val="0"/>
              <w:pageBreakBefore w:val="0"/>
              <w:widowControl/>
              <w:kinsoku/>
              <w:overflowPunct/>
              <w:topLinePunct w:val="0"/>
              <w:autoSpaceDE/>
              <w:autoSpaceDN/>
              <w:bidi w:val="0"/>
              <w:adjustRightInd/>
              <w:spacing w:line="260" w:lineRule="exact"/>
              <w:jc w:val="left"/>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5927271C">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375" w:type="dxa"/>
            <w:tcBorders>
              <w:tl2br w:val="nil"/>
              <w:tr2bl w:val="nil"/>
            </w:tcBorders>
            <w:vAlign w:val="center"/>
          </w:tcPr>
          <w:p w14:paraId="683DC8F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责令停业整顿，直至改正违法行为；处10万元以上12万元以下的罚款。</w:t>
            </w:r>
          </w:p>
        </w:tc>
      </w:tr>
      <w:tr w14:paraId="78ED975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29F23DA3">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3417AB6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1454B474">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tcPr>
          <w:p w14:paraId="53A7675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1AC62455">
            <w:pPr>
              <w:keepNext w:val="0"/>
              <w:keepLines w:val="0"/>
              <w:pageBreakBefore w:val="0"/>
              <w:widowControl/>
              <w:kinsoku/>
              <w:overflowPunct/>
              <w:topLinePunct w:val="0"/>
              <w:autoSpaceDE/>
              <w:autoSpaceDN/>
              <w:bidi w:val="0"/>
              <w:adjustRightInd/>
              <w:spacing w:line="260" w:lineRule="exact"/>
              <w:jc w:val="left"/>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4C865BFA">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4CFF851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责令停业整顿，直至改正违法行为；处12万元以上30万元以下的罚款。</w:t>
            </w:r>
          </w:p>
        </w:tc>
      </w:tr>
      <w:tr w14:paraId="519CF44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jc w:val="center"/>
        </w:trPr>
        <w:tc>
          <w:tcPr>
            <w:tcW w:w="533" w:type="dxa"/>
            <w:gridSpan w:val="2"/>
            <w:vMerge w:val="continue"/>
            <w:tcBorders>
              <w:tl2br w:val="nil"/>
              <w:tr2bl w:val="nil"/>
            </w:tcBorders>
            <w:vAlign w:val="center"/>
          </w:tcPr>
          <w:p w14:paraId="56CD3BE6">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4962FFD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7B75FB5B">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tcPr>
          <w:p w14:paraId="5086FCE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restart"/>
            <w:tcBorders>
              <w:tl2br w:val="nil"/>
              <w:tr2bl w:val="nil"/>
            </w:tcBorders>
            <w:vAlign w:val="center"/>
          </w:tcPr>
          <w:p w14:paraId="77BD1662">
            <w:pPr>
              <w:keepNext w:val="0"/>
              <w:keepLines w:val="0"/>
              <w:pageBreakBefore w:val="0"/>
              <w:widowControl/>
              <w:kinsoku/>
              <w:overflowPunct/>
              <w:topLinePunct w:val="0"/>
              <w:autoSpaceDE/>
              <w:autoSpaceDN/>
              <w:bidi w:val="0"/>
              <w:adjustRightInd/>
              <w:spacing w:line="260" w:lineRule="exact"/>
              <w:jc w:val="left"/>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1C7AA496">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造成3人以下死亡，或者10人以下重伤，或者1000万元以下直接经济损失。</w:t>
            </w:r>
          </w:p>
        </w:tc>
        <w:tc>
          <w:tcPr>
            <w:tcW w:w="3375" w:type="dxa"/>
            <w:tcBorders>
              <w:tl2br w:val="nil"/>
              <w:tr2bl w:val="nil"/>
            </w:tcBorders>
            <w:vAlign w:val="center"/>
          </w:tcPr>
          <w:p w14:paraId="4E802DB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责令停业整顿30-60日；处25万元以上30万元以下的罚款。</w:t>
            </w:r>
          </w:p>
        </w:tc>
      </w:tr>
      <w:tr w14:paraId="6D40039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533" w:type="dxa"/>
            <w:gridSpan w:val="2"/>
            <w:vMerge w:val="continue"/>
            <w:tcBorders>
              <w:tl2br w:val="nil"/>
              <w:tr2bl w:val="nil"/>
            </w:tcBorders>
            <w:vAlign w:val="center"/>
          </w:tcPr>
          <w:p w14:paraId="74239123">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5F26C87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5C62936A">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tcPr>
          <w:p w14:paraId="1B9CD7F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281DB75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06578953">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造成3人以上5人以下死亡；或者10人以上20人以下重伤；或者1000万元以上2000万元以下直接经济损失的。</w:t>
            </w:r>
          </w:p>
        </w:tc>
        <w:tc>
          <w:tcPr>
            <w:tcW w:w="3375" w:type="dxa"/>
            <w:tcBorders>
              <w:tl2br w:val="nil"/>
              <w:tr2bl w:val="nil"/>
            </w:tcBorders>
            <w:vAlign w:val="center"/>
          </w:tcPr>
          <w:p w14:paraId="04A2D289">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责令停业整顿60-90日；处30万元的罚款。</w:t>
            </w:r>
          </w:p>
        </w:tc>
      </w:tr>
      <w:tr w14:paraId="3D990D3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533" w:type="dxa"/>
            <w:gridSpan w:val="2"/>
            <w:vMerge w:val="continue"/>
            <w:tcBorders>
              <w:tl2br w:val="nil"/>
              <w:tr2bl w:val="nil"/>
            </w:tcBorders>
            <w:vAlign w:val="center"/>
          </w:tcPr>
          <w:p w14:paraId="6439A376">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12148BA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2B9E8163">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tcPr>
          <w:p w14:paraId="4C20671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2DDE06C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19E3E53A">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造成5人以上7人以下死亡；或者20人以上30人以下重伤；或者2000万元以上3000万元以下直接经济损失的。</w:t>
            </w:r>
          </w:p>
        </w:tc>
        <w:tc>
          <w:tcPr>
            <w:tcW w:w="3375" w:type="dxa"/>
            <w:tcBorders>
              <w:tl2br w:val="nil"/>
              <w:tr2bl w:val="nil"/>
            </w:tcBorders>
            <w:vAlign w:val="center"/>
          </w:tcPr>
          <w:p w14:paraId="73B1FF2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责令停业整顿90-120日；处30万元的罚款。</w:t>
            </w:r>
          </w:p>
        </w:tc>
      </w:tr>
      <w:tr w14:paraId="35A6D2F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533" w:type="dxa"/>
            <w:gridSpan w:val="2"/>
            <w:vMerge w:val="continue"/>
            <w:tcBorders>
              <w:tl2br w:val="nil"/>
              <w:tr2bl w:val="nil"/>
            </w:tcBorders>
            <w:vAlign w:val="center"/>
          </w:tcPr>
          <w:p w14:paraId="023A2B71">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1D7CBE1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62D7AF03">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tcPr>
          <w:p w14:paraId="0915F9D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6B6EB50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61D4D9E1">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造成7人以上10人以下死亡；或者30人以上50人以下重伤；或者3000万元以上5000万元以下直接经济损失的。</w:t>
            </w:r>
          </w:p>
        </w:tc>
        <w:tc>
          <w:tcPr>
            <w:tcW w:w="3375" w:type="dxa"/>
            <w:tcBorders>
              <w:tl2br w:val="nil"/>
              <w:tr2bl w:val="nil"/>
            </w:tcBorders>
            <w:vAlign w:val="center"/>
          </w:tcPr>
          <w:p w14:paraId="74BC8B32">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责令停业整顿120-180日；处30万元的罚款。</w:t>
            </w:r>
          </w:p>
        </w:tc>
      </w:tr>
      <w:tr w14:paraId="445E82F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9" w:hRule="atLeast"/>
          <w:jc w:val="center"/>
        </w:trPr>
        <w:tc>
          <w:tcPr>
            <w:tcW w:w="533" w:type="dxa"/>
            <w:gridSpan w:val="2"/>
            <w:vMerge w:val="continue"/>
            <w:tcBorders>
              <w:tl2br w:val="nil"/>
              <w:tr2bl w:val="nil"/>
            </w:tcBorders>
            <w:vAlign w:val="center"/>
          </w:tcPr>
          <w:p w14:paraId="3511DA79">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30C6307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7280B6C9">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tcPr>
          <w:p w14:paraId="44B9F85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46BF2F4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708873A6">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造成重大安全事故的</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或造成特别严重社会影响的。</w:t>
            </w:r>
          </w:p>
        </w:tc>
        <w:tc>
          <w:tcPr>
            <w:tcW w:w="3375" w:type="dxa"/>
            <w:tcBorders>
              <w:tl2br w:val="nil"/>
              <w:tr2bl w:val="nil"/>
            </w:tcBorders>
            <w:vAlign w:val="center"/>
          </w:tcPr>
          <w:p w14:paraId="5124FE7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处30万元的罚款；降低资质等级。</w:t>
            </w:r>
          </w:p>
        </w:tc>
      </w:tr>
      <w:tr w14:paraId="142AA91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jc w:val="center"/>
        </w:trPr>
        <w:tc>
          <w:tcPr>
            <w:tcW w:w="533" w:type="dxa"/>
            <w:gridSpan w:val="2"/>
            <w:vMerge w:val="continue"/>
            <w:tcBorders>
              <w:tl2br w:val="nil"/>
              <w:tr2bl w:val="nil"/>
            </w:tcBorders>
            <w:vAlign w:val="center"/>
          </w:tcPr>
          <w:p w14:paraId="5712B964">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4A87D87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145DE969">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tcPr>
          <w:p w14:paraId="6DCB18F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2344634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7774ACEB">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造成特别重大安全事故的</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或造成特别严重社会影响的。</w:t>
            </w:r>
          </w:p>
        </w:tc>
        <w:tc>
          <w:tcPr>
            <w:tcW w:w="3375" w:type="dxa"/>
            <w:tcBorders>
              <w:tl2br w:val="nil"/>
              <w:tr2bl w:val="nil"/>
            </w:tcBorders>
            <w:vAlign w:val="center"/>
          </w:tcPr>
          <w:p w14:paraId="67EA662F">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处30万元的罚款；吊销资质证书。</w:t>
            </w:r>
          </w:p>
        </w:tc>
      </w:tr>
      <w:tr w14:paraId="542ECA7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05D184CB">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56</w:t>
            </w:r>
          </w:p>
        </w:tc>
        <w:tc>
          <w:tcPr>
            <w:tcW w:w="1376" w:type="dxa"/>
            <w:vMerge w:val="restart"/>
            <w:tcBorders>
              <w:tl2br w:val="nil"/>
              <w:tr2bl w:val="nil"/>
            </w:tcBorders>
            <w:vAlign w:val="center"/>
          </w:tcPr>
          <w:p w14:paraId="05E1FD8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工程监理单位未依照法律、法规和工程建设强制性标准实施监理且逾期未改正的</w:t>
            </w:r>
          </w:p>
        </w:tc>
        <w:tc>
          <w:tcPr>
            <w:tcW w:w="1128" w:type="dxa"/>
            <w:gridSpan w:val="2"/>
            <w:vMerge w:val="restart"/>
            <w:tcBorders>
              <w:tl2br w:val="nil"/>
              <w:tr2bl w:val="nil"/>
            </w:tcBorders>
            <w:vAlign w:val="center"/>
          </w:tcPr>
          <w:p w14:paraId="29E6581E">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《建设工程安全生产管理条例》第十四条第三款</w:t>
            </w:r>
          </w:p>
        </w:tc>
        <w:tc>
          <w:tcPr>
            <w:tcW w:w="4354" w:type="dxa"/>
            <w:vMerge w:val="restart"/>
            <w:tcBorders>
              <w:tl2br w:val="nil"/>
              <w:tr2bl w:val="nil"/>
            </w:tcBorders>
            <w:vAlign w:val="center"/>
          </w:tcPr>
          <w:p w14:paraId="52E9967B">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w:t>
            </w:r>
          </w:p>
          <w:p w14:paraId="54A8AE82">
            <w:pPr>
              <w:keepNext w:val="0"/>
              <w:keepLines w:val="0"/>
              <w:pageBreakBefore w:val="0"/>
              <w:kinsoku/>
              <w:overflowPunct/>
              <w:topLinePunct w:val="0"/>
              <w:autoSpaceDE/>
              <w:autoSpaceDN/>
              <w:bidi w:val="0"/>
              <w:adjustRightInd/>
              <w:spacing w:line="260" w:lineRule="exact"/>
              <w:ind w:firstLine="420" w:firstLineChars="2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第五十七条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四</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14:paraId="1899133B">
            <w:pPr>
              <w:keepNext w:val="0"/>
              <w:keepLines w:val="0"/>
              <w:pageBreakBefore w:val="0"/>
              <w:kinsoku/>
              <w:overflowPunct/>
              <w:topLinePunct w:val="0"/>
              <w:autoSpaceDE/>
              <w:autoSpaceDN/>
              <w:bidi w:val="0"/>
              <w:adjustRightInd/>
              <w:spacing w:line="260" w:lineRule="exact"/>
              <w:ind w:firstLine="420" w:firstLineChars="200"/>
              <w:jc w:val="left"/>
              <w:rPr>
                <w:rFonts w:ascii="宋体" w:cs="宋体"/>
                <w:bCs/>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(四)未依照法律、法规和工程建设强制性标准实施监理的。</w:t>
            </w:r>
          </w:p>
        </w:tc>
        <w:tc>
          <w:tcPr>
            <w:tcW w:w="912" w:type="dxa"/>
            <w:tcBorders>
              <w:tl2br w:val="nil"/>
              <w:tr2bl w:val="nil"/>
            </w:tcBorders>
            <w:vAlign w:val="center"/>
          </w:tcPr>
          <w:p w14:paraId="352299DE">
            <w:pPr>
              <w:keepNext w:val="0"/>
              <w:keepLines w:val="0"/>
              <w:pageBreakBefore w:val="0"/>
              <w:widowControl/>
              <w:kinsoku/>
              <w:overflowPunct/>
              <w:topLinePunct w:val="0"/>
              <w:autoSpaceDE/>
              <w:autoSpaceDN/>
              <w:bidi w:val="0"/>
              <w:adjustRightInd/>
              <w:spacing w:line="260" w:lineRule="exact"/>
              <w:jc w:val="left"/>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7994496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375" w:type="dxa"/>
            <w:tcBorders>
              <w:tl2br w:val="nil"/>
              <w:tr2bl w:val="nil"/>
            </w:tcBorders>
            <w:vAlign w:val="center"/>
          </w:tcPr>
          <w:p w14:paraId="32808AA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责令停业整顿，直至改正违法行为；处10万元以上12万元以下的罚款。</w:t>
            </w:r>
          </w:p>
        </w:tc>
      </w:tr>
      <w:tr w14:paraId="110DB46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02DA6053">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5D94547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18794C22">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tcPr>
          <w:p w14:paraId="44C5C00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23FB3868">
            <w:pPr>
              <w:keepNext w:val="0"/>
              <w:keepLines w:val="0"/>
              <w:pageBreakBefore w:val="0"/>
              <w:widowControl/>
              <w:kinsoku/>
              <w:overflowPunct/>
              <w:topLinePunct w:val="0"/>
              <w:autoSpaceDE/>
              <w:autoSpaceDN/>
              <w:bidi w:val="0"/>
              <w:adjustRightInd/>
              <w:spacing w:line="260" w:lineRule="exact"/>
              <w:jc w:val="left"/>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71253CD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353C96C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责令停业整顿，直至改正违法行为；处12万元以上25万元以下的罚款。</w:t>
            </w:r>
          </w:p>
        </w:tc>
      </w:tr>
      <w:tr w14:paraId="3F4C50B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33" w:type="dxa"/>
            <w:gridSpan w:val="2"/>
            <w:vMerge w:val="continue"/>
            <w:tcBorders>
              <w:tl2br w:val="nil"/>
              <w:tr2bl w:val="nil"/>
            </w:tcBorders>
            <w:vAlign w:val="center"/>
          </w:tcPr>
          <w:p w14:paraId="4792553D">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205791C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3B46AE3F">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tcPr>
          <w:p w14:paraId="52770BC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restart"/>
            <w:tcBorders>
              <w:tl2br w:val="nil"/>
              <w:tr2bl w:val="nil"/>
            </w:tcBorders>
            <w:vAlign w:val="center"/>
          </w:tcPr>
          <w:p w14:paraId="5EB2AD24">
            <w:pPr>
              <w:keepNext w:val="0"/>
              <w:keepLines w:val="0"/>
              <w:pageBreakBefore w:val="0"/>
              <w:widowControl/>
              <w:kinsoku/>
              <w:overflowPunct/>
              <w:topLinePunct w:val="0"/>
              <w:autoSpaceDE/>
              <w:autoSpaceDN/>
              <w:bidi w:val="0"/>
              <w:adjustRightInd/>
              <w:spacing w:line="260" w:lineRule="exact"/>
              <w:jc w:val="left"/>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02F2CAEA">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造成3人以下死亡，或者10人以下重伤，或者1000万元以下直接经济损失。</w:t>
            </w:r>
          </w:p>
        </w:tc>
        <w:tc>
          <w:tcPr>
            <w:tcW w:w="3375" w:type="dxa"/>
            <w:tcBorders>
              <w:tl2br w:val="nil"/>
              <w:tr2bl w:val="nil"/>
            </w:tcBorders>
            <w:vAlign w:val="center"/>
          </w:tcPr>
          <w:p w14:paraId="455710C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责令停业整顿30—60日；处25万元以上30万元以下的罚款。</w:t>
            </w:r>
          </w:p>
        </w:tc>
      </w:tr>
      <w:tr w14:paraId="7BD0166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533" w:type="dxa"/>
            <w:gridSpan w:val="2"/>
            <w:vMerge w:val="continue"/>
            <w:tcBorders>
              <w:tl2br w:val="nil"/>
              <w:tr2bl w:val="nil"/>
            </w:tcBorders>
            <w:vAlign w:val="center"/>
          </w:tcPr>
          <w:p w14:paraId="008BDF09">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71E5694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69C3A5F1">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tcPr>
          <w:p w14:paraId="5059D1A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0C98D60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481D2D33">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造成3人以上5人以下死亡；或者10人以上20人以下重伤；或者1000万元以上2000万元以下直接经济损失的。</w:t>
            </w:r>
          </w:p>
        </w:tc>
        <w:tc>
          <w:tcPr>
            <w:tcW w:w="3375" w:type="dxa"/>
            <w:tcBorders>
              <w:tl2br w:val="nil"/>
              <w:tr2bl w:val="nil"/>
            </w:tcBorders>
            <w:vAlign w:val="center"/>
          </w:tcPr>
          <w:p w14:paraId="4363C01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责令停业整顿60-90日；处30万元的罚款。</w:t>
            </w:r>
          </w:p>
        </w:tc>
      </w:tr>
      <w:tr w14:paraId="7D2E12D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jc w:val="center"/>
        </w:trPr>
        <w:tc>
          <w:tcPr>
            <w:tcW w:w="533" w:type="dxa"/>
            <w:gridSpan w:val="2"/>
            <w:vMerge w:val="continue"/>
            <w:tcBorders>
              <w:tl2br w:val="nil"/>
              <w:tr2bl w:val="nil"/>
            </w:tcBorders>
            <w:vAlign w:val="center"/>
          </w:tcPr>
          <w:p w14:paraId="4AC82FCA">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11BB431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399FFBF7">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tcPr>
          <w:p w14:paraId="5243F6B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0BAB6A2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34E681D6">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造成5人以上7人以下死亡；或者20人以上30人以下重伤；或者2000万元以上3000万元以下直接经济损失的。</w:t>
            </w:r>
          </w:p>
        </w:tc>
        <w:tc>
          <w:tcPr>
            <w:tcW w:w="3375" w:type="dxa"/>
            <w:tcBorders>
              <w:tl2br w:val="nil"/>
              <w:tr2bl w:val="nil"/>
            </w:tcBorders>
            <w:vAlign w:val="center"/>
          </w:tcPr>
          <w:p w14:paraId="1433E6B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责令停业整顿90-120日；处30万元的罚款。</w:t>
            </w:r>
          </w:p>
        </w:tc>
      </w:tr>
      <w:tr w14:paraId="181C1A0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jc w:val="center"/>
        </w:trPr>
        <w:tc>
          <w:tcPr>
            <w:tcW w:w="533" w:type="dxa"/>
            <w:gridSpan w:val="2"/>
            <w:vMerge w:val="continue"/>
            <w:tcBorders>
              <w:tl2br w:val="nil"/>
              <w:tr2bl w:val="nil"/>
            </w:tcBorders>
            <w:vAlign w:val="center"/>
          </w:tcPr>
          <w:p w14:paraId="659D9540">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4DD7A96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4D17F81D">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tcPr>
          <w:p w14:paraId="73B49E3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7958586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0607B11B">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造成7人以上10人以下死亡；或者30人以上50人以下重伤；或者3000万元以上5000万元以下直接经济损失的。</w:t>
            </w:r>
          </w:p>
        </w:tc>
        <w:tc>
          <w:tcPr>
            <w:tcW w:w="3375" w:type="dxa"/>
            <w:tcBorders>
              <w:tl2br w:val="nil"/>
              <w:tr2bl w:val="nil"/>
            </w:tcBorders>
            <w:vAlign w:val="center"/>
          </w:tcPr>
          <w:p w14:paraId="50E72327">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责令停业整顿120-180日；处30万元的罚款。</w:t>
            </w:r>
          </w:p>
        </w:tc>
      </w:tr>
      <w:tr w14:paraId="5D037AD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533" w:type="dxa"/>
            <w:gridSpan w:val="2"/>
            <w:vMerge w:val="continue"/>
            <w:tcBorders>
              <w:tl2br w:val="nil"/>
              <w:tr2bl w:val="nil"/>
            </w:tcBorders>
            <w:vAlign w:val="center"/>
          </w:tcPr>
          <w:p w14:paraId="6C33B87B">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5E51333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5AE81365">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tcPr>
          <w:p w14:paraId="25C27B4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678B337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6680670C">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造成重大安全事故的</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或造成特别严重社会影响的。</w:t>
            </w:r>
          </w:p>
        </w:tc>
        <w:tc>
          <w:tcPr>
            <w:tcW w:w="3375" w:type="dxa"/>
            <w:tcBorders>
              <w:tl2br w:val="nil"/>
              <w:tr2bl w:val="nil"/>
            </w:tcBorders>
            <w:vAlign w:val="center"/>
          </w:tcPr>
          <w:p w14:paraId="5918AD3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处30万元的罚款；降低资质等级。</w:t>
            </w:r>
          </w:p>
        </w:tc>
      </w:tr>
      <w:tr w14:paraId="218580D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3" w:type="dxa"/>
            <w:gridSpan w:val="2"/>
            <w:vMerge w:val="continue"/>
            <w:tcBorders>
              <w:tl2br w:val="nil"/>
              <w:tr2bl w:val="nil"/>
            </w:tcBorders>
            <w:vAlign w:val="center"/>
          </w:tcPr>
          <w:p w14:paraId="721F77A2">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35F2DA3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7EB784C3">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tcPr>
          <w:p w14:paraId="7E63080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3846F5B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1480C286">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造成特别重大安全事故的</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或造成特别严重社会影响的。</w:t>
            </w:r>
          </w:p>
        </w:tc>
        <w:tc>
          <w:tcPr>
            <w:tcW w:w="3375" w:type="dxa"/>
            <w:tcBorders>
              <w:tl2br w:val="nil"/>
              <w:tr2bl w:val="nil"/>
            </w:tcBorders>
            <w:vAlign w:val="center"/>
          </w:tcPr>
          <w:p w14:paraId="2B704D81">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处30万元的罚款；吊销资质证书。</w:t>
            </w:r>
          </w:p>
        </w:tc>
      </w:tr>
      <w:tr w14:paraId="5728CB8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3C3E7A6C">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仿宋" w:eastAsia="仿宋_GB2312" w:cs="Times New Roman"/>
                <w:color w:val="000000" w:themeColor="text1"/>
                <w:kern w:val="0"/>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57</w:t>
            </w:r>
          </w:p>
        </w:tc>
        <w:tc>
          <w:tcPr>
            <w:tcW w:w="1376" w:type="dxa"/>
            <w:vMerge w:val="restart"/>
            <w:tcBorders>
              <w:tl2br w:val="nil"/>
              <w:tr2bl w:val="nil"/>
            </w:tcBorders>
            <w:vAlign w:val="center"/>
          </w:tcPr>
          <w:p w14:paraId="648AADEF">
            <w:pPr>
              <w:keepNext w:val="0"/>
              <w:keepLines w:val="0"/>
              <w:pageBreakBefore w:val="0"/>
              <w:kinsoku/>
              <w:overflowPunct/>
              <w:topLinePunct w:val="0"/>
              <w:autoSpaceDE/>
              <w:autoSpaceDN/>
              <w:bidi w:val="0"/>
              <w:adjustRightInd/>
              <w:spacing w:line="260" w:lineRule="exact"/>
              <w:ind w:firstLine="210" w:firstLineChars="100"/>
              <w:jc w:val="left"/>
              <w:rPr>
                <w:rFonts w:asci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注册执业人员未执行法律、法规和工程建设强制性标准的</w:t>
            </w:r>
          </w:p>
        </w:tc>
        <w:tc>
          <w:tcPr>
            <w:tcW w:w="1128" w:type="dxa"/>
            <w:gridSpan w:val="2"/>
            <w:vMerge w:val="restart"/>
            <w:tcBorders>
              <w:tl2br w:val="nil"/>
              <w:tr2bl w:val="nil"/>
            </w:tcBorders>
            <w:vAlign w:val="center"/>
          </w:tcPr>
          <w:p w14:paraId="2006B236">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《建设工程安全生产管理条例》第五十八条</w:t>
            </w:r>
          </w:p>
        </w:tc>
        <w:tc>
          <w:tcPr>
            <w:tcW w:w="4354" w:type="dxa"/>
            <w:vMerge w:val="restart"/>
            <w:tcBorders>
              <w:tl2br w:val="nil"/>
              <w:tr2bl w:val="nil"/>
            </w:tcBorders>
            <w:vAlign w:val="center"/>
          </w:tcPr>
          <w:p w14:paraId="6B73C071">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747D904D">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w:t>
            </w:r>
          </w:p>
          <w:p w14:paraId="19CA2367">
            <w:pPr>
              <w:keepNext w:val="0"/>
              <w:keepLines w:val="0"/>
              <w:pageBreakBefore w:val="0"/>
              <w:kinsoku/>
              <w:overflowPunct/>
              <w:topLinePunct w:val="0"/>
              <w:autoSpaceDE/>
              <w:autoSpaceDN/>
              <w:bidi w:val="0"/>
              <w:adjustRightInd/>
              <w:spacing w:line="260" w:lineRule="exact"/>
              <w:ind w:firstLine="420" w:firstLineChars="200"/>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第五十八条</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注册执业人员未执行法律、法规和工程建设强制性标准的，责令停止执业3个月以上1年以下；情节严重的，吊销执业资格证书，5年内不予注册；造成重大安全事故的，终身不予注册；构成犯罪的，依照刑法有关规定追究刑事责任。</w:t>
            </w:r>
          </w:p>
        </w:tc>
        <w:tc>
          <w:tcPr>
            <w:tcW w:w="912" w:type="dxa"/>
            <w:tcBorders>
              <w:tl2br w:val="nil"/>
              <w:tr2bl w:val="nil"/>
            </w:tcBorders>
            <w:vAlign w:val="center"/>
          </w:tcPr>
          <w:p w14:paraId="46242AA7">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1894F52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375" w:type="dxa"/>
            <w:tcBorders>
              <w:tl2br w:val="nil"/>
              <w:tr2bl w:val="nil"/>
            </w:tcBorders>
            <w:vAlign w:val="center"/>
          </w:tcPr>
          <w:p w14:paraId="0E4CD88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责令停止执业3个月以上1年以下。</w:t>
            </w:r>
          </w:p>
        </w:tc>
      </w:tr>
      <w:tr w14:paraId="086140A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2" w:hRule="atLeast"/>
          <w:jc w:val="center"/>
        </w:trPr>
        <w:tc>
          <w:tcPr>
            <w:tcW w:w="533" w:type="dxa"/>
            <w:gridSpan w:val="2"/>
            <w:vMerge w:val="continue"/>
            <w:tcBorders>
              <w:tl2br w:val="nil"/>
              <w:tr2bl w:val="nil"/>
            </w:tcBorders>
            <w:vAlign w:val="center"/>
          </w:tcPr>
          <w:p w14:paraId="61381683">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2D49A75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7311AF02">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539960F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128D3F64">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5B0F074E">
            <w:pPr>
              <w:keepNext w:val="0"/>
              <w:keepLines w:val="0"/>
              <w:pageBreakBefore w:val="0"/>
              <w:widowControl/>
              <w:kinsoku/>
              <w:overflowPunct/>
              <w:topLinePunct w:val="0"/>
              <w:autoSpaceDE/>
              <w:autoSpaceDN/>
              <w:bidi w:val="0"/>
              <w:adjustRightInd/>
              <w:spacing w:line="260" w:lineRule="exact"/>
              <w:ind w:firstLine="210" w:firstLineChars="100"/>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25307EF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（2）造成较大质量安全事故或其他严重后果的。</w:t>
            </w:r>
          </w:p>
        </w:tc>
        <w:tc>
          <w:tcPr>
            <w:tcW w:w="3375" w:type="dxa"/>
            <w:tcBorders>
              <w:tl2br w:val="nil"/>
              <w:tr2bl w:val="nil"/>
            </w:tcBorders>
            <w:vAlign w:val="center"/>
          </w:tcPr>
          <w:p w14:paraId="5699BB1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吊销执业资格证书，5年内不予注册。</w:t>
            </w:r>
          </w:p>
        </w:tc>
      </w:tr>
      <w:tr w14:paraId="7080577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7B8AC6C1">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06A3137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5EC40EF5">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2285348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1BFD0510">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051D6AF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造成重大安全事故的</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或造成特别严重社会影响的。</w:t>
            </w:r>
          </w:p>
        </w:tc>
        <w:tc>
          <w:tcPr>
            <w:tcW w:w="3375" w:type="dxa"/>
            <w:tcBorders>
              <w:tl2br w:val="nil"/>
              <w:tr2bl w:val="nil"/>
            </w:tcBorders>
            <w:vAlign w:val="center"/>
          </w:tcPr>
          <w:p w14:paraId="051988F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吊销执业资格证书，终身不予注册。</w:t>
            </w:r>
          </w:p>
        </w:tc>
      </w:tr>
      <w:tr w14:paraId="2D6E57A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51529CB3">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仿宋" w:eastAsia="仿宋_GB2312" w:cs="Times New Roman"/>
                <w:color w:val="000000" w:themeColor="text1"/>
                <w:kern w:val="0"/>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58</w:t>
            </w:r>
          </w:p>
        </w:tc>
        <w:tc>
          <w:tcPr>
            <w:tcW w:w="1376" w:type="dxa"/>
            <w:vMerge w:val="restart"/>
            <w:tcBorders>
              <w:tl2br w:val="nil"/>
              <w:tr2bl w:val="nil"/>
            </w:tcBorders>
            <w:vAlign w:val="center"/>
          </w:tcPr>
          <w:p w14:paraId="18D00B45">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为建设工程提供机械设备和配件的单位，未按照安全施工要求配备齐全有效的保险、限位等安全设施和装置的处罚的</w:t>
            </w:r>
          </w:p>
        </w:tc>
        <w:tc>
          <w:tcPr>
            <w:tcW w:w="1128" w:type="dxa"/>
            <w:gridSpan w:val="2"/>
            <w:vMerge w:val="restart"/>
            <w:tcBorders>
              <w:tl2br w:val="nil"/>
              <w:tr2bl w:val="nil"/>
            </w:tcBorders>
            <w:vAlign w:val="center"/>
          </w:tcPr>
          <w:p w14:paraId="77C5920B">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《建设工程安全生产管理条例》第十五条</w:t>
            </w:r>
          </w:p>
        </w:tc>
        <w:tc>
          <w:tcPr>
            <w:tcW w:w="4354" w:type="dxa"/>
            <w:vMerge w:val="restart"/>
            <w:tcBorders>
              <w:tl2br w:val="nil"/>
              <w:tr2bl w:val="nil"/>
            </w:tcBorders>
            <w:vAlign w:val="center"/>
          </w:tcPr>
          <w:p w14:paraId="094C32A2">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w:t>
            </w:r>
          </w:p>
          <w:p w14:paraId="7FCC8EA0">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第五十九条</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条例的规定，为建设工程提供机械设备和配件的单位，未按照安全施工的要求配备齐全有效的保险、限位等安全设施和装置的，责令限期改正，处合同价款1倍以上3倍以下的罚款；造成损失的，依法承担赔偿责任。</w:t>
            </w:r>
          </w:p>
        </w:tc>
        <w:tc>
          <w:tcPr>
            <w:tcW w:w="912" w:type="dxa"/>
            <w:tcBorders>
              <w:tl2br w:val="nil"/>
              <w:tr2bl w:val="nil"/>
            </w:tcBorders>
            <w:vAlign w:val="center"/>
          </w:tcPr>
          <w:p w14:paraId="03FA75AD">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2169F38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375" w:type="dxa"/>
            <w:tcBorders>
              <w:tl2br w:val="nil"/>
              <w:tr2bl w:val="nil"/>
            </w:tcBorders>
            <w:vAlign w:val="center"/>
          </w:tcPr>
          <w:p w14:paraId="757B941E">
            <w:pPr>
              <w:keepNext w:val="0"/>
              <w:keepLines w:val="0"/>
              <w:pageBreakBefore w:val="0"/>
              <w:widowControl/>
              <w:kinsoku/>
              <w:overflowPunct/>
              <w:topLinePunct w:val="0"/>
              <w:autoSpaceDE/>
              <w:autoSpaceDN/>
              <w:bidi w:val="0"/>
              <w:adjustRightInd/>
              <w:spacing w:before="100" w:beforeAutospacing="1" w:after="100" w:afterAutospacing="1"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责令限期改正，处合同价款1倍以上2倍以下罚款。</w:t>
            </w:r>
          </w:p>
        </w:tc>
      </w:tr>
      <w:tr w14:paraId="10DD087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27BB654F">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75A7BF8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06F5B34E">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6504F9D7">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7956297A">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67DF127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4322B685">
            <w:pPr>
              <w:keepNext w:val="0"/>
              <w:keepLines w:val="0"/>
              <w:pageBreakBefore w:val="0"/>
              <w:widowControl/>
              <w:kinsoku/>
              <w:overflowPunct/>
              <w:topLinePunct w:val="0"/>
              <w:autoSpaceDE/>
              <w:autoSpaceDN/>
              <w:bidi w:val="0"/>
              <w:adjustRightInd/>
              <w:spacing w:before="100" w:beforeAutospacing="1" w:after="100" w:afterAutospacing="1"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责令限期改正，处合同价款2倍以上3倍以下罚款。</w:t>
            </w:r>
          </w:p>
        </w:tc>
      </w:tr>
      <w:tr w14:paraId="5FA6EF9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2BC489A0">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3B08AA1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3A599B86">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1BF758CF">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60D19171">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57C7E27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075BD0E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375" w:type="dxa"/>
            <w:tcBorders>
              <w:tl2br w:val="nil"/>
              <w:tr2bl w:val="nil"/>
            </w:tcBorders>
            <w:vAlign w:val="center"/>
          </w:tcPr>
          <w:p w14:paraId="67C50DB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责令限期改正，处合同价款3倍的罚款。</w:t>
            </w:r>
          </w:p>
        </w:tc>
      </w:tr>
      <w:tr w14:paraId="10F65CC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461224A8">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仿宋" w:eastAsia="仿宋_GB2312" w:cs="Times New Roman"/>
                <w:color w:val="000000" w:themeColor="text1"/>
                <w:kern w:val="0"/>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59</w:t>
            </w:r>
          </w:p>
        </w:tc>
        <w:tc>
          <w:tcPr>
            <w:tcW w:w="1376" w:type="dxa"/>
            <w:vMerge w:val="restart"/>
            <w:tcBorders>
              <w:tl2br w:val="nil"/>
              <w:tr2bl w:val="nil"/>
            </w:tcBorders>
            <w:vAlign w:val="center"/>
          </w:tcPr>
          <w:p w14:paraId="66EEDD40">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出租单位出租未经安全性能检测或者经检测不合格的机械设备和施工机具及配件的</w:t>
            </w:r>
          </w:p>
        </w:tc>
        <w:tc>
          <w:tcPr>
            <w:tcW w:w="1128" w:type="dxa"/>
            <w:gridSpan w:val="2"/>
            <w:vMerge w:val="restart"/>
            <w:tcBorders>
              <w:tl2br w:val="nil"/>
              <w:tr2bl w:val="nil"/>
            </w:tcBorders>
            <w:vAlign w:val="center"/>
          </w:tcPr>
          <w:p w14:paraId="5A30E484">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《建设工程安全生产管理条例》第十六条</w:t>
            </w:r>
          </w:p>
        </w:tc>
        <w:tc>
          <w:tcPr>
            <w:tcW w:w="4354" w:type="dxa"/>
            <w:vMerge w:val="restart"/>
            <w:tcBorders>
              <w:tl2br w:val="nil"/>
              <w:tr2bl w:val="nil"/>
            </w:tcBorders>
            <w:vAlign w:val="center"/>
          </w:tcPr>
          <w:p w14:paraId="320780DF">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338ED7D8">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w:t>
            </w:r>
          </w:p>
          <w:p w14:paraId="3802F93D">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第六十条</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违反本条例的规定，出租单位出租未经安全性能检测或者经检测不合格的机械设备和施工机具及配件的，责令停业整顿，并处5万元以上10万元以下的罚款；造成损失的，依法承担赔偿责任。</w:t>
            </w:r>
          </w:p>
        </w:tc>
        <w:tc>
          <w:tcPr>
            <w:tcW w:w="912" w:type="dxa"/>
            <w:tcBorders>
              <w:tl2br w:val="nil"/>
              <w:tr2bl w:val="nil"/>
            </w:tcBorders>
            <w:vAlign w:val="center"/>
          </w:tcPr>
          <w:p w14:paraId="1F258F41">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64F248C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375" w:type="dxa"/>
            <w:tcBorders>
              <w:tl2br w:val="nil"/>
              <w:tr2bl w:val="nil"/>
            </w:tcBorders>
            <w:vAlign w:val="center"/>
          </w:tcPr>
          <w:p w14:paraId="08F3D5E2">
            <w:pPr>
              <w:keepNext w:val="0"/>
              <w:keepLines w:val="0"/>
              <w:pageBreakBefore w:val="0"/>
              <w:widowControl/>
              <w:kinsoku/>
              <w:overflowPunct/>
              <w:topLinePunct w:val="0"/>
              <w:autoSpaceDE/>
              <w:autoSpaceDN/>
              <w:bidi w:val="0"/>
              <w:adjustRightInd/>
              <w:spacing w:before="100" w:beforeAutospacing="1" w:after="100" w:afterAutospacing="1"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责令停业整顿，直至改正违法行为，并处5万以上7万元以下罚款。</w:t>
            </w:r>
          </w:p>
        </w:tc>
      </w:tr>
      <w:tr w14:paraId="618FE2B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52EA654E">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553984D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28AC6322">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54B32F99">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7DB2679B">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544FEA0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06990EF2">
            <w:pPr>
              <w:keepNext w:val="0"/>
              <w:keepLines w:val="0"/>
              <w:pageBreakBefore w:val="0"/>
              <w:widowControl/>
              <w:kinsoku/>
              <w:overflowPunct/>
              <w:topLinePunct w:val="0"/>
              <w:autoSpaceDE/>
              <w:autoSpaceDN/>
              <w:bidi w:val="0"/>
              <w:adjustRightInd/>
              <w:spacing w:before="100" w:beforeAutospacing="1" w:after="100" w:afterAutospacing="1"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责令停业整顿，直至改正违法行为，并处7万元以上9万元以下罚款。</w:t>
            </w:r>
          </w:p>
        </w:tc>
      </w:tr>
      <w:tr w14:paraId="138D633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7A396727">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2736A8C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0669947B">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53C63DCB">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53D39C1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6362275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0596352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375" w:type="dxa"/>
            <w:tcBorders>
              <w:tl2br w:val="nil"/>
              <w:tr2bl w:val="nil"/>
            </w:tcBorders>
            <w:vAlign w:val="center"/>
          </w:tcPr>
          <w:p w14:paraId="3E85AF1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责令停业整顿，直至改正违法行为，并处9万元以上10万元以下罚款。</w:t>
            </w:r>
          </w:p>
        </w:tc>
      </w:tr>
      <w:tr w14:paraId="6E4D16D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537F1873">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仿宋" w:eastAsia="仿宋_GB2312" w:cs="Times New Roman"/>
                <w:color w:val="000000" w:themeColor="text1"/>
                <w:kern w:val="0"/>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60</w:t>
            </w:r>
          </w:p>
        </w:tc>
        <w:tc>
          <w:tcPr>
            <w:tcW w:w="1376" w:type="dxa"/>
            <w:vMerge w:val="restart"/>
            <w:tcBorders>
              <w:tl2br w:val="nil"/>
              <w:tr2bl w:val="nil"/>
            </w:tcBorders>
            <w:vAlign w:val="center"/>
          </w:tcPr>
          <w:p w14:paraId="7D2EDF17">
            <w:pPr>
              <w:keepNext w:val="0"/>
              <w:keepLines w:val="0"/>
              <w:pageBreakBefore w:val="0"/>
              <w:widowControl/>
              <w:shd w:val="clear" w:color="auto" w:fill="FFFFFF"/>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2E4D2C27">
            <w:pPr>
              <w:keepNext w:val="0"/>
              <w:keepLines w:val="0"/>
              <w:pageBreakBefore w:val="0"/>
              <w:widowControl/>
              <w:shd w:val="clear" w:color="auto" w:fill="FFFFFF"/>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施工起重机械和整体提升脚手架、模板等自升式架设设施安装、拆卸单位有下列行为之一的</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(一)未编制拆装方案、制定安全施工措施的；</w:t>
            </w:r>
          </w:p>
          <w:p w14:paraId="12CF5223">
            <w:pPr>
              <w:keepNext w:val="0"/>
              <w:keepLines w:val="0"/>
              <w:pageBreakBefore w:val="0"/>
              <w:widowControl/>
              <w:shd w:val="clear" w:color="auto" w:fill="FFFFFF"/>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(二)未由专业技术人员现场监督的；</w:t>
            </w:r>
          </w:p>
          <w:p w14:paraId="5783E7EC">
            <w:pPr>
              <w:keepNext w:val="0"/>
              <w:keepLines w:val="0"/>
              <w:pageBreakBefore w:val="0"/>
              <w:widowControl/>
              <w:shd w:val="clear" w:color="auto" w:fill="FFFFFF"/>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(三)未出具自检合格证明或者出具虚假证明的；</w:t>
            </w:r>
          </w:p>
          <w:p w14:paraId="19DEE9CE">
            <w:pPr>
              <w:keepNext w:val="0"/>
              <w:keepLines w:val="0"/>
              <w:pageBreakBefore w:val="0"/>
              <w:widowControl/>
              <w:shd w:val="clear" w:color="auto" w:fill="FFFFFF"/>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(四)未向施工单位进行安全使用说明，办理移交手续的。</w:t>
            </w:r>
          </w:p>
        </w:tc>
        <w:tc>
          <w:tcPr>
            <w:tcW w:w="1128" w:type="dxa"/>
            <w:gridSpan w:val="2"/>
            <w:vMerge w:val="restart"/>
            <w:tcBorders>
              <w:tl2br w:val="nil"/>
              <w:tr2bl w:val="nil"/>
            </w:tcBorders>
            <w:vAlign w:val="center"/>
          </w:tcPr>
          <w:p w14:paraId="2C80D08D">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《建设工程安全生产管理条例》第十七条第二款</w:t>
            </w:r>
          </w:p>
        </w:tc>
        <w:tc>
          <w:tcPr>
            <w:tcW w:w="4354" w:type="dxa"/>
            <w:vMerge w:val="restart"/>
            <w:tcBorders>
              <w:tl2br w:val="nil"/>
              <w:tr2bl w:val="nil"/>
            </w:tcBorders>
            <w:vAlign w:val="center"/>
          </w:tcPr>
          <w:p w14:paraId="321B28D8">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650C3246">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w:t>
            </w:r>
          </w:p>
          <w:p w14:paraId="2B05F43D">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第六十一条</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ascii="仿宋_GB2312" w:hAnsi="宋体" w:eastAsia="仿宋_GB2312"/>
                <w:color w:val="000000" w:themeColor="text1"/>
                <w:kern w:val="0"/>
                <w:szCs w:val="21"/>
                <w14:textFill>
                  <w14:solidFill>
                    <w14:schemeClr w14:val="tx1"/>
                  </w14:solidFill>
                </w14:textFill>
              </w:rPr>
              <w:t>违反本条例的规定，施工起重机械和整体提升脚手架、模板等自升式架设设施安装、拆卸单位有下列行为之一的，责令限期改正，处5万元以上10万元以下的罚款；情节严重的，责令停业整顿，降低资质等级，直至吊销资质证书；造成损失的，依法承担赔偿责任：</w:t>
            </w:r>
          </w:p>
          <w:p w14:paraId="18516F55">
            <w:pPr>
              <w:keepNext w:val="0"/>
              <w:keepLines w:val="0"/>
              <w:pageBreakBefore w:val="0"/>
              <w:widowControl/>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(一)未编制拆装方案、制定安全施工措施的；</w:t>
            </w:r>
          </w:p>
          <w:p w14:paraId="79AFB2E3">
            <w:pPr>
              <w:keepNext w:val="0"/>
              <w:keepLines w:val="0"/>
              <w:pageBreakBefore w:val="0"/>
              <w:widowControl/>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(二)未由专业技术人员现场监督的；</w:t>
            </w:r>
          </w:p>
          <w:p w14:paraId="6EBDCDC6">
            <w:pPr>
              <w:keepNext w:val="0"/>
              <w:keepLines w:val="0"/>
              <w:pageBreakBefore w:val="0"/>
              <w:widowControl/>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(三)未出具自检合格证明或者出具虚假证明的；</w:t>
            </w:r>
          </w:p>
          <w:p w14:paraId="1534601B">
            <w:pPr>
              <w:keepNext w:val="0"/>
              <w:keepLines w:val="0"/>
              <w:pageBreakBefore w:val="0"/>
              <w:widowControl/>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(四)未向施工单位进行安全使用说明，办理移交手续的。</w:t>
            </w:r>
          </w:p>
          <w:p w14:paraId="4EE88176">
            <w:pPr>
              <w:keepNext w:val="0"/>
              <w:keepLines w:val="0"/>
              <w:pageBreakBefore w:val="0"/>
              <w:widowControl/>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施工起重机械和整体提升脚手架、模板等自升式架设设施安装、拆卸单位有前款规定的第(一)项、第(三)项行为，经有关部门或者单位职工提出后，对事故隐患仍不采取措施，因而发生重大伤亡事故或者造成其他严重后果，构成犯罪的，对直接责任人员，依照刑法有关规定追究刑事责任。</w:t>
            </w:r>
          </w:p>
          <w:p w14:paraId="60886389">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7873F395">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2B0E8094">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2323050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375" w:type="dxa"/>
            <w:tcBorders>
              <w:tl2br w:val="nil"/>
              <w:tr2bl w:val="nil"/>
            </w:tcBorders>
            <w:vAlign w:val="center"/>
          </w:tcPr>
          <w:p w14:paraId="5A95C8E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责令限期改正，处5万元以上6万元以下的罚款。</w:t>
            </w:r>
          </w:p>
        </w:tc>
      </w:tr>
      <w:tr w14:paraId="18E7456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0B0D5C8B">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5E4285C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104FD326">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3AF80B9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3B6493DE">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183914D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1C2DB63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责令限期改正，处6万元以上8.5万元以下的罚款。</w:t>
            </w:r>
          </w:p>
        </w:tc>
      </w:tr>
      <w:tr w14:paraId="2A3D017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533" w:type="dxa"/>
            <w:gridSpan w:val="2"/>
            <w:vMerge w:val="continue"/>
            <w:tcBorders>
              <w:tl2br w:val="nil"/>
              <w:tr2bl w:val="nil"/>
            </w:tcBorders>
            <w:vAlign w:val="center"/>
          </w:tcPr>
          <w:p w14:paraId="35D4B145">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45E7AE3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29386F24">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59D2D7A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restart"/>
            <w:tcBorders>
              <w:tl2br w:val="nil"/>
              <w:tr2bl w:val="nil"/>
            </w:tcBorders>
            <w:vAlign w:val="center"/>
          </w:tcPr>
          <w:p w14:paraId="6295AD25">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55D204B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造成3人以下死亡，或者10人以下重伤，或者1000万元以下直接经济损失。</w:t>
            </w:r>
          </w:p>
        </w:tc>
        <w:tc>
          <w:tcPr>
            <w:tcW w:w="3375" w:type="dxa"/>
            <w:tcBorders>
              <w:tl2br w:val="nil"/>
              <w:tr2bl w:val="nil"/>
            </w:tcBorders>
            <w:vAlign w:val="center"/>
          </w:tcPr>
          <w:p w14:paraId="28B1A0C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责令限期改正，处8.5万元以上10万元以下的罚款；责令停业整顿30-60日。</w:t>
            </w:r>
          </w:p>
        </w:tc>
      </w:tr>
      <w:tr w14:paraId="7136AA1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 w:hRule="atLeast"/>
          <w:jc w:val="center"/>
        </w:trPr>
        <w:tc>
          <w:tcPr>
            <w:tcW w:w="533" w:type="dxa"/>
            <w:gridSpan w:val="2"/>
            <w:vMerge w:val="continue"/>
            <w:tcBorders>
              <w:tl2br w:val="nil"/>
              <w:tr2bl w:val="nil"/>
            </w:tcBorders>
            <w:vAlign w:val="center"/>
          </w:tcPr>
          <w:p w14:paraId="41274F5F">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36C77D6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2623DEBF">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7F56AA3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5211CD3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3DAA875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造成3人以上5人以下死亡；或者10人以上20人以下重伤；或者1000万元以上2000万元以下直接经济损失的。</w:t>
            </w:r>
          </w:p>
        </w:tc>
        <w:tc>
          <w:tcPr>
            <w:tcW w:w="3375" w:type="dxa"/>
            <w:tcBorders>
              <w:tl2br w:val="nil"/>
              <w:tr2bl w:val="nil"/>
            </w:tcBorders>
            <w:vAlign w:val="center"/>
          </w:tcPr>
          <w:p w14:paraId="1CF126E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责令限期改正，处10万元的罚款；责令停业整顿60-90日。</w:t>
            </w:r>
          </w:p>
        </w:tc>
      </w:tr>
      <w:tr w14:paraId="31C84FC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 w:hRule="atLeast"/>
          <w:jc w:val="center"/>
        </w:trPr>
        <w:tc>
          <w:tcPr>
            <w:tcW w:w="533" w:type="dxa"/>
            <w:gridSpan w:val="2"/>
            <w:vMerge w:val="continue"/>
            <w:tcBorders>
              <w:tl2br w:val="nil"/>
              <w:tr2bl w:val="nil"/>
            </w:tcBorders>
            <w:vAlign w:val="center"/>
          </w:tcPr>
          <w:p w14:paraId="67BE2B4F">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00FFC1C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4AFF8B30">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1585DA0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6FE1839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7F4F94D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造成5人以上7人以下死亡；或者20人以上30人以下重伤；或者2000万元以上3000万元以下直接经济损失的。</w:t>
            </w:r>
          </w:p>
        </w:tc>
        <w:tc>
          <w:tcPr>
            <w:tcW w:w="3375" w:type="dxa"/>
            <w:tcBorders>
              <w:tl2br w:val="nil"/>
              <w:tr2bl w:val="nil"/>
            </w:tcBorders>
            <w:vAlign w:val="center"/>
          </w:tcPr>
          <w:p w14:paraId="60DC1F4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责令限期改正，处10万元的罚款；责令停业整顿90-120日。</w:t>
            </w:r>
          </w:p>
        </w:tc>
      </w:tr>
      <w:tr w14:paraId="2525B0C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2" w:hRule="atLeast"/>
          <w:jc w:val="center"/>
        </w:trPr>
        <w:tc>
          <w:tcPr>
            <w:tcW w:w="533" w:type="dxa"/>
            <w:gridSpan w:val="2"/>
            <w:vMerge w:val="continue"/>
            <w:tcBorders>
              <w:tl2br w:val="nil"/>
              <w:tr2bl w:val="nil"/>
            </w:tcBorders>
            <w:vAlign w:val="center"/>
          </w:tcPr>
          <w:p w14:paraId="048631A4">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44EF7E4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7F14AA40">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562E9A7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0AF0784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5CB5EF4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造成7人以上10人以下死亡；或者30人以上50人以下重伤；或者3000万元以上5000万元以下直接经济损失的。</w:t>
            </w:r>
          </w:p>
        </w:tc>
        <w:tc>
          <w:tcPr>
            <w:tcW w:w="3375" w:type="dxa"/>
            <w:tcBorders>
              <w:tl2br w:val="nil"/>
              <w:tr2bl w:val="nil"/>
            </w:tcBorders>
            <w:vAlign w:val="center"/>
          </w:tcPr>
          <w:p w14:paraId="029ED70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责令限期改正，处10万元的罚款；责令停业整顿120-180日。</w:t>
            </w:r>
          </w:p>
        </w:tc>
      </w:tr>
      <w:tr w14:paraId="34DC612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3243017F">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5542C24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6F3F0D5E">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36E45AA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147460F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47B73B8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造成重大安全事故的</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或造成特别严重社会影响的。</w:t>
            </w:r>
          </w:p>
        </w:tc>
        <w:tc>
          <w:tcPr>
            <w:tcW w:w="3375" w:type="dxa"/>
            <w:tcBorders>
              <w:tl2br w:val="nil"/>
              <w:tr2bl w:val="nil"/>
            </w:tcBorders>
            <w:vAlign w:val="center"/>
          </w:tcPr>
          <w:p w14:paraId="6D732C1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责令限期改正，处10万元的罚款；降低资质等级。</w:t>
            </w:r>
          </w:p>
        </w:tc>
      </w:tr>
      <w:tr w14:paraId="63D3BAD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 w:hRule="atLeast"/>
          <w:jc w:val="center"/>
        </w:trPr>
        <w:tc>
          <w:tcPr>
            <w:tcW w:w="533" w:type="dxa"/>
            <w:gridSpan w:val="2"/>
            <w:vMerge w:val="continue"/>
            <w:tcBorders>
              <w:tl2br w:val="nil"/>
              <w:tr2bl w:val="nil"/>
            </w:tcBorders>
            <w:vAlign w:val="center"/>
          </w:tcPr>
          <w:p w14:paraId="3E8F7600">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7EA9723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37B9B1F9">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79AEB01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1D9BD34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774AE10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造成特别重大安全事故的</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或造成特别严重社会影响的。</w:t>
            </w:r>
          </w:p>
        </w:tc>
        <w:tc>
          <w:tcPr>
            <w:tcW w:w="3375" w:type="dxa"/>
            <w:tcBorders>
              <w:tl2br w:val="nil"/>
              <w:tr2bl w:val="nil"/>
            </w:tcBorders>
            <w:vAlign w:val="center"/>
          </w:tcPr>
          <w:p w14:paraId="5021B36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责令限期改正，处10万元的罚款；吊销资质证书。</w:t>
            </w:r>
          </w:p>
          <w:p w14:paraId="1750A0F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r>
      <w:tr w14:paraId="06C1D11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0CD4A53F">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61</w:t>
            </w:r>
          </w:p>
        </w:tc>
        <w:tc>
          <w:tcPr>
            <w:tcW w:w="1376" w:type="dxa"/>
            <w:vMerge w:val="restart"/>
            <w:tcBorders>
              <w:tl2br w:val="nil"/>
              <w:tr2bl w:val="nil"/>
            </w:tcBorders>
            <w:vAlign w:val="center"/>
          </w:tcPr>
          <w:p w14:paraId="234D9BEF">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施工单位未设立安全生产管理机构、配备专职安全生产管理人员或者分部分项工程施工时无专职安全生产管理人员现场监督</w:t>
            </w:r>
          </w:p>
        </w:tc>
        <w:tc>
          <w:tcPr>
            <w:tcW w:w="1128" w:type="dxa"/>
            <w:gridSpan w:val="2"/>
            <w:vMerge w:val="restart"/>
            <w:tcBorders>
              <w:tl2br w:val="nil"/>
              <w:tr2bl w:val="nil"/>
            </w:tcBorders>
            <w:vAlign w:val="center"/>
          </w:tcPr>
          <w:p w14:paraId="1037516B">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《建设工程安全生产管理条例》第二十三条</w:t>
            </w:r>
          </w:p>
          <w:p w14:paraId="2FE59A9E">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33E85D9F">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《中华人民共和国安全生产法》第九十四条第一项</w:t>
            </w:r>
          </w:p>
          <w:p w14:paraId="0E3D1428">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vMerge w:val="restart"/>
            <w:tcBorders>
              <w:tl2br w:val="nil"/>
              <w:tr2bl w:val="nil"/>
            </w:tcBorders>
            <w:vAlign w:val="center"/>
          </w:tcPr>
          <w:p w14:paraId="5FF3B92C">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1B379599">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w:t>
            </w:r>
          </w:p>
          <w:p w14:paraId="2148A2C0">
            <w:pPr>
              <w:keepNext w:val="0"/>
              <w:keepLines w:val="0"/>
              <w:pageBreakBefore w:val="0"/>
              <w:kinsoku/>
              <w:overflowPunct/>
              <w:topLinePunct w:val="0"/>
              <w:autoSpaceDE/>
              <w:autoSpaceDN/>
              <w:bidi w:val="0"/>
              <w:adjustRightInd/>
              <w:spacing w:line="260" w:lineRule="exact"/>
              <w:ind w:firstLine="420" w:firstLineChars="2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第六十二条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w:t>
            </w:r>
          </w:p>
          <w:p w14:paraId="23DFB222">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(一)未设立安全生产管理机构、配备专职安全生产管理人员或者分部分项工程施工时无专职安全生产管理人员现场监督的；</w:t>
            </w:r>
          </w:p>
          <w:p w14:paraId="755698A8">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34A3AA1C">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《中华人民共和国安全生产法》</w:t>
            </w:r>
          </w:p>
          <w:p w14:paraId="204CE46D">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第九十四条第一项</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w:t>
            </w:r>
          </w:p>
          <w:p w14:paraId="791DD8A9">
            <w:pPr>
              <w:keepNext w:val="0"/>
              <w:keepLines w:val="0"/>
              <w:pageBreakBefore w:val="0"/>
              <w:kinsoku/>
              <w:overflowPunct/>
              <w:topLinePunct w:val="0"/>
              <w:autoSpaceDE/>
              <w:autoSpaceDN/>
              <w:bidi w:val="0"/>
              <w:adjustRightInd/>
              <w:spacing w:line="260" w:lineRule="exact"/>
              <w:ind w:firstLine="420" w:firstLineChars="200"/>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（一）未按照规定设置安全生产管理机构或者配备安全生产管理人员的；</w:t>
            </w:r>
          </w:p>
        </w:tc>
        <w:tc>
          <w:tcPr>
            <w:tcW w:w="912" w:type="dxa"/>
            <w:tcBorders>
              <w:tl2br w:val="nil"/>
              <w:tr2bl w:val="nil"/>
            </w:tcBorders>
            <w:vAlign w:val="center"/>
          </w:tcPr>
          <w:p w14:paraId="05256830">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1FF89F2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经责令限期改正，限期内整改完毕的。</w:t>
            </w:r>
          </w:p>
        </w:tc>
        <w:tc>
          <w:tcPr>
            <w:tcW w:w="3375" w:type="dxa"/>
            <w:tcBorders>
              <w:tl2br w:val="nil"/>
              <w:tr2bl w:val="nil"/>
            </w:tcBorders>
            <w:vAlign w:val="center"/>
          </w:tcPr>
          <w:p w14:paraId="12861F7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对生产经营单位处5万元以下的罚款。</w:t>
            </w:r>
          </w:p>
        </w:tc>
      </w:tr>
      <w:tr w14:paraId="78D8BD8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57B0ACA1">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77C8770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61A0B09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6F333A0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647C89E2">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44F3FB4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经责令限期改正，逾期未改正，尚未造成安全生产事故的。</w:t>
            </w:r>
          </w:p>
        </w:tc>
        <w:tc>
          <w:tcPr>
            <w:tcW w:w="3375" w:type="dxa"/>
            <w:tcBorders>
              <w:tl2br w:val="nil"/>
              <w:tr2bl w:val="nil"/>
            </w:tcBorders>
            <w:vAlign w:val="center"/>
          </w:tcPr>
          <w:p w14:paraId="5D8CE4D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责令停业整顿，直至改正违法行为；对生产经营单位处5万元以上10万元以下的罚款，对其直接负责的主管人员和其他直接责任人员处1万元以上2万元以下的罚款。</w:t>
            </w:r>
          </w:p>
        </w:tc>
      </w:tr>
      <w:tr w14:paraId="1DBBF45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0E9F2D71">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4E4366C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2ED364E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2137AC0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4154C78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7C8D1D4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经责令限期改正，逾期未改正，造成安全生产事故的。</w:t>
            </w:r>
          </w:p>
        </w:tc>
        <w:tc>
          <w:tcPr>
            <w:tcW w:w="3375" w:type="dxa"/>
            <w:tcBorders>
              <w:tl2br w:val="nil"/>
              <w:tr2bl w:val="nil"/>
            </w:tcBorders>
            <w:vAlign w:val="center"/>
          </w:tcPr>
          <w:p w14:paraId="67C535D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责令停业整顿，直至改正违法行为；对生产经营单位处10万元的罚款，对其直接负责的主管人员和其他直接责任人员处2万元罚款。</w:t>
            </w:r>
          </w:p>
        </w:tc>
      </w:tr>
      <w:tr w14:paraId="0DF8A9B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5" w:hRule="atLeast"/>
          <w:jc w:val="center"/>
        </w:trPr>
        <w:tc>
          <w:tcPr>
            <w:tcW w:w="533" w:type="dxa"/>
            <w:gridSpan w:val="2"/>
            <w:vMerge w:val="restart"/>
            <w:tcBorders>
              <w:tl2br w:val="nil"/>
              <w:tr2bl w:val="nil"/>
            </w:tcBorders>
            <w:vAlign w:val="center"/>
          </w:tcPr>
          <w:p w14:paraId="38275162">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62</w:t>
            </w:r>
          </w:p>
        </w:tc>
        <w:tc>
          <w:tcPr>
            <w:tcW w:w="1376" w:type="dxa"/>
            <w:vMerge w:val="restart"/>
            <w:tcBorders>
              <w:tl2br w:val="nil"/>
              <w:tr2bl w:val="nil"/>
            </w:tcBorders>
            <w:vAlign w:val="center"/>
          </w:tcPr>
          <w:p w14:paraId="50F94013">
            <w:pPr>
              <w:keepNext w:val="0"/>
              <w:keepLines w:val="0"/>
              <w:pageBreakBefore w:val="0"/>
              <w:kinsoku/>
              <w:overflowPunct/>
              <w:topLinePunct w:val="0"/>
              <w:autoSpaceDE/>
              <w:autoSpaceDN/>
              <w:bidi w:val="0"/>
              <w:adjustRightInd/>
              <w:spacing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施工单位的主要负责人、项目负责人、专职安全生产管理人员、作业人员或者特种作业人员，未经安全教育培训或者考核不合格即从事相关工作且</w:t>
            </w:r>
          </w:p>
        </w:tc>
        <w:tc>
          <w:tcPr>
            <w:tcW w:w="1128" w:type="dxa"/>
            <w:gridSpan w:val="2"/>
            <w:vMerge w:val="restart"/>
            <w:tcBorders>
              <w:tl2br w:val="nil"/>
              <w:tr2bl w:val="nil"/>
            </w:tcBorders>
            <w:vAlign w:val="center"/>
          </w:tcPr>
          <w:p w14:paraId="73979458">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《建设工程安全生产管理条例》第三十六条</w:t>
            </w:r>
          </w:p>
          <w:p w14:paraId="5A2A47F9">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35979D1A">
            <w:pPr>
              <w:keepNext w:val="0"/>
              <w:keepLines w:val="0"/>
              <w:pageBreakBefore w:val="0"/>
              <w:kinsoku/>
              <w:overflowPunct/>
              <w:topLinePunct w:val="0"/>
              <w:autoSpaceDE/>
              <w:autoSpaceDN/>
              <w:bidi w:val="0"/>
              <w:adjustRightInd/>
              <w:spacing w:line="260" w:lineRule="exact"/>
              <w:jc w:val="left"/>
              <w:rPr>
                <w:rFonts w:ascii="宋体" w:hAnsi="宋体"/>
                <w:bCs/>
                <w:color w:val="000000" w:themeColor="text1"/>
                <w:kern w:val="0"/>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《中华人民共和国安全生产法》第九十四条</w:t>
            </w:r>
          </w:p>
        </w:tc>
        <w:tc>
          <w:tcPr>
            <w:tcW w:w="4354" w:type="dxa"/>
            <w:vMerge w:val="restart"/>
            <w:tcBorders>
              <w:tl2br w:val="nil"/>
              <w:tr2bl w:val="nil"/>
            </w:tcBorders>
            <w:vAlign w:val="center"/>
          </w:tcPr>
          <w:p w14:paraId="0E0E0FEC">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w:t>
            </w:r>
          </w:p>
          <w:p w14:paraId="377D67D1">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第六十二条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w:t>
            </w:r>
          </w:p>
          <w:p w14:paraId="3C666EDA">
            <w:pPr>
              <w:keepNext w:val="0"/>
              <w:keepLines w:val="0"/>
              <w:pageBreakBefore w:val="0"/>
              <w:numPr>
                <w:ilvl w:val="0"/>
                <w:numId w:val="0"/>
              </w:numPr>
              <w:kinsoku/>
              <w:overflowPunct/>
              <w:topLinePunct w:val="0"/>
              <w:autoSpaceDE/>
              <w:autoSpaceDN/>
              <w:bidi w:val="0"/>
              <w:adjustRightInd/>
              <w:spacing w:line="260" w:lineRule="exact"/>
              <w:ind w:firstLine="420" w:firstLineChars="200"/>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施工单位的主要负责人、项目负责人、专职安全生产管理人员、作业人员或者特种作业人员，未经安全教育培训或者经考核不合格即从事相关工作的；</w:t>
            </w:r>
          </w:p>
          <w:p w14:paraId="53678422">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《中华人民共和国安全生产法》</w:t>
            </w:r>
          </w:p>
          <w:p w14:paraId="4AE8EF07">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第九十四条</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w:t>
            </w:r>
          </w:p>
          <w:p w14:paraId="29C44449">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（二）危险物品的生产、经营、储存单位以及矿山、金属冶炼、建筑施工、道路运输单位的主要负责人和安全生产管理人员未按照规定经考核合格的；</w:t>
            </w:r>
          </w:p>
          <w:p w14:paraId="2AF4EF95">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（三）未按照规定对从业人员、被派遣劳动者、实习学生进行安全生产教育和培训，或者未按照规定如实告知有关的安全生产事项的；</w:t>
            </w:r>
          </w:p>
          <w:p w14:paraId="44827E43">
            <w:pPr>
              <w:keepNext w:val="0"/>
              <w:keepLines w:val="0"/>
              <w:pageBreakBefore w:val="0"/>
              <w:kinsoku/>
              <w:overflowPunct/>
              <w:topLinePunct w:val="0"/>
              <w:autoSpaceDE/>
              <w:autoSpaceDN/>
              <w:bidi w:val="0"/>
              <w:adjustRightInd/>
              <w:spacing w:line="260" w:lineRule="exact"/>
              <w:ind w:firstLine="420" w:firstLineChars="200"/>
              <w:jc w:val="left"/>
              <w:rPr>
                <w:rFonts w:ascii="宋体" w:hAnsi="宋体"/>
                <w:color w:val="000000" w:themeColor="text1"/>
                <w:kern w:val="0"/>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（七）特种作业人员未按照规定经专门的安全作业培训并取得相应资格，上岗作业的。</w:t>
            </w:r>
          </w:p>
        </w:tc>
        <w:tc>
          <w:tcPr>
            <w:tcW w:w="912" w:type="dxa"/>
            <w:tcBorders>
              <w:tl2br w:val="nil"/>
              <w:tr2bl w:val="nil"/>
            </w:tcBorders>
            <w:vAlign w:val="center"/>
          </w:tcPr>
          <w:p w14:paraId="13CD8242">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59524AC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经责令限期改正，限期内整改完毕的。</w:t>
            </w:r>
          </w:p>
        </w:tc>
        <w:tc>
          <w:tcPr>
            <w:tcW w:w="3375" w:type="dxa"/>
            <w:tcBorders>
              <w:tl2br w:val="nil"/>
              <w:tr2bl w:val="nil"/>
            </w:tcBorders>
            <w:vAlign w:val="center"/>
          </w:tcPr>
          <w:p w14:paraId="1495280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对生产经营单位处5万元以下的罚款。</w:t>
            </w:r>
          </w:p>
        </w:tc>
      </w:tr>
      <w:tr w14:paraId="5BF6900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9" w:hRule="atLeast"/>
          <w:jc w:val="center"/>
        </w:trPr>
        <w:tc>
          <w:tcPr>
            <w:tcW w:w="533" w:type="dxa"/>
            <w:gridSpan w:val="2"/>
            <w:vMerge w:val="continue"/>
            <w:tcBorders>
              <w:tl2br w:val="nil"/>
              <w:tr2bl w:val="nil"/>
            </w:tcBorders>
            <w:vAlign w:val="center"/>
          </w:tcPr>
          <w:p w14:paraId="658D720A">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6BFD6E5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6547233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0F3B74C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09A72972">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2B2FE35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经责令限期改正，逾期未改正，尚未造成安全生产事故的。</w:t>
            </w:r>
          </w:p>
        </w:tc>
        <w:tc>
          <w:tcPr>
            <w:tcW w:w="3375" w:type="dxa"/>
            <w:tcBorders>
              <w:tl2br w:val="nil"/>
              <w:tr2bl w:val="nil"/>
            </w:tcBorders>
            <w:vAlign w:val="center"/>
          </w:tcPr>
          <w:p w14:paraId="16FB0E9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责令停业整顿，对生产经营单位处5万元以上8.5万元以下的罚款，对其直接负责的主管人员和其他直接责任人员并处1万元以上1.5万元以下的罚款。</w:t>
            </w:r>
          </w:p>
        </w:tc>
      </w:tr>
      <w:tr w14:paraId="79BEBEC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19AEBBE0">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7BBBEAF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319911D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096D783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7086F886">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p w14:paraId="1D6078EA">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207A683F">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4A85821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经责令限期改正，逾期未改正，造成安全生产事故的。</w:t>
            </w:r>
          </w:p>
        </w:tc>
        <w:tc>
          <w:tcPr>
            <w:tcW w:w="3375" w:type="dxa"/>
            <w:tcBorders>
              <w:tl2br w:val="nil"/>
              <w:tr2bl w:val="nil"/>
            </w:tcBorders>
            <w:vAlign w:val="center"/>
          </w:tcPr>
          <w:p w14:paraId="4CDCCB0F">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76FC1D8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责令停业整顿，对生产经营单位处8.5万元以上10万元以下的罚款，对其直接负责的主管人员和其他直接责任人员并处1.5万元以上2万元以下的罚款。</w:t>
            </w:r>
          </w:p>
        </w:tc>
      </w:tr>
      <w:tr w14:paraId="1549248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22" w:hRule="atLeast"/>
          <w:jc w:val="center"/>
        </w:trPr>
        <w:tc>
          <w:tcPr>
            <w:tcW w:w="533" w:type="dxa"/>
            <w:gridSpan w:val="2"/>
            <w:vMerge w:val="restart"/>
            <w:tcBorders>
              <w:tl2br w:val="nil"/>
              <w:tr2bl w:val="nil"/>
            </w:tcBorders>
            <w:vAlign w:val="center"/>
          </w:tcPr>
          <w:p w14:paraId="0E99AA94">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63</w:t>
            </w:r>
          </w:p>
        </w:tc>
        <w:tc>
          <w:tcPr>
            <w:tcW w:w="1376" w:type="dxa"/>
            <w:vMerge w:val="restart"/>
            <w:tcBorders>
              <w:tl2br w:val="nil"/>
              <w:tr2bl w:val="nil"/>
            </w:tcBorders>
            <w:vAlign w:val="center"/>
          </w:tcPr>
          <w:p w14:paraId="4970954F">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5542650E">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09766046">
            <w:pPr>
              <w:keepNext w:val="0"/>
              <w:keepLines w:val="0"/>
              <w:pageBreakBefore w:val="0"/>
              <w:kinsoku/>
              <w:overflowPunct/>
              <w:topLinePunct w:val="0"/>
              <w:autoSpaceDE/>
              <w:autoSpaceDN/>
              <w:bidi w:val="0"/>
              <w:adjustRightInd/>
              <w:spacing w:line="260" w:lineRule="exact"/>
              <w:ind w:firstLine="210" w:firstLineChars="100"/>
              <w:jc w:val="left"/>
              <w:rPr>
                <w:rFonts w:ascii="宋体" w:hAnsi="宋体"/>
                <w:color w:val="000000" w:themeColor="text1"/>
                <w:kern w:val="0"/>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施工单位未在施工现场的危险部位设置明显的安全警示标志，或者未按照国家有关规定在施工现场设置消防通道、消防水源，配备消防设施和灭火器材</w:t>
            </w:r>
          </w:p>
        </w:tc>
        <w:tc>
          <w:tcPr>
            <w:tcW w:w="1128" w:type="dxa"/>
            <w:gridSpan w:val="2"/>
            <w:vMerge w:val="restart"/>
            <w:tcBorders>
              <w:tl2br w:val="nil"/>
              <w:tr2bl w:val="nil"/>
            </w:tcBorders>
            <w:vAlign w:val="center"/>
          </w:tcPr>
          <w:p w14:paraId="49580EE7">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《建设工程安全生产管理条例》第二十八条</w:t>
            </w:r>
          </w:p>
          <w:p w14:paraId="445F6B89">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56C98087">
            <w:pPr>
              <w:keepNext w:val="0"/>
              <w:keepLines w:val="0"/>
              <w:pageBreakBefore w:val="0"/>
              <w:kinsoku/>
              <w:overflowPunct/>
              <w:topLinePunct w:val="0"/>
              <w:autoSpaceDE/>
              <w:autoSpaceDN/>
              <w:bidi w:val="0"/>
              <w:adjustRightInd/>
              <w:spacing w:line="260" w:lineRule="exact"/>
              <w:jc w:val="left"/>
              <w:rPr>
                <w:rFonts w:ascii="宋体" w:hAnsi="宋体"/>
                <w:color w:val="000000" w:themeColor="text1"/>
                <w:kern w:val="0"/>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《中华人民共和国安全生产法》第九十六条第一项</w:t>
            </w:r>
          </w:p>
        </w:tc>
        <w:tc>
          <w:tcPr>
            <w:tcW w:w="4354" w:type="dxa"/>
            <w:vMerge w:val="restart"/>
            <w:tcBorders>
              <w:tl2br w:val="nil"/>
              <w:tr2bl w:val="nil"/>
            </w:tcBorders>
            <w:vAlign w:val="center"/>
          </w:tcPr>
          <w:p w14:paraId="695B2335">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w:t>
            </w:r>
          </w:p>
          <w:p w14:paraId="7B0340DC">
            <w:pPr>
              <w:keepNext w:val="0"/>
              <w:keepLines w:val="0"/>
              <w:pageBreakBefore w:val="0"/>
              <w:kinsoku/>
              <w:overflowPunct/>
              <w:topLinePunct w:val="0"/>
              <w:autoSpaceDE/>
              <w:autoSpaceDN/>
              <w:bidi w:val="0"/>
              <w:adjustRightInd/>
              <w:spacing w:line="260" w:lineRule="exact"/>
              <w:ind w:firstLine="420" w:firstLineChars="2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第六十二条</w:t>
            </w:r>
            <w:r>
              <w:rPr>
                <w:rFonts w:ascii="仿宋_GB2312" w:hAnsi="宋体" w:eastAsia="仿宋_GB2312"/>
                <w:color w:val="000000" w:themeColor="text1"/>
                <w:kern w:val="0"/>
                <w:szCs w:val="21"/>
                <w14:textFill>
                  <w14:solidFill>
                    <w14:schemeClr w14:val="tx1"/>
                  </w14:solidFill>
                </w14:textFill>
              </w:rPr>
              <w:t>第三项</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w:t>
            </w:r>
          </w:p>
          <w:p w14:paraId="1545A9F3">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(三)未在施工现场的危险部位设置明显的安全警示标志，或者未按照国家有关规定在施工现场设置消防通道、消防水源、配备消防设施和灭火器材的；</w:t>
            </w:r>
          </w:p>
          <w:p w14:paraId="2E8FD8C9">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07BA106F">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《中华人民共和国安全生产法》第九十六条第一项</w:t>
            </w:r>
          </w:p>
          <w:p w14:paraId="5855C68C">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5FB1D0CF">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（一）未在有较大危险因素的生产经营场所和有关设施、设备上设置明显的安全警示标志的；</w:t>
            </w:r>
          </w:p>
          <w:p w14:paraId="131E157D">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（二）安全设备的安装、使用、检测、改造和报废不符合国家标准或者行业标准的；</w:t>
            </w:r>
          </w:p>
        </w:tc>
        <w:tc>
          <w:tcPr>
            <w:tcW w:w="912" w:type="dxa"/>
            <w:tcBorders>
              <w:tl2br w:val="nil"/>
              <w:tr2bl w:val="nil"/>
            </w:tcBorders>
            <w:vAlign w:val="center"/>
          </w:tcPr>
          <w:p w14:paraId="624539B2">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16D4464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经责令限期改正，限期内整改完毕的。</w:t>
            </w:r>
          </w:p>
        </w:tc>
        <w:tc>
          <w:tcPr>
            <w:tcW w:w="3375" w:type="dxa"/>
            <w:tcBorders>
              <w:tl2br w:val="nil"/>
              <w:tr2bl w:val="nil"/>
            </w:tcBorders>
            <w:vAlign w:val="center"/>
          </w:tcPr>
          <w:p w14:paraId="3C36922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对生产经营单位处5万元以下的罚款。</w:t>
            </w:r>
          </w:p>
        </w:tc>
      </w:tr>
      <w:tr w14:paraId="4942BB9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9" w:hRule="atLeast"/>
          <w:jc w:val="center"/>
        </w:trPr>
        <w:tc>
          <w:tcPr>
            <w:tcW w:w="533" w:type="dxa"/>
            <w:gridSpan w:val="2"/>
            <w:vMerge w:val="continue"/>
            <w:tcBorders>
              <w:tl2br w:val="nil"/>
              <w:tr2bl w:val="nil"/>
            </w:tcBorders>
            <w:vAlign w:val="center"/>
          </w:tcPr>
          <w:p w14:paraId="46C97B9E">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6A163C1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405B910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381B829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0AE50AA3">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0C8274C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经责令限期改正，逾期未改正，不涉及危险性较大分部分项工程，且尚未造成安全生产事故的。</w:t>
            </w:r>
          </w:p>
        </w:tc>
        <w:tc>
          <w:tcPr>
            <w:tcW w:w="3375" w:type="dxa"/>
            <w:tcBorders>
              <w:tl2br w:val="nil"/>
              <w:tr2bl w:val="nil"/>
            </w:tcBorders>
            <w:vAlign w:val="center"/>
          </w:tcPr>
          <w:p w14:paraId="1B4A262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对生产经营单位处5万元以上10万元以下的罚款；对其直接负责的主管人员和其他直接责任人员处1万元以上1.2万元以下的罚款。</w:t>
            </w:r>
          </w:p>
        </w:tc>
      </w:tr>
      <w:tr w14:paraId="4BC5C92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5" w:hRule="atLeast"/>
          <w:jc w:val="center"/>
        </w:trPr>
        <w:tc>
          <w:tcPr>
            <w:tcW w:w="533" w:type="dxa"/>
            <w:gridSpan w:val="2"/>
            <w:vMerge w:val="continue"/>
            <w:tcBorders>
              <w:tl2br w:val="nil"/>
              <w:tr2bl w:val="nil"/>
            </w:tcBorders>
            <w:vAlign w:val="center"/>
          </w:tcPr>
          <w:p w14:paraId="7B3A6791">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0E87C4B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17F9B07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48AB255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restart"/>
            <w:tcBorders>
              <w:tl2br w:val="nil"/>
              <w:tr2bl w:val="nil"/>
            </w:tcBorders>
            <w:vAlign w:val="center"/>
          </w:tcPr>
          <w:p w14:paraId="653362AC">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48DA70E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（1）经责令限期改正，逾期未改正，涉及危险性较大分部分项工程，且尚未造成安全生产事故的。</w:t>
            </w:r>
          </w:p>
        </w:tc>
        <w:tc>
          <w:tcPr>
            <w:tcW w:w="3375" w:type="dxa"/>
            <w:tcBorders>
              <w:tl2br w:val="nil"/>
              <w:tr2bl w:val="nil"/>
            </w:tcBorders>
            <w:vAlign w:val="center"/>
          </w:tcPr>
          <w:p w14:paraId="466E8128">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对生产经营单位处10万元以上20万元以下的罚款；对其直接负责的主管人员和其他直接责任人员处1.2万元以上2万元以下的罚款。</w:t>
            </w:r>
          </w:p>
        </w:tc>
      </w:tr>
      <w:tr w14:paraId="0FC6357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8" w:hRule="atLeast"/>
          <w:jc w:val="center"/>
        </w:trPr>
        <w:tc>
          <w:tcPr>
            <w:tcW w:w="533" w:type="dxa"/>
            <w:gridSpan w:val="2"/>
            <w:vMerge w:val="continue"/>
            <w:tcBorders>
              <w:tl2br w:val="nil"/>
              <w:tr2bl w:val="nil"/>
            </w:tcBorders>
            <w:vAlign w:val="center"/>
          </w:tcPr>
          <w:p w14:paraId="3C4FC335">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34F906A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46A3504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71A1002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62F7BD7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1729293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（2）经责令限期改正，逾期未改正，涉及危险性较大分部分项工程，且造成安全生产事故的。</w:t>
            </w:r>
          </w:p>
        </w:tc>
        <w:tc>
          <w:tcPr>
            <w:tcW w:w="3375" w:type="dxa"/>
            <w:tcBorders>
              <w:tl2br w:val="nil"/>
              <w:tr2bl w:val="nil"/>
            </w:tcBorders>
            <w:vAlign w:val="center"/>
          </w:tcPr>
          <w:p w14:paraId="35110BE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对生产经营单位处20万元的罚款；责令停业整顿，直至改正违法行为，对其直接负责的主管人员和其他直接责任人员处2万元罚款。</w:t>
            </w:r>
          </w:p>
        </w:tc>
      </w:tr>
      <w:tr w14:paraId="2EA774A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8" w:hRule="atLeast"/>
          <w:jc w:val="center"/>
        </w:trPr>
        <w:tc>
          <w:tcPr>
            <w:tcW w:w="533" w:type="dxa"/>
            <w:gridSpan w:val="2"/>
            <w:vMerge w:val="restart"/>
            <w:tcBorders>
              <w:tl2br w:val="nil"/>
              <w:tr2bl w:val="nil"/>
            </w:tcBorders>
            <w:vAlign w:val="center"/>
          </w:tcPr>
          <w:p w14:paraId="605E515F">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64</w:t>
            </w:r>
          </w:p>
        </w:tc>
        <w:tc>
          <w:tcPr>
            <w:tcW w:w="1376" w:type="dxa"/>
            <w:vMerge w:val="restart"/>
            <w:tcBorders>
              <w:tl2br w:val="nil"/>
              <w:tr2bl w:val="nil"/>
            </w:tcBorders>
            <w:vAlign w:val="center"/>
          </w:tcPr>
          <w:p w14:paraId="0B0BB0C3">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施工单位未向作业人员提供安全防护用具和安全防护服装</w:t>
            </w:r>
          </w:p>
        </w:tc>
        <w:tc>
          <w:tcPr>
            <w:tcW w:w="1128" w:type="dxa"/>
            <w:gridSpan w:val="2"/>
            <w:vMerge w:val="restart"/>
            <w:tcBorders>
              <w:tl2br w:val="nil"/>
              <w:tr2bl w:val="nil"/>
            </w:tcBorders>
            <w:vAlign w:val="center"/>
          </w:tcPr>
          <w:p w14:paraId="1BCDC53E">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5400BC7F">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《建设工程安全生产管理条例》第三十二条</w:t>
            </w:r>
          </w:p>
          <w:p w14:paraId="05FEF2AB">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《中华人民共和国安全生产法》第九十六条</w:t>
            </w:r>
          </w:p>
          <w:p w14:paraId="1E74C1D3">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vMerge w:val="restart"/>
            <w:tcBorders>
              <w:tl2br w:val="nil"/>
              <w:tr2bl w:val="nil"/>
            </w:tcBorders>
            <w:vAlign w:val="center"/>
          </w:tcPr>
          <w:p w14:paraId="03670BA6">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3813E971">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w:t>
            </w:r>
          </w:p>
          <w:p w14:paraId="6016924B">
            <w:pPr>
              <w:keepNext w:val="0"/>
              <w:keepLines w:val="0"/>
              <w:pageBreakBefore w:val="0"/>
              <w:kinsoku/>
              <w:overflowPunct/>
              <w:topLinePunct w:val="0"/>
              <w:autoSpaceDE/>
              <w:autoSpaceDN/>
              <w:bidi w:val="0"/>
              <w:adjustRightInd/>
              <w:spacing w:line="260" w:lineRule="exact"/>
              <w:ind w:firstLine="420" w:firstLineChars="2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第六十二条</w:t>
            </w:r>
            <w:r>
              <w:rPr>
                <w:rFonts w:ascii="仿宋_GB2312" w:hAnsi="宋体" w:eastAsia="仿宋_GB2312"/>
                <w:color w:val="000000" w:themeColor="text1"/>
                <w:kern w:val="0"/>
                <w:szCs w:val="21"/>
                <w14:textFill>
                  <w14:solidFill>
                    <w14:schemeClr w14:val="tx1"/>
                  </w14:solidFill>
                </w14:textFill>
              </w:rPr>
              <w:t>第四项</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w:t>
            </w:r>
          </w:p>
          <w:p w14:paraId="5B4B5DFC">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(四)未向作业人员提供安全防护用具和安全防护服装的；</w:t>
            </w:r>
          </w:p>
          <w:p w14:paraId="4C29FC90">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04220800">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《中华人民共和国安全生产法》</w:t>
            </w:r>
          </w:p>
          <w:p w14:paraId="79EA60F9">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第九十六条</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6D62C98D">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（四）未为从业人员提供符合国家标准或者行业标准的劳动防护用品的；</w:t>
            </w:r>
          </w:p>
        </w:tc>
        <w:tc>
          <w:tcPr>
            <w:tcW w:w="912" w:type="dxa"/>
            <w:tcBorders>
              <w:tl2br w:val="nil"/>
              <w:tr2bl w:val="nil"/>
            </w:tcBorders>
            <w:vAlign w:val="center"/>
          </w:tcPr>
          <w:p w14:paraId="7E19A1F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082CBB3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经责令限期改正，限期内整改完毕的。</w:t>
            </w:r>
          </w:p>
        </w:tc>
        <w:tc>
          <w:tcPr>
            <w:tcW w:w="3375" w:type="dxa"/>
            <w:tcBorders>
              <w:tl2br w:val="nil"/>
              <w:tr2bl w:val="nil"/>
            </w:tcBorders>
            <w:vAlign w:val="center"/>
          </w:tcPr>
          <w:p w14:paraId="1A4A183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对生产经营单位处5万元以下的罚款。</w:t>
            </w:r>
          </w:p>
        </w:tc>
      </w:tr>
      <w:tr w14:paraId="6E14EA8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9" w:hRule="atLeast"/>
          <w:jc w:val="center"/>
        </w:trPr>
        <w:tc>
          <w:tcPr>
            <w:tcW w:w="533" w:type="dxa"/>
            <w:gridSpan w:val="2"/>
            <w:vMerge w:val="continue"/>
            <w:tcBorders>
              <w:tl2br w:val="nil"/>
              <w:tr2bl w:val="nil"/>
            </w:tcBorders>
            <w:vAlign w:val="center"/>
          </w:tcPr>
          <w:p w14:paraId="010B1F06">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31C56F6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6C4E46C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5F31AA1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59B139D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3F0EE02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经责令限期改正，逾期未改正，不涉及危险性较大分部分项工程，且尚未造成安全生产事故的。</w:t>
            </w:r>
          </w:p>
        </w:tc>
        <w:tc>
          <w:tcPr>
            <w:tcW w:w="3375" w:type="dxa"/>
            <w:tcBorders>
              <w:tl2br w:val="nil"/>
              <w:tr2bl w:val="nil"/>
            </w:tcBorders>
            <w:vAlign w:val="center"/>
          </w:tcPr>
          <w:p w14:paraId="58DA2F4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对生产经营单位处5万元以上10万元以下的罚款；对其直接负责的主管人员和其他直接责任人员处1万元以上1.2万元以下的罚款。</w:t>
            </w:r>
          </w:p>
        </w:tc>
      </w:tr>
      <w:tr w14:paraId="142BEA4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5" w:hRule="atLeast"/>
          <w:jc w:val="center"/>
        </w:trPr>
        <w:tc>
          <w:tcPr>
            <w:tcW w:w="533" w:type="dxa"/>
            <w:gridSpan w:val="2"/>
            <w:vMerge w:val="continue"/>
            <w:tcBorders>
              <w:tl2br w:val="nil"/>
              <w:tr2bl w:val="nil"/>
            </w:tcBorders>
            <w:vAlign w:val="center"/>
          </w:tcPr>
          <w:p w14:paraId="45035527">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67B2F18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786F739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52717CB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restart"/>
            <w:tcBorders>
              <w:tl2br w:val="nil"/>
              <w:tr2bl w:val="nil"/>
            </w:tcBorders>
            <w:vAlign w:val="center"/>
          </w:tcPr>
          <w:p w14:paraId="318B0C53">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70CDD3C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（1）经责令限期改正，逾期未改正，涉及危险性较大分部分项工程，且尚未造成安全生产事故的。</w:t>
            </w:r>
          </w:p>
        </w:tc>
        <w:tc>
          <w:tcPr>
            <w:tcW w:w="3375" w:type="dxa"/>
            <w:tcBorders>
              <w:tl2br w:val="nil"/>
              <w:tr2bl w:val="nil"/>
            </w:tcBorders>
            <w:vAlign w:val="center"/>
          </w:tcPr>
          <w:p w14:paraId="00C706B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对生产经营单位处10万元以上20万元以下的罚款；对其直接负责的主管人员和其他直接责任人员处1.2万元以上2万元以下的罚款。</w:t>
            </w:r>
          </w:p>
        </w:tc>
      </w:tr>
      <w:tr w14:paraId="511B8E9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3" w:type="dxa"/>
            <w:gridSpan w:val="2"/>
            <w:vMerge w:val="continue"/>
            <w:tcBorders>
              <w:tl2br w:val="nil"/>
              <w:tr2bl w:val="nil"/>
            </w:tcBorders>
            <w:vAlign w:val="center"/>
          </w:tcPr>
          <w:p w14:paraId="5E74835A">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21A6305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5B4FE46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5CEE383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6C0EAED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641E8A5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（2）经责令限期改正，逾期未改正，涉及危险性较大分部分项工程，且造成安全生产事故的。</w:t>
            </w:r>
          </w:p>
        </w:tc>
        <w:tc>
          <w:tcPr>
            <w:tcW w:w="3375" w:type="dxa"/>
            <w:tcBorders>
              <w:tl2br w:val="nil"/>
              <w:tr2bl w:val="nil"/>
            </w:tcBorders>
            <w:vAlign w:val="center"/>
          </w:tcPr>
          <w:p w14:paraId="54A59FC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对生产经营单位处20万元的罚款；责令停业整顿，直至改正违法行为，对其直接负责的主管人员和其他直接责任人员处2万元罚款。</w:t>
            </w:r>
          </w:p>
        </w:tc>
      </w:tr>
      <w:tr w14:paraId="357491A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649AA9C3">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65</w:t>
            </w:r>
          </w:p>
        </w:tc>
        <w:tc>
          <w:tcPr>
            <w:tcW w:w="1376" w:type="dxa"/>
            <w:vMerge w:val="restart"/>
            <w:tcBorders>
              <w:tl2br w:val="nil"/>
              <w:tr2bl w:val="nil"/>
            </w:tcBorders>
            <w:vAlign w:val="center"/>
          </w:tcPr>
          <w:p w14:paraId="2B12B9AF">
            <w:pPr>
              <w:keepNext w:val="0"/>
              <w:keepLines w:val="0"/>
              <w:pageBreakBefore w:val="0"/>
              <w:widowControl/>
              <w:kinsoku/>
              <w:overflowPunct/>
              <w:topLinePunct w:val="0"/>
              <w:autoSpaceDE/>
              <w:autoSpaceDN/>
              <w:bidi w:val="0"/>
              <w:adjustRightInd/>
              <w:spacing w:line="260" w:lineRule="exact"/>
              <w:ind w:firstLine="315" w:firstLineChars="150"/>
              <w:jc w:val="left"/>
              <w:rPr>
                <w:rFonts w:ascii="仿宋_GB2312" w:hAnsi="宋体" w:eastAsia="仿宋_GB2312"/>
                <w:color w:val="000000" w:themeColor="text1"/>
                <w:kern w:val="0"/>
                <w:szCs w:val="21"/>
                <w14:textFill>
                  <w14:solidFill>
                    <w14:schemeClr w14:val="tx1"/>
                  </w14:solidFill>
                </w14:textFill>
              </w:rPr>
            </w:pPr>
          </w:p>
          <w:p w14:paraId="67B01E05">
            <w:pPr>
              <w:keepNext w:val="0"/>
              <w:keepLines w:val="0"/>
              <w:pageBreakBefore w:val="0"/>
              <w:widowControl/>
              <w:kinsoku/>
              <w:overflowPunct/>
              <w:topLinePunct w:val="0"/>
              <w:autoSpaceDE/>
              <w:autoSpaceDN/>
              <w:bidi w:val="0"/>
              <w:adjustRightInd/>
              <w:spacing w:line="260" w:lineRule="exact"/>
              <w:ind w:firstLine="315" w:firstLineChars="1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施工单位未按照规定在施工起重机械和整体提升脚手架、模板等自升式架设设施验收合格后登记</w:t>
            </w:r>
          </w:p>
        </w:tc>
        <w:tc>
          <w:tcPr>
            <w:tcW w:w="1128" w:type="dxa"/>
            <w:gridSpan w:val="2"/>
            <w:vMerge w:val="restart"/>
            <w:tcBorders>
              <w:tl2br w:val="nil"/>
              <w:tr2bl w:val="nil"/>
            </w:tcBorders>
            <w:vAlign w:val="center"/>
          </w:tcPr>
          <w:p w14:paraId="06A024E3">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《建设工程安全生产管理条例》第三十五条</w:t>
            </w:r>
          </w:p>
        </w:tc>
        <w:tc>
          <w:tcPr>
            <w:tcW w:w="4354" w:type="dxa"/>
            <w:vMerge w:val="restart"/>
            <w:tcBorders>
              <w:tl2br w:val="nil"/>
              <w:tr2bl w:val="nil"/>
            </w:tcBorders>
            <w:vAlign w:val="center"/>
          </w:tcPr>
          <w:p w14:paraId="0297B74B">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w:t>
            </w:r>
          </w:p>
          <w:p w14:paraId="244642D8">
            <w:pPr>
              <w:keepNext w:val="0"/>
              <w:keepLines w:val="0"/>
              <w:pageBreakBefore w:val="0"/>
              <w:kinsoku/>
              <w:overflowPunct/>
              <w:topLinePunct w:val="0"/>
              <w:autoSpaceDE/>
              <w:autoSpaceDN/>
              <w:bidi w:val="0"/>
              <w:adjustRightInd/>
              <w:spacing w:line="260" w:lineRule="exact"/>
              <w:ind w:firstLine="420" w:firstLineChars="2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第六十二条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五</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w:t>
            </w:r>
          </w:p>
          <w:p w14:paraId="0AEA4989">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(五)未按照规定在施工起重机械和整体提升脚手架、模板等自升式架设设施验收合格后登记的；</w:t>
            </w:r>
          </w:p>
        </w:tc>
        <w:tc>
          <w:tcPr>
            <w:tcW w:w="912" w:type="dxa"/>
            <w:tcBorders>
              <w:tl2br w:val="nil"/>
              <w:tr2bl w:val="nil"/>
            </w:tcBorders>
            <w:vAlign w:val="center"/>
          </w:tcPr>
          <w:p w14:paraId="3285ABE8">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5B25F95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1台施工起重机械和整体提升脚手架、模板等自升式架设设施验收合格后未登记的。</w:t>
            </w:r>
          </w:p>
        </w:tc>
        <w:tc>
          <w:tcPr>
            <w:tcW w:w="3375" w:type="dxa"/>
            <w:tcBorders>
              <w:tl2br w:val="nil"/>
              <w:tr2bl w:val="nil"/>
            </w:tcBorders>
            <w:vAlign w:val="center"/>
          </w:tcPr>
          <w:p w14:paraId="3E18321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责令停业整顿，可以并处1.5万元以下的罚款。</w:t>
            </w:r>
          </w:p>
        </w:tc>
      </w:tr>
      <w:tr w14:paraId="2CA2D94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0" w:hRule="atLeast"/>
          <w:jc w:val="center"/>
        </w:trPr>
        <w:tc>
          <w:tcPr>
            <w:tcW w:w="533" w:type="dxa"/>
            <w:gridSpan w:val="2"/>
            <w:vMerge w:val="continue"/>
            <w:tcBorders>
              <w:tl2br w:val="nil"/>
              <w:tr2bl w:val="nil"/>
            </w:tcBorders>
            <w:vAlign w:val="center"/>
          </w:tcPr>
          <w:p w14:paraId="77E8F881">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36EE17B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6DC808C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tcPr>
          <w:p w14:paraId="29B9CD8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371595B4">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24E757A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2台施工起重机械和整体提升脚手架、模板等自升式架设设施验收合格后未登记的。</w:t>
            </w:r>
          </w:p>
        </w:tc>
        <w:tc>
          <w:tcPr>
            <w:tcW w:w="3375" w:type="dxa"/>
            <w:tcBorders>
              <w:tl2br w:val="nil"/>
              <w:tr2bl w:val="nil"/>
            </w:tcBorders>
            <w:vAlign w:val="center"/>
          </w:tcPr>
          <w:p w14:paraId="75D5861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责令停业整顿，并处1.5万元以上3.5万元以下的罚款。</w:t>
            </w:r>
          </w:p>
        </w:tc>
      </w:tr>
      <w:tr w14:paraId="20462F2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0" w:hRule="atLeast"/>
          <w:jc w:val="center"/>
        </w:trPr>
        <w:tc>
          <w:tcPr>
            <w:tcW w:w="533" w:type="dxa"/>
            <w:gridSpan w:val="2"/>
            <w:vMerge w:val="continue"/>
            <w:tcBorders>
              <w:tl2br w:val="nil"/>
              <w:tr2bl w:val="nil"/>
            </w:tcBorders>
            <w:vAlign w:val="center"/>
          </w:tcPr>
          <w:p w14:paraId="0A6386B8">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104AAA1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146DA56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tcPr>
          <w:p w14:paraId="272B62E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0F1CC8D8">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3B202BF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3台以上施工起重机械和整体提升脚手架、模板等自升式架设设施验收合格后未登记或发生安全事故的。</w:t>
            </w:r>
          </w:p>
        </w:tc>
        <w:tc>
          <w:tcPr>
            <w:tcW w:w="3375" w:type="dxa"/>
            <w:tcBorders>
              <w:tl2br w:val="nil"/>
              <w:tr2bl w:val="nil"/>
            </w:tcBorders>
            <w:vAlign w:val="center"/>
          </w:tcPr>
          <w:p w14:paraId="1642DE70">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责令停业整顿，并处3.5万元以上5万元以下的罚款。</w:t>
            </w:r>
          </w:p>
        </w:tc>
      </w:tr>
      <w:tr w14:paraId="4E30EEB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533" w:type="dxa"/>
            <w:gridSpan w:val="2"/>
            <w:vMerge w:val="restart"/>
            <w:tcBorders>
              <w:tl2br w:val="nil"/>
              <w:tr2bl w:val="nil"/>
            </w:tcBorders>
            <w:vAlign w:val="center"/>
          </w:tcPr>
          <w:p w14:paraId="5F584B19">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66</w:t>
            </w:r>
          </w:p>
        </w:tc>
        <w:tc>
          <w:tcPr>
            <w:tcW w:w="1376" w:type="dxa"/>
            <w:vMerge w:val="restart"/>
            <w:tcBorders>
              <w:tl2br w:val="nil"/>
              <w:tr2bl w:val="nil"/>
            </w:tcBorders>
            <w:vAlign w:val="center"/>
          </w:tcPr>
          <w:p w14:paraId="0AFD5828">
            <w:pPr>
              <w:keepNext w:val="0"/>
              <w:keepLines w:val="0"/>
              <w:pageBreakBefore w:val="0"/>
              <w:widowControl/>
              <w:kinsoku/>
              <w:overflowPunct/>
              <w:topLinePunct w:val="0"/>
              <w:autoSpaceDE/>
              <w:autoSpaceDN/>
              <w:bidi w:val="0"/>
              <w:adjustRightInd/>
              <w:spacing w:line="260" w:lineRule="exact"/>
              <w:ind w:firstLine="315" w:firstLineChars="150"/>
              <w:jc w:val="left"/>
              <w:rPr>
                <w:rFonts w:ascii="仿宋_GB2312" w:hAnsi="宋体" w:eastAsia="仿宋_GB2312"/>
                <w:color w:val="000000" w:themeColor="text1"/>
                <w:kern w:val="0"/>
                <w:szCs w:val="21"/>
                <w14:textFill>
                  <w14:solidFill>
                    <w14:schemeClr w14:val="tx1"/>
                  </w14:solidFill>
                </w14:textFill>
              </w:rPr>
            </w:pPr>
          </w:p>
          <w:p w14:paraId="26C0E1FB">
            <w:pPr>
              <w:keepNext w:val="0"/>
              <w:keepLines w:val="0"/>
              <w:pageBreakBefore w:val="0"/>
              <w:widowControl/>
              <w:kinsoku/>
              <w:overflowPunct/>
              <w:topLinePunct w:val="0"/>
              <w:autoSpaceDE/>
              <w:autoSpaceDN/>
              <w:bidi w:val="0"/>
              <w:adjustRightInd/>
              <w:spacing w:line="260" w:lineRule="exact"/>
              <w:ind w:firstLine="315" w:firstLineChars="1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施工单位使用国家明令淘汰、禁止使用的危及施工安全的工艺、设备、材料</w:t>
            </w:r>
          </w:p>
        </w:tc>
        <w:tc>
          <w:tcPr>
            <w:tcW w:w="1128" w:type="dxa"/>
            <w:gridSpan w:val="2"/>
            <w:vMerge w:val="restart"/>
            <w:tcBorders>
              <w:tl2br w:val="nil"/>
              <w:tr2bl w:val="nil"/>
            </w:tcBorders>
            <w:vAlign w:val="center"/>
          </w:tcPr>
          <w:p w14:paraId="3EA3E5F3">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7E464FD9">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《建设工程安全生产管理条例》第四十五条</w:t>
            </w:r>
          </w:p>
          <w:p w14:paraId="046D6E9B">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5E079365">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《中华人民共和国安全生产法》第九十六条第六项</w:t>
            </w:r>
          </w:p>
          <w:p w14:paraId="5D6FDCBC">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vMerge w:val="restart"/>
            <w:tcBorders>
              <w:tl2br w:val="nil"/>
              <w:tr2bl w:val="nil"/>
            </w:tcBorders>
            <w:vAlign w:val="center"/>
          </w:tcPr>
          <w:p w14:paraId="6126A26B">
            <w:pPr>
              <w:keepNext w:val="0"/>
              <w:keepLines w:val="0"/>
              <w:pageBreakBefore w:val="0"/>
              <w:widowControl/>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w:t>
            </w:r>
          </w:p>
          <w:p w14:paraId="606C592F">
            <w:pPr>
              <w:keepNext w:val="0"/>
              <w:keepLines w:val="0"/>
              <w:pageBreakBefore w:val="0"/>
              <w:widowControl/>
              <w:kinsoku/>
              <w:overflowPunct/>
              <w:topLinePunct w:val="0"/>
              <w:autoSpaceDE/>
              <w:autoSpaceDN/>
              <w:bidi w:val="0"/>
              <w:adjustRightInd/>
              <w:spacing w:line="260" w:lineRule="exact"/>
              <w:ind w:firstLine="420" w:firstLineChars="2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第六十二条第（六）项</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w:t>
            </w:r>
          </w:p>
          <w:p w14:paraId="6DB3D482">
            <w:pPr>
              <w:keepNext w:val="0"/>
              <w:keepLines w:val="0"/>
              <w:pageBreakBefore w:val="0"/>
              <w:widowControl/>
              <w:numPr>
                <w:ilvl w:val="0"/>
                <w:numId w:val="0"/>
              </w:numPr>
              <w:kinsoku/>
              <w:overflowPunct/>
              <w:topLinePunct w:val="0"/>
              <w:autoSpaceDE/>
              <w:autoSpaceDN/>
              <w:bidi w:val="0"/>
              <w:adjustRightInd/>
              <w:spacing w:line="260" w:lineRule="exact"/>
              <w:ind w:firstLine="420" w:firstLineChars="200"/>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（六）</w:t>
            </w:r>
            <w:r>
              <w:rPr>
                <w:rFonts w:hint="eastAsia" w:ascii="仿宋_GB2312" w:hAnsi="宋体" w:eastAsia="仿宋_GB2312"/>
                <w:color w:val="000000" w:themeColor="text1"/>
                <w:kern w:val="0"/>
                <w:szCs w:val="21"/>
                <w14:textFill>
                  <w14:solidFill>
                    <w14:schemeClr w14:val="tx1"/>
                  </w14:solidFill>
                </w14:textFill>
              </w:rPr>
              <w:t>使用国家明令淘汰、禁止使用的危及施工安全的工艺、设备、材料的。</w:t>
            </w:r>
          </w:p>
          <w:p w14:paraId="11816F39">
            <w:pPr>
              <w:keepNext w:val="0"/>
              <w:keepLines w:val="0"/>
              <w:pageBreakBefore w:val="0"/>
              <w:widowControl/>
              <w:numPr>
                <w:ilvl w:val="0"/>
                <w:numId w:val="0"/>
              </w:numPr>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p>
          <w:p w14:paraId="29DAC7DF">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《中华人民共和国安全生产法》</w:t>
            </w:r>
          </w:p>
          <w:p w14:paraId="0861EE79">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第九十六条第六项</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70E1EEE4">
            <w:pPr>
              <w:keepNext w:val="0"/>
              <w:keepLines w:val="0"/>
              <w:pageBreakBefore w:val="0"/>
              <w:widowControl/>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（六）使用应当淘汰的危及生产安全的工艺、设备的。</w:t>
            </w:r>
          </w:p>
        </w:tc>
        <w:tc>
          <w:tcPr>
            <w:tcW w:w="912" w:type="dxa"/>
            <w:tcBorders>
              <w:tl2br w:val="nil"/>
              <w:tr2bl w:val="nil"/>
            </w:tcBorders>
            <w:vAlign w:val="center"/>
          </w:tcPr>
          <w:p w14:paraId="1136D572">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5C950C7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经责令限期改正，限期内改正完毕的。</w:t>
            </w:r>
          </w:p>
        </w:tc>
        <w:tc>
          <w:tcPr>
            <w:tcW w:w="3375" w:type="dxa"/>
            <w:tcBorders>
              <w:tl2br w:val="nil"/>
              <w:tr2bl w:val="nil"/>
            </w:tcBorders>
            <w:vAlign w:val="center"/>
          </w:tcPr>
          <w:p w14:paraId="4053472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对生产经营单位处5万元以下的罚款。</w:t>
            </w:r>
          </w:p>
        </w:tc>
      </w:tr>
      <w:tr w14:paraId="28B6EEA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5" w:hRule="atLeast"/>
          <w:jc w:val="center"/>
        </w:trPr>
        <w:tc>
          <w:tcPr>
            <w:tcW w:w="533" w:type="dxa"/>
            <w:gridSpan w:val="2"/>
            <w:vMerge w:val="continue"/>
            <w:tcBorders>
              <w:tl2br w:val="nil"/>
              <w:tr2bl w:val="nil"/>
            </w:tcBorders>
            <w:vAlign w:val="center"/>
          </w:tcPr>
          <w:p w14:paraId="6DE23353">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1B5ADBE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29B49F9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51E37B3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7E38C3E5">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0D7B324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逾期未改正，不涉及危险性较大分部分项工程，且尚未造成生产安全事故的。</w:t>
            </w:r>
          </w:p>
        </w:tc>
        <w:tc>
          <w:tcPr>
            <w:tcW w:w="3375" w:type="dxa"/>
            <w:tcBorders>
              <w:tl2br w:val="nil"/>
              <w:tr2bl w:val="nil"/>
            </w:tcBorders>
            <w:vAlign w:val="center"/>
          </w:tcPr>
          <w:p w14:paraId="3CB74DA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对生产经营单位处5万元以上10万元以下的罚款；对其直接负责的主管人员和其他直接责任人员处1万元以上1.2万元以下的罚款。</w:t>
            </w:r>
          </w:p>
        </w:tc>
      </w:tr>
      <w:tr w14:paraId="5DE81E2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0" w:hRule="atLeast"/>
          <w:jc w:val="center"/>
        </w:trPr>
        <w:tc>
          <w:tcPr>
            <w:tcW w:w="533" w:type="dxa"/>
            <w:gridSpan w:val="2"/>
            <w:vMerge w:val="continue"/>
            <w:tcBorders>
              <w:tl2br w:val="nil"/>
              <w:tr2bl w:val="nil"/>
            </w:tcBorders>
            <w:vAlign w:val="center"/>
          </w:tcPr>
          <w:p w14:paraId="52216413">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66074E1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63C63F7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2DCA20A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restart"/>
            <w:tcBorders>
              <w:tl2br w:val="nil"/>
              <w:tr2bl w:val="nil"/>
            </w:tcBorders>
            <w:vAlign w:val="center"/>
          </w:tcPr>
          <w:p w14:paraId="1A08217D">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03363B1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（1）逾期未改正，涉及危险性较大分部分项工程，且尚未造成生产安全事故的。</w:t>
            </w:r>
          </w:p>
        </w:tc>
        <w:tc>
          <w:tcPr>
            <w:tcW w:w="3375" w:type="dxa"/>
            <w:tcBorders>
              <w:tl2br w:val="nil"/>
              <w:tr2bl w:val="nil"/>
            </w:tcBorders>
            <w:vAlign w:val="center"/>
          </w:tcPr>
          <w:p w14:paraId="2573C2A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对生产经营单位处10万元以上20万元以下的罚款；对其直接负责的主管人员和其他直接责任人员处1.2万元以上2万元以下的罚款。</w:t>
            </w:r>
          </w:p>
        </w:tc>
      </w:tr>
      <w:tr w14:paraId="501219C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0" w:hRule="atLeast"/>
          <w:jc w:val="center"/>
        </w:trPr>
        <w:tc>
          <w:tcPr>
            <w:tcW w:w="533" w:type="dxa"/>
            <w:gridSpan w:val="2"/>
            <w:vMerge w:val="continue"/>
            <w:tcBorders>
              <w:tl2br w:val="nil"/>
              <w:tr2bl w:val="nil"/>
            </w:tcBorders>
            <w:vAlign w:val="center"/>
          </w:tcPr>
          <w:p w14:paraId="28B15DD5">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6DB4C54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203C453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57161CB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7FA53DE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611CBF2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（2）逾期未改正，涉及超规模危险性较大分部分项工程，或逾期未改正且造成生产安全事故。</w:t>
            </w:r>
          </w:p>
        </w:tc>
        <w:tc>
          <w:tcPr>
            <w:tcW w:w="3375" w:type="dxa"/>
            <w:tcBorders>
              <w:tl2br w:val="nil"/>
              <w:tr2bl w:val="nil"/>
            </w:tcBorders>
            <w:vAlign w:val="center"/>
          </w:tcPr>
          <w:p w14:paraId="6DEDA69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对生产经营单位处20万元的罚款；责令停业整顿，直至改正违法行为，对其直接负责的主管人员和其他直接责任人员处2万元罚款。</w:t>
            </w:r>
          </w:p>
        </w:tc>
      </w:tr>
      <w:tr w14:paraId="568667B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6226AA59">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kern w:val="0"/>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67</w:t>
            </w:r>
          </w:p>
        </w:tc>
        <w:tc>
          <w:tcPr>
            <w:tcW w:w="1376" w:type="dxa"/>
            <w:vMerge w:val="restart"/>
            <w:tcBorders>
              <w:tl2br w:val="nil"/>
              <w:tr2bl w:val="nil"/>
            </w:tcBorders>
            <w:vAlign w:val="center"/>
          </w:tcPr>
          <w:p w14:paraId="310EA3FC">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施工单位挪用列入建设工程概算的安全生产作业环境及安全施工措施所需费用的</w:t>
            </w:r>
          </w:p>
        </w:tc>
        <w:tc>
          <w:tcPr>
            <w:tcW w:w="1128" w:type="dxa"/>
            <w:gridSpan w:val="2"/>
            <w:vMerge w:val="restart"/>
            <w:tcBorders>
              <w:tl2br w:val="nil"/>
              <w:tr2bl w:val="nil"/>
            </w:tcBorders>
            <w:vAlign w:val="center"/>
          </w:tcPr>
          <w:p w14:paraId="4111076D">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6CF725F1">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《建设工程安全生产管理条例》第二十二条</w:t>
            </w:r>
          </w:p>
        </w:tc>
        <w:tc>
          <w:tcPr>
            <w:tcW w:w="4354" w:type="dxa"/>
            <w:vMerge w:val="restart"/>
            <w:tcBorders>
              <w:tl2br w:val="nil"/>
              <w:tr2bl w:val="nil"/>
            </w:tcBorders>
            <w:vAlign w:val="center"/>
          </w:tcPr>
          <w:p w14:paraId="5FC36D01">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w:t>
            </w:r>
          </w:p>
          <w:p w14:paraId="02FDD44E">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第六十三条</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违反本条例的规定，施工单位挪用列入建设工程概算的安全生产作业环境及安全施工措施所需费用的，责令限期改正，处挪用费用20%以上50%以下的罚款；造成损失的，依法承担赔偿责任。</w:t>
            </w:r>
          </w:p>
        </w:tc>
        <w:tc>
          <w:tcPr>
            <w:tcW w:w="912" w:type="dxa"/>
            <w:tcBorders>
              <w:tl2br w:val="nil"/>
              <w:tr2bl w:val="nil"/>
            </w:tcBorders>
            <w:vAlign w:val="center"/>
          </w:tcPr>
          <w:p w14:paraId="5D4BB761">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7328060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挪用费用占列入建设工程概算的安全生产作业环境及安全施工措施所需费用比例50%以下</w:t>
            </w:r>
            <w:r>
              <w:rPr>
                <w:rFonts w:ascii="仿宋_GB2312" w:hAnsi="宋体" w:eastAsia="仿宋_GB2312"/>
                <w:color w:val="000000" w:themeColor="text1"/>
                <w:kern w:val="0"/>
                <w:szCs w:val="21"/>
                <w14:textFill>
                  <w14:solidFill>
                    <w14:schemeClr w14:val="tx1"/>
                  </w14:solidFill>
                </w14:textFill>
              </w:rPr>
              <w:t>的</w:t>
            </w:r>
            <w:r>
              <w:rPr>
                <w:rFonts w:hint="eastAsia" w:ascii="仿宋_GB2312" w:hAnsi="宋体" w:eastAsia="仿宋_GB2312"/>
                <w:color w:val="000000" w:themeColor="text1"/>
                <w:kern w:val="0"/>
                <w:szCs w:val="21"/>
                <w14:textFill>
                  <w14:solidFill>
                    <w14:schemeClr w14:val="tx1"/>
                  </w14:solidFill>
                </w14:textFill>
              </w:rPr>
              <w:t>。</w:t>
            </w:r>
          </w:p>
        </w:tc>
        <w:tc>
          <w:tcPr>
            <w:tcW w:w="3375" w:type="dxa"/>
            <w:tcBorders>
              <w:tl2br w:val="nil"/>
              <w:tr2bl w:val="nil"/>
            </w:tcBorders>
            <w:vAlign w:val="center"/>
          </w:tcPr>
          <w:p w14:paraId="55A1591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责令限期改正，处挪用费用百分之二十以上百分之二十五以下的罚款。</w:t>
            </w:r>
          </w:p>
        </w:tc>
      </w:tr>
      <w:tr w14:paraId="31DFE24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2341B3FA">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tcPr>
          <w:p w14:paraId="2AF4402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62155E0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4DD0792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2A38B2C8">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4A8890C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挪用费用占列入建设工程概算的安全生产作业环境及安全施工措施所需费用比例50%以上75%以内的。</w:t>
            </w:r>
          </w:p>
        </w:tc>
        <w:tc>
          <w:tcPr>
            <w:tcW w:w="3375" w:type="dxa"/>
            <w:tcBorders>
              <w:tl2br w:val="nil"/>
              <w:tr2bl w:val="nil"/>
            </w:tcBorders>
            <w:vAlign w:val="center"/>
          </w:tcPr>
          <w:p w14:paraId="4D0C0D0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责令限期改正，处挪用费用百分之二十五以上百分之四十以下的罚款。</w:t>
            </w:r>
          </w:p>
        </w:tc>
      </w:tr>
      <w:tr w14:paraId="33FFB68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4E5A6693">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00F95C8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2E797D3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2B81335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4A27FCF3">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5B7E852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挪用费用占列入建设工程概算的安全生产作业环境及安全施工措施所需费用比例75%以上或造成安全事故的。</w:t>
            </w:r>
          </w:p>
        </w:tc>
        <w:tc>
          <w:tcPr>
            <w:tcW w:w="3375" w:type="dxa"/>
            <w:tcBorders>
              <w:tl2br w:val="nil"/>
              <w:tr2bl w:val="nil"/>
            </w:tcBorders>
            <w:vAlign w:val="center"/>
          </w:tcPr>
          <w:p w14:paraId="4CC6833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责令限期改正，处挪用费用百分之四十以上百分之五十以下的罚款。</w:t>
            </w:r>
          </w:p>
        </w:tc>
      </w:tr>
      <w:tr w14:paraId="52911BE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0B880843">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kern w:val="0"/>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68</w:t>
            </w:r>
          </w:p>
        </w:tc>
        <w:tc>
          <w:tcPr>
            <w:tcW w:w="1376" w:type="dxa"/>
            <w:vMerge w:val="restart"/>
            <w:tcBorders>
              <w:tl2br w:val="nil"/>
              <w:tr2bl w:val="nil"/>
            </w:tcBorders>
            <w:vAlign w:val="center"/>
          </w:tcPr>
          <w:p w14:paraId="523984DE">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施工单位施工前未对有关安全施工的技术要求作出详细说明且逾期未改正的</w:t>
            </w:r>
          </w:p>
        </w:tc>
        <w:tc>
          <w:tcPr>
            <w:tcW w:w="1128" w:type="dxa"/>
            <w:gridSpan w:val="2"/>
            <w:vMerge w:val="restart"/>
            <w:tcBorders>
              <w:tl2br w:val="nil"/>
              <w:tr2bl w:val="nil"/>
            </w:tcBorders>
            <w:vAlign w:val="center"/>
          </w:tcPr>
          <w:p w14:paraId="07DC4B41">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《建设工程安全生产管理条例》第二十七条</w:t>
            </w:r>
          </w:p>
        </w:tc>
        <w:tc>
          <w:tcPr>
            <w:tcW w:w="4354" w:type="dxa"/>
            <w:vMerge w:val="restart"/>
            <w:tcBorders>
              <w:tl2br w:val="nil"/>
              <w:tr2bl w:val="nil"/>
            </w:tcBorders>
            <w:vAlign w:val="center"/>
          </w:tcPr>
          <w:p w14:paraId="48173FEB">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w:t>
            </w:r>
          </w:p>
          <w:p w14:paraId="0709FF26">
            <w:pPr>
              <w:keepNext w:val="0"/>
              <w:keepLines w:val="0"/>
              <w:pageBreakBefore w:val="0"/>
              <w:kinsoku/>
              <w:overflowPunct/>
              <w:topLinePunct w:val="0"/>
              <w:autoSpaceDE/>
              <w:autoSpaceDN/>
              <w:bidi w:val="0"/>
              <w:adjustRightInd/>
              <w:spacing w:line="260" w:lineRule="exact"/>
              <w:ind w:firstLine="420" w:firstLineChars="2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第六十四条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条例的规定，施工单位有下列行为之一的，责令限期改正；逾期未改正的，责令停业整顿，并处5万元以上10万元以下的罚款；造成重大安全事故，构成犯罪的，对直接责任人员，依照刑法有关规定追究刑事责任：</w:t>
            </w:r>
          </w:p>
          <w:p w14:paraId="7D0DB3EF">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(一)施工前未对有关安全施工的技术要求作出详细说明的；</w:t>
            </w:r>
          </w:p>
        </w:tc>
        <w:tc>
          <w:tcPr>
            <w:tcW w:w="912" w:type="dxa"/>
            <w:tcBorders>
              <w:tl2br w:val="nil"/>
              <w:tr2bl w:val="nil"/>
            </w:tcBorders>
            <w:vAlign w:val="center"/>
          </w:tcPr>
          <w:p w14:paraId="7CBF5ED1">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0422772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不涉及危险性较大分部分项工程，且尚未造成生产安全事故的。</w:t>
            </w:r>
          </w:p>
        </w:tc>
        <w:tc>
          <w:tcPr>
            <w:tcW w:w="3375" w:type="dxa"/>
            <w:tcBorders>
              <w:tl2br w:val="nil"/>
              <w:tr2bl w:val="nil"/>
            </w:tcBorders>
            <w:vAlign w:val="center"/>
          </w:tcPr>
          <w:p w14:paraId="097836E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责令停业整顿，直至改正违法行为；处5万元以上6万元以下的罚款。</w:t>
            </w:r>
          </w:p>
        </w:tc>
      </w:tr>
      <w:tr w14:paraId="19F0EE8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026CDD49">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72754B6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657BCFE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5504DA2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4541722E">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27E27A2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涉及危险性较大分部分项工程，且尚未造成生产安全事故的。</w:t>
            </w:r>
          </w:p>
        </w:tc>
        <w:tc>
          <w:tcPr>
            <w:tcW w:w="3375" w:type="dxa"/>
            <w:tcBorders>
              <w:tl2br w:val="nil"/>
              <w:tr2bl w:val="nil"/>
            </w:tcBorders>
            <w:vAlign w:val="center"/>
          </w:tcPr>
          <w:p w14:paraId="233D1EF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责令停业整顿，直至改正违法行为；处6万元以上8万元以下的罚款。</w:t>
            </w:r>
          </w:p>
        </w:tc>
      </w:tr>
      <w:tr w14:paraId="68E527E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34108AF5">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30A63B1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4A1C3ED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023B5B7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6871C115">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3E557A1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发生安全事故的涉及超规模危险性较大分部分项工程，或造成生产安全事故。</w:t>
            </w:r>
          </w:p>
        </w:tc>
        <w:tc>
          <w:tcPr>
            <w:tcW w:w="3375" w:type="dxa"/>
            <w:tcBorders>
              <w:tl2br w:val="nil"/>
              <w:tr2bl w:val="nil"/>
            </w:tcBorders>
            <w:vAlign w:val="center"/>
          </w:tcPr>
          <w:p w14:paraId="5D77919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责令停业整顿，直至改正违法行为；处8万元以上10万元以下的罚款。</w:t>
            </w:r>
          </w:p>
        </w:tc>
      </w:tr>
      <w:tr w14:paraId="7B4223C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8" w:hRule="atLeast"/>
          <w:jc w:val="center"/>
        </w:trPr>
        <w:tc>
          <w:tcPr>
            <w:tcW w:w="533" w:type="dxa"/>
            <w:gridSpan w:val="2"/>
            <w:vMerge w:val="restart"/>
            <w:tcBorders>
              <w:tl2br w:val="nil"/>
              <w:tr2bl w:val="nil"/>
            </w:tcBorders>
            <w:vAlign w:val="center"/>
          </w:tcPr>
          <w:p w14:paraId="24B4D2CE">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kern w:val="0"/>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69</w:t>
            </w:r>
          </w:p>
        </w:tc>
        <w:tc>
          <w:tcPr>
            <w:tcW w:w="1376" w:type="dxa"/>
            <w:vMerge w:val="restart"/>
            <w:tcBorders>
              <w:tl2br w:val="nil"/>
              <w:tr2bl w:val="nil"/>
            </w:tcBorders>
            <w:vAlign w:val="center"/>
          </w:tcPr>
          <w:p w14:paraId="4F93823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施工单位未根据不同施工阶段和周围环境及季节、气候的变化，在施工现场采取相应的安全施工措施，或者在城市市区内的建设工程的施工现场未实行封闭围挡且逾期未改正的</w:t>
            </w:r>
          </w:p>
        </w:tc>
        <w:tc>
          <w:tcPr>
            <w:tcW w:w="1128" w:type="dxa"/>
            <w:gridSpan w:val="2"/>
            <w:vMerge w:val="restart"/>
            <w:tcBorders>
              <w:tl2br w:val="nil"/>
              <w:tr2bl w:val="nil"/>
            </w:tcBorders>
            <w:vAlign w:val="center"/>
          </w:tcPr>
          <w:p w14:paraId="672BB604">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《建设工程安全生产管理条例》第二十八条第二款/第三十条</w:t>
            </w:r>
          </w:p>
        </w:tc>
        <w:tc>
          <w:tcPr>
            <w:tcW w:w="4354" w:type="dxa"/>
            <w:vMerge w:val="restart"/>
            <w:tcBorders>
              <w:tl2br w:val="nil"/>
              <w:tr2bl w:val="nil"/>
            </w:tcBorders>
            <w:vAlign w:val="center"/>
          </w:tcPr>
          <w:p w14:paraId="2012A21D">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w:t>
            </w:r>
          </w:p>
          <w:p w14:paraId="49C9E9EF">
            <w:pPr>
              <w:keepNext w:val="0"/>
              <w:keepLines w:val="0"/>
              <w:pageBreakBefore w:val="0"/>
              <w:kinsoku/>
              <w:overflowPunct/>
              <w:topLinePunct w:val="0"/>
              <w:autoSpaceDE/>
              <w:autoSpaceDN/>
              <w:bidi w:val="0"/>
              <w:adjustRightInd/>
              <w:spacing w:line="260" w:lineRule="exact"/>
              <w:ind w:firstLine="420" w:firstLineChars="200"/>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第六十四条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条例的规定，施工单位有下列行为之一的，责令限期改正；逾期未改正的，责令停业整顿，并处5万元以上10万元以下的罚款；造成重大安全事故，构成犯罪的，对直接责任人员，依照刑法有关规定追究刑事责任：</w:t>
            </w:r>
          </w:p>
          <w:p w14:paraId="5A48C6AB">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(二)未根据不同施工阶段和周围环境及季节、气候的变化，在施工现场采取相应的安全施工措施，或者在城市市区内的建设工程的施工现场未实行封闭围挡的；</w:t>
            </w:r>
          </w:p>
        </w:tc>
        <w:tc>
          <w:tcPr>
            <w:tcW w:w="912" w:type="dxa"/>
            <w:tcBorders>
              <w:tl2br w:val="nil"/>
              <w:tr2bl w:val="nil"/>
            </w:tcBorders>
            <w:vAlign w:val="center"/>
          </w:tcPr>
          <w:p w14:paraId="004B87FA">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33C04EB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375" w:type="dxa"/>
            <w:tcBorders>
              <w:tl2br w:val="nil"/>
              <w:tr2bl w:val="nil"/>
            </w:tcBorders>
            <w:vAlign w:val="center"/>
          </w:tcPr>
          <w:p w14:paraId="48FC219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责令停业整顿，直至改正违法行为；处5万元以上6万元以下的罚款。</w:t>
            </w:r>
          </w:p>
        </w:tc>
      </w:tr>
      <w:tr w14:paraId="43ED283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3" w:type="dxa"/>
            <w:gridSpan w:val="2"/>
            <w:vMerge w:val="continue"/>
            <w:tcBorders>
              <w:tl2br w:val="nil"/>
              <w:tr2bl w:val="nil"/>
            </w:tcBorders>
            <w:vAlign w:val="center"/>
          </w:tcPr>
          <w:p w14:paraId="706DA8A7">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2A5CEA3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22845B1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tcPr>
          <w:p w14:paraId="5B3E7C3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1FED85E2">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018E8D0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4F9DBF2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责令停业整顿，直至改正违法行为；处6万元以上8万元以下的罚款。</w:t>
            </w:r>
          </w:p>
        </w:tc>
      </w:tr>
      <w:tr w14:paraId="7BDFD61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 w:hRule="atLeast"/>
          <w:jc w:val="center"/>
        </w:trPr>
        <w:tc>
          <w:tcPr>
            <w:tcW w:w="533" w:type="dxa"/>
            <w:gridSpan w:val="2"/>
            <w:vMerge w:val="continue"/>
            <w:tcBorders>
              <w:tl2br w:val="nil"/>
              <w:tr2bl w:val="nil"/>
            </w:tcBorders>
            <w:vAlign w:val="center"/>
          </w:tcPr>
          <w:p w14:paraId="17719313">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41013F0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4F7C830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tcPr>
          <w:p w14:paraId="58A2146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0BE7115F">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70C9DC3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762F579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375" w:type="dxa"/>
            <w:tcBorders>
              <w:tl2br w:val="nil"/>
              <w:tr2bl w:val="nil"/>
            </w:tcBorders>
            <w:vAlign w:val="center"/>
          </w:tcPr>
          <w:p w14:paraId="16AA1116">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责令停业整顿，直至改正违法行为；处8万以上10万元以下的罚款。</w:t>
            </w:r>
          </w:p>
        </w:tc>
      </w:tr>
      <w:tr w14:paraId="4AC4363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4" w:hRule="atLeast"/>
          <w:jc w:val="center"/>
        </w:trPr>
        <w:tc>
          <w:tcPr>
            <w:tcW w:w="533" w:type="dxa"/>
            <w:gridSpan w:val="2"/>
            <w:vMerge w:val="restart"/>
            <w:tcBorders>
              <w:tl2br w:val="nil"/>
              <w:tr2bl w:val="nil"/>
            </w:tcBorders>
            <w:vAlign w:val="center"/>
          </w:tcPr>
          <w:p w14:paraId="4BDEE25B">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kern w:val="0"/>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70</w:t>
            </w:r>
          </w:p>
        </w:tc>
        <w:tc>
          <w:tcPr>
            <w:tcW w:w="1376" w:type="dxa"/>
            <w:vMerge w:val="restart"/>
            <w:tcBorders>
              <w:tl2br w:val="nil"/>
              <w:tr2bl w:val="nil"/>
            </w:tcBorders>
            <w:vAlign w:val="center"/>
          </w:tcPr>
          <w:p w14:paraId="4D09D450">
            <w:pPr>
              <w:keepNext w:val="0"/>
              <w:keepLines w:val="0"/>
              <w:pageBreakBefore w:val="0"/>
              <w:widowControl/>
              <w:kinsoku/>
              <w:overflowPunct/>
              <w:topLinePunct w:val="0"/>
              <w:autoSpaceDE/>
              <w:autoSpaceDN/>
              <w:bidi w:val="0"/>
              <w:adjustRightInd/>
              <w:spacing w:line="260" w:lineRule="exact"/>
              <w:ind w:firstLine="210" w:firstLineChars="100"/>
              <w:jc w:val="left"/>
              <w:rPr>
                <w:rFonts w:hint="default" w:ascii="仿宋_GB2312" w:hAnsi="宋体" w:eastAsia="仿宋_GB2312"/>
                <w:color w:val="000000" w:themeColor="text1"/>
                <w:kern w:val="0"/>
                <w:szCs w:val="21"/>
                <w:lang w:val="en-US"/>
                <w14:textFill>
                  <w14:solidFill>
                    <w14:schemeClr w14:val="tx1"/>
                  </w14:solidFill>
                </w14:textFill>
              </w:rPr>
            </w:pPr>
          </w:p>
        </w:tc>
        <w:tc>
          <w:tcPr>
            <w:tcW w:w="1128" w:type="dxa"/>
            <w:gridSpan w:val="2"/>
            <w:vMerge w:val="restart"/>
            <w:tcBorders>
              <w:tl2br w:val="nil"/>
              <w:tr2bl w:val="nil"/>
            </w:tcBorders>
            <w:vAlign w:val="center"/>
          </w:tcPr>
          <w:p w14:paraId="341D3E46">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《建设工程安全生产管理条例》第二十九条</w:t>
            </w:r>
          </w:p>
        </w:tc>
        <w:tc>
          <w:tcPr>
            <w:tcW w:w="4354" w:type="dxa"/>
            <w:vMerge w:val="restart"/>
            <w:tcBorders>
              <w:tl2br w:val="nil"/>
              <w:tr2bl w:val="nil"/>
            </w:tcBorders>
            <w:vAlign w:val="center"/>
          </w:tcPr>
          <w:p w14:paraId="4951FB17">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w:t>
            </w:r>
          </w:p>
          <w:p w14:paraId="2F5C6485">
            <w:pPr>
              <w:keepNext w:val="0"/>
              <w:keepLines w:val="0"/>
              <w:pageBreakBefore w:val="0"/>
              <w:kinsoku/>
              <w:overflowPunct/>
              <w:topLinePunct w:val="0"/>
              <w:autoSpaceDE/>
              <w:autoSpaceDN/>
              <w:bidi w:val="0"/>
              <w:adjustRightInd/>
              <w:spacing w:line="260" w:lineRule="exact"/>
              <w:ind w:firstLine="420" w:firstLineChars="2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第六十四条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三</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条例的规定，施工单位有下列行为之一的，责令限期改正；逾期未改正的，责令停业整顿，并处5万元以上10万元以下的罚款；造成重大安全事故，构成犯罪的，对直接责任人员，依照刑法有关规定追究刑事责任：</w:t>
            </w:r>
          </w:p>
          <w:p w14:paraId="0348E2BE">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(三)在尚未竣工的建筑物内设置员工集体宿舍的；</w:t>
            </w:r>
          </w:p>
        </w:tc>
        <w:tc>
          <w:tcPr>
            <w:tcW w:w="912" w:type="dxa"/>
            <w:tcBorders>
              <w:tl2br w:val="nil"/>
              <w:tr2bl w:val="nil"/>
            </w:tcBorders>
            <w:vAlign w:val="center"/>
          </w:tcPr>
          <w:p w14:paraId="402AD34A">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787613B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员工宿舍住宿人数在3人以下的。</w:t>
            </w:r>
          </w:p>
        </w:tc>
        <w:tc>
          <w:tcPr>
            <w:tcW w:w="3375" w:type="dxa"/>
            <w:tcBorders>
              <w:tl2br w:val="nil"/>
              <w:tr2bl w:val="nil"/>
            </w:tcBorders>
            <w:vAlign w:val="center"/>
          </w:tcPr>
          <w:p w14:paraId="0EEA5C1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责令停业整顿，直至改正违法行为；处5万元以上6万元以下的罚款。</w:t>
            </w:r>
          </w:p>
        </w:tc>
      </w:tr>
      <w:tr w14:paraId="74DF16E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1" w:hRule="atLeast"/>
          <w:jc w:val="center"/>
        </w:trPr>
        <w:tc>
          <w:tcPr>
            <w:tcW w:w="533" w:type="dxa"/>
            <w:gridSpan w:val="2"/>
            <w:vMerge w:val="continue"/>
            <w:tcBorders>
              <w:tl2br w:val="nil"/>
              <w:tr2bl w:val="nil"/>
            </w:tcBorders>
            <w:vAlign w:val="center"/>
          </w:tcPr>
          <w:p w14:paraId="4211F7E2">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1137FC1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7A2E92E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tcPr>
          <w:p w14:paraId="2C2EDDB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3B791E58">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271F8AA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员工宿舍住宿人数在3人以上10人以下的。</w:t>
            </w:r>
          </w:p>
        </w:tc>
        <w:tc>
          <w:tcPr>
            <w:tcW w:w="3375" w:type="dxa"/>
            <w:tcBorders>
              <w:tl2br w:val="nil"/>
              <w:tr2bl w:val="nil"/>
            </w:tcBorders>
            <w:vAlign w:val="center"/>
          </w:tcPr>
          <w:p w14:paraId="54A68E5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责令停业整顿，直至改正违法行为；处6万元以上8万元以下的罚款。</w:t>
            </w:r>
          </w:p>
        </w:tc>
      </w:tr>
      <w:tr w14:paraId="5DFBEC3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533" w:type="dxa"/>
            <w:gridSpan w:val="2"/>
            <w:vMerge w:val="continue"/>
            <w:tcBorders>
              <w:tl2br w:val="nil"/>
              <w:tr2bl w:val="nil"/>
            </w:tcBorders>
            <w:vAlign w:val="center"/>
          </w:tcPr>
          <w:p w14:paraId="6E97856E">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4F82CC1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0F430E6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tcPr>
          <w:p w14:paraId="6D2EFA4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437464FC">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0F281CE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员工宿舍住宿人数在10人以上的，或造成生产安全事故的。</w:t>
            </w:r>
          </w:p>
        </w:tc>
        <w:tc>
          <w:tcPr>
            <w:tcW w:w="3375" w:type="dxa"/>
            <w:tcBorders>
              <w:tl2br w:val="nil"/>
              <w:tr2bl w:val="nil"/>
            </w:tcBorders>
            <w:vAlign w:val="center"/>
          </w:tcPr>
          <w:p w14:paraId="4711C47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责令停业整顿，直至改正违法行为；处8万以上10万元以下的罚款。</w:t>
            </w:r>
          </w:p>
        </w:tc>
      </w:tr>
      <w:tr w14:paraId="79913B6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059B7175">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71</w:t>
            </w:r>
          </w:p>
        </w:tc>
        <w:tc>
          <w:tcPr>
            <w:tcW w:w="1376" w:type="dxa"/>
            <w:vMerge w:val="restart"/>
            <w:tcBorders>
              <w:tl2br w:val="nil"/>
              <w:tr2bl w:val="nil"/>
            </w:tcBorders>
            <w:vAlign w:val="center"/>
          </w:tcPr>
          <w:p w14:paraId="63731FF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施工现场临时搭建的建筑物不符合安全使用要求且逾期未改正的</w:t>
            </w:r>
          </w:p>
        </w:tc>
        <w:tc>
          <w:tcPr>
            <w:tcW w:w="1128" w:type="dxa"/>
            <w:gridSpan w:val="2"/>
            <w:vMerge w:val="restart"/>
            <w:tcBorders>
              <w:tl2br w:val="nil"/>
              <w:tr2bl w:val="nil"/>
            </w:tcBorders>
            <w:vAlign w:val="center"/>
          </w:tcPr>
          <w:p w14:paraId="6996C4E4">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《建设工程安全生产管理条例》第二十九条</w:t>
            </w:r>
          </w:p>
        </w:tc>
        <w:tc>
          <w:tcPr>
            <w:tcW w:w="4354" w:type="dxa"/>
            <w:vMerge w:val="restart"/>
            <w:tcBorders>
              <w:tl2br w:val="nil"/>
              <w:tr2bl w:val="nil"/>
            </w:tcBorders>
            <w:vAlign w:val="center"/>
          </w:tcPr>
          <w:p w14:paraId="19A6E425">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w:t>
            </w:r>
          </w:p>
          <w:p w14:paraId="049DCA16">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第六十四条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四</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条例的规定，施工单位有下列行为之一的，责令限期改正；逾期未改正的，责令停业整顿，并处5万元以上10万元以下的罚款；造成重大安全事故，构成犯罪的，对直接责任人员，依照刑法有关规定追究刑事责任：</w:t>
            </w:r>
          </w:p>
          <w:p w14:paraId="7F1509C0">
            <w:pPr>
              <w:keepNext w:val="0"/>
              <w:keepLines w:val="0"/>
              <w:pageBreakBefore w:val="0"/>
              <w:kinsoku/>
              <w:overflowPunct/>
              <w:topLinePunct w:val="0"/>
              <w:autoSpaceDE/>
              <w:autoSpaceDN/>
              <w:bidi w:val="0"/>
              <w:adjustRightInd/>
              <w:spacing w:line="260" w:lineRule="exact"/>
              <w:ind w:firstLine="420" w:firstLineChars="2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(四)施工现场临时搭建的建筑物不符合安全使用要求的；</w:t>
            </w:r>
          </w:p>
          <w:p w14:paraId="3B5DE746">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施工单位有前款规定行为，造成损失的，依法承担赔偿责任。</w:t>
            </w:r>
          </w:p>
        </w:tc>
        <w:tc>
          <w:tcPr>
            <w:tcW w:w="912" w:type="dxa"/>
            <w:tcBorders>
              <w:tl2br w:val="nil"/>
              <w:tr2bl w:val="nil"/>
            </w:tcBorders>
            <w:vAlign w:val="center"/>
          </w:tcPr>
          <w:p w14:paraId="4A9560F1">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3D7750E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375" w:type="dxa"/>
            <w:tcBorders>
              <w:tl2br w:val="nil"/>
              <w:tr2bl w:val="nil"/>
            </w:tcBorders>
            <w:vAlign w:val="center"/>
          </w:tcPr>
          <w:p w14:paraId="16709C9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责令停业整顿，直至改正违法行为；处5万元以上6万元以下的罚款。</w:t>
            </w:r>
          </w:p>
        </w:tc>
      </w:tr>
      <w:tr w14:paraId="72DEF13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0C6D18DF">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18F7AFB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10BEBD5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tcPr>
          <w:p w14:paraId="06461C3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4956B435">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204E727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15A9EEE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责令停业整顿，直至改正违法行为；处6万元以上8万元以下的罚款。</w:t>
            </w:r>
          </w:p>
        </w:tc>
      </w:tr>
      <w:tr w14:paraId="1754508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19A388DC">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7B574EC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65BCB6E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tcPr>
          <w:p w14:paraId="3919783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481D4AE8">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21146F1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2CAF436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375" w:type="dxa"/>
            <w:tcBorders>
              <w:tl2br w:val="nil"/>
              <w:tr2bl w:val="nil"/>
            </w:tcBorders>
            <w:vAlign w:val="center"/>
          </w:tcPr>
          <w:p w14:paraId="59388D0D">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责令停业整顿，直至改正违法行为；处8万以上10万元以下的罚款。</w:t>
            </w:r>
          </w:p>
        </w:tc>
      </w:tr>
      <w:tr w14:paraId="38476C4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58410A70">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72</w:t>
            </w:r>
          </w:p>
        </w:tc>
        <w:tc>
          <w:tcPr>
            <w:tcW w:w="1376" w:type="dxa"/>
            <w:vMerge w:val="restart"/>
            <w:tcBorders>
              <w:tl2br w:val="nil"/>
              <w:tr2bl w:val="nil"/>
            </w:tcBorders>
            <w:vAlign w:val="center"/>
          </w:tcPr>
          <w:p w14:paraId="657CE105">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施工单位未对因建设工程施工可能造成损害的毗邻建筑物、构筑物和地下管线等采取专项防护措施且逾期未改正的</w:t>
            </w:r>
          </w:p>
        </w:tc>
        <w:tc>
          <w:tcPr>
            <w:tcW w:w="1128" w:type="dxa"/>
            <w:gridSpan w:val="2"/>
            <w:vMerge w:val="restart"/>
            <w:tcBorders>
              <w:tl2br w:val="nil"/>
              <w:tr2bl w:val="nil"/>
            </w:tcBorders>
            <w:vAlign w:val="center"/>
          </w:tcPr>
          <w:p w14:paraId="14EF3592">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《建设工程安全生产管理条例》第三十条</w:t>
            </w:r>
          </w:p>
        </w:tc>
        <w:tc>
          <w:tcPr>
            <w:tcW w:w="4354" w:type="dxa"/>
            <w:vMerge w:val="restart"/>
            <w:tcBorders>
              <w:tl2br w:val="nil"/>
              <w:tr2bl w:val="nil"/>
            </w:tcBorders>
            <w:vAlign w:val="center"/>
          </w:tcPr>
          <w:p w14:paraId="00D7E42D">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w:t>
            </w:r>
          </w:p>
          <w:p w14:paraId="5EA91203">
            <w:pPr>
              <w:keepNext w:val="0"/>
              <w:keepLines w:val="0"/>
              <w:pageBreakBefore w:val="0"/>
              <w:kinsoku/>
              <w:overflowPunct/>
              <w:topLinePunct w:val="0"/>
              <w:autoSpaceDE/>
              <w:autoSpaceDN/>
              <w:bidi w:val="0"/>
              <w:adjustRightInd/>
              <w:spacing w:line="260" w:lineRule="exact"/>
              <w:ind w:firstLine="420" w:firstLineChars="2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第六十四条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五</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条例的规定，施工单位有下列行为之一的，责令限期改正；逾期未改正的，责令停业整顿，并处5万元以上10万元以下的罚款；造成重大安全事故，构成犯罪的，对直接责任人员，依照刑法有关规定追究刑事责任：</w:t>
            </w:r>
          </w:p>
          <w:p w14:paraId="68EAE11A">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(五)未对因建设工程施工可能造成损害的毗邻建筑物、构筑物和地下管线等采取专项防护措施的。</w:t>
            </w:r>
          </w:p>
          <w:p w14:paraId="51CA5ACA">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施工单位有前款规定行为，造成损失的，依法承担赔偿责任。</w:t>
            </w:r>
          </w:p>
        </w:tc>
        <w:tc>
          <w:tcPr>
            <w:tcW w:w="912" w:type="dxa"/>
            <w:tcBorders>
              <w:tl2br w:val="nil"/>
              <w:tr2bl w:val="nil"/>
            </w:tcBorders>
            <w:vAlign w:val="center"/>
          </w:tcPr>
          <w:p w14:paraId="463ADC97">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40F77BE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375" w:type="dxa"/>
            <w:tcBorders>
              <w:tl2br w:val="nil"/>
              <w:tr2bl w:val="nil"/>
            </w:tcBorders>
            <w:vAlign w:val="center"/>
          </w:tcPr>
          <w:p w14:paraId="594C2B8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责令停业整顿，直至改正违法行为；处5万元以上6万元以下的罚款。</w:t>
            </w:r>
          </w:p>
        </w:tc>
      </w:tr>
      <w:tr w14:paraId="25B6344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5CA302A3">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7FA21C4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6C92D5C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tcPr>
          <w:p w14:paraId="3F4A8BA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2BB68964">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3EE356C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5B99A2B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责令停业整顿，直至改正违法行为；处6万元以上8万元以下的罚款。</w:t>
            </w:r>
          </w:p>
        </w:tc>
      </w:tr>
      <w:tr w14:paraId="79043B8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54D87D73">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4EBE5FA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71BE4F8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tcPr>
          <w:p w14:paraId="57BD650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613927A4">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4B2BD56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4829AC6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375" w:type="dxa"/>
            <w:tcBorders>
              <w:tl2br w:val="nil"/>
              <w:tr2bl w:val="nil"/>
            </w:tcBorders>
            <w:vAlign w:val="center"/>
          </w:tcPr>
          <w:p w14:paraId="63624498">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责令停业整顿，直至改正违法行为；处8万以上10万元以下的罚款。</w:t>
            </w:r>
          </w:p>
        </w:tc>
      </w:tr>
      <w:tr w14:paraId="6E028EC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3119CFA2">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73</w:t>
            </w:r>
          </w:p>
        </w:tc>
        <w:tc>
          <w:tcPr>
            <w:tcW w:w="1376" w:type="dxa"/>
            <w:vMerge w:val="restart"/>
            <w:tcBorders>
              <w:tl2br w:val="nil"/>
              <w:tr2bl w:val="nil"/>
            </w:tcBorders>
            <w:vAlign w:val="center"/>
          </w:tcPr>
          <w:p w14:paraId="1D96693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施工单位安全防护用具、机械设备、施工机具及配件在进入施工现场前未经查验或者查验不合格即投入使用且逾期未改正的</w:t>
            </w:r>
          </w:p>
        </w:tc>
        <w:tc>
          <w:tcPr>
            <w:tcW w:w="1128" w:type="dxa"/>
            <w:gridSpan w:val="2"/>
            <w:vMerge w:val="restart"/>
            <w:tcBorders>
              <w:tl2br w:val="nil"/>
              <w:tr2bl w:val="nil"/>
            </w:tcBorders>
            <w:vAlign w:val="center"/>
          </w:tcPr>
          <w:p w14:paraId="220E71DA">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《建设工程安全生产管理条例》第三十四条</w:t>
            </w:r>
          </w:p>
        </w:tc>
        <w:tc>
          <w:tcPr>
            <w:tcW w:w="4354" w:type="dxa"/>
            <w:vMerge w:val="restart"/>
            <w:tcBorders>
              <w:tl2br w:val="nil"/>
              <w:tr2bl w:val="nil"/>
            </w:tcBorders>
            <w:vAlign w:val="center"/>
          </w:tcPr>
          <w:p w14:paraId="60139A57">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w:t>
            </w:r>
          </w:p>
          <w:p w14:paraId="0DF897F8">
            <w:pPr>
              <w:keepNext w:val="0"/>
              <w:keepLines w:val="0"/>
              <w:pageBreakBefore w:val="0"/>
              <w:kinsoku/>
              <w:overflowPunct/>
              <w:topLinePunct w:val="0"/>
              <w:autoSpaceDE/>
              <w:autoSpaceDN/>
              <w:bidi w:val="0"/>
              <w:adjustRightInd/>
              <w:spacing w:line="260" w:lineRule="exact"/>
              <w:ind w:firstLine="420" w:firstLineChars="2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第六十五条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14:paraId="26319800">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(一)安全防护用具、机械设备、施工机具及配件在进入施工现场前未经查验或者查验不合格即投入使用的；</w:t>
            </w:r>
          </w:p>
        </w:tc>
        <w:tc>
          <w:tcPr>
            <w:tcW w:w="912" w:type="dxa"/>
            <w:tcBorders>
              <w:tl2br w:val="nil"/>
              <w:tr2bl w:val="nil"/>
            </w:tcBorders>
            <w:vAlign w:val="center"/>
          </w:tcPr>
          <w:p w14:paraId="21026620">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6B750AA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未造成后果或后果轻微的。</w:t>
            </w:r>
          </w:p>
        </w:tc>
        <w:tc>
          <w:tcPr>
            <w:tcW w:w="3375" w:type="dxa"/>
            <w:tcBorders>
              <w:tl2br w:val="nil"/>
              <w:tr2bl w:val="nil"/>
            </w:tcBorders>
            <w:vAlign w:val="center"/>
          </w:tcPr>
          <w:p w14:paraId="31C04D4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责令停业整顿，直至改正违法行为；处10万元以上12万元以下的罚款。</w:t>
            </w:r>
          </w:p>
        </w:tc>
      </w:tr>
      <w:tr w14:paraId="58443DF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4" w:hRule="atLeast"/>
          <w:jc w:val="center"/>
        </w:trPr>
        <w:tc>
          <w:tcPr>
            <w:tcW w:w="533" w:type="dxa"/>
            <w:gridSpan w:val="2"/>
            <w:vMerge w:val="continue"/>
            <w:tcBorders>
              <w:tl2br w:val="nil"/>
              <w:tr2bl w:val="nil"/>
            </w:tcBorders>
            <w:vAlign w:val="center"/>
          </w:tcPr>
          <w:p w14:paraId="4FF19ECA">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0079306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61983D8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tcPr>
          <w:p w14:paraId="0AD9AD1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07C7EC93">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2FEF041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造成危害后果但尚未造成安全生产事故的。</w:t>
            </w:r>
          </w:p>
        </w:tc>
        <w:tc>
          <w:tcPr>
            <w:tcW w:w="3375" w:type="dxa"/>
            <w:tcBorders>
              <w:tl2br w:val="nil"/>
              <w:tr2bl w:val="nil"/>
            </w:tcBorders>
            <w:vAlign w:val="center"/>
          </w:tcPr>
          <w:p w14:paraId="004E481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责令停业整顿，直至改正违法行为；处12万元以上25万元以下的罚款。</w:t>
            </w:r>
          </w:p>
        </w:tc>
      </w:tr>
      <w:tr w14:paraId="2476BF7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 w:hRule="atLeast"/>
          <w:jc w:val="center"/>
        </w:trPr>
        <w:tc>
          <w:tcPr>
            <w:tcW w:w="533" w:type="dxa"/>
            <w:gridSpan w:val="2"/>
            <w:vMerge w:val="continue"/>
            <w:tcBorders>
              <w:tl2br w:val="nil"/>
              <w:tr2bl w:val="nil"/>
            </w:tcBorders>
            <w:vAlign w:val="center"/>
          </w:tcPr>
          <w:p w14:paraId="229BC34E">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12745BC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15F3796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tcPr>
          <w:p w14:paraId="3F818E1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restart"/>
            <w:tcBorders>
              <w:tl2br w:val="nil"/>
              <w:tr2bl w:val="nil"/>
            </w:tcBorders>
            <w:vAlign w:val="center"/>
          </w:tcPr>
          <w:p w14:paraId="386091BD">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43BB616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造成3人以下死亡，或者10人以下重伤，或者1000万元以下直接经济损失。</w:t>
            </w:r>
          </w:p>
        </w:tc>
        <w:tc>
          <w:tcPr>
            <w:tcW w:w="3375" w:type="dxa"/>
            <w:tcBorders>
              <w:tl2br w:val="nil"/>
              <w:tr2bl w:val="nil"/>
            </w:tcBorders>
            <w:vAlign w:val="center"/>
          </w:tcPr>
          <w:p w14:paraId="122A135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责令停业整顿30-60日；处25万元以上30万元以下的罚款。</w:t>
            </w:r>
          </w:p>
        </w:tc>
      </w:tr>
      <w:tr w14:paraId="424CD68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3" w:type="dxa"/>
            <w:gridSpan w:val="2"/>
            <w:vMerge w:val="continue"/>
            <w:tcBorders>
              <w:tl2br w:val="nil"/>
              <w:tr2bl w:val="nil"/>
            </w:tcBorders>
            <w:vAlign w:val="center"/>
          </w:tcPr>
          <w:p w14:paraId="6F05AAD7">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0EAD0A2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00ED27D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tcPr>
          <w:p w14:paraId="0AF950B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635EF4F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2019535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造成3人以上5人以下死亡；或者10人以上20人以下重伤；或者1000万元以上2000万元以下直接经济损失的。</w:t>
            </w:r>
          </w:p>
        </w:tc>
        <w:tc>
          <w:tcPr>
            <w:tcW w:w="3375" w:type="dxa"/>
            <w:tcBorders>
              <w:tl2br w:val="nil"/>
              <w:tr2bl w:val="nil"/>
            </w:tcBorders>
            <w:vAlign w:val="center"/>
          </w:tcPr>
          <w:p w14:paraId="23746FD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w:t>
            </w:r>
            <w:r>
              <w:rPr>
                <w:rFonts w:hint="eastAsia" w:ascii="仿宋_GB2312" w:hAnsi="宋体" w:eastAsia="仿宋_GB2312"/>
                <w:color w:val="000000" w:themeColor="text1"/>
                <w:kern w:val="0"/>
                <w:szCs w:val="21"/>
                <w:lang w:val="en-US" w:eastAsia="zh-CN"/>
                <w14:textFill>
                  <w14:solidFill>
                    <w14:schemeClr w14:val="tx1"/>
                  </w14:solidFill>
                </w14:textFill>
              </w:rPr>
              <w:t>60</w:t>
            </w:r>
            <w:r>
              <w:rPr>
                <w:rFonts w:hint="eastAsia" w:ascii="仿宋_GB2312" w:hAnsi="宋体" w:eastAsia="仿宋_GB2312"/>
                <w:color w:val="000000" w:themeColor="text1"/>
                <w:kern w:val="0"/>
                <w:szCs w:val="21"/>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9</w:t>
            </w:r>
            <w:r>
              <w:rPr>
                <w:rFonts w:hint="eastAsia" w:ascii="仿宋_GB2312" w:hAnsi="宋体" w:eastAsia="仿宋_GB2312"/>
                <w:color w:val="000000" w:themeColor="text1"/>
                <w:kern w:val="0"/>
                <w:szCs w:val="21"/>
                <w14:textFill>
                  <w14:solidFill>
                    <w14:schemeClr w14:val="tx1"/>
                  </w14:solidFill>
                </w14:textFill>
              </w:rPr>
              <w:t>0日；处30万元的罚款。</w:t>
            </w:r>
          </w:p>
        </w:tc>
      </w:tr>
      <w:tr w14:paraId="57A5483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3" w:hRule="atLeast"/>
          <w:jc w:val="center"/>
        </w:trPr>
        <w:tc>
          <w:tcPr>
            <w:tcW w:w="533" w:type="dxa"/>
            <w:gridSpan w:val="2"/>
            <w:vMerge w:val="continue"/>
            <w:tcBorders>
              <w:tl2br w:val="nil"/>
              <w:tr2bl w:val="nil"/>
            </w:tcBorders>
            <w:vAlign w:val="center"/>
          </w:tcPr>
          <w:p w14:paraId="758E4B7F">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613D1F2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34E8279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tcPr>
          <w:p w14:paraId="3F120E1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3684082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207CDC5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造成5人以上7人以下死亡；或者20人以上30人以下重伤；或者2000万元以上3000万元以下直接经济损失的。</w:t>
            </w:r>
          </w:p>
        </w:tc>
        <w:tc>
          <w:tcPr>
            <w:tcW w:w="3375" w:type="dxa"/>
            <w:tcBorders>
              <w:tl2br w:val="nil"/>
              <w:tr2bl w:val="nil"/>
            </w:tcBorders>
            <w:vAlign w:val="center"/>
          </w:tcPr>
          <w:p w14:paraId="1420DB5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w:t>
            </w:r>
            <w:r>
              <w:rPr>
                <w:rFonts w:hint="eastAsia" w:ascii="仿宋_GB2312" w:hAnsi="宋体" w:eastAsia="仿宋_GB2312"/>
                <w:color w:val="000000" w:themeColor="text1"/>
                <w:kern w:val="0"/>
                <w:szCs w:val="21"/>
                <w:lang w:val="en-US" w:eastAsia="zh-CN"/>
                <w14:textFill>
                  <w14:solidFill>
                    <w14:schemeClr w14:val="tx1"/>
                  </w14:solidFill>
                </w14:textFill>
              </w:rPr>
              <w:t>90</w:t>
            </w:r>
            <w:r>
              <w:rPr>
                <w:rFonts w:hint="eastAsia" w:ascii="仿宋_GB2312" w:hAnsi="宋体" w:eastAsia="仿宋_GB2312"/>
                <w:color w:val="000000" w:themeColor="text1"/>
                <w:kern w:val="0"/>
                <w:szCs w:val="21"/>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120</w:t>
            </w:r>
            <w:r>
              <w:rPr>
                <w:rFonts w:hint="eastAsia" w:ascii="仿宋_GB2312" w:hAnsi="宋体" w:eastAsia="仿宋_GB2312"/>
                <w:color w:val="000000" w:themeColor="text1"/>
                <w:kern w:val="0"/>
                <w:szCs w:val="21"/>
                <w14:textFill>
                  <w14:solidFill>
                    <w14:schemeClr w14:val="tx1"/>
                  </w14:solidFill>
                </w14:textFill>
              </w:rPr>
              <w:t>日；处30万元的罚款。</w:t>
            </w:r>
          </w:p>
        </w:tc>
      </w:tr>
      <w:tr w14:paraId="5C5A5E2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jc w:val="center"/>
        </w:trPr>
        <w:tc>
          <w:tcPr>
            <w:tcW w:w="533" w:type="dxa"/>
            <w:gridSpan w:val="2"/>
            <w:vMerge w:val="continue"/>
            <w:tcBorders>
              <w:tl2br w:val="nil"/>
              <w:tr2bl w:val="nil"/>
            </w:tcBorders>
            <w:vAlign w:val="center"/>
          </w:tcPr>
          <w:p w14:paraId="49F2A806">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4E5ED2F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585C49E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tcPr>
          <w:p w14:paraId="762BA99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57F801C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37C9FE7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造成7人以上10人以下死亡；或者30人以上50人以下重伤；或者3000万元以上5000万元以下直接经济损失的。</w:t>
            </w:r>
          </w:p>
        </w:tc>
        <w:tc>
          <w:tcPr>
            <w:tcW w:w="3375" w:type="dxa"/>
            <w:tcBorders>
              <w:tl2br w:val="nil"/>
              <w:tr2bl w:val="nil"/>
            </w:tcBorders>
            <w:vAlign w:val="center"/>
          </w:tcPr>
          <w:p w14:paraId="0D2E90CC">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w:t>
            </w:r>
            <w:r>
              <w:rPr>
                <w:rFonts w:hint="eastAsia" w:ascii="仿宋_GB2312" w:hAnsi="宋体" w:eastAsia="仿宋_GB2312"/>
                <w:color w:val="000000" w:themeColor="text1"/>
                <w:kern w:val="0"/>
                <w:szCs w:val="21"/>
                <w:lang w:val="en-US" w:eastAsia="zh-CN"/>
                <w14:textFill>
                  <w14:solidFill>
                    <w14:schemeClr w14:val="tx1"/>
                  </w14:solidFill>
                </w14:textFill>
              </w:rPr>
              <w:t>120</w:t>
            </w:r>
            <w:r>
              <w:rPr>
                <w:rFonts w:hint="eastAsia" w:ascii="仿宋_GB2312" w:hAnsi="宋体" w:eastAsia="仿宋_GB2312"/>
                <w:color w:val="000000" w:themeColor="text1"/>
                <w:kern w:val="0"/>
                <w:szCs w:val="21"/>
                <w14:textFill>
                  <w14:solidFill>
                    <w14:schemeClr w14:val="tx1"/>
                  </w14:solidFill>
                </w14:textFill>
              </w:rPr>
              <w:t>-180日；处30万元的罚款。</w:t>
            </w:r>
          </w:p>
        </w:tc>
      </w:tr>
      <w:tr w14:paraId="5804414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jc w:val="center"/>
        </w:trPr>
        <w:tc>
          <w:tcPr>
            <w:tcW w:w="533" w:type="dxa"/>
            <w:gridSpan w:val="2"/>
            <w:vMerge w:val="continue"/>
            <w:tcBorders>
              <w:tl2br w:val="nil"/>
              <w:tr2bl w:val="nil"/>
            </w:tcBorders>
            <w:vAlign w:val="center"/>
          </w:tcPr>
          <w:p w14:paraId="5BBC3DAE">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65C1749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76C5C36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tcPr>
          <w:p w14:paraId="69DEA95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65E6353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1C5A9F8D">
            <w:pPr>
              <w:keepNext w:val="0"/>
              <w:keepLines w:val="0"/>
              <w:pageBreakBefore w:val="0"/>
              <w:widowControl/>
              <w:kinsoku/>
              <w:overflowPunct/>
              <w:topLinePunct w:val="0"/>
              <w:autoSpaceDE/>
              <w:autoSpaceDN/>
              <w:bidi w:val="0"/>
              <w:adjustRightInd/>
              <w:spacing w:line="260" w:lineRule="exact"/>
              <w:ind w:firstLine="210" w:firstLineChars="100"/>
              <w:jc w:val="left"/>
              <w:rPr>
                <w:rFonts w:hint="default" w:ascii="仿宋_GB2312" w:hAnsi="宋体" w:eastAsia="仿宋_GB2312"/>
                <w:color w:val="000000" w:themeColor="text1"/>
                <w:kern w:val="0"/>
                <w:szCs w:val="21"/>
                <w:lang w:val="en-US"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造成重大安全事故的</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或造成特别严重社会影响。</w:t>
            </w:r>
          </w:p>
        </w:tc>
        <w:tc>
          <w:tcPr>
            <w:tcW w:w="3375" w:type="dxa"/>
            <w:tcBorders>
              <w:tl2br w:val="nil"/>
              <w:tr2bl w:val="nil"/>
            </w:tcBorders>
            <w:vAlign w:val="center"/>
          </w:tcPr>
          <w:p w14:paraId="4314F19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处30万元的罚款；降低资质等级。</w:t>
            </w:r>
          </w:p>
        </w:tc>
      </w:tr>
      <w:tr w14:paraId="4538998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9" w:hRule="atLeast"/>
          <w:jc w:val="center"/>
        </w:trPr>
        <w:tc>
          <w:tcPr>
            <w:tcW w:w="533" w:type="dxa"/>
            <w:gridSpan w:val="2"/>
            <w:vMerge w:val="continue"/>
            <w:tcBorders>
              <w:tl2br w:val="nil"/>
              <w:tr2bl w:val="nil"/>
            </w:tcBorders>
            <w:vAlign w:val="center"/>
          </w:tcPr>
          <w:p w14:paraId="3213504A">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79BB765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33E2EE8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tcPr>
          <w:p w14:paraId="1997982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51C8D27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497764E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造成特别重大安全事故的</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或造成特别严重社会影响。</w:t>
            </w:r>
          </w:p>
        </w:tc>
        <w:tc>
          <w:tcPr>
            <w:tcW w:w="3375" w:type="dxa"/>
            <w:tcBorders>
              <w:tl2br w:val="nil"/>
              <w:tr2bl w:val="nil"/>
            </w:tcBorders>
            <w:vAlign w:val="center"/>
          </w:tcPr>
          <w:p w14:paraId="0AE0B209">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处30万元的罚款；吊销资质证书。</w:t>
            </w:r>
          </w:p>
        </w:tc>
      </w:tr>
      <w:tr w14:paraId="62314E6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55D4F9ED">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74</w:t>
            </w:r>
          </w:p>
        </w:tc>
        <w:tc>
          <w:tcPr>
            <w:tcW w:w="1376" w:type="dxa"/>
            <w:vMerge w:val="restart"/>
            <w:tcBorders>
              <w:tl2br w:val="nil"/>
              <w:tr2bl w:val="nil"/>
            </w:tcBorders>
            <w:vAlign w:val="center"/>
          </w:tcPr>
          <w:p w14:paraId="022E97C8">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31B2A74B">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74727FB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施工单位使用未经验收或者验收不合格的施工起重机械和整体提升脚手架、模板等自升式架设设施且逾期未改正的</w:t>
            </w:r>
          </w:p>
        </w:tc>
        <w:tc>
          <w:tcPr>
            <w:tcW w:w="1128" w:type="dxa"/>
            <w:gridSpan w:val="2"/>
            <w:vMerge w:val="restart"/>
            <w:tcBorders>
              <w:tl2br w:val="nil"/>
              <w:tr2bl w:val="nil"/>
            </w:tcBorders>
            <w:vAlign w:val="center"/>
          </w:tcPr>
          <w:p w14:paraId="206A8451">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《建设工程安全生产管理条例》第三十五条</w:t>
            </w:r>
          </w:p>
        </w:tc>
        <w:tc>
          <w:tcPr>
            <w:tcW w:w="4354" w:type="dxa"/>
            <w:vMerge w:val="restart"/>
            <w:tcBorders>
              <w:tl2br w:val="nil"/>
              <w:tr2bl w:val="nil"/>
            </w:tcBorders>
            <w:vAlign w:val="center"/>
          </w:tcPr>
          <w:p w14:paraId="399240BB">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7DE23135">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58EB3536">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w:t>
            </w:r>
          </w:p>
          <w:p w14:paraId="60332DBA">
            <w:pPr>
              <w:keepNext w:val="0"/>
              <w:keepLines w:val="0"/>
              <w:pageBreakBefore w:val="0"/>
              <w:kinsoku/>
              <w:overflowPunct/>
              <w:topLinePunct w:val="0"/>
              <w:autoSpaceDE/>
              <w:autoSpaceDN/>
              <w:bidi w:val="0"/>
              <w:adjustRightInd/>
              <w:spacing w:line="260" w:lineRule="exact"/>
              <w:ind w:firstLine="420" w:firstLineChars="2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第六十五条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14:paraId="59942059">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(二)使用未经验收或者验收不合格的施工起重机械和整体提升脚手架、模板等自升式架设设施的；</w:t>
            </w:r>
          </w:p>
          <w:p w14:paraId="62C9E480">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20D09E42">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477BBEB9">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5C707167">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78B0AA37">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5BF641F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6C0E7B2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未造成后果或后果轻微的。</w:t>
            </w:r>
          </w:p>
        </w:tc>
        <w:tc>
          <w:tcPr>
            <w:tcW w:w="3375" w:type="dxa"/>
            <w:tcBorders>
              <w:tl2br w:val="nil"/>
              <w:tr2bl w:val="nil"/>
            </w:tcBorders>
            <w:vAlign w:val="center"/>
          </w:tcPr>
          <w:p w14:paraId="1691D0B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责令停业整顿，直至改正违法行为；处10万元以上12万元以下的罚款。</w:t>
            </w:r>
          </w:p>
        </w:tc>
      </w:tr>
      <w:tr w14:paraId="351430E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2684DA98">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4B408F2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1367F2C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tcPr>
          <w:p w14:paraId="2CD7AFC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3F632A4B">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6D62BE7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造成危害后果但尚未造成安全生产事故的。</w:t>
            </w:r>
          </w:p>
        </w:tc>
        <w:tc>
          <w:tcPr>
            <w:tcW w:w="3375" w:type="dxa"/>
            <w:tcBorders>
              <w:tl2br w:val="nil"/>
              <w:tr2bl w:val="nil"/>
            </w:tcBorders>
            <w:vAlign w:val="center"/>
          </w:tcPr>
          <w:p w14:paraId="18062F6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责令停业整顿，直至改正违法行为；处12万元以上25万元以下的罚款。</w:t>
            </w:r>
          </w:p>
        </w:tc>
      </w:tr>
      <w:tr w14:paraId="4F59235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jc w:val="center"/>
        </w:trPr>
        <w:tc>
          <w:tcPr>
            <w:tcW w:w="533" w:type="dxa"/>
            <w:gridSpan w:val="2"/>
            <w:vMerge w:val="continue"/>
            <w:tcBorders>
              <w:tl2br w:val="nil"/>
              <w:tr2bl w:val="nil"/>
            </w:tcBorders>
            <w:vAlign w:val="center"/>
          </w:tcPr>
          <w:p w14:paraId="46DEBAD7">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36C192D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61BDA7D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tcPr>
          <w:p w14:paraId="349D878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restart"/>
            <w:tcBorders>
              <w:tl2br w:val="nil"/>
              <w:tr2bl w:val="nil"/>
            </w:tcBorders>
            <w:vAlign w:val="center"/>
          </w:tcPr>
          <w:p w14:paraId="5BE3B8CB">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24AC498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造成3人以下死亡，或者10人以下重伤，或者1000万元以下直接经济损失。</w:t>
            </w:r>
          </w:p>
        </w:tc>
        <w:tc>
          <w:tcPr>
            <w:tcW w:w="3375" w:type="dxa"/>
            <w:tcBorders>
              <w:tl2br w:val="nil"/>
              <w:tr2bl w:val="nil"/>
            </w:tcBorders>
            <w:vAlign w:val="center"/>
          </w:tcPr>
          <w:p w14:paraId="7F36F4C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责令停业整顿30-60日；处25万元以上30万元以下的罚款。</w:t>
            </w:r>
          </w:p>
        </w:tc>
      </w:tr>
      <w:tr w14:paraId="20CF68D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jc w:val="center"/>
        </w:trPr>
        <w:tc>
          <w:tcPr>
            <w:tcW w:w="533" w:type="dxa"/>
            <w:gridSpan w:val="2"/>
            <w:vMerge w:val="continue"/>
            <w:tcBorders>
              <w:tl2br w:val="nil"/>
              <w:tr2bl w:val="nil"/>
            </w:tcBorders>
            <w:vAlign w:val="center"/>
          </w:tcPr>
          <w:p w14:paraId="3021ADB3">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4443617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0D69B40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tcPr>
          <w:p w14:paraId="631F942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11BF1B0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18B97D7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造成3人以上5人以下死亡；或者10人以上20人以下重伤；或者1000万元以上2000万元以下直接经济损失的。</w:t>
            </w:r>
          </w:p>
        </w:tc>
        <w:tc>
          <w:tcPr>
            <w:tcW w:w="3375" w:type="dxa"/>
            <w:tcBorders>
              <w:tl2br w:val="nil"/>
              <w:tr2bl w:val="nil"/>
            </w:tcBorders>
            <w:vAlign w:val="center"/>
          </w:tcPr>
          <w:p w14:paraId="15DB0F5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w:t>
            </w:r>
            <w:r>
              <w:rPr>
                <w:rFonts w:hint="eastAsia" w:ascii="仿宋_GB2312" w:hAnsi="宋体" w:eastAsia="仿宋_GB2312"/>
                <w:color w:val="000000" w:themeColor="text1"/>
                <w:kern w:val="0"/>
                <w:szCs w:val="21"/>
                <w:lang w:val="en-US" w:eastAsia="zh-CN"/>
                <w14:textFill>
                  <w14:solidFill>
                    <w14:schemeClr w14:val="tx1"/>
                  </w14:solidFill>
                </w14:textFill>
              </w:rPr>
              <w:t>60</w:t>
            </w:r>
            <w:r>
              <w:rPr>
                <w:rFonts w:hint="eastAsia" w:ascii="仿宋_GB2312" w:hAnsi="宋体" w:eastAsia="仿宋_GB2312"/>
                <w:color w:val="000000" w:themeColor="text1"/>
                <w:kern w:val="0"/>
                <w:szCs w:val="21"/>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90</w:t>
            </w:r>
            <w:r>
              <w:rPr>
                <w:rFonts w:hint="eastAsia" w:ascii="仿宋_GB2312" w:hAnsi="宋体" w:eastAsia="仿宋_GB2312"/>
                <w:color w:val="000000" w:themeColor="text1"/>
                <w:kern w:val="0"/>
                <w:szCs w:val="21"/>
                <w14:textFill>
                  <w14:solidFill>
                    <w14:schemeClr w14:val="tx1"/>
                  </w14:solidFill>
                </w14:textFill>
              </w:rPr>
              <w:t>日；处30万元的罚款。</w:t>
            </w:r>
          </w:p>
        </w:tc>
      </w:tr>
      <w:tr w14:paraId="1469472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533" w:type="dxa"/>
            <w:gridSpan w:val="2"/>
            <w:vMerge w:val="continue"/>
            <w:tcBorders>
              <w:tl2br w:val="nil"/>
              <w:tr2bl w:val="nil"/>
            </w:tcBorders>
            <w:vAlign w:val="center"/>
          </w:tcPr>
          <w:p w14:paraId="22D8EEEB">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61910AD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72677EC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tcPr>
          <w:p w14:paraId="033CFC5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2AD341C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49C291A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造成5人以上7人以下死亡；或者20人以上30人以下重伤；或者2000万元以上3000万元以下直接经济损失的。</w:t>
            </w:r>
          </w:p>
        </w:tc>
        <w:tc>
          <w:tcPr>
            <w:tcW w:w="3375" w:type="dxa"/>
            <w:tcBorders>
              <w:tl2br w:val="nil"/>
              <w:tr2bl w:val="nil"/>
            </w:tcBorders>
            <w:vAlign w:val="center"/>
          </w:tcPr>
          <w:p w14:paraId="4CB1C16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w:t>
            </w:r>
            <w:r>
              <w:rPr>
                <w:rFonts w:hint="eastAsia" w:ascii="仿宋_GB2312" w:hAnsi="宋体" w:eastAsia="仿宋_GB2312"/>
                <w:color w:val="000000" w:themeColor="text1"/>
                <w:kern w:val="0"/>
                <w:szCs w:val="21"/>
                <w:lang w:val="en-US" w:eastAsia="zh-CN"/>
                <w14:textFill>
                  <w14:solidFill>
                    <w14:schemeClr w14:val="tx1"/>
                  </w14:solidFill>
                </w14:textFill>
              </w:rPr>
              <w:t>90</w:t>
            </w:r>
            <w:r>
              <w:rPr>
                <w:rFonts w:hint="eastAsia" w:ascii="仿宋_GB2312" w:hAnsi="宋体" w:eastAsia="仿宋_GB2312"/>
                <w:color w:val="000000" w:themeColor="text1"/>
                <w:kern w:val="0"/>
                <w:szCs w:val="21"/>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120</w:t>
            </w:r>
            <w:r>
              <w:rPr>
                <w:rFonts w:hint="eastAsia" w:ascii="仿宋_GB2312" w:hAnsi="宋体" w:eastAsia="仿宋_GB2312"/>
                <w:color w:val="000000" w:themeColor="text1"/>
                <w:kern w:val="0"/>
                <w:szCs w:val="21"/>
                <w14:textFill>
                  <w14:solidFill>
                    <w14:schemeClr w14:val="tx1"/>
                  </w14:solidFill>
                </w14:textFill>
              </w:rPr>
              <w:t>日；处30万元的罚款。</w:t>
            </w:r>
          </w:p>
        </w:tc>
      </w:tr>
      <w:tr w14:paraId="63A6093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533" w:type="dxa"/>
            <w:gridSpan w:val="2"/>
            <w:vMerge w:val="continue"/>
            <w:tcBorders>
              <w:tl2br w:val="nil"/>
              <w:tr2bl w:val="nil"/>
            </w:tcBorders>
            <w:vAlign w:val="center"/>
          </w:tcPr>
          <w:p w14:paraId="57528A2F">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57D37D2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06E1867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tcPr>
          <w:p w14:paraId="293B697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682BEE3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5945E58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造成7人以上10人以下死亡；或者30人以上50人以下重伤；或者3000万元以上5000万元以下直接经济损失的。</w:t>
            </w:r>
          </w:p>
        </w:tc>
        <w:tc>
          <w:tcPr>
            <w:tcW w:w="3375" w:type="dxa"/>
            <w:tcBorders>
              <w:tl2br w:val="nil"/>
              <w:tr2bl w:val="nil"/>
            </w:tcBorders>
            <w:vAlign w:val="center"/>
          </w:tcPr>
          <w:p w14:paraId="0A9F0CB6">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w:t>
            </w:r>
            <w:r>
              <w:rPr>
                <w:rFonts w:hint="eastAsia" w:ascii="仿宋_GB2312" w:hAnsi="宋体" w:eastAsia="仿宋_GB2312"/>
                <w:color w:val="000000" w:themeColor="text1"/>
                <w:kern w:val="0"/>
                <w:szCs w:val="21"/>
                <w:lang w:val="en-US" w:eastAsia="zh-CN"/>
                <w14:textFill>
                  <w14:solidFill>
                    <w14:schemeClr w14:val="tx1"/>
                  </w14:solidFill>
                </w14:textFill>
              </w:rPr>
              <w:t>120</w:t>
            </w:r>
            <w:r>
              <w:rPr>
                <w:rFonts w:hint="eastAsia" w:ascii="仿宋_GB2312" w:hAnsi="宋体" w:eastAsia="仿宋_GB2312"/>
                <w:color w:val="000000" w:themeColor="text1"/>
                <w:kern w:val="0"/>
                <w:szCs w:val="21"/>
                <w14:textFill>
                  <w14:solidFill>
                    <w14:schemeClr w14:val="tx1"/>
                  </w14:solidFill>
                </w14:textFill>
              </w:rPr>
              <w:t>-180日；处30万元的罚款。</w:t>
            </w:r>
          </w:p>
        </w:tc>
      </w:tr>
      <w:tr w14:paraId="4FCA388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533" w:type="dxa"/>
            <w:gridSpan w:val="2"/>
            <w:vMerge w:val="continue"/>
            <w:tcBorders>
              <w:tl2br w:val="nil"/>
              <w:tr2bl w:val="nil"/>
            </w:tcBorders>
            <w:vAlign w:val="center"/>
          </w:tcPr>
          <w:p w14:paraId="050DB305">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1D4FD3F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2A4C04B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tcPr>
          <w:p w14:paraId="030CBB8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1391C26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421DE15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造成重大安全事故的</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或造成特别严重社会影响。</w:t>
            </w:r>
          </w:p>
        </w:tc>
        <w:tc>
          <w:tcPr>
            <w:tcW w:w="3375" w:type="dxa"/>
            <w:tcBorders>
              <w:tl2br w:val="nil"/>
              <w:tr2bl w:val="nil"/>
            </w:tcBorders>
            <w:vAlign w:val="center"/>
          </w:tcPr>
          <w:p w14:paraId="4E8A2BB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处30万元的罚款；降低资质等级。</w:t>
            </w:r>
          </w:p>
        </w:tc>
      </w:tr>
      <w:tr w14:paraId="4563E64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 w:hRule="atLeast"/>
          <w:jc w:val="center"/>
        </w:trPr>
        <w:tc>
          <w:tcPr>
            <w:tcW w:w="533" w:type="dxa"/>
            <w:gridSpan w:val="2"/>
            <w:vMerge w:val="continue"/>
            <w:tcBorders>
              <w:tl2br w:val="nil"/>
              <w:tr2bl w:val="nil"/>
            </w:tcBorders>
            <w:vAlign w:val="center"/>
          </w:tcPr>
          <w:p w14:paraId="3A29CA1F">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2C46FE5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42EE6FF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tcPr>
          <w:p w14:paraId="2306289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3500E58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52C1523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造成特别重大安全事故的</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或造成特别严重社会影响。</w:t>
            </w:r>
          </w:p>
        </w:tc>
        <w:tc>
          <w:tcPr>
            <w:tcW w:w="3375" w:type="dxa"/>
            <w:tcBorders>
              <w:tl2br w:val="nil"/>
              <w:tr2bl w:val="nil"/>
            </w:tcBorders>
            <w:vAlign w:val="center"/>
          </w:tcPr>
          <w:p w14:paraId="20790CCB">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处30万元的罚款；吊销资质证书。</w:t>
            </w:r>
          </w:p>
        </w:tc>
      </w:tr>
      <w:tr w14:paraId="03A4DE4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032CF7A7">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75</w:t>
            </w:r>
          </w:p>
        </w:tc>
        <w:tc>
          <w:tcPr>
            <w:tcW w:w="1376" w:type="dxa"/>
            <w:vMerge w:val="restart"/>
            <w:tcBorders>
              <w:tl2br w:val="nil"/>
              <w:tr2bl w:val="nil"/>
            </w:tcBorders>
            <w:vAlign w:val="center"/>
          </w:tcPr>
          <w:p w14:paraId="3287A01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56DB89A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54B9740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744ECB2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施工单位委托不具有相应资质的单位承担施工现场安装、拆卸施工起重机械和整体提升脚手架、模板等自升式架设设施且逾期未改正的</w:t>
            </w:r>
          </w:p>
        </w:tc>
        <w:tc>
          <w:tcPr>
            <w:tcW w:w="1128" w:type="dxa"/>
            <w:gridSpan w:val="2"/>
            <w:vMerge w:val="restart"/>
            <w:tcBorders>
              <w:tl2br w:val="nil"/>
              <w:tr2bl w:val="nil"/>
            </w:tcBorders>
            <w:vAlign w:val="center"/>
          </w:tcPr>
          <w:p w14:paraId="72B37475">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《建设工程安全生产管理条例》第十七条第一款</w:t>
            </w:r>
          </w:p>
        </w:tc>
        <w:tc>
          <w:tcPr>
            <w:tcW w:w="4354" w:type="dxa"/>
            <w:vMerge w:val="restart"/>
            <w:tcBorders>
              <w:tl2br w:val="nil"/>
              <w:tr2bl w:val="nil"/>
            </w:tcBorders>
            <w:vAlign w:val="center"/>
          </w:tcPr>
          <w:p w14:paraId="287E83B8">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620864FE">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6DE45960">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2498E200">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6CA96F4F">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w:t>
            </w:r>
          </w:p>
          <w:p w14:paraId="20B18F48">
            <w:pPr>
              <w:keepNext w:val="0"/>
              <w:keepLines w:val="0"/>
              <w:pageBreakBefore w:val="0"/>
              <w:kinsoku/>
              <w:overflowPunct/>
              <w:topLinePunct w:val="0"/>
              <w:autoSpaceDE/>
              <w:autoSpaceDN/>
              <w:bidi w:val="0"/>
              <w:adjustRightInd/>
              <w:spacing w:line="260" w:lineRule="exact"/>
              <w:ind w:firstLine="420" w:firstLineChars="2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第六十五条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三</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14:paraId="7FA55969">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(三)委托不具有相应资质的单位承担施工现场安装、拆卸施工起重机械和整体提升脚手架、模板等自升式架设设施的；</w:t>
            </w:r>
          </w:p>
        </w:tc>
        <w:tc>
          <w:tcPr>
            <w:tcW w:w="912" w:type="dxa"/>
            <w:tcBorders>
              <w:tl2br w:val="nil"/>
              <w:tr2bl w:val="nil"/>
            </w:tcBorders>
            <w:vAlign w:val="center"/>
          </w:tcPr>
          <w:p w14:paraId="350223F4">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41B7468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未造成后果或后果轻微的。</w:t>
            </w:r>
          </w:p>
        </w:tc>
        <w:tc>
          <w:tcPr>
            <w:tcW w:w="3375" w:type="dxa"/>
            <w:tcBorders>
              <w:tl2br w:val="nil"/>
              <w:tr2bl w:val="nil"/>
            </w:tcBorders>
            <w:vAlign w:val="center"/>
          </w:tcPr>
          <w:p w14:paraId="147FCB7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责令停业整顿，直至改正违法行为；处10万元以上12万元以下的罚款。</w:t>
            </w:r>
          </w:p>
        </w:tc>
      </w:tr>
      <w:tr w14:paraId="69A3517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215329B7">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20CA643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0F02940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tcPr>
          <w:p w14:paraId="2DC9CCC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5AB1BA4A">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32F8E9C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造成危害后果但尚未造成安全生产事故的。</w:t>
            </w:r>
          </w:p>
        </w:tc>
        <w:tc>
          <w:tcPr>
            <w:tcW w:w="3375" w:type="dxa"/>
            <w:tcBorders>
              <w:tl2br w:val="nil"/>
              <w:tr2bl w:val="nil"/>
            </w:tcBorders>
            <w:vAlign w:val="center"/>
          </w:tcPr>
          <w:p w14:paraId="28233C0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责令停业整顿，直至改正违法行为；处12万元以上25万元以下的罚款。</w:t>
            </w:r>
          </w:p>
        </w:tc>
      </w:tr>
      <w:tr w14:paraId="0F0D5C7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jc w:val="center"/>
        </w:trPr>
        <w:tc>
          <w:tcPr>
            <w:tcW w:w="533" w:type="dxa"/>
            <w:gridSpan w:val="2"/>
            <w:vMerge w:val="continue"/>
            <w:tcBorders>
              <w:tl2br w:val="nil"/>
              <w:tr2bl w:val="nil"/>
            </w:tcBorders>
            <w:vAlign w:val="center"/>
          </w:tcPr>
          <w:p w14:paraId="5C06ABF8">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6C42A77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513F304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tcPr>
          <w:p w14:paraId="6E23784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restart"/>
            <w:tcBorders>
              <w:tl2br w:val="nil"/>
              <w:tr2bl w:val="nil"/>
            </w:tcBorders>
            <w:vAlign w:val="center"/>
          </w:tcPr>
          <w:p w14:paraId="24AF9FF4">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10E0421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造成3人以下死亡，或者10人以下重伤，或者1000万元以下直接经济损失。</w:t>
            </w:r>
          </w:p>
        </w:tc>
        <w:tc>
          <w:tcPr>
            <w:tcW w:w="3375" w:type="dxa"/>
            <w:tcBorders>
              <w:tl2br w:val="nil"/>
              <w:tr2bl w:val="nil"/>
            </w:tcBorders>
            <w:vAlign w:val="center"/>
          </w:tcPr>
          <w:p w14:paraId="4A072A5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责令停业整顿30-60日；处25万元以上30万元以下的罚款。</w:t>
            </w:r>
          </w:p>
        </w:tc>
      </w:tr>
      <w:tr w14:paraId="6C8DF3F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8" w:hRule="atLeast"/>
          <w:jc w:val="center"/>
        </w:trPr>
        <w:tc>
          <w:tcPr>
            <w:tcW w:w="533" w:type="dxa"/>
            <w:gridSpan w:val="2"/>
            <w:vMerge w:val="continue"/>
            <w:tcBorders>
              <w:tl2br w:val="nil"/>
              <w:tr2bl w:val="nil"/>
            </w:tcBorders>
            <w:vAlign w:val="center"/>
          </w:tcPr>
          <w:p w14:paraId="559C4D6D">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6BC149E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5509083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tcPr>
          <w:p w14:paraId="62AC12C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3FF0E23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52B3AA7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造成3人以上5人以下死亡；或者10人以上20人以下重伤；或者1000万元以上2000万元以下直接经济损失的。</w:t>
            </w:r>
          </w:p>
        </w:tc>
        <w:tc>
          <w:tcPr>
            <w:tcW w:w="3375" w:type="dxa"/>
            <w:tcBorders>
              <w:tl2br w:val="nil"/>
              <w:tr2bl w:val="nil"/>
            </w:tcBorders>
            <w:vAlign w:val="center"/>
          </w:tcPr>
          <w:p w14:paraId="0597040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w:t>
            </w:r>
            <w:r>
              <w:rPr>
                <w:rFonts w:hint="eastAsia" w:ascii="仿宋_GB2312" w:hAnsi="宋体" w:eastAsia="仿宋_GB2312"/>
                <w:color w:val="000000" w:themeColor="text1"/>
                <w:kern w:val="0"/>
                <w:szCs w:val="21"/>
                <w:lang w:val="en-US" w:eastAsia="zh-CN"/>
                <w14:textFill>
                  <w14:solidFill>
                    <w14:schemeClr w14:val="tx1"/>
                  </w14:solidFill>
                </w14:textFill>
              </w:rPr>
              <w:t>60</w:t>
            </w:r>
            <w:r>
              <w:rPr>
                <w:rFonts w:hint="eastAsia" w:ascii="仿宋_GB2312" w:hAnsi="宋体" w:eastAsia="仿宋_GB2312"/>
                <w:color w:val="000000" w:themeColor="text1"/>
                <w:kern w:val="0"/>
                <w:szCs w:val="21"/>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90</w:t>
            </w:r>
            <w:r>
              <w:rPr>
                <w:rFonts w:hint="eastAsia" w:ascii="仿宋_GB2312" w:hAnsi="宋体" w:eastAsia="仿宋_GB2312"/>
                <w:color w:val="000000" w:themeColor="text1"/>
                <w:kern w:val="0"/>
                <w:szCs w:val="21"/>
                <w14:textFill>
                  <w14:solidFill>
                    <w14:schemeClr w14:val="tx1"/>
                  </w14:solidFill>
                </w14:textFill>
              </w:rPr>
              <w:t>日；处30万元的罚款。</w:t>
            </w:r>
          </w:p>
        </w:tc>
      </w:tr>
      <w:tr w14:paraId="421A884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4" w:hRule="atLeast"/>
          <w:jc w:val="center"/>
        </w:trPr>
        <w:tc>
          <w:tcPr>
            <w:tcW w:w="533" w:type="dxa"/>
            <w:gridSpan w:val="2"/>
            <w:vMerge w:val="continue"/>
            <w:tcBorders>
              <w:tl2br w:val="nil"/>
              <w:tr2bl w:val="nil"/>
            </w:tcBorders>
            <w:vAlign w:val="center"/>
          </w:tcPr>
          <w:p w14:paraId="5E8F8BDB">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360893E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70655E1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tcPr>
          <w:p w14:paraId="354D4CB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25654C8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490E6E8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造成5人以上7人以下死亡；或者20人以上30人以下重伤；或者2000万元以上3000万元以下直接经济损失的。</w:t>
            </w:r>
          </w:p>
        </w:tc>
        <w:tc>
          <w:tcPr>
            <w:tcW w:w="3375" w:type="dxa"/>
            <w:tcBorders>
              <w:tl2br w:val="nil"/>
              <w:tr2bl w:val="nil"/>
            </w:tcBorders>
            <w:vAlign w:val="center"/>
          </w:tcPr>
          <w:p w14:paraId="75C7DC8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w:t>
            </w:r>
            <w:r>
              <w:rPr>
                <w:rFonts w:hint="eastAsia" w:ascii="仿宋_GB2312" w:hAnsi="宋体" w:eastAsia="仿宋_GB2312"/>
                <w:color w:val="000000" w:themeColor="text1"/>
                <w:kern w:val="0"/>
                <w:szCs w:val="21"/>
                <w:lang w:val="en-US" w:eastAsia="zh-CN"/>
                <w14:textFill>
                  <w14:solidFill>
                    <w14:schemeClr w14:val="tx1"/>
                  </w14:solidFill>
                </w14:textFill>
              </w:rPr>
              <w:t>90</w:t>
            </w:r>
            <w:r>
              <w:rPr>
                <w:rFonts w:hint="eastAsia" w:ascii="仿宋_GB2312" w:hAnsi="宋体" w:eastAsia="仿宋_GB2312"/>
                <w:color w:val="000000" w:themeColor="text1"/>
                <w:kern w:val="0"/>
                <w:szCs w:val="21"/>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120</w:t>
            </w:r>
            <w:r>
              <w:rPr>
                <w:rFonts w:hint="eastAsia" w:ascii="仿宋_GB2312" w:hAnsi="宋体" w:eastAsia="仿宋_GB2312"/>
                <w:color w:val="000000" w:themeColor="text1"/>
                <w:kern w:val="0"/>
                <w:szCs w:val="21"/>
                <w14:textFill>
                  <w14:solidFill>
                    <w14:schemeClr w14:val="tx1"/>
                  </w14:solidFill>
                </w14:textFill>
              </w:rPr>
              <w:t>日；处30万元的罚款。</w:t>
            </w:r>
          </w:p>
        </w:tc>
      </w:tr>
      <w:tr w14:paraId="13021B5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jc w:val="center"/>
        </w:trPr>
        <w:tc>
          <w:tcPr>
            <w:tcW w:w="533" w:type="dxa"/>
            <w:gridSpan w:val="2"/>
            <w:vMerge w:val="continue"/>
            <w:tcBorders>
              <w:tl2br w:val="nil"/>
              <w:tr2bl w:val="nil"/>
            </w:tcBorders>
            <w:vAlign w:val="center"/>
          </w:tcPr>
          <w:p w14:paraId="2BD376C6">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09B55BA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1C73A6F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tcPr>
          <w:p w14:paraId="17714DD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5280BBB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4271E3D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造成7人以上10人以下死亡；或者30人以上50人以下重伤；或者3000万元以上5000万元以下直接经济损失的。</w:t>
            </w:r>
          </w:p>
        </w:tc>
        <w:tc>
          <w:tcPr>
            <w:tcW w:w="3375" w:type="dxa"/>
            <w:tcBorders>
              <w:tl2br w:val="nil"/>
              <w:tr2bl w:val="nil"/>
            </w:tcBorders>
            <w:vAlign w:val="center"/>
          </w:tcPr>
          <w:p w14:paraId="7BFE7940">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w:t>
            </w:r>
            <w:r>
              <w:rPr>
                <w:rFonts w:hint="eastAsia" w:ascii="仿宋_GB2312" w:hAnsi="宋体" w:eastAsia="仿宋_GB2312"/>
                <w:color w:val="000000" w:themeColor="text1"/>
                <w:kern w:val="0"/>
                <w:szCs w:val="21"/>
                <w:lang w:val="en-US" w:eastAsia="zh-CN"/>
                <w14:textFill>
                  <w14:solidFill>
                    <w14:schemeClr w14:val="tx1"/>
                  </w14:solidFill>
                </w14:textFill>
              </w:rPr>
              <w:t>120</w:t>
            </w:r>
            <w:r>
              <w:rPr>
                <w:rFonts w:hint="eastAsia" w:ascii="仿宋_GB2312" w:hAnsi="宋体" w:eastAsia="仿宋_GB2312"/>
                <w:color w:val="000000" w:themeColor="text1"/>
                <w:kern w:val="0"/>
                <w:szCs w:val="21"/>
                <w14:textFill>
                  <w14:solidFill>
                    <w14:schemeClr w14:val="tx1"/>
                  </w14:solidFill>
                </w14:textFill>
              </w:rPr>
              <w:t>-180日；处30万元的罚款。</w:t>
            </w:r>
          </w:p>
        </w:tc>
      </w:tr>
      <w:tr w14:paraId="6C3B439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9" w:hRule="atLeast"/>
          <w:jc w:val="center"/>
        </w:trPr>
        <w:tc>
          <w:tcPr>
            <w:tcW w:w="533" w:type="dxa"/>
            <w:gridSpan w:val="2"/>
            <w:vMerge w:val="continue"/>
            <w:tcBorders>
              <w:tl2br w:val="nil"/>
              <w:tr2bl w:val="nil"/>
            </w:tcBorders>
            <w:vAlign w:val="center"/>
          </w:tcPr>
          <w:p w14:paraId="020D8B6F">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28CBC51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00C54DF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tcPr>
          <w:p w14:paraId="1DB4C51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4CA2126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5C351A3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造成重大安全事故的</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或造成特别严重社会影响。</w:t>
            </w:r>
          </w:p>
        </w:tc>
        <w:tc>
          <w:tcPr>
            <w:tcW w:w="3375" w:type="dxa"/>
            <w:tcBorders>
              <w:tl2br w:val="nil"/>
              <w:tr2bl w:val="nil"/>
            </w:tcBorders>
            <w:vAlign w:val="center"/>
          </w:tcPr>
          <w:p w14:paraId="3A4948D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处30万元的罚款；降低资质等级。</w:t>
            </w:r>
          </w:p>
        </w:tc>
      </w:tr>
      <w:tr w14:paraId="45ED067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2" w:hRule="atLeast"/>
          <w:jc w:val="center"/>
        </w:trPr>
        <w:tc>
          <w:tcPr>
            <w:tcW w:w="533" w:type="dxa"/>
            <w:gridSpan w:val="2"/>
            <w:vMerge w:val="continue"/>
            <w:tcBorders>
              <w:tl2br w:val="nil"/>
              <w:tr2bl w:val="nil"/>
            </w:tcBorders>
            <w:vAlign w:val="center"/>
          </w:tcPr>
          <w:p w14:paraId="09697CC8">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6A61892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20FBFAF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tcPr>
          <w:p w14:paraId="3CD1090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7ED9A4F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315CCD3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造成特别重大安全事故的</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或造成特别严重社会影响。</w:t>
            </w:r>
          </w:p>
        </w:tc>
        <w:tc>
          <w:tcPr>
            <w:tcW w:w="3375" w:type="dxa"/>
            <w:tcBorders>
              <w:tl2br w:val="nil"/>
              <w:tr2bl w:val="nil"/>
            </w:tcBorders>
            <w:vAlign w:val="center"/>
          </w:tcPr>
          <w:p w14:paraId="687DA0D8">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处30万元的罚款；吊销资质证书。</w:t>
            </w:r>
          </w:p>
        </w:tc>
      </w:tr>
      <w:tr w14:paraId="68C3349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53ACE762">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kern w:val="0"/>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76</w:t>
            </w:r>
          </w:p>
        </w:tc>
        <w:tc>
          <w:tcPr>
            <w:tcW w:w="1376" w:type="dxa"/>
            <w:vMerge w:val="restart"/>
            <w:tcBorders>
              <w:tl2br w:val="nil"/>
              <w:tr2bl w:val="nil"/>
            </w:tcBorders>
            <w:vAlign w:val="center"/>
          </w:tcPr>
          <w:p w14:paraId="64AC5DC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4C036BD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400CC8BC">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0592A3A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施工单位在施工组织设计中未编制安全技术措施、施工现场临时用电方案或者专项施工方案且逾期未改正的</w:t>
            </w:r>
          </w:p>
        </w:tc>
        <w:tc>
          <w:tcPr>
            <w:tcW w:w="1128" w:type="dxa"/>
            <w:gridSpan w:val="2"/>
            <w:vMerge w:val="restart"/>
            <w:tcBorders>
              <w:tl2br w:val="nil"/>
              <w:tr2bl w:val="nil"/>
            </w:tcBorders>
            <w:vAlign w:val="center"/>
          </w:tcPr>
          <w:p w14:paraId="3538B31A">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325338FB">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38C38E50">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4DA18DB5">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《建设工程安全生产管理条例》第二十六条/《危险性较大的分部分项工程安全管理规定》第十条</w:t>
            </w:r>
          </w:p>
        </w:tc>
        <w:tc>
          <w:tcPr>
            <w:tcW w:w="4354" w:type="dxa"/>
            <w:vMerge w:val="restart"/>
            <w:tcBorders>
              <w:tl2br w:val="nil"/>
              <w:tr2bl w:val="nil"/>
            </w:tcBorders>
            <w:vAlign w:val="center"/>
          </w:tcPr>
          <w:p w14:paraId="348A616A">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6E958B19">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511504BD">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0B795536">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w:t>
            </w:r>
          </w:p>
          <w:p w14:paraId="26B3C9D6">
            <w:pPr>
              <w:keepNext w:val="0"/>
              <w:keepLines w:val="0"/>
              <w:pageBreakBefore w:val="0"/>
              <w:kinsoku/>
              <w:overflowPunct/>
              <w:topLinePunct w:val="0"/>
              <w:autoSpaceDE/>
              <w:autoSpaceDN/>
              <w:bidi w:val="0"/>
              <w:adjustRightInd/>
              <w:spacing w:line="260" w:lineRule="exact"/>
              <w:ind w:firstLine="420" w:firstLineChars="2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第六十五条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四</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14:paraId="5C652EAC">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(四)在施工组织设计中未编制安全技术措施、施工现场临时用电方案或者专项施工方案的。</w:t>
            </w:r>
          </w:p>
          <w:p w14:paraId="21D9761C">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16BC8B5B">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《危险性较大的分部分项工程安全管理规定》</w:t>
            </w:r>
          </w:p>
          <w:p w14:paraId="6C3DF759">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第三十二条</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施工单位未按照本规定编制并审核危大工程专项施工方案的，依照《建设工程安全生产管理条例》对单位进行处罚，并暂扣安全生产许可证30日；对直接负责的主管人员和其他直接责任人员处1000元以上5000元以下的罚款。</w:t>
            </w:r>
          </w:p>
          <w:p w14:paraId="14E151F5">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590B2F90">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5113339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375" w:type="dxa"/>
            <w:tcBorders>
              <w:tl2br w:val="nil"/>
              <w:tr2bl w:val="nil"/>
            </w:tcBorders>
            <w:vAlign w:val="center"/>
          </w:tcPr>
          <w:p w14:paraId="0E0D045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责令停业整顿，直至改正违法行为；处10万元以上12万元以下的罚款，对直接负责的主管人员和其他直接责任人员处1千元以上2千元以下的罚款。</w:t>
            </w:r>
          </w:p>
        </w:tc>
      </w:tr>
      <w:tr w14:paraId="66F1E08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3FA823F4">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759B433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57E2A8C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0EDFFA8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0AC25D1D">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4DDB117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2807B31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责令停业整顿，直至改正违法行为；处10万元以上12万元以下的罚款；暂扣安全生产许可证30日；对直接负责的主管人员和其他直接责任人员处1千元以上2千元以下的罚款。</w:t>
            </w:r>
          </w:p>
        </w:tc>
      </w:tr>
      <w:tr w14:paraId="530D465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atLeast"/>
          <w:jc w:val="center"/>
        </w:trPr>
        <w:tc>
          <w:tcPr>
            <w:tcW w:w="533" w:type="dxa"/>
            <w:gridSpan w:val="2"/>
            <w:vMerge w:val="continue"/>
            <w:tcBorders>
              <w:tl2br w:val="nil"/>
              <w:tr2bl w:val="nil"/>
            </w:tcBorders>
            <w:vAlign w:val="center"/>
          </w:tcPr>
          <w:p w14:paraId="67412E46">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5F87EC5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703C04E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tcPr>
          <w:p w14:paraId="43FB34E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restart"/>
            <w:tcBorders>
              <w:tl2br w:val="nil"/>
              <w:tr2bl w:val="nil"/>
            </w:tcBorders>
            <w:vAlign w:val="center"/>
          </w:tcPr>
          <w:p w14:paraId="7C737D8A">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311BC33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涉及超过规定规模的危险性较大分部分项工程。</w:t>
            </w:r>
          </w:p>
        </w:tc>
        <w:tc>
          <w:tcPr>
            <w:tcW w:w="3375" w:type="dxa"/>
            <w:tcBorders>
              <w:tl2br w:val="nil"/>
              <w:tr2bl w:val="nil"/>
            </w:tcBorders>
            <w:vAlign w:val="center"/>
          </w:tcPr>
          <w:p w14:paraId="2B0F0DB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责令停业整顿，直至改正违法行为；处12万元以上25万元以下的罚款；暂扣安全生产许可证30日；对直接负责的主管人员和其他直接责任人员处2千元以上3千元以下的罚款。</w:t>
            </w:r>
          </w:p>
        </w:tc>
      </w:tr>
      <w:tr w14:paraId="1C25251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atLeast"/>
          <w:jc w:val="center"/>
        </w:trPr>
        <w:tc>
          <w:tcPr>
            <w:tcW w:w="533" w:type="dxa"/>
            <w:gridSpan w:val="2"/>
            <w:vMerge w:val="continue"/>
            <w:tcBorders>
              <w:tl2br w:val="nil"/>
              <w:tr2bl w:val="nil"/>
            </w:tcBorders>
            <w:vAlign w:val="center"/>
          </w:tcPr>
          <w:p w14:paraId="37FF7B2D">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179D4E5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2F45C8D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tcPr>
          <w:p w14:paraId="3A49FAA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1973249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17A5CBC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造成3人以下死亡，或者10人以下重伤，或者1000万元以下直接经济损失。</w:t>
            </w:r>
          </w:p>
        </w:tc>
        <w:tc>
          <w:tcPr>
            <w:tcW w:w="3375" w:type="dxa"/>
            <w:tcBorders>
              <w:tl2br w:val="nil"/>
              <w:tr2bl w:val="nil"/>
            </w:tcBorders>
            <w:vAlign w:val="center"/>
          </w:tcPr>
          <w:p w14:paraId="6D37442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责令停业整顿30-60日；处25万元以上30万元以下的罚款；暂扣安全生产许可证30日；对直接负责的主管人员和其他直接责任人员处3千元以上5千元以下的罚款。</w:t>
            </w:r>
          </w:p>
        </w:tc>
      </w:tr>
      <w:tr w14:paraId="090A724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533" w:type="dxa"/>
            <w:gridSpan w:val="2"/>
            <w:vMerge w:val="continue"/>
            <w:tcBorders>
              <w:tl2br w:val="nil"/>
              <w:tr2bl w:val="nil"/>
            </w:tcBorders>
            <w:vAlign w:val="center"/>
          </w:tcPr>
          <w:p w14:paraId="7CB849E6">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774434A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40D630F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tcPr>
          <w:p w14:paraId="456C0C4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1BCBFAD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528AFCF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06DB45D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造成3人以上5人以下死亡；或者10人以上20人以下重伤；或者1000万元以上2000万元以下直接经济损失的。</w:t>
            </w:r>
          </w:p>
        </w:tc>
        <w:tc>
          <w:tcPr>
            <w:tcW w:w="3375" w:type="dxa"/>
            <w:tcBorders>
              <w:tl2br w:val="nil"/>
              <w:tr2bl w:val="nil"/>
            </w:tcBorders>
            <w:vAlign w:val="center"/>
          </w:tcPr>
          <w:p w14:paraId="10EC761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w:t>
            </w:r>
            <w:r>
              <w:rPr>
                <w:rFonts w:hint="eastAsia" w:ascii="仿宋_GB2312" w:hAnsi="宋体" w:eastAsia="仿宋_GB2312"/>
                <w:color w:val="000000" w:themeColor="text1"/>
                <w:kern w:val="0"/>
                <w:szCs w:val="21"/>
                <w:lang w:val="en-US" w:eastAsia="zh-CN"/>
                <w14:textFill>
                  <w14:solidFill>
                    <w14:schemeClr w14:val="tx1"/>
                  </w14:solidFill>
                </w14:textFill>
              </w:rPr>
              <w:t>60</w:t>
            </w:r>
            <w:r>
              <w:rPr>
                <w:rFonts w:hint="eastAsia" w:ascii="仿宋_GB2312" w:hAnsi="宋体" w:eastAsia="仿宋_GB2312"/>
                <w:color w:val="000000" w:themeColor="text1"/>
                <w:kern w:val="0"/>
                <w:szCs w:val="21"/>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90</w:t>
            </w:r>
            <w:r>
              <w:rPr>
                <w:rFonts w:hint="eastAsia" w:ascii="仿宋_GB2312" w:hAnsi="宋体" w:eastAsia="仿宋_GB2312"/>
                <w:color w:val="000000" w:themeColor="text1"/>
                <w:kern w:val="0"/>
                <w:szCs w:val="21"/>
                <w14:textFill>
                  <w14:solidFill>
                    <w14:schemeClr w14:val="tx1"/>
                  </w14:solidFill>
                </w14:textFill>
              </w:rPr>
              <w:t>日；处30万元的罚款；暂扣安全生产许可证30日；对直接负责的主管人员和其他直接责任人员处5千元罚款。</w:t>
            </w:r>
          </w:p>
        </w:tc>
      </w:tr>
      <w:tr w14:paraId="72E505D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atLeast"/>
          <w:jc w:val="center"/>
        </w:trPr>
        <w:tc>
          <w:tcPr>
            <w:tcW w:w="533" w:type="dxa"/>
            <w:gridSpan w:val="2"/>
            <w:vMerge w:val="continue"/>
            <w:tcBorders>
              <w:tl2br w:val="nil"/>
              <w:tr2bl w:val="nil"/>
            </w:tcBorders>
            <w:vAlign w:val="center"/>
          </w:tcPr>
          <w:p w14:paraId="40CDA4EE">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5F8B5F8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2165BFF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tcPr>
          <w:p w14:paraId="4DD889F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3681A5E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624FC26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造成5人以上7人以下死亡；或者20人以上30人以下重伤；或者2000万元以上3000万元以下直接经济损失的。</w:t>
            </w:r>
          </w:p>
        </w:tc>
        <w:tc>
          <w:tcPr>
            <w:tcW w:w="3375" w:type="dxa"/>
            <w:tcBorders>
              <w:tl2br w:val="nil"/>
              <w:tr2bl w:val="nil"/>
            </w:tcBorders>
            <w:vAlign w:val="center"/>
          </w:tcPr>
          <w:p w14:paraId="790C87B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w:t>
            </w:r>
            <w:r>
              <w:rPr>
                <w:rFonts w:hint="eastAsia" w:ascii="仿宋_GB2312" w:hAnsi="宋体" w:eastAsia="仿宋_GB2312"/>
                <w:color w:val="000000" w:themeColor="text1"/>
                <w:kern w:val="0"/>
                <w:szCs w:val="21"/>
                <w:lang w:val="en-US" w:eastAsia="zh-CN"/>
                <w14:textFill>
                  <w14:solidFill>
                    <w14:schemeClr w14:val="tx1"/>
                  </w14:solidFill>
                </w14:textFill>
              </w:rPr>
              <w:t>90</w:t>
            </w:r>
            <w:r>
              <w:rPr>
                <w:rFonts w:hint="eastAsia" w:ascii="仿宋_GB2312" w:hAnsi="宋体" w:eastAsia="仿宋_GB2312"/>
                <w:color w:val="000000" w:themeColor="text1"/>
                <w:kern w:val="0"/>
                <w:szCs w:val="21"/>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120</w:t>
            </w:r>
            <w:r>
              <w:rPr>
                <w:rFonts w:hint="eastAsia" w:ascii="仿宋_GB2312" w:hAnsi="宋体" w:eastAsia="仿宋_GB2312"/>
                <w:color w:val="000000" w:themeColor="text1"/>
                <w:kern w:val="0"/>
                <w:szCs w:val="21"/>
                <w14:textFill>
                  <w14:solidFill>
                    <w14:schemeClr w14:val="tx1"/>
                  </w14:solidFill>
                </w14:textFill>
              </w:rPr>
              <w:t>日；处30万元的罚款；暂扣安全生产许可证30日；对直接负责的主管人员和其他直接责任人员处5千元罚款。</w:t>
            </w:r>
          </w:p>
        </w:tc>
      </w:tr>
      <w:tr w14:paraId="2D74A33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3" w:hRule="atLeast"/>
          <w:jc w:val="center"/>
        </w:trPr>
        <w:tc>
          <w:tcPr>
            <w:tcW w:w="533" w:type="dxa"/>
            <w:gridSpan w:val="2"/>
            <w:vMerge w:val="continue"/>
            <w:tcBorders>
              <w:tl2br w:val="nil"/>
              <w:tr2bl w:val="nil"/>
            </w:tcBorders>
            <w:vAlign w:val="center"/>
          </w:tcPr>
          <w:p w14:paraId="22D7855D">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730A1AD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2D34A56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tcPr>
          <w:p w14:paraId="3147839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3854E1E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45454F1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造成7人以上10人以下死亡；或者30人以上50人以下重伤；或者3000万元以上5000万元以下直接经济损失的。</w:t>
            </w:r>
          </w:p>
        </w:tc>
        <w:tc>
          <w:tcPr>
            <w:tcW w:w="3375" w:type="dxa"/>
            <w:tcBorders>
              <w:tl2br w:val="nil"/>
              <w:tr2bl w:val="nil"/>
            </w:tcBorders>
            <w:vAlign w:val="center"/>
          </w:tcPr>
          <w:p w14:paraId="693C52C9">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w:t>
            </w:r>
            <w:r>
              <w:rPr>
                <w:rFonts w:hint="eastAsia" w:ascii="仿宋_GB2312" w:hAnsi="宋体" w:eastAsia="仿宋_GB2312"/>
                <w:color w:val="000000" w:themeColor="text1"/>
                <w:kern w:val="0"/>
                <w:szCs w:val="21"/>
                <w:lang w:val="en-US" w:eastAsia="zh-CN"/>
                <w14:textFill>
                  <w14:solidFill>
                    <w14:schemeClr w14:val="tx1"/>
                  </w14:solidFill>
                </w14:textFill>
              </w:rPr>
              <w:t>120</w:t>
            </w:r>
            <w:r>
              <w:rPr>
                <w:rFonts w:hint="eastAsia" w:ascii="仿宋_GB2312" w:hAnsi="宋体" w:eastAsia="仿宋_GB2312"/>
                <w:color w:val="000000" w:themeColor="text1"/>
                <w:kern w:val="0"/>
                <w:szCs w:val="21"/>
                <w14:textFill>
                  <w14:solidFill>
                    <w14:schemeClr w14:val="tx1"/>
                  </w14:solidFill>
                </w14:textFill>
              </w:rPr>
              <w:t>-180日；处30万元的罚款；暂扣安全生产许可证30日；暂扣安全生产许可证30日；对直接负责的主管人员和其他直接责任人员处5千元罚款。</w:t>
            </w:r>
          </w:p>
        </w:tc>
      </w:tr>
      <w:tr w14:paraId="521ADEC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jc w:val="center"/>
        </w:trPr>
        <w:tc>
          <w:tcPr>
            <w:tcW w:w="533" w:type="dxa"/>
            <w:gridSpan w:val="2"/>
            <w:vMerge w:val="continue"/>
            <w:tcBorders>
              <w:tl2br w:val="nil"/>
              <w:tr2bl w:val="nil"/>
            </w:tcBorders>
            <w:vAlign w:val="center"/>
          </w:tcPr>
          <w:p w14:paraId="0C8D4D8B">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32AFEC2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01C31FC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tcPr>
          <w:p w14:paraId="78E130E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70A1F70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261B30C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造成重大安全事故的</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或造成特别严重社会影响。</w:t>
            </w:r>
          </w:p>
        </w:tc>
        <w:tc>
          <w:tcPr>
            <w:tcW w:w="3375" w:type="dxa"/>
            <w:tcBorders>
              <w:tl2br w:val="nil"/>
              <w:tr2bl w:val="nil"/>
            </w:tcBorders>
            <w:vAlign w:val="center"/>
          </w:tcPr>
          <w:p w14:paraId="22F3591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处30万元的罚款；降低资质等级；暂扣安全生产许可证30日；对直接负责的主管人员和其他直接责任人员处5000元罚款。</w:t>
            </w:r>
          </w:p>
        </w:tc>
      </w:tr>
      <w:tr w14:paraId="5FC0759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9" w:hRule="atLeast"/>
          <w:jc w:val="center"/>
        </w:trPr>
        <w:tc>
          <w:tcPr>
            <w:tcW w:w="533" w:type="dxa"/>
            <w:gridSpan w:val="2"/>
            <w:vMerge w:val="continue"/>
            <w:tcBorders>
              <w:tl2br w:val="nil"/>
              <w:tr2bl w:val="nil"/>
            </w:tcBorders>
            <w:vAlign w:val="center"/>
          </w:tcPr>
          <w:p w14:paraId="2CD5BC9D">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5E55D0B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376D31E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tcPr>
          <w:p w14:paraId="452610D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3B816A7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5896098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造成特别重大安全事故的</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或造成特别严重社会影响。</w:t>
            </w:r>
          </w:p>
        </w:tc>
        <w:tc>
          <w:tcPr>
            <w:tcW w:w="3375" w:type="dxa"/>
            <w:tcBorders>
              <w:tl2br w:val="nil"/>
              <w:tr2bl w:val="nil"/>
            </w:tcBorders>
            <w:vAlign w:val="center"/>
          </w:tcPr>
          <w:p w14:paraId="35CC976E">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处30万元的罚款；吊销资质证书；暂扣安全生产许可证30日；对直接负责的主管人员和其他直接责任人员处5000元罚款。</w:t>
            </w:r>
          </w:p>
        </w:tc>
      </w:tr>
      <w:tr w14:paraId="2C1C56E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3" w:hRule="atLeast"/>
          <w:jc w:val="center"/>
        </w:trPr>
        <w:tc>
          <w:tcPr>
            <w:tcW w:w="533" w:type="dxa"/>
            <w:gridSpan w:val="2"/>
            <w:vMerge w:val="restart"/>
            <w:tcBorders>
              <w:tl2br w:val="nil"/>
              <w:tr2bl w:val="nil"/>
            </w:tcBorders>
            <w:vAlign w:val="center"/>
          </w:tcPr>
          <w:p w14:paraId="194BCDE5">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kern w:val="0"/>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77</w:t>
            </w:r>
          </w:p>
        </w:tc>
        <w:tc>
          <w:tcPr>
            <w:tcW w:w="1376" w:type="dxa"/>
            <w:vMerge w:val="restart"/>
            <w:tcBorders>
              <w:tl2br w:val="nil"/>
              <w:tr2bl w:val="nil"/>
            </w:tcBorders>
            <w:vAlign w:val="center"/>
          </w:tcPr>
          <w:p w14:paraId="0579E4D3">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施工单位的主要负责人、项目负责人未履行安全生产管理职责，责令限期改正逾期未改正的</w:t>
            </w:r>
          </w:p>
        </w:tc>
        <w:tc>
          <w:tcPr>
            <w:tcW w:w="1128" w:type="dxa"/>
            <w:gridSpan w:val="2"/>
            <w:vMerge w:val="restart"/>
            <w:tcBorders>
              <w:tl2br w:val="nil"/>
              <w:tr2bl w:val="nil"/>
            </w:tcBorders>
            <w:vAlign w:val="center"/>
          </w:tcPr>
          <w:p w14:paraId="387B15C1">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《建设工程安全生产管理条例》第二十一条</w:t>
            </w:r>
          </w:p>
        </w:tc>
        <w:tc>
          <w:tcPr>
            <w:tcW w:w="4354" w:type="dxa"/>
            <w:vMerge w:val="restart"/>
            <w:tcBorders>
              <w:tl2br w:val="nil"/>
              <w:tr2bl w:val="nil"/>
            </w:tcBorders>
            <w:vAlign w:val="center"/>
          </w:tcPr>
          <w:p w14:paraId="3DDB4370">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w:t>
            </w:r>
          </w:p>
          <w:p w14:paraId="676CF274">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第六十六条第三款</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条例的规定，施工单位的主要负责人、项目负责人未履行安全生产管理职责的，责令限期改正；逾期未改正的，责令施工单位停业整顿；造成重大安全事故、重大伤亡事故或者其他严重后果，构成犯罪的，依照刑法有关规定追究刑事责任。</w:t>
            </w:r>
          </w:p>
          <w:p w14:paraId="360658AF">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作业人员不服管理、违反规章制度和操作规程冒险作业造成重大伤亡事故或者其他严重后果，构成犯罪的，依照刑法有关规定追究刑事责任。施工单位的主要负责人、项目负责人有前款违法行为，尚不够刑事处罚的，处2万元以上20万元以下的罚款或者按照管理权限给予撤职处分；自刑罚执行完毕或者受处分之日起，5年内不得担任任何施工单位的主要负责人、项目负责人。</w:t>
            </w:r>
          </w:p>
        </w:tc>
        <w:tc>
          <w:tcPr>
            <w:tcW w:w="912" w:type="dxa"/>
            <w:tcBorders>
              <w:tl2br w:val="nil"/>
              <w:tr2bl w:val="nil"/>
            </w:tcBorders>
            <w:vAlign w:val="center"/>
          </w:tcPr>
          <w:p w14:paraId="05E23AA4">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0AB4615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尚未造成危害后果。</w:t>
            </w:r>
          </w:p>
        </w:tc>
        <w:tc>
          <w:tcPr>
            <w:tcW w:w="3375" w:type="dxa"/>
            <w:tcBorders>
              <w:tl2br w:val="nil"/>
              <w:tr2bl w:val="nil"/>
            </w:tcBorders>
            <w:vAlign w:val="center"/>
          </w:tcPr>
          <w:p w14:paraId="15E16C8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责令停业整顿，直至改正违法行为；对施工单位的主要负责人、项目负责人处2万元以上6万元以下的罚款。</w:t>
            </w:r>
          </w:p>
        </w:tc>
      </w:tr>
      <w:tr w14:paraId="13B4FE1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6" w:hRule="atLeast"/>
          <w:jc w:val="center"/>
        </w:trPr>
        <w:tc>
          <w:tcPr>
            <w:tcW w:w="533" w:type="dxa"/>
            <w:gridSpan w:val="2"/>
            <w:vMerge w:val="continue"/>
            <w:tcBorders>
              <w:tl2br w:val="nil"/>
              <w:tr2bl w:val="nil"/>
            </w:tcBorders>
            <w:vAlign w:val="center"/>
          </w:tcPr>
          <w:p w14:paraId="4D516B50">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122A4EC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097A378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5B890D4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5C9FC1BA">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7B99D74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造成一般危害后果。</w:t>
            </w:r>
          </w:p>
        </w:tc>
        <w:tc>
          <w:tcPr>
            <w:tcW w:w="3375" w:type="dxa"/>
            <w:tcBorders>
              <w:tl2br w:val="nil"/>
              <w:tr2bl w:val="nil"/>
            </w:tcBorders>
            <w:vAlign w:val="center"/>
          </w:tcPr>
          <w:p w14:paraId="0FED71A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责令停业整顿，直至改正违法行为；施工单位的主要负责人、项目负责人处6万元以上15万元以下的罚款。</w:t>
            </w:r>
          </w:p>
        </w:tc>
      </w:tr>
      <w:tr w14:paraId="78AEF0D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51B03829">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74288B9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2225D28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0EC0648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70E4A57F">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p w14:paraId="08A9541C">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p w14:paraId="44D3196B">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4BAB2D3E">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造成严重危害后果。</w:t>
            </w:r>
          </w:p>
        </w:tc>
        <w:tc>
          <w:tcPr>
            <w:tcW w:w="3375" w:type="dxa"/>
            <w:tcBorders>
              <w:tl2br w:val="nil"/>
              <w:tr2bl w:val="nil"/>
            </w:tcBorders>
            <w:vAlign w:val="center"/>
          </w:tcPr>
          <w:p w14:paraId="61D522D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施工单位的主要负责人、项目负责人处15万元以上20万元以下的罚款，构成犯罪的，施工单位的主要负责人、项目负责人自刑罚执行完毕或者受处分之日起，5年内不得担任任何施工单位的主要负责人、项目负责人。</w:t>
            </w:r>
          </w:p>
        </w:tc>
      </w:tr>
      <w:tr w14:paraId="2B811A5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41261D1D">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kern w:val="0"/>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78</w:t>
            </w:r>
          </w:p>
        </w:tc>
        <w:tc>
          <w:tcPr>
            <w:tcW w:w="1376" w:type="dxa"/>
            <w:vMerge w:val="restart"/>
            <w:tcBorders>
              <w:tl2br w:val="nil"/>
              <w:tr2bl w:val="nil"/>
            </w:tcBorders>
            <w:vAlign w:val="center"/>
          </w:tcPr>
          <w:p w14:paraId="484FBE5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18FE598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施工单位取得资质证书后，降低安全生产条件且经整改仍未达到与其资质等级相适应的安全生产条件的，责令限期改正的</w:t>
            </w:r>
          </w:p>
        </w:tc>
        <w:tc>
          <w:tcPr>
            <w:tcW w:w="1128" w:type="dxa"/>
            <w:gridSpan w:val="2"/>
            <w:vMerge w:val="restart"/>
            <w:tcBorders>
              <w:tl2br w:val="nil"/>
              <w:tr2bl w:val="nil"/>
            </w:tcBorders>
            <w:vAlign w:val="center"/>
          </w:tcPr>
          <w:p w14:paraId="056F76F1">
            <w:pPr>
              <w:keepNext w:val="0"/>
              <w:keepLines w:val="0"/>
              <w:pageBreakBefore w:val="0"/>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《建设工程安全生产管理条例》第六十七条</w:t>
            </w:r>
          </w:p>
        </w:tc>
        <w:tc>
          <w:tcPr>
            <w:tcW w:w="4354" w:type="dxa"/>
            <w:vMerge w:val="restart"/>
            <w:tcBorders>
              <w:tl2br w:val="nil"/>
              <w:tr2bl w:val="nil"/>
            </w:tcBorders>
            <w:vAlign w:val="center"/>
          </w:tcPr>
          <w:p w14:paraId="20C64E57">
            <w:pPr>
              <w:keepNext w:val="0"/>
              <w:keepLines w:val="0"/>
              <w:pageBreakBefore w:val="0"/>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0271A8EE">
            <w:pPr>
              <w:keepNext w:val="0"/>
              <w:keepLines w:val="0"/>
              <w:pageBreakBefore w:val="0"/>
              <w:kinsoku/>
              <w:overflowPunct/>
              <w:topLinePunct w:val="0"/>
              <w:autoSpaceDE/>
              <w:autoSpaceDN/>
              <w:bidi w:val="0"/>
              <w:adjustRightInd/>
              <w:spacing w:line="260" w:lineRule="exact"/>
              <w:jc w:val="left"/>
              <w:textAlignment w:val="center"/>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w:t>
            </w:r>
          </w:p>
          <w:p w14:paraId="39F7EEF9">
            <w:pPr>
              <w:keepNext w:val="0"/>
              <w:keepLines w:val="0"/>
              <w:pageBreakBefore w:val="0"/>
              <w:kinsoku/>
              <w:overflowPunct/>
              <w:topLinePunct w:val="0"/>
              <w:autoSpaceDE/>
              <w:autoSpaceDN/>
              <w:bidi w:val="0"/>
              <w:adjustRightInd/>
              <w:spacing w:line="260" w:lineRule="exact"/>
              <w:ind w:firstLine="420" w:firstLineChars="2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第六十七条</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施工单位取得资质证书后，降低安全生产条件的，责令限期改正；经整改仍未达到与其资质等级相适应的安全生产条件的，责令停业整顿，降低其资质等级直至吊销资质证书。</w:t>
            </w:r>
          </w:p>
        </w:tc>
        <w:tc>
          <w:tcPr>
            <w:tcW w:w="912" w:type="dxa"/>
            <w:tcBorders>
              <w:tl2br w:val="nil"/>
              <w:tr2bl w:val="nil"/>
            </w:tcBorders>
            <w:vAlign w:val="center"/>
          </w:tcPr>
          <w:p w14:paraId="57A8DFA3">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4918554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经整改未达到与其资质等级相适应的安全生产条件，但未造成安全生产事故的。</w:t>
            </w:r>
          </w:p>
        </w:tc>
        <w:tc>
          <w:tcPr>
            <w:tcW w:w="3375" w:type="dxa"/>
            <w:tcBorders>
              <w:tl2br w:val="nil"/>
              <w:tr2bl w:val="nil"/>
            </w:tcBorders>
            <w:vAlign w:val="center"/>
          </w:tcPr>
          <w:p w14:paraId="3A28E3B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责令停业整顿，直至符合安全生产条件。</w:t>
            </w:r>
          </w:p>
        </w:tc>
      </w:tr>
      <w:tr w14:paraId="3FB4348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1AEE2945">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07A27C0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65B04BF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tcPr>
          <w:p w14:paraId="1E6330A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24A67A5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232B859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4AB7C25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责令停业整顿30-60日。</w:t>
            </w:r>
          </w:p>
        </w:tc>
      </w:tr>
      <w:tr w14:paraId="479731E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533" w:type="dxa"/>
            <w:gridSpan w:val="2"/>
            <w:vMerge w:val="continue"/>
            <w:tcBorders>
              <w:tl2br w:val="nil"/>
              <w:tr2bl w:val="nil"/>
            </w:tcBorders>
            <w:vAlign w:val="center"/>
          </w:tcPr>
          <w:p w14:paraId="456A6DBD">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0A72BA7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0EBA8D2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21675CB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restart"/>
            <w:tcBorders>
              <w:tl2br w:val="nil"/>
              <w:tr2bl w:val="nil"/>
            </w:tcBorders>
            <w:vAlign w:val="center"/>
          </w:tcPr>
          <w:p w14:paraId="68F566FA">
            <w:pPr>
              <w:keepNext w:val="0"/>
              <w:keepLines w:val="0"/>
              <w:pageBreakBefore w:val="0"/>
              <w:widowControl/>
              <w:kinsoku/>
              <w:overflowPunct/>
              <w:topLinePunct w:val="0"/>
              <w:autoSpaceDE/>
              <w:autoSpaceDN/>
              <w:bidi w:val="0"/>
              <w:adjustRightInd/>
              <w:spacing w:line="260" w:lineRule="exact"/>
              <w:jc w:val="left"/>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4B0CF7B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造成3人以上5人以下死亡；或者10人以上20人以下重伤；或者1000万元以上2000万元以下直接经济损失的。</w:t>
            </w:r>
          </w:p>
        </w:tc>
        <w:tc>
          <w:tcPr>
            <w:tcW w:w="3375" w:type="dxa"/>
            <w:tcBorders>
              <w:tl2br w:val="nil"/>
              <w:tr2bl w:val="nil"/>
            </w:tcBorders>
            <w:vAlign w:val="center"/>
          </w:tcPr>
          <w:p w14:paraId="4179C4F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w:t>
            </w:r>
            <w:r>
              <w:rPr>
                <w:rFonts w:hint="eastAsia" w:ascii="仿宋_GB2312" w:hAnsi="宋体" w:eastAsia="仿宋_GB2312"/>
                <w:color w:val="000000" w:themeColor="text1"/>
                <w:kern w:val="0"/>
                <w:szCs w:val="21"/>
                <w:lang w:val="en-US" w:eastAsia="zh-CN"/>
                <w14:textFill>
                  <w14:solidFill>
                    <w14:schemeClr w14:val="tx1"/>
                  </w14:solidFill>
                </w14:textFill>
              </w:rPr>
              <w:t>60</w:t>
            </w:r>
            <w:r>
              <w:rPr>
                <w:rFonts w:hint="eastAsia" w:ascii="仿宋_GB2312" w:hAnsi="宋体" w:eastAsia="仿宋_GB2312"/>
                <w:color w:val="000000" w:themeColor="text1"/>
                <w:kern w:val="0"/>
                <w:szCs w:val="21"/>
                <w14:textFill>
                  <w14:solidFill>
                    <w14:schemeClr w14:val="tx1"/>
                  </w14:solidFill>
                </w14:textFill>
              </w:rPr>
              <w:t>-90日。</w:t>
            </w:r>
          </w:p>
        </w:tc>
      </w:tr>
      <w:tr w14:paraId="1391590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 w:hRule="atLeast"/>
          <w:jc w:val="center"/>
        </w:trPr>
        <w:tc>
          <w:tcPr>
            <w:tcW w:w="533" w:type="dxa"/>
            <w:gridSpan w:val="2"/>
            <w:vMerge w:val="continue"/>
            <w:tcBorders>
              <w:tl2br w:val="nil"/>
              <w:tr2bl w:val="nil"/>
            </w:tcBorders>
            <w:vAlign w:val="center"/>
          </w:tcPr>
          <w:p w14:paraId="187D256E">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0B03654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09FFE81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04CC2AF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262F484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2D9EC33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造成5人以上7人以下死亡；或者20人以上30人以下重伤；或者2000万元以上3000万元以下直接经济损失的。</w:t>
            </w:r>
          </w:p>
        </w:tc>
        <w:tc>
          <w:tcPr>
            <w:tcW w:w="3375" w:type="dxa"/>
            <w:tcBorders>
              <w:tl2br w:val="nil"/>
              <w:tr2bl w:val="nil"/>
            </w:tcBorders>
            <w:vAlign w:val="center"/>
          </w:tcPr>
          <w:p w14:paraId="0D70B86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责令停业整顿90-120日。</w:t>
            </w:r>
          </w:p>
        </w:tc>
      </w:tr>
      <w:tr w14:paraId="24C8610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0" w:hRule="atLeast"/>
          <w:jc w:val="center"/>
        </w:trPr>
        <w:tc>
          <w:tcPr>
            <w:tcW w:w="533" w:type="dxa"/>
            <w:gridSpan w:val="2"/>
            <w:vMerge w:val="continue"/>
            <w:tcBorders>
              <w:tl2br w:val="nil"/>
              <w:tr2bl w:val="nil"/>
            </w:tcBorders>
            <w:vAlign w:val="center"/>
          </w:tcPr>
          <w:p w14:paraId="243DE61D">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035158B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1A97E64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418CE3F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3EF65F8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4F6A150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造成7人以上10人以下死亡；或者30人以上50人以下重伤；或者3000万元以上5000万元以下直接经济损失的。</w:t>
            </w:r>
          </w:p>
        </w:tc>
        <w:tc>
          <w:tcPr>
            <w:tcW w:w="3375" w:type="dxa"/>
            <w:tcBorders>
              <w:tl2br w:val="nil"/>
              <w:tr2bl w:val="nil"/>
            </w:tcBorders>
            <w:vAlign w:val="center"/>
          </w:tcPr>
          <w:p w14:paraId="1F2166F2">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责令停业整顿120-180日。</w:t>
            </w:r>
          </w:p>
        </w:tc>
      </w:tr>
      <w:tr w14:paraId="14A9DBF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9" w:hRule="atLeast"/>
          <w:jc w:val="center"/>
        </w:trPr>
        <w:tc>
          <w:tcPr>
            <w:tcW w:w="533" w:type="dxa"/>
            <w:gridSpan w:val="2"/>
            <w:vMerge w:val="continue"/>
            <w:tcBorders>
              <w:tl2br w:val="nil"/>
              <w:tr2bl w:val="nil"/>
            </w:tcBorders>
            <w:vAlign w:val="center"/>
          </w:tcPr>
          <w:p w14:paraId="4DD2A1F1">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1C1151D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1991FDF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46B765E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2036146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0B36C27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造成重大安全事故的</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或造成特别严重社会影响。</w:t>
            </w:r>
          </w:p>
        </w:tc>
        <w:tc>
          <w:tcPr>
            <w:tcW w:w="3375" w:type="dxa"/>
            <w:tcBorders>
              <w:tl2br w:val="nil"/>
              <w:tr2bl w:val="nil"/>
            </w:tcBorders>
            <w:vAlign w:val="center"/>
          </w:tcPr>
          <w:p w14:paraId="2F44DD0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降低资质等级。</w:t>
            </w:r>
          </w:p>
        </w:tc>
      </w:tr>
      <w:tr w14:paraId="7F61C27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 w:hRule="atLeast"/>
          <w:jc w:val="center"/>
        </w:trPr>
        <w:tc>
          <w:tcPr>
            <w:tcW w:w="533" w:type="dxa"/>
            <w:gridSpan w:val="2"/>
            <w:vMerge w:val="continue"/>
            <w:tcBorders>
              <w:tl2br w:val="nil"/>
              <w:tr2bl w:val="nil"/>
            </w:tcBorders>
            <w:vAlign w:val="center"/>
          </w:tcPr>
          <w:p w14:paraId="71EEC4C4">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00617B1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5C98FEA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5193F8F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70A9135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71E8004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造成特别重大安全事故的</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或造成特别严重社会影响。</w:t>
            </w:r>
          </w:p>
        </w:tc>
        <w:tc>
          <w:tcPr>
            <w:tcW w:w="3375" w:type="dxa"/>
            <w:tcBorders>
              <w:tl2br w:val="nil"/>
              <w:tr2bl w:val="nil"/>
            </w:tcBorders>
            <w:vAlign w:val="center"/>
          </w:tcPr>
          <w:p w14:paraId="0839A5DC">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吊销资质证书。</w:t>
            </w:r>
          </w:p>
        </w:tc>
      </w:tr>
      <w:tr w14:paraId="4F534C7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69CD68BF">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kern w:val="0"/>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79</w:t>
            </w:r>
          </w:p>
        </w:tc>
        <w:tc>
          <w:tcPr>
            <w:tcW w:w="1376" w:type="dxa"/>
            <w:vMerge w:val="restart"/>
            <w:tcBorders>
              <w:tl2br w:val="nil"/>
              <w:tr2bl w:val="nil"/>
            </w:tcBorders>
            <w:vAlign w:val="center"/>
          </w:tcPr>
          <w:p w14:paraId="094B27AB">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出租单位、自购建筑起重机械的使用单位未按照规定办理备案的</w:t>
            </w:r>
          </w:p>
        </w:tc>
        <w:tc>
          <w:tcPr>
            <w:tcW w:w="1128" w:type="dxa"/>
            <w:gridSpan w:val="2"/>
            <w:vMerge w:val="restart"/>
            <w:tcBorders>
              <w:tl2br w:val="nil"/>
              <w:tr2bl w:val="nil"/>
            </w:tcBorders>
            <w:vAlign w:val="center"/>
          </w:tcPr>
          <w:p w14:paraId="02DBE7AD">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《建筑起重机械安全监督管理规定》第二十八条</w:t>
            </w:r>
            <w:r>
              <w:rPr>
                <w:rFonts w:ascii="仿宋_GB2312" w:hAnsi="宋体" w:eastAsia="仿宋_GB2312"/>
                <w:color w:val="000000" w:themeColor="text1"/>
                <w:kern w:val="0"/>
                <w:szCs w:val="21"/>
                <w14:textFill>
                  <w14:solidFill>
                    <w14:schemeClr w14:val="tx1"/>
                  </w14:solidFill>
                </w14:textFill>
              </w:rPr>
              <w:t>第一项</w:t>
            </w:r>
          </w:p>
        </w:tc>
        <w:tc>
          <w:tcPr>
            <w:tcW w:w="4354" w:type="dxa"/>
            <w:vMerge w:val="restart"/>
            <w:tcBorders>
              <w:tl2br w:val="nil"/>
              <w:tr2bl w:val="nil"/>
            </w:tcBorders>
            <w:vAlign w:val="center"/>
          </w:tcPr>
          <w:p w14:paraId="0EF82E40">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《建筑起重机械安全监督管理规定》</w:t>
            </w:r>
          </w:p>
          <w:p w14:paraId="3CE7615B">
            <w:pPr>
              <w:keepNext w:val="0"/>
              <w:keepLines w:val="0"/>
              <w:pageBreakBefore w:val="0"/>
              <w:kinsoku/>
              <w:overflowPunct/>
              <w:topLinePunct w:val="0"/>
              <w:autoSpaceDE/>
              <w:autoSpaceDN/>
              <w:bidi w:val="0"/>
              <w:adjustRightInd/>
              <w:spacing w:line="260" w:lineRule="exact"/>
              <w:ind w:firstLine="420" w:firstLineChars="200"/>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第二十八条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r>
              <w:rPr>
                <w:rFonts w:hint="default" w:ascii="仿宋_GB2312" w:hAnsi="宋体" w:eastAsia="仿宋_GB2312"/>
                <w:color w:val="000000" w:themeColor="text1"/>
                <w:kern w:val="0"/>
                <w:szCs w:val="21"/>
                <w:lang w:val="e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违反本规定，出租单位、自购建筑起重机械的使用单位，有下列行为之一的，由县级以上地方人民政府建设主管部门责令限期改正，予以警告，并处以5000元以上1万元以下罚款：</w:t>
            </w:r>
          </w:p>
          <w:p w14:paraId="6EDA8DAE">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（一）未按照规定办理备案的；</w:t>
            </w:r>
          </w:p>
        </w:tc>
        <w:tc>
          <w:tcPr>
            <w:tcW w:w="912" w:type="dxa"/>
            <w:tcBorders>
              <w:tl2br w:val="nil"/>
              <w:tr2bl w:val="nil"/>
            </w:tcBorders>
            <w:vAlign w:val="center"/>
          </w:tcPr>
          <w:p w14:paraId="63596D6E">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2963D42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1台建筑起重机械未按照规定办理备案的。</w:t>
            </w:r>
          </w:p>
        </w:tc>
        <w:tc>
          <w:tcPr>
            <w:tcW w:w="3375" w:type="dxa"/>
            <w:tcBorders>
              <w:tl2br w:val="nil"/>
              <w:tr2bl w:val="nil"/>
            </w:tcBorders>
            <w:vAlign w:val="center"/>
          </w:tcPr>
          <w:p w14:paraId="314A959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责令限期改正，予以警告，处5000元以上6500元以下罚款。</w:t>
            </w:r>
          </w:p>
        </w:tc>
      </w:tr>
      <w:tr w14:paraId="3A339DE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7B977505">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2533A41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5691544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0E68358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3443442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30E7704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2台建筑起重机械未按照规定办理备案的。</w:t>
            </w:r>
          </w:p>
        </w:tc>
        <w:tc>
          <w:tcPr>
            <w:tcW w:w="3375" w:type="dxa"/>
            <w:tcBorders>
              <w:tl2br w:val="nil"/>
              <w:tr2bl w:val="nil"/>
            </w:tcBorders>
            <w:vAlign w:val="center"/>
          </w:tcPr>
          <w:p w14:paraId="376A6C8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责令限期改正，予以警告，处6500元以上1万元以下罚款。</w:t>
            </w:r>
          </w:p>
        </w:tc>
      </w:tr>
      <w:tr w14:paraId="5020E6D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763D4BCF">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593B525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503921D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2C160C6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30B7C7F1">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5A9B526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3台以上建筑起重机械未按照规定办理备案或造成一定后果影响的。</w:t>
            </w:r>
          </w:p>
        </w:tc>
        <w:tc>
          <w:tcPr>
            <w:tcW w:w="3375" w:type="dxa"/>
            <w:tcBorders>
              <w:tl2br w:val="nil"/>
              <w:tr2bl w:val="nil"/>
            </w:tcBorders>
            <w:vAlign w:val="center"/>
          </w:tcPr>
          <w:p w14:paraId="237E47F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责令限期改正，予以警告，处1万元罚款。</w:t>
            </w:r>
          </w:p>
        </w:tc>
      </w:tr>
      <w:tr w14:paraId="1BB0EBD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69A07227">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kern w:val="0"/>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80</w:t>
            </w:r>
          </w:p>
        </w:tc>
        <w:tc>
          <w:tcPr>
            <w:tcW w:w="1376" w:type="dxa"/>
            <w:vMerge w:val="restart"/>
            <w:tcBorders>
              <w:tl2br w:val="nil"/>
              <w:tr2bl w:val="nil"/>
            </w:tcBorders>
            <w:vAlign w:val="center"/>
          </w:tcPr>
          <w:p w14:paraId="64E93D7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出租单位、自购建筑起重机械的使用单位未按照规定办理注销手续的</w:t>
            </w:r>
          </w:p>
        </w:tc>
        <w:tc>
          <w:tcPr>
            <w:tcW w:w="1128" w:type="dxa"/>
            <w:gridSpan w:val="2"/>
            <w:vMerge w:val="restart"/>
            <w:tcBorders>
              <w:tl2br w:val="nil"/>
              <w:tr2bl w:val="nil"/>
            </w:tcBorders>
            <w:vAlign w:val="center"/>
          </w:tcPr>
          <w:p w14:paraId="0E969156">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《建筑起重机械安全监督管理规定》第二十八条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354" w:type="dxa"/>
            <w:vMerge w:val="restart"/>
            <w:tcBorders>
              <w:tl2br w:val="nil"/>
              <w:tr2bl w:val="nil"/>
            </w:tcBorders>
            <w:vAlign w:val="center"/>
          </w:tcPr>
          <w:p w14:paraId="53FEFDC1">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《建筑起重机械安全监督管理规定》</w:t>
            </w:r>
          </w:p>
          <w:p w14:paraId="60F319BA">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第二十八条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违反本规定，出租单位、自购建筑起重机械的使用单位，有下列行为之一的，由县级以上地方人民政府建设主管部门责令限期改正，予以警告，并处以5000元以上1万元以下罚款：</w:t>
            </w:r>
          </w:p>
          <w:p w14:paraId="5AAD6CFA">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（二）未按照规定办理注销手续的；</w:t>
            </w:r>
          </w:p>
        </w:tc>
        <w:tc>
          <w:tcPr>
            <w:tcW w:w="912" w:type="dxa"/>
            <w:tcBorders>
              <w:tl2br w:val="nil"/>
              <w:tr2bl w:val="nil"/>
            </w:tcBorders>
            <w:vAlign w:val="center"/>
          </w:tcPr>
          <w:p w14:paraId="32FC575C">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1471759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1台建筑起重机械未按照规定办理注销手续的。</w:t>
            </w:r>
          </w:p>
        </w:tc>
        <w:tc>
          <w:tcPr>
            <w:tcW w:w="3375" w:type="dxa"/>
            <w:tcBorders>
              <w:tl2br w:val="nil"/>
              <w:tr2bl w:val="nil"/>
            </w:tcBorders>
            <w:vAlign w:val="center"/>
          </w:tcPr>
          <w:p w14:paraId="6A13D06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责令限期改正，予以警告，处5000元以上6500元以下罚款。</w:t>
            </w:r>
          </w:p>
        </w:tc>
      </w:tr>
      <w:tr w14:paraId="250395C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78B25C4D">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1414E55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350397F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6159070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0C5909FD">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732CF23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2台建筑起重机械未按照规定办理注销手续的。</w:t>
            </w:r>
          </w:p>
        </w:tc>
        <w:tc>
          <w:tcPr>
            <w:tcW w:w="3375" w:type="dxa"/>
            <w:tcBorders>
              <w:tl2br w:val="nil"/>
              <w:tr2bl w:val="nil"/>
            </w:tcBorders>
            <w:vAlign w:val="center"/>
          </w:tcPr>
          <w:p w14:paraId="3DE0A6B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责令限期改正，予以警告，处6500元以上1万元以下罚款。</w:t>
            </w:r>
          </w:p>
        </w:tc>
      </w:tr>
      <w:tr w14:paraId="2BD43FE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2055C4B0">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0DD0F5A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206CA88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7A4C765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22A31E95">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2E8EC4F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3台以上建筑起重机械未按照规定办理注销手续或造成一定后果影响的。</w:t>
            </w:r>
          </w:p>
        </w:tc>
        <w:tc>
          <w:tcPr>
            <w:tcW w:w="3375" w:type="dxa"/>
            <w:tcBorders>
              <w:tl2br w:val="nil"/>
              <w:tr2bl w:val="nil"/>
            </w:tcBorders>
            <w:vAlign w:val="center"/>
          </w:tcPr>
          <w:p w14:paraId="1120907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责令限期改正，予以警告，处1万元罚款。</w:t>
            </w:r>
          </w:p>
        </w:tc>
      </w:tr>
      <w:tr w14:paraId="611C222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206E26B1">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kern w:val="0"/>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81</w:t>
            </w:r>
          </w:p>
        </w:tc>
        <w:tc>
          <w:tcPr>
            <w:tcW w:w="1376" w:type="dxa"/>
            <w:vMerge w:val="restart"/>
            <w:tcBorders>
              <w:tl2br w:val="nil"/>
              <w:tr2bl w:val="nil"/>
            </w:tcBorders>
            <w:vAlign w:val="center"/>
          </w:tcPr>
          <w:p w14:paraId="42F0DE9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出租单位、自购建筑起重机械的使用单位未按照规定建立建筑起重机械安全技术档案的</w:t>
            </w:r>
          </w:p>
        </w:tc>
        <w:tc>
          <w:tcPr>
            <w:tcW w:w="1128" w:type="dxa"/>
            <w:gridSpan w:val="2"/>
            <w:vMerge w:val="restart"/>
            <w:tcBorders>
              <w:tl2br w:val="nil"/>
              <w:tr2bl w:val="nil"/>
            </w:tcBorders>
            <w:vAlign w:val="center"/>
          </w:tcPr>
          <w:p w14:paraId="02B377FC">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《建筑起重机械安全监督管理规定》第九条</w:t>
            </w:r>
          </w:p>
        </w:tc>
        <w:tc>
          <w:tcPr>
            <w:tcW w:w="4354" w:type="dxa"/>
            <w:vMerge w:val="restart"/>
            <w:tcBorders>
              <w:tl2br w:val="nil"/>
              <w:tr2bl w:val="nil"/>
            </w:tcBorders>
            <w:vAlign w:val="center"/>
          </w:tcPr>
          <w:p w14:paraId="6B3E3C1B">
            <w:pPr>
              <w:keepNext w:val="0"/>
              <w:keepLines w:val="0"/>
              <w:pageBreakBefore w:val="0"/>
              <w:widowControl/>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《建筑起重机械安全监督管理规定》</w:t>
            </w:r>
          </w:p>
          <w:p w14:paraId="0952E6E9">
            <w:pPr>
              <w:keepNext w:val="0"/>
              <w:keepLines w:val="0"/>
              <w:pageBreakBefore w:val="0"/>
              <w:widowControl/>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第二十八条第（三）项</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违反本规定，出租单位、自购建筑起重机械的使用单位，有下列行为之一的，由县级以上地方人民政府建设主管部门责令限期改正，予以警告，并处以5000元以上1万元以下罚款：</w:t>
            </w:r>
          </w:p>
          <w:p w14:paraId="41F2937C">
            <w:pPr>
              <w:keepNext w:val="0"/>
              <w:keepLines w:val="0"/>
              <w:pageBreakBefore w:val="0"/>
              <w:widowControl/>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（三）未按照规定建立建筑起重机械安全技术档案的。</w:t>
            </w:r>
          </w:p>
        </w:tc>
        <w:tc>
          <w:tcPr>
            <w:tcW w:w="912" w:type="dxa"/>
            <w:tcBorders>
              <w:tl2br w:val="nil"/>
              <w:tr2bl w:val="nil"/>
            </w:tcBorders>
            <w:vAlign w:val="center"/>
          </w:tcPr>
          <w:p w14:paraId="61CD90F8">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0CA9405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单位有1台建筑起重机械未按照规定建立建筑起重机械安全技术档案的。</w:t>
            </w:r>
          </w:p>
        </w:tc>
        <w:tc>
          <w:tcPr>
            <w:tcW w:w="3375" w:type="dxa"/>
            <w:tcBorders>
              <w:tl2br w:val="nil"/>
              <w:tr2bl w:val="nil"/>
            </w:tcBorders>
            <w:vAlign w:val="center"/>
          </w:tcPr>
          <w:p w14:paraId="5B9FE82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责令限期改正，予以警告，处5000元以上6500元以下罚款。</w:t>
            </w:r>
          </w:p>
        </w:tc>
      </w:tr>
      <w:tr w14:paraId="4B82C43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476B0EEB">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711BC79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549F263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5DDB543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502676E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4D4B13B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单位有2台建筑起重机械未按照规定建立建筑起重机械安全技术档案的。</w:t>
            </w:r>
          </w:p>
        </w:tc>
        <w:tc>
          <w:tcPr>
            <w:tcW w:w="3375" w:type="dxa"/>
            <w:tcBorders>
              <w:tl2br w:val="nil"/>
              <w:tr2bl w:val="nil"/>
            </w:tcBorders>
            <w:vAlign w:val="center"/>
          </w:tcPr>
          <w:p w14:paraId="2841D2B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责令限期改正，予以警告，处6500元以上1万元以下罚款。</w:t>
            </w:r>
          </w:p>
        </w:tc>
      </w:tr>
      <w:tr w14:paraId="06D5F04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540C09B2">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6FE1456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0CAC308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5A6F963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0D2C842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3E13923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单位有3台以上建筑起重机械未按照规定建立建筑起重机械安全技术档案或造成一定后果影响的。</w:t>
            </w:r>
          </w:p>
        </w:tc>
        <w:tc>
          <w:tcPr>
            <w:tcW w:w="3375" w:type="dxa"/>
            <w:tcBorders>
              <w:tl2br w:val="nil"/>
              <w:tr2bl w:val="nil"/>
            </w:tcBorders>
            <w:vAlign w:val="center"/>
          </w:tcPr>
          <w:p w14:paraId="5F817F1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责令限期改正，予以警告，处1万元罚款。</w:t>
            </w:r>
          </w:p>
        </w:tc>
      </w:tr>
      <w:tr w14:paraId="5773A83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531AE1C5">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kern w:val="0"/>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82</w:t>
            </w:r>
          </w:p>
        </w:tc>
        <w:tc>
          <w:tcPr>
            <w:tcW w:w="1376" w:type="dxa"/>
            <w:vMerge w:val="restart"/>
            <w:tcBorders>
              <w:tl2br w:val="nil"/>
              <w:tr2bl w:val="nil"/>
            </w:tcBorders>
            <w:vAlign w:val="center"/>
          </w:tcPr>
          <w:p w14:paraId="1831701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安装单位未按照安全技术标准及安装使用说明书等检查建筑起重机械及现场施工条件的</w:t>
            </w:r>
          </w:p>
        </w:tc>
        <w:tc>
          <w:tcPr>
            <w:tcW w:w="1128" w:type="dxa"/>
            <w:gridSpan w:val="2"/>
            <w:vMerge w:val="restart"/>
            <w:tcBorders>
              <w:tl2br w:val="nil"/>
              <w:tr2bl w:val="nil"/>
            </w:tcBorders>
            <w:vAlign w:val="center"/>
          </w:tcPr>
          <w:p w14:paraId="43B6AAA5">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第十二条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354" w:type="dxa"/>
            <w:vMerge w:val="restart"/>
            <w:tcBorders>
              <w:tl2br w:val="nil"/>
              <w:tr2bl w:val="nil"/>
            </w:tcBorders>
            <w:vAlign w:val="center"/>
          </w:tcPr>
          <w:p w14:paraId="32B016DC">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p>
          <w:p w14:paraId="29E0F3BF">
            <w:pPr>
              <w:keepNext w:val="0"/>
              <w:keepLines w:val="0"/>
              <w:pageBreakBefore w:val="0"/>
              <w:widowControl/>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第二十九条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违反本规定，安装单位有下列行为之一的，由县级以上地方人民政府建设主管部门责令限期改正，予以警告，并处以5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126CED69">
            <w:pPr>
              <w:keepNext w:val="0"/>
              <w:keepLines w:val="0"/>
              <w:pageBreakBefore w:val="0"/>
              <w:widowControl/>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（一）未履行第十二条第（二）、（四）、（五）项安全职责的；</w:t>
            </w:r>
          </w:p>
          <w:p w14:paraId="3B596E48">
            <w:pPr>
              <w:keepNext w:val="0"/>
              <w:keepLines w:val="0"/>
              <w:pageBreakBefore w:val="0"/>
              <w:widowControl/>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第十二条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r>
              <w:rPr>
                <w:rFonts w:hint="eastAsia" w:ascii="仿宋_GB2312" w:hAnsi="宋体" w:eastAsia="仿宋_GB2312"/>
                <w:color w:val="000000" w:themeColor="text1"/>
                <w:kern w:val="0"/>
                <w:szCs w:val="21"/>
                <w14:textFill>
                  <w14:solidFill>
                    <w14:schemeClr w14:val="tx1"/>
                  </w14:solidFill>
                </w14:textFill>
              </w:rPr>
              <w:t>　安装单位应当履行下列安全职责：</w:t>
            </w:r>
          </w:p>
          <w:p w14:paraId="04149C7E">
            <w:pPr>
              <w:keepNext w:val="0"/>
              <w:keepLines w:val="0"/>
              <w:pageBreakBefore w:val="0"/>
              <w:widowControl/>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（二）按照安全技术标准及安装使用说明书等检查建筑起重机械及现场施工条件；</w:t>
            </w:r>
          </w:p>
        </w:tc>
        <w:tc>
          <w:tcPr>
            <w:tcW w:w="912" w:type="dxa"/>
            <w:tcBorders>
              <w:tl2br w:val="nil"/>
              <w:tr2bl w:val="nil"/>
            </w:tcBorders>
            <w:vAlign w:val="center"/>
          </w:tcPr>
          <w:p w14:paraId="6E1E4B67">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7F4D7E9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安装单位有1台建筑起重机械及现场施工条件未按照安全技术标准及安装使用说明书等检查的。</w:t>
            </w:r>
          </w:p>
        </w:tc>
        <w:tc>
          <w:tcPr>
            <w:tcW w:w="3375" w:type="dxa"/>
            <w:tcBorders>
              <w:tl2br w:val="nil"/>
              <w:tr2bl w:val="nil"/>
            </w:tcBorders>
            <w:vAlign w:val="center"/>
          </w:tcPr>
          <w:p w14:paraId="0C4065C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责令限期改正，予以警告，处5000元以上1万元以下的罚款。</w:t>
            </w:r>
          </w:p>
        </w:tc>
      </w:tr>
      <w:tr w14:paraId="23B6AB0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0" w:hRule="atLeast"/>
          <w:jc w:val="center"/>
        </w:trPr>
        <w:tc>
          <w:tcPr>
            <w:tcW w:w="533" w:type="dxa"/>
            <w:gridSpan w:val="2"/>
            <w:vMerge w:val="continue"/>
            <w:tcBorders>
              <w:tl2br w:val="nil"/>
              <w:tr2bl w:val="nil"/>
            </w:tcBorders>
            <w:vAlign w:val="center"/>
          </w:tcPr>
          <w:p w14:paraId="3C8D2263">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6A9A594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632E8E5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6BC60E1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36BFE614">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7E5C2DA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安装单位有2台建筑起重机械及现场施工条件未按照安全技术标准及安装使用说明书等检查的。</w:t>
            </w:r>
          </w:p>
        </w:tc>
        <w:tc>
          <w:tcPr>
            <w:tcW w:w="3375" w:type="dxa"/>
            <w:tcBorders>
              <w:tl2br w:val="nil"/>
              <w:tr2bl w:val="nil"/>
            </w:tcBorders>
            <w:vAlign w:val="center"/>
          </w:tcPr>
          <w:p w14:paraId="3FAE95E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7A84132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63478E5E">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792B603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58E2563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3392AE8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14F8622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354FA86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安装单位有3台以上建筑起重机械及现场施工条件未按照安全技术标准及安装使用说明书等检查或造成一定后果影响的。</w:t>
            </w:r>
          </w:p>
        </w:tc>
        <w:tc>
          <w:tcPr>
            <w:tcW w:w="3375" w:type="dxa"/>
            <w:tcBorders>
              <w:tl2br w:val="nil"/>
              <w:tr2bl w:val="nil"/>
            </w:tcBorders>
            <w:vAlign w:val="center"/>
          </w:tcPr>
          <w:p w14:paraId="17427AA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1816B2C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1836CE1C">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kern w:val="0"/>
                <w:szCs w:val="21"/>
                <w:lang w:val="en-US" w:eastAsia="zh-CN"/>
                <w14:textFill>
                  <w14:solidFill>
                    <w14:schemeClr w14:val="tx1"/>
                  </w14:solidFill>
                </w14:textFill>
              </w:rPr>
            </w:pPr>
            <w:r>
              <w:rPr>
                <w:rFonts w:hint="eastAsia" w:ascii="仿宋_GB2312" w:hAnsi="宋体" w:eastAsia="仿宋_GB2312" w:cs="Times New Roman"/>
                <w:color w:val="000000" w:themeColor="text1"/>
                <w:kern w:val="0"/>
                <w:szCs w:val="21"/>
                <w:lang w:val="en-US" w:eastAsia="zh-CN"/>
                <w14:textFill>
                  <w14:solidFill>
                    <w14:schemeClr w14:val="tx1"/>
                  </w14:solidFill>
                </w14:textFill>
              </w:rPr>
              <w:t>83</w:t>
            </w:r>
          </w:p>
        </w:tc>
        <w:tc>
          <w:tcPr>
            <w:tcW w:w="1376" w:type="dxa"/>
            <w:vMerge w:val="restart"/>
            <w:tcBorders>
              <w:tl2br w:val="nil"/>
              <w:tr2bl w:val="nil"/>
            </w:tcBorders>
            <w:vAlign w:val="center"/>
          </w:tcPr>
          <w:p w14:paraId="2C44362E">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安装单位未制定建筑起重机械安装、拆卸工程生产安全事故应急救援预案的</w:t>
            </w:r>
          </w:p>
        </w:tc>
        <w:tc>
          <w:tcPr>
            <w:tcW w:w="1128" w:type="dxa"/>
            <w:gridSpan w:val="2"/>
            <w:vMerge w:val="restart"/>
            <w:tcBorders>
              <w:tl2br w:val="nil"/>
              <w:tr2bl w:val="nil"/>
            </w:tcBorders>
            <w:vAlign w:val="center"/>
          </w:tcPr>
          <w:p w14:paraId="08CA0482">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第十二条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四</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354" w:type="dxa"/>
            <w:vMerge w:val="restart"/>
            <w:tcBorders>
              <w:tl2br w:val="nil"/>
              <w:tr2bl w:val="nil"/>
            </w:tcBorders>
            <w:vAlign w:val="center"/>
          </w:tcPr>
          <w:p w14:paraId="5638E68F">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p>
          <w:p w14:paraId="3531B3BD">
            <w:pPr>
              <w:keepNext w:val="0"/>
              <w:keepLines w:val="0"/>
              <w:pageBreakBefore w:val="0"/>
              <w:widowControl/>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第二十九条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违反本规定，安装单位有下列行为之一的，由县级以上地方人民政府建设主管部门责令限期改正，予以警告，并处以5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128D400D">
            <w:pPr>
              <w:keepNext w:val="0"/>
              <w:keepLines w:val="0"/>
              <w:pageBreakBefore w:val="0"/>
              <w:widowControl/>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（一）未履行第十二条第（二）、（四）、（五）项安全职责的；</w:t>
            </w:r>
          </w:p>
          <w:p w14:paraId="5FBFBB8C">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建筑起重机械安全监督管理规定》</w:t>
            </w:r>
          </w:p>
          <w:p w14:paraId="4D74EF90">
            <w:pPr>
              <w:keepNext w:val="0"/>
              <w:keepLines w:val="0"/>
              <w:pageBreakBefore w:val="0"/>
              <w:widowControl/>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第十二条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四</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安装单位应当履行下列安全职责：</w:t>
            </w:r>
          </w:p>
          <w:p w14:paraId="2416AC92">
            <w:pPr>
              <w:keepNext w:val="0"/>
              <w:keepLines w:val="0"/>
              <w:pageBreakBefore w:val="0"/>
              <w:widowControl/>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（四）制定建筑起重机械安装、拆卸工程生产安全事故应急救援预案；</w:t>
            </w:r>
          </w:p>
        </w:tc>
        <w:tc>
          <w:tcPr>
            <w:tcW w:w="912" w:type="dxa"/>
            <w:tcBorders>
              <w:tl2br w:val="nil"/>
              <w:tr2bl w:val="nil"/>
            </w:tcBorders>
            <w:vAlign w:val="center"/>
          </w:tcPr>
          <w:p w14:paraId="1A8A255A">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60C353D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安装单位有1台建筑起重机械的安装、拆卸未制定生产安全事故应急救援预案的。</w:t>
            </w:r>
          </w:p>
        </w:tc>
        <w:tc>
          <w:tcPr>
            <w:tcW w:w="3375" w:type="dxa"/>
            <w:tcBorders>
              <w:tl2br w:val="nil"/>
              <w:tr2bl w:val="nil"/>
            </w:tcBorders>
            <w:vAlign w:val="center"/>
          </w:tcPr>
          <w:p w14:paraId="62FD335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责令限期改正，予以警告，处5000元以上1万元以下的罚款。</w:t>
            </w:r>
          </w:p>
        </w:tc>
      </w:tr>
      <w:tr w14:paraId="59E060B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12B5F10A">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1A3F11D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17CA783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0AFCACA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51B54541">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4A20328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安装单位有2台建筑起重机械的安装、拆卸未制定生产安全事故应急救援预案的。</w:t>
            </w:r>
          </w:p>
        </w:tc>
        <w:tc>
          <w:tcPr>
            <w:tcW w:w="3375" w:type="dxa"/>
            <w:tcBorders>
              <w:tl2br w:val="nil"/>
              <w:tr2bl w:val="nil"/>
            </w:tcBorders>
            <w:vAlign w:val="center"/>
          </w:tcPr>
          <w:p w14:paraId="5482A7E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480F199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5A320B9A">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44CE221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6A97E52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0B0DCFB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6FC83DFD">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6EEC45E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安装单位有3台以上建筑起重机械的安装、拆卸未制定生产安全事故应急救援预案或造成一定后果影响的。</w:t>
            </w:r>
          </w:p>
        </w:tc>
        <w:tc>
          <w:tcPr>
            <w:tcW w:w="3375" w:type="dxa"/>
            <w:tcBorders>
              <w:tl2br w:val="nil"/>
              <w:tr2bl w:val="nil"/>
            </w:tcBorders>
            <w:vAlign w:val="center"/>
          </w:tcPr>
          <w:p w14:paraId="39FFE17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3F13670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3B77310B">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kern w:val="0"/>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84</w:t>
            </w:r>
          </w:p>
        </w:tc>
        <w:tc>
          <w:tcPr>
            <w:tcW w:w="1376" w:type="dxa"/>
            <w:vMerge w:val="restart"/>
            <w:tcBorders>
              <w:tl2br w:val="nil"/>
              <w:tr2bl w:val="nil"/>
            </w:tcBorders>
            <w:vAlign w:val="center"/>
          </w:tcPr>
          <w:p w14:paraId="09FC473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安装单位未将建筑起重机械安装、拆卸工程专项施工方案，安装、拆卸人员名单，安装、拆卸时间等材料报施工总承包单位和监理单位审核，未告知工程所在地县级以上地方人民政府建设主管部门的</w:t>
            </w:r>
          </w:p>
        </w:tc>
        <w:tc>
          <w:tcPr>
            <w:tcW w:w="1128" w:type="dxa"/>
            <w:gridSpan w:val="2"/>
            <w:vMerge w:val="restart"/>
            <w:tcBorders>
              <w:tl2br w:val="nil"/>
              <w:tr2bl w:val="nil"/>
            </w:tcBorders>
            <w:vAlign w:val="center"/>
          </w:tcPr>
          <w:p w14:paraId="42FE2697">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第十二条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五</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354" w:type="dxa"/>
            <w:vMerge w:val="restart"/>
            <w:tcBorders>
              <w:tl2br w:val="nil"/>
              <w:tr2bl w:val="nil"/>
            </w:tcBorders>
            <w:vAlign w:val="center"/>
          </w:tcPr>
          <w:p w14:paraId="15C2FFEC">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p>
          <w:p w14:paraId="70377736">
            <w:pPr>
              <w:keepNext w:val="0"/>
              <w:keepLines w:val="0"/>
              <w:pageBreakBefore w:val="0"/>
              <w:widowControl/>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第二十九条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违反本规定，安装单位有下列行为之一的，由县级以上地方人民政府建设主管部门责令限期改正，予以警告，并处以5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126FCFE4">
            <w:pPr>
              <w:keepNext w:val="0"/>
              <w:keepLines w:val="0"/>
              <w:pageBreakBefore w:val="0"/>
              <w:widowControl/>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（一）未履行第十二条第（二）、（四）、（五）项安全职责的；</w:t>
            </w:r>
          </w:p>
          <w:p w14:paraId="67625CCE">
            <w:pPr>
              <w:keepNext w:val="0"/>
              <w:keepLines w:val="0"/>
              <w:pageBreakBefore w:val="0"/>
              <w:widowControl/>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第十二条</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安装单位应当履行下列安全职责：</w:t>
            </w:r>
          </w:p>
          <w:p w14:paraId="41E635AF">
            <w:pPr>
              <w:keepNext w:val="0"/>
              <w:keepLines w:val="0"/>
              <w:pageBreakBefore w:val="0"/>
              <w:widowControl/>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（五）将建筑起重机械安装、拆卸工程专项施工方案，安装、拆卸人员名单，安装、拆卸时间等材料报施工总承包单位和监理单位审核后，告知工程所在地县级以上地方人民政府建设主管部门。</w:t>
            </w:r>
          </w:p>
        </w:tc>
        <w:tc>
          <w:tcPr>
            <w:tcW w:w="912" w:type="dxa"/>
            <w:tcBorders>
              <w:tl2br w:val="nil"/>
              <w:tr2bl w:val="nil"/>
            </w:tcBorders>
            <w:vAlign w:val="center"/>
          </w:tcPr>
          <w:p w14:paraId="1CD7808D">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29A7932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未将1台建筑起重机械安装、拆卸工程专项施工方案，安装、拆卸人员名单，安装、拆卸时间等材料报施工总承包单位和监理单位审核后，告知工程所在地县级以上地方人民政府建设主管部门的。</w:t>
            </w:r>
          </w:p>
        </w:tc>
        <w:tc>
          <w:tcPr>
            <w:tcW w:w="3375" w:type="dxa"/>
            <w:tcBorders>
              <w:tl2br w:val="nil"/>
              <w:tr2bl w:val="nil"/>
            </w:tcBorders>
            <w:vAlign w:val="center"/>
          </w:tcPr>
          <w:p w14:paraId="3EBA075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44E5721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6321404D">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380FF9B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7B840E1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6CC3062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6C754EEB">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6FF24C5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未将2台建筑起重机械安装、拆卸工程专项施工方案，安装、拆卸人员名单，安装、拆卸时间等材料报施工总承包单位和监理单位审核后，告知工程所在地县级以上地方人民政府建设主管部门的。</w:t>
            </w:r>
          </w:p>
        </w:tc>
        <w:tc>
          <w:tcPr>
            <w:tcW w:w="3375" w:type="dxa"/>
            <w:tcBorders>
              <w:tl2br w:val="nil"/>
              <w:tr2bl w:val="nil"/>
            </w:tcBorders>
            <w:vAlign w:val="center"/>
          </w:tcPr>
          <w:p w14:paraId="6E98352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49FE7EB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36541BC2">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4A16135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133D414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227ED9C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4FFD5F2E">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5AAFCC0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将3台以上建筑起重机械安装、拆卸工程专项施工方案，安装、拆卸人员名单，安装、拆卸时间等材料报施工总承包单位和监理单位审核后，告知工程所在地县级以上地方人民政府建设主管部门或造成一定后果影响的。</w:t>
            </w:r>
          </w:p>
        </w:tc>
        <w:tc>
          <w:tcPr>
            <w:tcW w:w="3375" w:type="dxa"/>
            <w:tcBorders>
              <w:tl2br w:val="nil"/>
              <w:tr2bl w:val="nil"/>
            </w:tcBorders>
            <w:vAlign w:val="center"/>
          </w:tcPr>
          <w:p w14:paraId="3AB25B6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479ECDD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22ED585D">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kern w:val="0"/>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85</w:t>
            </w:r>
          </w:p>
        </w:tc>
        <w:tc>
          <w:tcPr>
            <w:tcW w:w="1376" w:type="dxa"/>
            <w:vMerge w:val="restart"/>
            <w:tcBorders>
              <w:tl2br w:val="nil"/>
              <w:tr2bl w:val="nil"/>
            </w:tcBorders>
            <w:vAlign w:val="center"/>
          </w:tcPr>
          <w:p w14:paraId="4ECEA350">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安装单位未按照规定建立建筑起重机械安装、拆卸工程档案的</w:t>
            </w:r>
          </w:p>
        </w:tc>
        <w:tc>
          <w:tcPr>
            <w:tcW w:w="1128" w:type="dxa"/>
            <w:gridSpan w:val="2"/>
            <w:vMerge w:val="restart"/>
            <w:tcBorders>
              <w:tl2br w:val="nil"/>
              <w:tr2bl w:val="nil"/>
            </w:tcBorders>
            <w:vAlign w:val="center"/>
          </w:tcPr>
          <w:p w14:paraId="0516EE62">
            <w:pPr>
              <w:keepNext w:val="0"/>
              <w:keepLines w:val="0"/>
              <w:pageBreakBefore w:val="0"/>
              <w:kinsoku/>
              <w:overflowPunct/>
              <w:topLinePunct w:val="0"/>
              <w:autoSpaceDE/>
              <w:autoSpaceDN/>
              <w:bidi w:val="0"/>
              <w:adjustRightInd/>
              <w:spacing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第十五条</w:t>
            </w:r>
          </w:p>
        </w:tc>
        <w:tc>
          <w:tcPr>
            <w:tcW w:w="4354" w:type="dxa"/>
            <w:vMerge w:val="restart"/>
            <w:tcBorders>
              <w:tl2br w:val="nil"/>
              <w:tr2bl w:val="nil"/>
            </w:tcBorders>
            <w:vAlign w:val="center"/>
          </w:tcPr>
          <w:p w14:paraId="72691D23">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p>
          <w:p w14:paraId="7066A4BF">
            <w:pPr>
              <w:keepNext w:val="0"/>
              <w:keepLines w:val="0"/>
              <w:pageBreakBefore w:val="0"/>
              <w:widowControl/>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第二十九条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违反本规定，安装单位有下列行为之一的，由县级以上地方人民政府建设主管部门责令限期改正，予以警告，并处以5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0E9786A0">
            <w:pPr>
              <w:keepNext w:val="0"/>
              <w:keepLines w:val="0"/>
              <w:pageBreakBefore w:val="0"/>
              <w:widowControl/>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（二）未按照规定建立建筑起重机械安装、拆卸工程档案的；</w:t>
            </w:r>
          </w:p>
        </w:tc>
        <w:tc>
          <w:tcPr>
            <w:tcW w:w="912" w:type="dxa"/>
            <w:tcBorders>
              <w:tl2br w:val="nil"/>
              <w:tr2bl w:val="nil"/>
            </w:tcBorders>
            <w:vAlign w:val="center"/>
          </w:tcPr>
          <w:p w14:paraId="42A37257">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1606354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未按照规定建立1台建筑起重机械安装、拆卸工程档案的。</w:t>
            </w:r>
          </w:p>
        </w:tc>
        <w:tc>
          <w:tcPr>
            <w:tcW w:w="3375" w:type="dxa"/>
            <w:tcBorders>
              <w:tl2br w:val="nil"/>
              <w:tr2bl w:val="nil"/>
            </w:tcBorders>
            <w:vAlign w:val="center"/>
          </w:tcPr>
          <w:p w14:paraId="74699E0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1B7B241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0C936C69">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301CEB4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34451B0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52D00EE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21139C2B">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6C9DFCF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未按照规定建立2台建筑起重机械安装、拆卸工程档案的。</w:t>
            </w:r>
          </w:p>
        </w:tc>
        <w:tc>
          <w:tcPr>
            <w:tcW w:w="3375" w:type="dxa"/>
            <w:tcBorders>
              <w:tl2br w:val="nil"/>
              <w:tr2bl w:val="nil"/>
            </w:tcBorders>
            <w:vAlign w:val="center"/>
          </w:tcPr>
          <w:p w14:paraId="60392F5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288CB3C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5DAC7CB9">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72243AF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5A2A356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531F0B4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277D5530">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595C60C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未按照规定建立3台以上建筑起重机械安装、拆卸工程档案或造成一定后果影响的。</w:t>
            </w:r>
          </w:p>
        </w:tc>
        <w:tc>
          <w:tcPr>
            <w:tcW w:w="3375" w:type="dxa"/>
            <w:tcBorders>
              <w:tl2br w:val="nil"/>
              <w:tr2bl w:val="nil"/>
            </w:tcBorders>
            <w:vAlign w:val="center"/>
          </w:tcPr>
          <w:p w14:paraId="212D31E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57B1D2A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5075702A">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kern w:val="0"/>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86</w:t>
            </w:r>
          </w:p>
        </w:tc>
        <w:tc>
          <w:tcPr>
            <w:tcW w:w="1376" w:type="dxa"/>
            <w:vMerge w:val="restart"/>
            <w:tcBorders>
              <w:tl2br w:val="nil"/>
              <w:tr2bl w:val="nil"/>
            </w:tcBorders>
            <w:vAlign w:val="center"/>
          </w:tcPr>
          <w:p w14:paraId="55A0459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安装单位未按照建筑起重机械安装、拆卸工程专项施工方案及安全操作规程组织安装、拆卸作业的</w:t>
            </w:r>
          </w:p>
        </w:tc>
        <w:tc>
          <w:tcPr>
            <w:tcW w:w="1128" w:type="dxa"/>
            <w:gridSpan w:val="2"/>
            <w:vMerge w:val="restart"/>
            <w:tcBorders>
              <w:tl2br w:val="nil"/>
              <w:tr2bl w:val="nil"/>
            </w:tcBorders>
            <w:vAlign w:val="center"/>
          </w:tcPr>
          <w:p w14:paraId="58653F44">
            <w:pPr>
              <w:keepNext w:val="0"/>
              <w:keepLines w:val="0"/>
              <w:pageBreakBefore w:val="0"/>
              <w:kinsoku/>
              <w:overflowPunct/>
              <w:topLinePunct w:val="0"/>
              <w:autoSpaceDE/>
              <w:autoSpaceDN/>
              <w:bidi w:val="0"/>
              <w:adjustRightInd/>
              <w:spacing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第十三条</w:t>
            </w:r>
          </w:p>
        </w:tc>
        <w:tc>
          <w:tcPr>
            <w:tcW w:w="4354" w:type="dxa"/>
            <w:vMerge w:val="restart"/>
            <w:tcBorders>
              <w:tl2br w:val="nil"/>
              <w:tr2bl w:val="nil"/>
            </w:tcBorders>
            <w:vAlign w:val="center"/>
          </w:tcPr>
          <w:p w14:paraId="054FD203">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p>
          <w:p w14:paraId="2AF0623F">
            <w:pPr>
              <w:keepNext w:val="0"/>
              <w:keepLines w:val="0"/>
              <w:pageBreakBefore w:val="0"/>
              <w:widowControl/>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第二十九条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三</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违反本规定，安装单位有下列行为之一的，由县级以上地方人民政府建设主管部门责令限期改正，予以警告，并处以5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70455107">
            <w:pPr>
              <w:keepNext w:val="0"/>
              <w:keepLines w:val="0"/>
              <w:pageBreakBefore w:val="0"/>
              <w:widowControl/>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（三）未按照建筑起重机械安装、拆卸工程专项施工方案及安全操作规程组织安装、拆卸作业的。</w:t>
            </w:r>
          </w:p>
        </w:tc>
        <w:tc>
          <w:tcPr>
            <w:tcW w:w="912" w:type="dxa"/>
            <w:tcBorders>
              <w:tl2br w:val="nil"/>
              <w:tr2bl w:val="nil"/>
            </w:tcBorders>
            <w:vAlign w:val="center"/>
          </w:tcPr>
          <w:p w14:paraId="680EEAF0">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0552388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有1台建筑起重机械未按照建筑起重机械安装、拆卸工程专项施工方案及安全操作规程组织安装、拆卸作业的。</w:t>
            </w:r>
          </w:p>
        </w:tc>
        <w:tc>
          <w:tcPr>
            <w:tcW w:w="3375" w:type="dxa"/>
            <w:tcBorders>
              <w:tl2br w:val="nil"/>
              <w:tr2bl w:val="nil"/>
            </w:tcBorders>
            <w:vAlign w:val="center"/>
          </w:tcPr>
          <w:p w14:paraId="1B794C8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04040D3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3915587A">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3810EBB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1D49C6A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277DA2E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37300C33">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6017370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有2台建筑起重机械未按照建筑起重机械安装、拆卸工程专项施工方案及安全操作规程组织安装、拆卸作业的。</w:t>
            </w:r>
          </w:p>
        </w:tc>
        <w:tc>
          <w:tcPr>
            <w:tcW w:w="3375" w:type="dxa"/>
            <w:tcBorders>
              <w:tl2br w:val="nil"/>
              <w:tr2bl w:val="nil"/>
            </w:tcBorders>
            <w:vAlign w:val="center"/>
          </w:tcPr>
          <w:p w14:paraId="24056AE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21FF5AC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425CD736">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6250CE8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18641AA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12B608C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6400CFF5">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4EEBDFF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有3台以上建筑起重机械未按照建筑起重机械安装、拆卸工程专项施工方案及安全操作规程组织安装、拆卸作业或造成一定后果影响的。</w:t>
            </w:r>
          </w:p>
        </w:tc>
        <w:tc>
          <w:tcPr>
            <w:tcW w:w="3375" w:type="dxa"/>
            <w:tcBorders>
              <w:tl2br w:val="nil"/>
              <w:tr2bl w:val="nil"/>
            </w:tcBorders>
            <w:vAlign w:val="center"/>
          </w:tcPr>
          <w:p w14:paraId="666E6D1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5184256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6C43E13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0" w:hRule="atLeast"/>
          <w:jc w:val="center"/>
        </w:trPr>
        <w:tc>
          <w:tcPr>
            <w:tcW w:w="533" w:type="dxa"/>
            <w:gridSpan w:val="2"/>
            <w:vMerge w:val="restart"/>
            <w:tcBorders>
              <w:tl2br w:val="nil"/>
              <w:tr2bl w:val="nil"/>
            </w:tcBorders>
            <w:vAlign w:val="center"/>
          </w:tcPr>
          <w:p w14:paraId="7C261CC1">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kern w:val="0"/>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87</w:t>
            </w:r>
          </w:p>
        </w:tc>
        <w:tc>
          <w:tcPr>
            <w:tcW w:w="1376" w:type="dxa"/>
            <w:vMerge w:val="restart"/>
            <w:tcBorders>
              <w:tl2br w:val="nil"/>
              <w:tr2bl w:val="nil"/>
            </w:tcBorders>
            <w:vAlign w:val="center"/>
          </w:tcPr>
          <w:p w14:paraId="11D34CAD">
            <w:pPr>
              <w:keepNext w:val="0"/>
              <w:keepLines w:val="0"/>
              <w:pageBreakBefore w:val="0"/>
              <w:kinsoku/>
              <w:overflowPunct/>
              <w:topLinePunct w:val="0"/>
              <w:autoSpaceDE/>
              <w:autoSpaceDN/>
              <w:bidi w:val="0"/>
              <w:adjustRightInd/>
              <w:spacing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使用单位未根据不同施工阶段、周围环境以及季节、气候的变化，对建筑起重机械采取相应的安全防护措施的</w:t>
            </w:r>
          </w:p>
        </w:tc>
        <w:tc>
          <w:tcPr>
            <w:tcW w:w="1128" w:type="dxa"/>
            <w:gridSpan w:val="2"/>
            <w:vMerge w:val="restart"/>
            <w:tcBorders>
              <w:tl2br w:val="nil"/>
              <w:tr2bl w:val="nil"/>
            </w:tcBorders>
            <w:vAlign w:val="center"/>
          </w:tcPr>
          <w:p w14:paraId="35E0F1E7">
            <w:pPr>
              <w:keepNext w:val="0"/>
              <w:keepLines w:val="0"/>
              <w:pageBreakBefore w:val="0"/>
              <w:kinsoku/>
              <w:overflowPunct/>
              <w:topLinePunct w:val="0"/>
              <w:autoSpaceDE/>
              <w:autoSpaceDN/>
              <w:bidi w:val="0"/>
              <w:adjustRightInd/>
              <w:spacing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第十八条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354" w:type="dxa"/>
            <w:vMerge w:val="restart"/>
            <w:tcBorders>
              <w:tl2br w:val="nil"/>
              <w:tr2bl w:val="nil"/>
            </w:tcBorders>
            <w:vAlign w:val="center"/>
          </w:tcPr>
          <w:p w14:paraId="4BE55E80">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p>
          <w:p w14:paraId="777BA0F6">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第三十条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违反本规定，使用单位有下列行为之一的，由县级以上地方人民政府建设主管部门责令限期改正，予以警告，并处以5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679ACF00">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（一）未履行第十八条第（一）、（二）、（四）、（六）项安全职责的；</w:t>
            </w:r>
          </w:p>
          <w:p w14:paraId="3AED3B27">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p>
          <w:p w14:paraId="030600ED">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第十八条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使用单位应当履行下列安全职责：</w:t>
            </w:r>
          </w:p>
          <w:p w14:paraId="0549C42C">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（一）根据不同施工阶段、周围环境以及季节、气候的变化，对建筑起重机械采取相应的安全防护措施；</w:t>
            </w:r>
          </w:p>
        </w:tc>
        <w:tc>
          <w:tcPr>
            <w:tcW w:w="912" w:type="dxa"/>
            <w:tcBorders>
              <w:tl2br w:val="nil"/>
              <w:tr2bl w:val="nil"/>
            </w:tcBorders>
            <w:vAlign w:val="center"/>
          </w:tcPr>
          <w:p w14:paraId="5910B73F">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56F9AA1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未采取相应的安全防护措施的建筑起重机械数量1台的。</w:t>
            </w:r>
          </w:p>
        </w:tc>
        <w:tc>
          <w:tcPr>
            <w:tcW w:w="3375" w:type="dxa"/>
            <w:tcBorders>
              <w:tl2br w:val="nil"/>
              <w:tr2bl w:val="nil"/>
            </w:tcBorders>
            <w:vAlign w:val="center"/>
          </w:tcPr>
          <w:p w14:paraId="77377C3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45EE88C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0A98F587">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6EB1B60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4FECE36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7B76D40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7EBA8433">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3CFECAB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未采取相应的安全防护措施的建筑起重机械数量2台的。</w:t>
            </w:r>
          </w:p>
        </w:tc>
        <w:tc>
          <w:tcPr>
            <w:tcW w:w="3375" w:type="dxa"/>
            <w:tcBorders>
              <w:tl2br w:val="nil"/>
              <w:tr2bl w:val="nil"/>
            </w:tcBorders>
            <w:vAlign w:val="center"/>
          </w:tcPr>
          <w:p w14:paraId="2979684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0BA53F1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7" w:hRule="atLeast"/>
          <w:jc w:val="center"/>
        </w:trPr>
        <w:tc>
          <w:tcPr>
            <w:tcW w:w="533" w:type="dxa"/>
            <w:gridSpan w:val="2"/>
            <w:vMerge w:val="continue"/>
            <w:tcBorders>
              <w:tl2br w:val="nil"/>
              <w:tr2bl w:val="nil"/>
            </w:tcBorders>
            <w:vAlign w:val="center"/>
          </w:tcPr>
          <w:p w14:paraId="2F04792C">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26E2CD1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2F3C720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613BC40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0259C54E">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4919EE0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未采取相应的安全防护措施的建筑起重机械数量3台以上的；或造成一定后果影响的。</w:t>
            </w:r>
          </w:p>
        </w:tc>
        <w:tc>
          <w:tcPr>
            <w:tcW w:w="3375" w:type="dxa"/>
            <w:tcBorders>
              <w:tl2br w:val="nil"/>
              <w:tr2bl w:val="nil"/>
            </w:tcBorders>
            <w:vAlign w:val="center"/>
          </w:tcPr>
          <w:p w14:paraId="0AC312E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42853D1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6BC8323E">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kern w:val="0"/>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88</w:t>
            </w:r>
          </w:p>
        </w:tc>
        <w:tc>
          <w:tcPr>
            <w:tcW w:w="1376" w:type="dxa"/>
            <w:vMerge w:val="restart"/>
            <w:tcBorders>
              <w:tl2br w:val="nil"/>
              <w:tr2bl w:val="nil"/>
            </w:tcBorders>
            <w:vAlign w:val="center"/>
          </w:tcPr>
          <w:p w14:paraId="1010E4D8">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使用单位未制定建筑起重机械生产安全事故应急救援预案的</w:t>
            </w:r>
          </w:p>
        </w:tc>
        <w:tc>
          <w:tcPr>
            <w:tcW w:w="1128" w:type="dxa"/>
            <w:gridSpan w:val="2"/>
            <w:vMerge w:val="restart"/>
            <w:tcBorders>
              <w:tl2br w:val="nil"/>
              <w:tr2bl w:val="nil"/>
            </w:tcBorders>
            <w:vAlign w:val="center"/>
          </w:tcPr>
          <w:p w14:paraId="69CA4E0E">
            <w:pPr>
              <w:keepNext w:val="0"/>
              <w:keepLines w:val="0"/>
              <w:pageBreakBefore w:val="0"/>
              <w:kinsoku/>
              <w:overflowPunct/>
              <w:topLinePunct w:val="0"/>
              <w:autoSpaceDE/>
              <w:autoSpaceDN/>
              <w:bidi w:val="0"/>
              <w:adjustRightInd/>
              <w:spacing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第十八条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354" w:type="dxa"/>
            <w:vMerge w:val="restart"/>
            <w:tcBorders>
              <w:tl2br w:val="nil"/>
              <w:tr2bl w:val="nil"/>
            </w:tcBorders>
            <w:vAlign w:val="center"/>
          </w:tcPr>
          <w:p w14:paraId="6108D4B0">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p>
          <w:p w14:paraId="175A2F8D">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第三十条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违反本规定，使用单位有下列行为之一的，由县级以上地方人民政府建设主管部门责令限期改正，予以警告，并处以5千元以上3万元以下罚款：</w:t>
            </w:r>
          </w:p>
          <w:p w14:paraId="436F0C52">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（一）未履行第十八条第（一）、（二）、（四）、（六）项安全职责的；</w:t>
            </w:r>
          </w:p>
          <w:p w14:paraId="6F2CE523">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p>
          <w:p w14:paraId="770E82DB">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第十八条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单位应当履行下列安全职责：</w:t>
            </w:r>
          </w:p>
          <w:p w14:paraId="7A1FAD7E">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（二）制定建筑起重机械生产安全事故应急救援预案；</w:t>
            </w:r>
          </w:p>
        </w:tc>
        <w:tc>
          <w:tcPr>
            <w:tcW w:w="912" w:type="dxa"/>
            <w:tcBorders>
              <w:tl2br w:val="nil"/>
              <w:tr2bl w:val="nil"/>
            </w:tcBorders>
            <w:vAlign w:val="center"/>
          </w:tcPr>
          <w:p w14:paraId="34D17AE5">
            <w:pPr>
              <w:keepNext w:val="0"/>
              <w:keepLines w:val="0"/>
              <w:pageBreakBefore w:val="0"/>
              <w:widowControl/>
              <w:kinsoku/>
              <w:overflowPunct/>
              <w:topLinePunct w:val="0"/>
              <w:autoSpaceDE/>
              <w:autoSpaceDN/>
              <w:bidi w:val="0"/>
              <w:adjustRightInd/>
              <w:spacing w:line="260" w:lineRule="exact"/>
              <w:jc w:val="left"/>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658A941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未制定生产安全事故应急救援预案的建筑起重机械数量1台的。</w:t>
            </w:r>
          </w:p>
        </w:tc>
        <w:tc>
          <w:tcPr>
            <w:tcW w:w="3375" w:type="dxa"/>
            <w:tcBorders>
              <w:tl2br w:val="nil"/>
              <w:tr2bl w:val="nil"/>
            </w:tcBorders>
            <w:vAlign w:val="center"/>
          </w:tcPr>
          <w:p w14:paraId="706D32A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15C0830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17075DDA">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2F97793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4B179FF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3C80AB6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5DAC6E6E">
            <w:pPr>
              <w:keepNext w:val="0"/>
              <w:keepLines w:val="0"/>
              <w:pageBreakBefore w:val="0"/>
              <w:widowControl/>
              <w:kinsoku/>
              <w:overflowPunct/>
              <w:topLinePunct w:val="0"/>
              <w:autoSpaceDE/>
              <w:autoSpaceDN/>
              <w:bidi w:val="0"/>
              <w:adjustRightInd/>
              <w:spacing w:line="260" w:lineRule="exact"/>
              <w:jc w:val="left"/>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796D87E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未制定生产安全事故应急救援预案的建筑起重机械数量2台的。</w:t>
            </w:r>
          </w:p>
        </w:tc>
        <w:tc>
          <w:tcPr>
            <w:tcW w:w="3375" w:type="dxa"/>
            <w:tcBorders>
              <w:tl2br w:val="nil"/>
              <w:tr2bl w:val="nil"/>
            </w:tcBorders>
            <w:vAlign w:val="center"/>
          </w:tcPr>
          <w:p w14:paraId="12CE5F2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7EE333C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214BD4F1">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08250B7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4ED86BE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6876A5E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1437ACDA">
            <w:pPr>
              <w:keepNext w:val="0"/>
              <w:keepLines w:val="0"/>
              <w:pageBreakBefore w:val="0"/>
              <w:widowControl/>
              <w:kinsoku/>
              <w:overflowPunct/>
              <w:topLinePunct w:val="0"/>
              <w:autoSpaceDE/>
              <w:autoSpaceDN/>
              <w:bidi w:val="0"/>
              <w:adjustRightInd/>
              <w:spacing w:line="260" w:lineRule="exact"/>
              <w:jc w:val="left"/>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6138C19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未制定生产安全事故应急救援预案的建筑起重机械数量3台以上的；或造成一定后果影响的。</w:t>
            </w:r>
          </w:p>
        </w:tc>
        <w:tc>
          <w:tcPr>
            <w:tcW w:w="3375" w:type="dxa"/>
            <w:tcBorders>
              <w:tl2br w:val="nil"/>
              <w:tr2bl w:val="nil"/>
            </w:tcBorders>
            <w:vAlign w:val="center"/>
          </w:tcPr>
          <w:p w14:paraId="52D731F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4038F50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738DF2B6">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kern w:val="0"/>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89</w:t>
            </w:r>
          </w:p>
        </w:tc>
        <w:tc>
          <w:tcPr>
            <w:tcW w:w="1376" w:type="dxa"/>
            <w:vMerge w:val="restart"/>
            <w:tcBorders>
              <w:tl2br w:val="nil"/>
              <w:tr2bl w:val="nil"/>
            </w:tcBorders>
            <w:vAlign w:val="center"/>
          </w:tcPr>
          <w:p w14:paraId="26D28958">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使用单位未设置相应的设备管理机构或者配备专职的设备管理人员的</w:t>
            </w:r>
          </w:p>
        </w:tc>
        <w:tc>
          <w:tcPr>
            <w:tcW w:w="1128" w:type="dxa"/>
            <w:gridSpan w:val="2"/>
            <w:vMerge w:val="restart"/>
            <w:tcBorders>
              <w:tl2br w:val="nil"/>
              <w:tr2bl w:val="nil"/>
            </w:tcBorders>
            <w:vAlign w:val="center"/>
          </w:tcPr>
          <w:p w14:paraId="2E745C50">
            <w:pPr>
              <w:keepNext w:val="0"/>
              <w:keepLines w:val="0"/>
              <w:pageBreakBefore w:val="0"/>
              <w:kinsoku/>
              <w:overflowPunct/>
              <w:topLinePunct w:val="0"/>
              <w:autoSpaceDE/>
              <w:autoSpaceDN/>
              <w:bidi w:val="0"/>
              <w:adjustRightInd/>
              <w:spacing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第十八条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四</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354" w:type="dxa"/>
            <w:vMerge w:val="restart"/>
            <w:tcBorders>
              <w:tl2br w:val="nil"/>
              <w:tr2bl w:val="nil"/>
            </w:tcBorders>
            <w:vAlign w:val="center"/>
          </w:tcPr>
          <w:p w14:paraId="46EF9C88">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p>
          <w:p w14:paraId="44264F1E">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第三十条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违反本规定，使用单位有下列行为之一的，由县级以上地方人民政府建设主管部门责令限期改正，予以警告，并处以5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74FDF173">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（一）未履行第十八条第（一）、（二）、（四）、（六）项安全职责的；</w:t>
            </w:r>
          </w:p>
          <w:p w14:paraId="45445B0E">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p>
          <w:p w14:paraId="383C1BE7">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第十八条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四</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使用单位应当履行下列安全职责：</w:t>
            </w:r>
          </w:p>
          <w:p w14:paraId="551120FC">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（四）设置相应的设备管理机构或者配备专职的设备管理人员；</w:t>
            </w:r>
          </w:p>
        </w:tc>
        <w:tc>
          <w:tcPr>
            <w:tcW w:w="912" w:type="dxa"/>
            <w:tcBorders>
              <w:tl2br w:val="nil"/>
              <w:tr2bl w:val="nil"/>
            </w:tcBorders>
            <w:vAlign w:val="center"/>
          </w:tcPr>
          <w:p w14:paraId="06D7F2A3">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18B874E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未设置相应的设备管理机构或者未配备专职的设备管理人员的。</w:t>
            </w:r>
          </w:p>
        </w:tc>
        <w:tc>
          <w:tcPr>
            <w:tcW w:w="3375" w:type="dxa"/>
            <w:tcBorders>
              <w:tl2br w:val="nil"/>
              <w:tr2bl w:val="nil"/>
            </w:tcBorders>
            <w:vAlign w:val="center"/>
          </w:tcPr>
          <w:p w14:paraId="2EDE9C1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4C39246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42CA4AA9">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57A4682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30220F0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6161C51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1178E34E">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2782655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未设置相应的设备管理机构和未配备专职的设备管理人员的。</w:t>
            </w:r>
          </w:p>
        </w:tc>
        <w:tc>
          <w:tcPr>
            <w:tcW w:w="3375" w:type="dxa"/>
            <w:tcBorders>
              <w:tl2br w:val="nil"/>
              <w:tr2bl w:val="nil"/>
            </w:tcBorders>
            <w:vAlign w:val="center"/>
          </w:tcPr>
          <w:p w14:paraId="242FA72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6E6C010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557CED7A">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037859B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2238E53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7B45974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697A8932">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2923DDC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造成一定后果影响的。</w:t>
            </w:r>
          </w:p>
        </w:tc>
        <w:tc>
          <w:tcPr>
            <w:tcW w:w="3375" w:type="dxa"/>
            <w:tcBorders>
              <w:tl2br w:val="nil"/>
              <w:tr2bl w:val="nil"/>
            </w:tcBorders>
            <w:vAlign w:val="center"/>
          </w:tcPr>
          <w:p w14:paraId="35A77D9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099F46C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5291B7F1">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kern w:val="0"/>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90</w:t>
            </w:r>
          </w:p>
        </w:tc>
        <w:tc>
          <w:tcPr>
            <w:tcW w:w="1376" w:type="dxa"/>
            <w:vMerge w:val="restart"/>
            <w:tcBorders>
              <w:tl2br w:val="nil"/>
              <w:tr2bl w:val="nil"/>
            </w:tcBorders>
            <w:vAlign w:val="center"/>
          </w:tcPr>
          <w:p w14:paraId="216DF784">
            <w:pPr>
              <w:keepNext w:val="0"/>
              <w:keepLines w:val="0"/>
              <w:pageBreakBefore w:val="0"/>
              <w:kinsoku/>
              <w:overflowPunct/>
              <w:topLinePunct w:val="0"/>
              <w:autoSpaceDE/>
              <w:autoSpaceDN/>
              <w:bidi w:val="0"/>
              <w:adjustRightInd/>
              <w:spacing w:line="260" w:lineRule="exact"/>
              <w:rPr>
                <w:rFonts w:ascii="仿宋_GB2312" w:hAnsi="宋体" w:eastAsia="仿宋_GB2312"/>
                <w:color w:val="000000" w:themeColor="text1"/>
                <w:kern w:val="0"/>
                <w:szCs w:val="21"/>
                <w14:textFill>
                  <w14:solidFill>
                    <w14:schemeClr w14:val="tx1"/>
                  </w14:solidFill>
                </w14:textFill>
              </w:rPr>
            </w:pPr>
          </w:p>
          <w:p w14:paraId="2B751AC3">
            <w:pPr>
              <w:keepNext w:val="0"/>
              <w:keepLines w:val="0"/>
              <w:pageBreakBefore w:val="0"/>
              <w:kinsoku/>
              <w:overflowPunct/>
              <w:topLinePunct w:val="0"/>
              <w:autoSpaceDE/>
              <w:autoSpaceDN/>
              <w:bidi w:val="0"/>
              <w:adjustRightInd/>
              <w:spacing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使用单位在建筑起重机械出现故障或者发生异常情况时，未立即停止使用，或未消除故障和事故隐患，就重新投入使用的</w:t>
            </w:r>
          </w:p>
        </w:tc>
        <w:tc>
          <w:tcPr>
            <w:tcW w:w="1128" w:type="dxa"/>
            <w:gridSpan w:val="2"/>
            <w:vMerge w:val="restart"/>
            <w:tcBorders>
              <w:tl2br w:val="nil"/>
              <w:tr2bl w:val="nil"/>
            </w:tcBorders>
            <w:vAlign w:val="center"/>
          </w:tcPr>
          <w:p w14:paraId="3DAC0055">
            <w:pPr>
              <w:keepNext w:val="0"/>
              <w:keepLines w:val="0"/>
              <w:pageBreakBefore w:val="0"/>
              <w:kinsoku/>
              <w:overflowPunct/>
              <w:topLinePunct w:val="0"/>
              <w:autoSpaceDE/>
              <w:autoSpaceDN/>
              <w:bidi w:val="0"/>
              <w:adjustRightInd/>
              <w:spacing w:line="260" w:lineRule="exact"/>
              <w:jc w:val="center"/>
              <w:rPr>
                <w:rFonts w:ascii="仿宋_GB2312" w:hAnsi="宋体" w:eastAsia="仿宋_GB2312"/>
                <w:color w:val="000000" w:themeColor="text1"/>
                <w:kern w:val="0"/>
                <w:szCs w:val="21"/>
                <w14:textFill>
                  <w14:solidFill>
                    <w14:schemeClr w14:val="tx1"/>
                  </w14:solidFill>
                </w14:textFill>
              </w:rPr>
            </w:pPr>
          </w:p>
          <w:p w14:paraId="3609F325">
            <w:pPr>
              <w:keepNext w:val="0"/>
              <w:keepLines w:val="0"/>
              <w:pageBreakBefore w:val="0"/>
              <w:kinsoku/>
              <w:overflowPunct/>
              <w:topLinePunct w:val="0"/>
              <w:autoSpaceDE/>
              <w:autoSpaceDN/>
              <w:bidi w:val="0"/>
              <w:adjustRightInd/>
              <w:spacing w:line="260" w:lineRule="exact"/>
              <w:jc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第十八条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六</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354" w:type="dxa"/>
            <w:vMerge w:val="restart"/>
            <w:tcBorders>
              <w:tl2br w:val="nil"/>
              <w:tr2bl w:val="nil"/>
            </w:tcBorders>
            <w:vAlign w:val="center"/>
          </w:tcPr>
          <w:p w14:paraId="5474F707">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290C7305">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p>
          <w:p w14:paraId="7AB23221">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第三十条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违反本规定，使用单位有下列行为之一的，由县级以上地方人民政府建设主管部门责令限期改正，予以警告，并处以5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5F720A55">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（一）未履行第十八条第（一）、（二）、（四）、（六）项安全职责的；</w:t>
            </w:r>
          </w:p>
          <w:p w14:paraId="05EC5301">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第十八条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六</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26CE2191">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使用单位应当履行下列安全职责： （六）建筑起重机械出现故障或者发生异常情况的，立即停止使用，消除故障和事故隐患后，方可重新投入使用。</w:t>
            </w:r>
          </w:p>
        </w:tc>
        <w:tc>
          <w:tcPr>
            <w:tcW w:w="912" w:type="dxa"/>
            <w:tcBorders>
              <w:tl2br w:val="nil"/>
              <w:tr2bl w:val="nil"/>
            </w:tcBorders>
            <w:vAlign w:val="center"/>
          </w:tcPr>
          <w:p w14:paraId="5FDE5571">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3B01CF3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建筑起重机械出现故障或者发生异常情况达1台，未立即停止使用，或未消除故障和事故隐患，就重新投入使用的。</w:t>
            </w:r>
          </w:p>
        </w:tc>
        <w:tc>
          <w:tcPr>
            <w:tcW w:w="3375" w:type="dxa"/>
            <w:tcBorders>
              <w:tl2br w:val="nil"/>
              <w:tr2bl w:val="nil"/>
            </w:tcBorders>
            <w:vAlign w:val="center"/>
          </w:tcPr>
          <w:p w14:paraId="60F3BB0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0C802D5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537EF6EB">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35D02391">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5ACF1931">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7BFEB3B7">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26C00964">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1FF1E62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建筑起重机械出现故障或者发生异常情况达2台，未立即停止使用，或未消除故障和事故隐患，就重新投入使用的；或存在重大事故隐患的。</w:t>
            </w:r>
          </w:p>
        </w:tc>
        <w:tc>
          <w:tcPr>
            <w:tcW w:w="3375" w:type="dxa"/>
            <w:tcBorders>
              <w:tl2br w:val="nil"/>
              <w:tr2bl w:val="nil"/>
            </w:tcBorders>
            <w:vAlign w:val="center"/>
          </w:tcPr>
          <w:p w14:paraId="272E60B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78F2BBF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1534D45B">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2B946E8F">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395D2926">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76A621BB">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4D179F5E">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06A6AB7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建筑起重机械出现故障或者发生异常情况达3台以上，未立即停止使用，或未消除故障和事故隐患，就重新投入使用的；或造成一定后果影响的。</w:t>
            </w:r>
          </w:p>
        </w:tc>
        <w:tc>
          <w:tcPr>
            <w:tcW w:w="3375" w:type="dxa"/>
            <w:tcBorders>
              <w:tl2br w:val="nil"/>
              <w:tr2bl w:val="nil"/>
            </w:tcBorders>
            <w:vAlign w:val="center"/>
          </w:tcPr>
          <w:p w14:paraId="6388089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5D6C449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4969F0B2">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kern w:val="0"/>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91</w:t>
            </w:r>
          </w:p>
        </w:tc>
        <w:tc>
          <w:tcPr>
            <w:tcW w:w="1376" w:type="dxa"/>
            <w:vMerge w:val="restart"/>
            <w:tcBorders>
              <w:tl2br w:val="nil"/>
              <w:tr2bl w:val="nil"/>
            </w:tcBorders>
            <w:vAlign w:val="center"/>
          </w:tcPr>
          <w:p w14:paraId="2CF38BED">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使用单位未指定专职设备管理人员进行现场监督检查的</w:t>
            </w:r>
          </w:p>
        </w:tc>
        <w:tc>
          <w:tcPr>
            <w:tcW w:w="1128" w:type="dxa"/>
            <w:gridSpan w:val="2"/>
            <w:vMerge w:val="restart"/>
            <w:tcBorders>
              <w:tl2br w:val="nil"/>
              <w:tr2bl w:val="nil"/>
            </w:tcBorders>
            <w:vAlign w:val="center"/>
          </w:tcPr>
          <w:p w14:paraId="38C3EA6C">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第三十条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354" w:type="dxa"/>
            <w:vMerge w:val="restart"/>
            <w:tcBorders>
              <w:tl2br w:val="nil"/>
              <w:tr2bl w:val="nil"/>
            </w:tcBorders>
            <w:vAlign w:val="center"/>
          </w:tcPr>
          <w:p w14:paraId="4CF545E8">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p>
          <w:p w14:paraId="6321FF29">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第三十条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违反本规定，使用单位有下列行为之一的，由县级以上地方人民政府建设主管部门责令限期改正，予以警告，并处以5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28AAE48F">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（二）未指定专职设备管理人员进行现场监督检查的；</w:t>
            </w:r>
          </w:p>
        </w:tc>
        <w:tc>
          <w:tcPr>
            <w:tcW w:w="912" w:type="dxa"/>
            <w:tcBorders>
              <w:tl2br w:val="nil"/>
              <w:tr2bl w:val="nil"/>
            </w:tcBorders>
            <w:vAlign w:val="center"/>
          </w:tcPr>
          <w:p w14:paraId="54DED89B">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6D63381A">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有1台</w:t>
            </w:r>
            <w:r>
              <w:rPr>
                <w:rFonts w:ascii="仿宋_GB2312" w:hAnsi="宋体" w:eastAsia="仿宋_GB2312"/>
                <w:color w:val="000000" w:themeColor="text1"/>
                <w:kern w:val="0"/>
                <w:szCs w:val="21"/>
                <w14:textFill>
                  <w14:solidFill>
                    <w14:schemeClr w14:val="tx1"/>
                  </w14:solidFill>
                </w14:textFill>
              </w:rPr>
              <w:t>建筑起重机械</w:t>
            </w:r>
            <w:r>
              <w:rPr>
                <w:rFonts w:hint="eastAsia" w:ascii="仿宋_GB2312" w:hAnsi="宋体" w:eastAsia="仿宋_GB2312"/>
                <w:color w:val="000000" w:themeColor="text1"/>
                <w:kern w:val="0"/>
                <w:szCs w:val="21"/>
                <w14:textFill>
                  <w14:solidFill>
                    <w14:schemeClr w14:val="tx1"/>
                  </w14:solidFill>
                </w14:textFill>
              </w:rPr>
              <w:t>未指定专职设备管理人员进行现场监督检查。</w:t>
            </w:r>
          </w:p>
        </w:tc>
        <w:tc>
          <w:tcPr>
            <w:tcW w:w="3375" w:type="dxa"/>
            <w:tcBorders>
              <w:tl2br w:val="nil"/>
              <w:tr2bl w:val="nil"/>
            </w:tcBorders>
            <w:vAlign w:val="center"/>
          </w:tcPr>
          <w:p w14:paraId="4A7CF73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1743673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6EDC222A">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75734160">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439A6E00">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77D66885">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650BDAB0">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2F4F5317">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有2台以上</w:t>
            </w:r>
            <w:r>
              <w:rPr>
                <w:rFonts w:ascii="仿宋_GB2312" w:hAnsi="宋体" w:eastAsia="仿宋_GB2312"/>
                <w:color w:val="000000" w:themeColor="text1"/>
                <w:kern w:val="0"/>
                <w:szCs w:val="21"/>
                <w14:textFill>
                  <w14:solidFill>
                    <w14:schemeClr w14:val="tx1"/>
                  </w14:solidFill>
                </w14:textFill>
              </w:rPr>
              <w:t>建筑起重机械</w:t>
            </w:r>
            <w:r>
              <w:rPr>
                <w:rFonts w:hint="eastAsia" w:ascii="仿宋_GB2312" w:hAnsi="宋体" w:eastAsia="仿宋_GB2312"/>
                <w:color w:val="000000" w:themeColor="text1"/>
                <w:kern w:val="0"/>
                <w:szCs w:val="21"/>
                <w14:textFill>
                  <w14:solidFill>
                    <w14:schemeClr w14:val="tx1"/>
                  </w14:solidFill>
                </w14:textFill>
              </w:rPr>
              <w:t>未指定专职设备管理人员进行现场监督检查。</w:t>
            </w:r>
          </w:p>
        </w:tc>
        <w:tc>
          <w:tcPr>
            <w:tcW w:w="3375" w:type="dxa"/>
            <w:tcBorders>
              <w:tl2br w:val="nil"/>
              <w:tr2bl w:val="nil"/>
            </w:tcBorders>
            <w:vAlign w:val="center"/>
          </w:tcPr>
          <w:p w14:paraId="61ACD1E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61A50FB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0" w:hRule="atLeast"/>
          <w:jc w:val="center"/>
        </w:trPr>
        <w:tc>
          <w:tcPr>
            <w:tcW w:w="533" w:type="dxa"/>
            <w:gridSpan w:val="2"/>
            <w:vMerge w:val="continue"/>
            <w:tcBorders>
              <w:tl2br w:val="nil"/>
              <w:tr2bl w:val="nil"/>
            </w:tcBorders>
            <w:vAlign w:val="center"/>
          </w:tcPr>
          <w:p w14:paraId="4914D9F5">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4226ACEC">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531E71B8">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1D5F7623">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1AA2C0DB">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14BAF679">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有3台以上</w:t>
            </w:r>
            <w:r>
              <w:rPr>
                <w:rFonts w:ascii="仿宋_GB2312" w:hAnsi="宋体" w:eastAsia="仿宋_GB2312"/>
                <w:color w:val="000000" w:themeColor="text1"/>
                <w:kern w:val="0"/>
                <w:szCs w:val="21"/>
                <w14:textFill>
                  <w14:solidFill>
                    <w14:schemeClr w14:val="tx1"/>
                  </w14:solidFill>
                </w14:textFill>
              </w:rPr>
              <w:t>建筑起重机械</w:t>
            </w:r>
            <w:r>
              <w:rPr>
                <w:rFonts w:hint="eastAsia" w:ascii="仿宋_GB2312" w:hAnsi="宋体" w:eastAsia="仿宋_GB2312"/>
                <w:color w:val="000000" w:themeColor="text1"/>
                <w:kern w:val="0"/>
                <w:szCs w:val="21"/>
                <w14:textFill>
                  <w14:solidFill>
                    <w14:schemeClr w14:val="tx1"/>
                  </w14:solidFill>
                </w14:textFill>
              </w:rPr>
              <w:t>未指定专职设备管理人员进行现场监督检查或造成事故的。</w:t>
            </w:r>
          </w:p>
        </w:tc>
        <w:tc>
          <w:tcPr>
            <w:tcW w:w="3375" w:type="dxa"/>
            <w:tcBorders>
              <w:tl2br w:val="nil"/>
              <w:tr2bl w:val="nil"/>
            </w:tcBorders>
            <w:vAlign w:val="center"/>
          </w:tcPr>
          <w:p w14:paraId="3298211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29DFC97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0" w:hRule="atLeast"/>
          <w:jc w:val="center"/>
        </w:trPr>
        <w:tc>
          <w:tcPr>
            <w:tcW w:w="533" w:type="dxa"/>
            <w:gridSpan w:val="2"/>
            <w:vMerge w:val="restart"/>
            <w:tcBorders>
              <w:tl2br w:val="nil"/>
              <w:tr2bl w:val="nil"/>
            </w:tcBorders>
            <w:vAlign w:val="center"/>
          </w:tcPr>
          <w:p w14:paraId="727E44A8">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kern w:val="0"/>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92</w:t>
            </w:r>
          </w:p>
        </w:tc>
        <w:tc>
          <w:tcPr>
            <w:tcW w:w="1376" w:type="dxa"/>
            <w:vMerge w:val="restart"/>
            <w:tcBorders>
              <w:tl2br w:val="nil"/>
              <w:tr2bl w:val="nil"/>
            </w:tcBorders>
            <w:vAlign w:val="center"/>
          </w:tcPr>
          <w:p w14:paraId="72A3774A">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使用单位擅自在建筑起重机械上安装非原制造厂制造的标准节和附着装置的</w:t>
            </w:r>
          </w:p>
        </w:tc>
        <w:tc>
          <w:tcPr>
            <w:tcW w:w="1128" w:type="dxa"/>
            <w:gridSpan w:val="2"/>
            <w:vMerge w:val="restart"/>
            <w:tcBorders>
              <w:tl2br w:val="nil"/>
              <w:tr2bl w:val="nil"/>
            </w:tcBorders>
            <w:vAlign w:val="center"/>
          </w:tcPr>
          <w:p w14:paraId="27EB1A34">
            <w:pPr>
              <w:keepNext w:val="0"/>
              <w:keepLines w:val="0"/>
              <w:pageBreakBefore w:val="0"/>
              <w:kinsoku/>
              <w:overflowPunct/>
              <w:topLinePunct w:val="0"/>
              <w:autoSpaceDE/>
              <w:autoSpaceDN/>
              <w:bidi w:val="0"/>
              <w:adjustRightInd/>
              <w:spacing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第二十条</w:t>
            </w:r>
          </w:p>
        </w:tc>
        <w:tc>
          <w:tcPr>
            <w:tcW w:w="4354" w:type="dxa"/>
            <w:vMerge w:val="restart"/>
            <w:tcBorders>
              <w:tl2br w:val="nil"/>
              <w:tr2bl w:val="nil"/>
            </w:tcBorders>
            <w:vAlign w:val="center"/>
          </w:tcPr>
          <w:p w14:paraId="17BA24F1">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p>
          <w:p w14:paraId="40541987">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第三十条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三</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违反本规定，使用单位有下列行为之一的，由县级以上地方人民政府建设主管部门责令限期改正，予以警告，并处以5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元以上3万元以下罚款：（三）擅自在建筑起重机械上安装非原制造厂制造的标准节和附着装置的。</w:t>
            </w:r>
          </w:p>
        </w:tc>
        <w:tc>
          <w:tcPr>
            <w:tcW w:w="912" w:type="dxa"/>
            <w:tcBorders>
              <w:tl2br w:val="nil"/>
              <w:tr2bl w:val="nil"/>
            </w:tcBorders>
            <w:vAlign w:val="center"/>
          </w:tcPr>
          <w:p w14:paraId="2F3F3864">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27DF93DA">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擅自在1台建筑起重机械上安装非原制造厂制造的标准节或附着装置的。</w:t>
            </w:r>
          </w:p>
        </w:tc>
        <w:tc>
          <w:tcPr>
            <w:tcW w:w="3375" w:type="dxa"/>
            <w:tcBorders>
              <w:tl2br w:val="nil"/>
              <w:tr2bl w:val="nil"/>
            </w:tcBorders>
            <w:vAlign w:val="center"/>
          </w:tcPr>
          <w:p w14:paraId="0122D1A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7BDCC24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0" w:hRule="atLeast"/>
          <w:jc w:val="center"/>
        </w:trPr>
        <w:tc>
          <w:tcPr>
            <w:tcW w:w="533" w:type="dxa"/>
            <w:gridSpan w:val="2"/>
            <w:vMerge w:val="continue"/>
            <w:tcBorders>
              <w:tl2br w:val="nil"/>
              <w:tr2bl w:val="nil"/>
            </w:tcBorders>
            <w:vAlign w:val="center"/>
          </w:tcPr>
          <w:p w14:paraId="77966DF2">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7550EDB1">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3AE097D2">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45A4A2D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42B655E3">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61FAC6B0">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擅自在2台建筑起重机械上安装非原制造厂制造的标准节或附着装置的。</w:t>
            </w:r>
          </w:p>
        </w:tc>
        <w:tc>
          <w:tcPr>
            <w:tcW w:w="3375" w:type="dxa"/>
            <w:tcBorders>
              <w:tl2br w:val="nil"/>
              <w:tr2bl w:val="nil"/>
            </w:tcBorders>
            <w:vAlign w:val="center"/>
          </w:tcPr>
          <w:p w14:paraId="7523CE4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6B34A8E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5" w:hRule="atLeast"/>
          <w:jc w:val="center"/>
        </w:trPr>
        <w:tc>
          <w:tcPr>
            <w:tcW w:w="533" w:type="dxa"/>
            <w:gridSpan w:val="2"/>
            <w:vMerge w:val="continue"/>
            <w:tcBorders>
              <w:tl2br w:val="nil"/>
              <w:tr2bl w:val="nil"/>
            </w:tcBorders>
            <w:vAlign w:val="center"/>
          </w:tcPr>
          <w:p w14:paraId="48BBC1F3">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1E571727">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27C5FA8C">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5221775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08E865A8">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57397F47">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擅自在3台以上建筑起重机械上安装非原制造厂制造的标准节或附着装置的；或造成一般以上安全事故的。</w:t>
            </w:r>
          </w:p>
        </w:tc>
        <w:tc>
          <w:tcPr>
            <w:tcW w:w="3375" w:type="dxa"/>
            <w:tcBorders>
              <w:tl2br w:val="nil"/>
              <w:tr2bl w:val="nil"/>
            </w:tcBorders>
            <w:vAlign w:val="center"/>
          </w:tcPr>
          <w:p w14:paraId="22859B3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2955620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4EC38D06">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kern w:val="0"/>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93</w:t>
            </w:r>
          </w:p>
        </w:tc>
        <w:tc>
          <w:tcPr>
            <w:tcW w:w="1376" w:type="dxa"/>
            <w:vMerge w:val="restart"/>
            <w:tcBorders>
              <w:tl2br w:val="nil"/>
              <w:tr2bl w:val="nil"/>
            </w:tcBorders>
            <w:vAlign w:val="center"/>
          </w:tcPr>
          <w:p w14:paraId="756C5B7E">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44337A3E">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3797BBC5">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施工总承包单位未向安装单位提供拟安装设备位置的基础施工资料，未能确保建筑起重机械进场安装、拆卸所需的施工条件的</w:t>
            </w:r>
          </w:p>
        </w:tc>
        <w:tc>
          <w:tcPr>
            <w:tcW w:w="1128" w:type="dxa"/>
            <w:gridSpan w:val="2"/>
            <w:vMerge w:val="restart"/>
            <w:tcBorders>
              <w:tl2br w:val="nil"/>
              <w:tr2bl w:val="nil"/>
            </w:tcBorders>
            <w:vAlign w:val="center"/>
          </w:tcPr>
          <w:p w14:paraId="6BE15387">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7C684762">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76D8B9EF">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第二十一条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354" w:type="dxa"/>
            <w:vMerge w:val="restart"/>
            <w:tcBorders>
              <w:tl2br w:val="nil"/>
              <w:tr2bl w:val="nil"/>
            </w:tcBorders>
            <w:vAlign w:val="center"/>
          </w:tcPr>
          <w:p w14:paraId="3E3E1F7C">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37EDBE65">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p>
          <w:p w14:paraId="48D80D36">
            <w:pPr>
              <w:keepNext w:val="0"/>
              <w:keepLines w:val="0"/>
              <w:pageBreakBefore w:val="0"/>
              <w:kinsoku/>
              <w:overflowPunct/>
              <w:topLinePunct w:val="0"/>
              <w:autoSpaceDE/>
              <w:autoSpaceDN/>
              <w:bidi w:val="0"/>
              <w:adjustRightInd/>
              <w:spacing w:line="260" w:lineRule="exact"/>
              <w:ind w:firstLine="420" w:firstLineChars="200"/>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第三十一条</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违反本规定，施工总承包单位未履行第二十一条第（一）、（三）、（四）、（五）、（七）项安全职责的，由县级以上地方人民政府建设主管部门责令限期改正，予以警告，并处以5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4FBB7CE3">
            <w:pPr>
              <w:keepNext w:val="0"/>
              <w:keepLines w:val="0"/>
              <w:pageBreakBefore w:val="0"/>
              <w:kinsoku/>
              <w:overflowPunct/>
              <w:topLinePunct w:val="0"/>
              <w:autoSpaceDE/>
              <w:autoSpaceDN/>
              <w:bidi w:val="0"/>
              <w:adjustRightInd/>
              <w:spacing w:line="260" w:lineRule="exact"/>
              <w:ind w:firstLine="420" w:firstLineChars="200"/>
              <w:jc w:val="left"/>
              <w:rPr>
                <w:rFonts w:hint="eastAsia" w:ascii="仿宋_GB2312" w:hAnsi="宋体" w:eastAsia="仿宋_GB2312"/>
                <w:color w:val="000000" w:themeColor="text1"/>
                <w:kern w:val="0"/>
                <w:szCs w:val="21"/>
                <w14:textFill>
                  <w14:solidFill>
                    <w14:schemeClr w14:val="tx1"/>
                  </w14:solidFill>
                </w14:textFill>
              </w:rPr>
            </w:pPr>
          </w:p>
          <w:p w14:paraId="692572AD">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p>
          <w:p w14:paraId="3209F5D3">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第二十一条</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施工总承包单位应当履行下列安全职责：</w:t>
            </w:r>
          </w:p>
          <w:p w14:paraId="7B0A2D4F">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（一）向安装单位提供拟安装设备位置的基础施工资料，确保建筑起重机械进场安装、拆卸所需的施工条件；</w:t>
            </w:r>
          </w:p>
        </w:tc>
        <w:tc>
          <w:tcPr>
            <w:tcW w:w="912" w:type="dxa"/>
            <w:tcBorders>
              <w:tl2br w:val="nil"/>
              <w:tr2bl w:val="nil"/>
            </w:tcBorders>
            <w:vAlign w:val="center"/>
          </w:tcPr>
          <w:p w14:paraId="264A09F2">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762DAFF8">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未提供1台拟安装设备位置的基础施工资料，未确保1台建筑起重机械进场安装、拆卸所需的施工条件。</w:t>
            </w:r>
          </w:p>
        </w:tc>
        <w:tc>
          <w:tcPr>
            <w:tcW w:w="3375" w:type="dxa"/>
            <w:tcBorders>
              <w:tl2br w:val="nil"/>
              <w:tr2bl w:val="nil"/>
            </w:tcBorders>
            <w:vAlign w:val="center"/>
          </w:tcPr>
          <w:p w14:paraId="25F0FD5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5347173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770560AF">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17A85F4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55BFE88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0AAB95E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45D7CF50">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722E385F">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未提供2台拟安装设备位置的基础施工资料，未确保2台建筑起重机械进场安装、拆卸所需的施工条件。</w:t>
            </w:r>
          </w:p>
        </w:tc>
        <w:tc>
          <w:tcPr>
            <w:tcW w:w="3375" w:type="dxa"/>
            <w:tcBorders>
              <w:tl2br w:val="nil"/>
              <w:tr2bl w:val="nil"/>
            </w:tcBorders>
            <w:vAlign w:val="center"/>
          </w:tcPr>
          <w:p w14:paraId="36689AA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5A0BB62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394CABEE">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093B553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38684DA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23F3C4B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29918BEE">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4FC19BA1">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未提供3台以上拟安装设备位置的基础施工资料，未确保3台以上建筑起重机械进场安装、拆卸所需的施工条件；或造成一定后果影响的。</w:t>
            </w:r>
          </w:p>
        </w:tc>
        <w:tc>
          <w:tcPr>
            <w:tcW w:w="3375" w:type="dxa"/>
            <w:tcBorders>
              <w:tl2br w:val="nil"/>
              <w:tr2bl w:val="nil"/>
            </w:tcBorders>
            <w:vAlign w:val="center"/>
          </w:tcPr>
          <w:p w14:paraId="0BE6E75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477F62B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5C485498">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kern w:val="0"/>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94</w:t>
            </w:r>
          </w:p>
        </w:tc>
        <w:tc>
          <w:tcPr>
            <w:tcW w:w="1376" w:type="dxa"/>
            <w:vMerge w:val="restart"/>
            <w:tcBorders>
              <w:tl2br w:val="nil"/>
              <w:tr2bl w:val="nil"/>
            </w:tcBorders>
            <w:vAlign w:val="center"/>
          </w:tcPr>
          <w:p w14:paraId="212F9371">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施工总承包单位未审核安装单位、使用单位的资质证书、安全生产许可证和特种作业人员的特种作业操作资格证书的</w:t>
            </w:r>
          </w:p>
        </w:tc>
        <w:tc>
          <w:tcPr>
            <w:tcW w:w="1128" w:type="dxa"/>
            <w:gridSpan w:val="2"/>
            <w:vMerge w:val="restart"/>
            <w:tcBorders>
              <w:tl2br w:val="nil"/>
              <w:tr2bl w:val="nil"/>
            </w:tcBorders>
            <w:vAlign w:val="center"/>
          </w:tcPr>
          <w:p w14:paraId="27EDA3C6">
            <w:pPr>
              <w:keepNext w:val="0"/>
              <w:keepLines w:val="0"/>
              <w:pageBreakBefore w:val="0"/>
              <w:kinsoku/>
              <w:overflowPunct/>
              <w:topLinePunct w:val="0"/>
              <w:autoSpaceDE/>
              <w:autoSpaceDN/>
              <w:bidi w:val="0"/>
              <w:adjustRightInd/>
              <w:spacing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第二十一条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三</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354" w:type="dxa"/>
            <w:vMerge w:val="restart"/>
            <w:tcBorders>
              <w:tl2br w:val="nil"/>
              <w:tr2bl w:val="nil"/>
            </w:tcBorders>
            <w:vAlign w:val="center"/>
          </w:tcPr>
          <w:p w14:paraId="095284D8">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第三十一条</w:t>
            </w:r>
          </w:p>
          <w:p w14:paraId="7F1B75FC">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违反本规定，施工总承包单位未履行第二十一条第（一）、（三）、（四）、（五）、（七）项安全职责的，由县级以上地方人民政府建设主管部门责令限期改正，予以警告，并处以5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128246E7">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第二十一条　施工总承包单位应当履行下列安全职责：</w:t>
            </w:r>
          </w:p>
          <w:p w14:paraId="5B4C17CE">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（三）审核安装单位、使用单位的资质证书、安全生产许可证和特种作业人员的特种作业操作资格证书；</w:t>
            </w:r>
          </w:p>
        </w:tc>
        <w:tc>
          <w:tcPr>
            <w:tcW w:w="912" w:type="dxa"/>
            <w:tcBorders>
              <w:tl2br w:val="nil"/>
              <w:tr2bl w:val="nil"/>
            </w:tcBorders>
            <w:vAlign w:val="center"/>
          </w:tcPr>
          <w:p w14:paraId="2398BF7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06B66E4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安装单位、使用单位的资质证书、安全生产许可证和特种作业人员的特种作业操作资格证书合乎要求，施工总承包单位未审核的。</w:t>
            </w:r>
          </w:p>
        </w:tc>
        <w:tc>
          <w:tcPr>
            <w:tcW w:w="3375" w:type="dxa"/>
            <w:tcBorders>
              <w:tl2br w:val="nil"/>
              <w:tr2bl w:val="nil"/>
            </w:tcBorders>
            <w:vAlign w:val="center"/>
          </w:tcPr>
          <w:p w14:paraId="3CF8CBE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1A622BB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6BB21353">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08C0FA3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3078A2A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030D13F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7344516E">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2D34499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安装单位、使用单位的资质证书、安全生产许可证和特种作业人员的特种作业操作资格证书不全，施工总承包单位未审核的。</w:t>
            </w:r>
          </w:p>
        </w:tc>
        <w:tc>
          <w:tcPr>
            <w:tcW w:w="3375" w:type="dxa"/>
            <w:tcBorders>
              <w:tl2br w:val="nil"/>
              <w:tr2bl w:val="nil"/>
            </w:tcBorders>
            <w:vAlign w:val="center"/>
          </w:tcPr>
          <w:p w14:paraId="76FEB11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04E5C97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224BE011">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6784E72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1E143B0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1A7982E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75E9844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4A618BF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安装单位、使用单位无资质证书、安全生产许可证和特种作业人员无特种作业操作资格证书，施工总承包单位未审核的。</w:t>
            </w:r>
          </w:p>
        </w:tc>
        <w:tc>
          <w:tcPr>
            <w:tcW w:w="3375" w:type="dxa"/>
            <w:tcBorders>
              <w:tl2br w:val="nil"/>
              <w:tr2bl w:val="nil"/>
            </w:tcBorders>
            <w:vAlign w:val="center"/>
          </w:tcPr>
          <w:p w14:paraId="287D325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563AE9E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7DF4DD84">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kern w:val="0"/>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95</w:t>
            </w:r>
          </w:p>
        </w:tc>
        <w:tc>
          <w:tcPr>
            <w:tcW w:w="1376" w:type="dxa"/>
            <w:vMerge w:val="restart"/>
            <w:tcBorders>
              <w:tl2br w:val="nil"/>
              <w:tr2bl w:val="nil"/>
            </w:tcBorders>
            <w:vAlign w:val="center"/>
          </w:tcPr>
          <w:p w14:paraId="6043E233">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施工总承包单位未审核安装单位制定的建筑起重机械安装、拆卸工程专项施工方案和生产安全事故应急救援预案的</w:t>
            </w:r>
          </w:p>
        </w:tc>
        <w:tc>
          <w:tcPr>
            <w:tcW w:w="1128" w:type="dxa"/>
            <w:gridSpan w:val="2"/>
            <w:vMerge w:val="restart"/>
            <w:tcBorders>
              <w:tl2br w:val="nil"/>
              <w:tr2bl w:val="nil"/>
            </w:tcBorders>
            <w:vAlign w:val="center"/>
          </w:tcPr>
          <w:p w14:paraId="20E4A8D5">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第二十一条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四</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354" w:type="dxa"/>
            <w:vMerge w:val="restart"/>
            <w:tcBorders>
              <w:tl2br w:val="nil"/>
              <w:tr2bl w:val="nil"/>
            </w:tcBorders>
            <w:vAlign w:val="center"/>
          </w:tcPr>
          <w:p w14:paraId="43A69D07">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p>
          <w:p w14:paraId="6B2E2355">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第三十一条</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违反本规定，施工总承包单位未履行第二十一条第（一）、（三）、（四）、（五）、（七）项安全职责的，由县级以上地方人民政府建设主管部门责令限期改正，予以警告，并处以5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3675E487">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第二十一条　施工总承包单位应当履行下列安全职责：</w:t>
            </w:r>
          </w:p>
          <w:p w14:paraId="44A06680">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（四）审核安装单位制定的建筑起重机械安装、拆卸工程专项施工方案和生产安全事故应急救援预案；</w:t>
            </w:r>
          </w:p>
        </w:tc>
        <w:tc>
          <w:tcPr>
            <w:tcW w:w="912" w:type="dxa"/>
            <w:tcBorders>
              <w:tl2br w:val="nil"/>
              <w:tr2bl w:val="nil"/>
            </w:tcBorders>
            <w:vAlign w:val="center"/>
          </w:tcPr>
          <w:p w14:paraId="34D3AB5F">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5E9BE19E">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施工总承包单位未审核1台建筑起重机械的安装、拆卸工程专项施工方案和生产安全事故应急救援预案的。</w:t>
            </w:r>
          </w:p>
        </w:tc>
        <w:tc>
          <w:tcPr>
            <w:tcW w:w="3375" w:type="dxa"/>
            <w:tcBorders>
              <w:tl2br w:val="nil"/>
              <w:tr2bl w:val="nil"/>
            </w:tcBorders>
            <w:vAlign w:val="center"/>
          </w:tcPr>
          <w:p w14:paraId="1D08598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60F8EDA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08C36EB3">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268F5A4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38C9EE3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41FBB1C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6C0B2534">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0E115097">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施工总承包单位未审核2台建筑起重机械的安装、拆卸工程专项施工方案和生产安全事故应急救援预案的。</w:t>
            </w:r>
          </w:p>
        </w:tc>
        <w:tc>
          <w:tcPr>
            <w:tcW w:w="3375" w:type="dxa"/>
            <w:tcBorders>
              <w:tl2br w:val="nil"/>
              <w:tr2bl w:val="nil"/>
            </w:tcBorders>
            <w:vAlign w:val="center"/>
          </w:tcPr>
          <w:p w14:paraId="7A019FD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1EA70BC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5376D7D8">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38A945F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74E63F2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57B1142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499EF7ED">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5D24BCE9">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施工总承包单位未审核3台以上建筑起重机械的安装、拆卸工程专项施工方案和生产安全事故应急救援预案或造成一定后果影响的。</w:t>
            </w:r>
          </w:p>
        </w:tc>
        <w:tc>
          <w:tcPr>
            <w:tcW w:w="3375" w:type="dxa"/>
            <w:tcBorders>
              <w:tl2br w:val="nil"/>
              <w:tr2bl w:val="nil"/>
            </w:tcBorders>
            <w:vAlign w:val="center"/>
          </w:tcPr>
          <w:p w14:paraId="0CF26EE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1E11BFF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5AB35B3D">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kern w:val="0"/>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96</w:t>
            </w:r>
          </w:p>
        </w:tc>
        <w:tc>
          <w:tcPr>
            <w:tcW w:w="1376" w:type="dxa"/>
            <w:vMerge w:val="restart"/>
            <w:tcBorders>
              <w:tl2br w:val="nil"/>
              <w:tr2bl w:val="nil"/>
            </w:tcBorders>
            <w:vAlign w:val="center"/>
          </w:tcPr>
          <w:p w14:paraId="53FF7F55">
            <w:pPr>
              <w:keepNext w:val="0"/>
              <w:keepLines w:val="0"/>
              <w:pageBreakBefore w:val="0"/>
              <w:kinsoku/>
              <w:overflowPunct/>
              <w:topLinePunct w:val="0"/>
              <w:autoSpaceDE/>
              <w:autoSpaceDN/>
              <w:bidi w:val="0"/>
              <w:adjustRightInd/>
              <w:spacing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p w14:paraId="0F03DA41">
            <w:pPr>
              <w:keepNext w:val="0"/>
              <w:keepLines w:val="0"/>
              <w:pageBreakBefore w:val="0"/>
              <w:kinsoku/>
              <w:overflowPunct/>
              <w:topLinePunct w:val="0"/>
              <w:autoSpaceDE/>
              <w:autoSpaceDN/>
              <w:bidi w:val="0"/>
              <w:adjustRightInd/>
              <w:spacing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施工总承包单位未审核使用单位制定的建筑起重机械生产安全事故应急救援预案的</w:t>
            </w:r>
          </w:p>
        </w:tc>
        <w:tc>
          <w:tcPr>
            <w:tcW w:w="1128" w:type="dxa"/>
            <w:gridSpan w:val="2"/>
            <w:vMerge w:val="restart"/>
            <w:tcBorders>
              <w:tl2br w:val="nil"/>
              <w:tr2bl w:val="nil"/>
            </w:tcBorders>
            <w:vAlign w:val="center"/>
          </w:tcPr>
          <w:p w14:paraId="54F0C64C">
            <w:pPr>
              <w:keepNext w:val="0"/>
              <w:keepLines w:val="0"/>
              <w:pageBreakBefore w:val="0"/>
              <w:kinsoku/>
              <w:overflowPunct/>
              <w:topLinePunct w:val="0"/>
              <w:autoSpaceDE/>
              <w:autoSpaceDN/>
              <w:bidi w:val="0"/>
              <w:adjustRightInd/>
              <w:spacing w:line="260" w:lineRule="exact"/>
              <w:ind w:right="-2" w:rightChars="-1"/>
              <w:jc w:val="center"/>
              <w:rPr>
                <w:rFonts w:ascii="仿宋_GB2312" w:hAnsi="宋体" w:eastAsia="仿宋_GB2312"/>
                <w:color w:val="000000" w:themeColor="text1"/>
                <w:kern w:val="0"/>
                <w:szCs w:val="21"/>
                <w14:textFill>
                  <w14:solidFill>
                    <w14:schemeClr w14:val="tx1"/>
                  </w14:solidFill>
                </w14:textFill>
              </w:rPr>
            </w:pPr>
          </w:p>
          <w:p w14:paraId="2882A164">
            <w:pPr>
              <w:keepNext w:val="0"/>
              <w:keepLines w:val="0"/>
              <w:pageBreakBefore w:val="0"/>
              <w:kinsoku/>
              <w:overflowPunct/>
              <w:topLinePunct w:val="0"/>
              <w:autoSpaceDE/>
              <w:autoSpaceDN/>
              <w:bidi w:val="0"/>
              <w:adjustRightInd/>
              <w:spacing w:line="260" w:lineRule="exact"/>
              <w:ind w:right="-2" w:rightChars="-1"/>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第二十一条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（五）</w:t>
            </w:r>
            <w:r>
              <w:rPr>
                <w:rFonts w:ascii="仿宋_GB2312" w:hAnsi="宋体" w:eastAsia="仿宋_GB2312"/>
                <w:color w:val="000000" w:themeColor="text1"/>
                <w:kern w:val="0"/>
                <w:szCs w:val="21"/>
                <w14:textFill>
                  <w14:solidFill>
                    <w14:schemeClr w14:val="tx1"/>
                  </w14:solidFill>
                </w14:textFill>
              </w:rPr>
              <w:t>项</w:t>
            </w:r>
          </w:p>
        </w:tc>
        <w:tc>
          <w:tcPr>
            <w:tcW w:w="4354" w:type="dxa"/>
            <w:vMerge w:val="restart"/>
            <w:tcBorders>
              <w:tl2br w:val="nil"/>
              <w:tr2bl w:val="nil"/>
            </w:tcBorders>
            <w:vAlign w:val="center"/>
          </w:tcPr>
          <w:p w14:paraId="2FF3A885">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081FCF62">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p>
          <w:p w14:paraId="7523000C">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第三十一条</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违反本规定，施工总承包单位未履行第二十一条第（一）、（三）、（四）、（五）、（七）项安全职责的，由县级以上地方人民政府建设主管部门责令限期改正，予以警告，并处以5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30976395">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p>
          <w:p w14:paraId="49F446DD">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第二十一条</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施工总承包单位应当履行下列安全职责：</w:t>
            </w:r>
          </w:p>
          <w:p w14:paraId="16AFD02A">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（五）审核使用单位制定的建筑起重机械生产安全事故应急救援预案；</w:t>
            </w:r>
          </w:p>
        </w:tc>
        <w:tc>
          <w:tcPr>
            <w:tcW w:w="912" w:type="dxa"/>
            <w:tcBorders>
              <w:tl2br w:val="nil"/>
              <w:tr2bl w:val="nil"/>
            </w:tcBorders>
            <w:vAlign w:val="center"/>
          </w:tcPr>
          <w:p w14:paraId="2ACD634B">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7393DE3F">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施工总承包单位未审核使用单位制定的1台建筑起重机械生产安全事故应急救援预案的。</w:t>
            </w:r>
          </w:p>
        </w:tc>
        <w:tc>
          <w:tcPr>
            <w:tcW w:w="3375" w:type="dxa"/>
            <w:tcBorders>
              <w:tl2br w:val="nil"/>
              <w:tr2bl w:val="nil"/>
            </w:tcBorders>
            <w:vAlign w:val="center"/>
          </w:tcPr>
          <w:p w14:paraId="04BEC3F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5D45613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6" w:hRule="atLeast"/>
          <w:jc w:val="center"/>
        </w:trPr>
        <w:tc>
          <w:tcPr>
            <w:tcW w:w="533" w:type="dxa"/>
            <w:gridSpan w:val="2"/>
            <w:vMerge w:val="continue"/>
            <w:tcBorders>
              <w:tl2br w:val="nil"/>
              <w:tr2bl w:val="nil"/>
            </w:tcBorders>
            <w:vAlign w:val="center"/>
          </w:tcPr>
          <w:p w14:paraId="083CA06F">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7A502687">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303A01FD">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4EE4584F">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63872B82">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1F353366">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施工总承包单位未审核使用单位制定的2台建筑起重机械生产安全事故应急救援预案的。</w:t>
            </w:r>
          </w:p>
        </w:tc>
        <w:tc>
          <w:tcPr>
            <w:tcW w:w="3375" w:type="dxa"/>
            <w:tcBorders>
              <w:tl2br w:val="nil"/>
              <w:tr2bl w:val="nil"/>
            </w:tcBorders>
            <w:vAlign w:val="center"/>
          </w:tcPr>
          <w:p w14:paraId="496D6B5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6DA833B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17" w:hRule="atLeast"/>
          <w:jc w:val="center"/>
        </w:trPr>
        <w:tc>
          <w:tcPr>
            <w:tcW w:w="533" w:type="dxa"/>
            <w:gridSpan w:val="2"/>
            <w:vMerge w:val="continue"/>
            <w:tcBorders>
              <w:tl2br w:val="nil"/>
              <w:tr2bl w:val="nil"/>
            </w:tcBorders>
            <w:vAlign w:val="center"/>
          </w:tcPr>
          <w:p w14:paraId="1C8B745C">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778A219B">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2F21311B">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1B36B571">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6C54D344">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7B41EC0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施工总承包单位未审核使用单位制定的3台以上建筑起重机械生产安全事故应急救援预案或造成一定后果影响的。</w:t>
            </w:r>
          </w:p>
        </w:tc>
        <w:tc>
          <w:tcPr>
            <w:tcW w:w="3375" w:type="dxa"/>
            <w:tcBorders>
              <w:tl2br w:val="nil"/>
              <w:tr2bl w:val="nil"/>
            </w:tcBorders>
            <w:vAlign w:val="center"/>
          </w:tcPr>
          <w:p w14:paraId="7DC28AE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2430452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79A9BCCC">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kern w:val="0"/>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97</w:t>
            </w:r>
          </w:p>
        </w:tc>
        <w:tc>
          <w:tcPr>
            <w:tcW w:w="1376" w:type="dxa"/>
            <w:vMerge w:val="restart"/>
            <w:tcBorders>
              <w:tl2br w:val="nil"/>
              <w:tr2bl w:val="nil"/>
            </w:tcBorders>
            <w:vAlign w:val="center"/>
          </w:tcPr>
          <w:p w14:paraId="46D4A30E">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施工总承包单位在施工现场有多台塔式起重机作业时，未组织制定并实施防止塔式起重机相互碰撞的安全措施的</w:t>
            </w:r>
          </w:p>
        </w:tc>
        <w:tc>
          <w:tcPr>
            <w:tcW w:w="1128" w:type="dxa"/>
            <w:gridSpan w:val="2"/>
            <w:vMerge w:val="restart"/>
            <w:tcBorders>
              <w:tl2br w:val="nil"/>
              <w:tr2bl w:val="nil"/>
            </w:tcBorders>
            <w:vAlign w:val="center"/>
          </w:tcPr>
          <w:p w14:paraId="6FE5CA9B">
            <w:pPr>
              <w:keepNext w:val="0"/>
              <w:keepLines w:val="0"/>
              <w:pageBreakBefore w:val="0"/>
              <w:kinsoku/>
              <w:overflowPunct/>
              <w:topLinePunct w:val="0"/>
              <w:autoSpaceDE/>
              <w:autoSpaceDN/>
              <w:bidi w:val="0"/>
              <w:adjustRightInd/>
              <w:spacing w:line="260" w:lineRule="exact"/>
              <w:ind w:right="-2" w:rightChars="-1"/>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第二十一条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七</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354" w:type="dxa"/>
            <w:vMerge w:val="restart"/>
            <w:tcBorders>
              <w:tl2br w:val="nil"/>
              <w:tr2bl w:val="nil"/>
            </w:tcBorders>
            <w:vAlign w:val="center"/>
          </w:tcPr>
          <w:p w14:paraId="4057856B">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p>
          <w:p w14:paraId="104A82B6">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第三十一条</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违反本规定，施工总承包单位未履行第二十一条第（一）、（三）、（四）、（五）、（七）项安全职责的，由县级以上地方人民政府建设主管部门责令限期改正，予以警告，并处以5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49DC0BD3">
            <w:pPr>
              <w:keepNext w:val="0"/>
              <w:keepLines w:val="0"/>
              <w:pageBreakBefore w:val="0"/>
              <w:kinsoku/>
              <w:overflowPunct/>
              <w:topLinePunct w:val="0"/>
              <w:autoSpaceDE/>
              <w:autoSpaceDN/>
              <w:bidi w:val="0"/>
              <w:adjustRightInd/>
              <w:spacing w:line="260" w:lineRule="exact"/>
              <w:ind w:firstLine="420" w:firstLineChars="200"/>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第二十一条　施工总承包单位应当履行下列安全职责：</w:t>
            </w:r>
          </w:p>
          <w:p w14:paraId="142583CC">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（七）施工现场有多台塔式起重机作业时，应当组织制定并实施防止塔式起重机相互碰撞的安全措施。</w:t>
            </w:r>
          </w:p>
        </w:tc>
        <w:tc>
          <w:tcPr>
            <w:tcW w:w="912" w:type="dxa"/>
            <w:tcBorders>
              <w:tl2br w:val="nil"/>
              <w:tr2bl w:val="nil"/>
            </w:tcBorders>
            <w:vAlign w:val="center"/>
          </w:tcPr>
          <w:p w14:paraId="6E8E3011">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587A79A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施工现场应当组织制定并实施防止相互碰撞的安全措施的塔式起重机有2台的。</w:t>
            </w:r>
          </w:p>
        </w:tc>
        <w:tc>
          <w:tcPr>
            <w:tcW w:w="3375" w:type="dxa"/>
            <w:tcBorders>
              <w:tl2br w:val="nil"/>
              <w:tr2bl w:val="nil"/>
            </w:tcBorders>
            <w:vAlign w:val="center"/>
          </w:tcPr>
          <w:p w14:paraId="76CE35B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4B33ABB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78A28C04">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4F23082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06F21EA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4AE2891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616D7877">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2E1F178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施工现场应当组织制定并实施防止相互碰撞的安全措施的塔式起重机有3台的。</w:t>
            </w:r>
          </w:p>
        </w:tc>
        <w:tc>
          <w:tcPr>
            <w:tcW w:w="3375" w:type="dxa"/>
            <w:tcBorders>
              <w:tl2br w:val="nil"/>
              <w:tr2bl w:val="nil"/>
            </w:tcBorders>
            <w:vAlign w:val="center"/>
          </w:tcPr>
          <w:p w14:paraId="47DC348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20EB5A2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2E1EA7A4">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71912DD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75C9F7F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4CC58BF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2A424BC4">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13B69FE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施工现场应当组织制定并实施防止相互碰撞的安全措施的塔式起重机有4台以上；或造成一定后果影响的。</w:t>
            </w:r>
          </w:p>
        </w:tc>
        <w:tc>
          <w:tcPr>
            <w:tcW w:w="3375" w:type="dxa"/>
            <w:tcBorders>
              <w:tl2br w:val="nil"/>
              <w:tr2bl w:val="nil"/>
            </w:tcBorders>
            <w:vAlign w:val="center"/>
          </w:tcPr>
          <w:p w14:paraId="5C7C0B3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35BF008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8" w:hRule="atLeast"/>
          <w:jc w:val="center"/>
        </w:trPr>
        <w:tc>
          <w:tcPr>
            <w:tcW w:w="533" w:type="dxa"/>
            <w:gridSpan w:val="2"/>
            <w:vMerge w:val="restart"/>
            <w:tcBorders>
              <w:tl2br w:val="nil"/>
              <w:tr2bl w:val="nil"/>
            </w:tcBorders>
            <w:vAlign w:val="center"/>
          </w:tcPr>
          <w:p w14:paraId="02BFFB7D">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kern w:val="0"/>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98</w:t>
            </w:r>
          </w:p>
        </w:tc>
        <w:tc>
          <w:tcPr>
            <w:tcW w:w="1376" w:type="dxa"/>
            <w:vMerge w:val="restart"/>
            <w:tcBorders>
              <w:tl2br w:val="nil"/>
              <w:tr2bl w:val="nil"/>
            </w:tcBorders>
            <w:vAlign w:val="center"/>
          </w:tcPr>
          <w:p w14:paraId="783932E9">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28048BFC">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4A0864A6">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56B05A3A">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监理单位未审核建筑起重机械特种设备制造许可证、产品合格证、制造监督检验证明、备案证明等文件的</w:t>
            </w:r>
          </w:p>
        </w:tc>
        <w:tc>
          <w:tcPr>
            <w:tcW w:w="1128" w:type="dxa"/>
            <w:gridSpan w:val="2"/>
            <w:vMerge w:val="restart"/>
            <w:tcBorders>
              <w:tl2br w:val="nil"/>
              <w:tr2bl w:val="nil"/>
            </w:tcBorders>
            <w:vAlign w:val="center"/>
          </w:tcPr>
          <w:p w14:paraId="708D9ACC">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14C736D4">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080791FC">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39062014">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第二十二条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354" w:type="dxa"/>
            <w:vMerge w:val="restart"/>
            <w:tcBorders>
              <w:tl2br w:val="nil"/>
              <w:tr2bl w:val="nil"/>
            </w:tcBorders>
            <w:vAlign w:val="center"/>
          </w:tcPr>
          <w:p w14:paraId="4FC823BF">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401AD210">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69338F52">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42B6F55A">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p>
          <w:p w14:paraId="322E77C1">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第三十二条</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违反本规定，监理单位未履行第二十二条第（一）、（二）、（四）、（五）项安全职责的，由县级以上地方人民政府建设主管部门责令限期改正，予以警告，并处以5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0CA19592">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p>
          <w:p w14:paraId="35C19EEE">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第二十二条</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监理单位应当履行下列安全职责：</w:t>
            </w:r>
          </w:p>
          <w:p w14:paraId="34F9C31F">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（一）审核建筑起重机械特种设备制造许可证、产品合格证、制造监督检验证明、备案证明等文件；</w:t>
            </w:r>
          </w:p>
        </w:tc>
        <w:tc>
          <w:tcPr>
            <w:tcW w:w="912" w:type="dxa"/>
            <w:tcBorders>
              <w:tl2br w:val="nil"/>
              <w:tr2bl w:val="nil"/>
            </w:tcBorders>
            <w:vAlign w:val="center"/>
          </w:tcPr>
          <w:p w14:paraId="019DD22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30F0649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安装单位、使用单位的建筑起重机械特种设备制造许可证、产品合格证、制造监督检验证明、备案证明等文件合乎要求，监理单位未审核的。</w:t>
            </w:r>
          </w:p>
        </w:tc>
        <w:tc>
          <w:tcPr>
            <w:tcW w:w="3375" w:type="dxa"/>
            <w:tcBorders>
              <w:tl2br w:val="nil"/>
              <w:tr2bl w:val="nil"/>
            </w:tcBorders>
            <w:vAlign w:val="center"/>
          </w:tcPr>
          <w:p w14:paraId="0DBF60F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2D1509B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8" w:hRule="atLeast"/>
          <w:jc w:val="center"/>
        </w:trPr>
        <w:tc>
          <w:tcPr>
            <w:tcW w:w="533" w:type="dxa"/>
            <w:gridSpan w:val="2"/>
            <w:vMerge w:val="continue"/>
            <w:tcBorders>
              <w:tl2br w:val="nil"/>
              <w:tr2bl w:val="nil"/>
            </w:tcBorders>
            <w:vAlign w:val="center"/>
          </w:tcPr>
          <w:p w14:paraId="04E67AC5">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413812C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31B0111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150387E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02B7C92E">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5FE2FEB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安装单位、使用单位的建筑起重机械特种设备制造许可证、产品合格证、制造监督检验证明、备案证明等文件不全，监理单位未审核的。</w:t>
            </w:r>
          </w:p>
        </w:tc>
        <w:tc>
          <w:tcPr>
            <w:tcW w:w="3375" w:type="dxa"/>
            <w:tcBorders>
              <w:tl2br w:val="nil"/>
              <w:tr2bl w:val="nil"/>
            </w:tcBorders>
            <w:vAlign w:val="center"/>
          </w:tcPr>
          <w:p w14:paraId="079EF11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2BC0BEB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5FA7AAFC">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6CED632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21A170F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1037119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0A290764">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118BF09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安装单位、使用单位无建筑起重机械特种设备制造许可证、产品合格证、制造监督检验证明、备案证明等文件，监理单位未审核的。</w:t>
            </w:r>
          </w:p>
        </w:tc>
        <w:tc>
          <w:tcPr>
            <w:tcW w:w="3375" w:type="dxa"/>
            <w:tcBorders>
              <w:tl2br w:val="nil"/>
              <w:tr2bl w:val="nil"/>
            </w:tcBorders>
            <w:vAlign w:val="center"/>
          </w:tcPr>
          <w:p w14:paraId="7A8E6FB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6F62EBB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3" w:hRule="atLeast"/>
          <w:jc w:val="center"/>
        </w:trPr>
        <w:tc>
          <w:tcPr>
            <w:tcW w:w="533" w:type="dxa"/>
            <w:gridSpan w:val="2"/>
            <w:vMerge w:val="restart"/>
            <w:tcBorders>
              <w:tl2br w:val="nil"/>
              <w:tr2bl w:val="nil"/>
            </w:tcBorders>
            <w:vAlign w:val="center"/>
          </w:tcPr>
          <w:p w14:paraId="76396CBF">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kern w:val="0"/>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99</w:t>
            </w:r>
          </w:p>
        </w:tc>
        <w:tc>
          <w:tcPr>
            <w:tcW w:w="1376" w:type="dxa"/>
            <w:vMerge w:val="restart"/>
            <w:tcBorders>
              <w:tl2br w:val="nil"/>
              <w:tr2bl w:val="nil"/>
            </w:tcBorders>
            <w:vAlign w:val="center"/>
          </w:tcPr>
          <w:p w14:paraId="70475113">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3923719B">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64DC57B3">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监理单位未审核建筑起重机械安装单位、使用单位的资质证书、安全生产许可证和特种作业人员的特种作业操作资格证书的</w:t>
            </w:r>
          </w:p>
        </w:tc>
        <w:tc>
          <w:tcPr>
            <w:tcW w:w="1128" w:type="dxa"/>
            <w:gridSpan w:val="2"/>
            <w:vMerge w:val="restart"/>
            <w:tcBorders>
              <w:tl2br w:val="nil"/>
              <w:tr2bl w:val="nil"/>
            </w:tcBorders>
            <w:vAlign w:val="center"/>
          </w:tcPr>
          <w:p w14:paraId="4C215D01">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75418662">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2534F0AE">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第二十二条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354" w:type="dxa"/>
            <w:vMerge w:val="restart"/>
            <w:tcBorders>
              <w:tl2br w:val="nil"/>
              <w:tr2bl w:val="nil"/>
            </w:tcBorders>
            <w:vAlign w:val="center"/>
          </w:tcPr>
          <w:p w14:paraId="6BCCCCC0">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2F8B85E7">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041C45D3">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p>
          <w:p w14:paraId="6115B85E">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第三十二条</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违反本规定，监理单位未履行第二十二条第（一）、（二）、（四）、（五）项安全职责的，由县级以上地方人民政府建设主管部门责令限期改正，予以警告，并处以5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4B409F85">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p>
          <w:p w14:paraId="1DB68E9B">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第二十二条</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监理单位应当履行下列安全职责：</w:t>
            </w:r>
          </w:p>
          <w:p w14:paraId="7920C43F">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（二）审核建筑起重机械安装单位、使用单位的资质证书、安全生产许可证和特种作业人员的特种作业操作资格证书；</w:t>
            </w:r>
          </w:p>
        </w:tc>
        <w:tc>
          <w:tcPr>
            <w:tcW w:w="912" w:type="dxa"/>
            <w:tcBorders>
              <w:tl2br w:val="nil"/>
              <w:tr2bl w:val="nil"/>
            </w:tcBorders>
            <w:vAlign w:val="center"/>
          </w:tcPr>
          <w:p w14:paraId="64AD84F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27D3C764">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安装单位、使用单位的资质证书、安全生产许可证和特种作业人员的特种作业操作资格证书合乎要求，监理单位未审核的。</w:t>
            </w:r>
          </w:p>
        </w:tc>
        <w:tc>
          <w:tcPr>
            <w:tcW w:w="3375" w:type="dxa"/>
            <w:tcBorders>
              <w:tl2br w:val="nil"/>
              <w:tr2bl w:val="nil"/>
            </w:tcBorders>
            <w:vAlign w:val="center"/>
          </w:tcPr>
          <w:p w14:paraId="72CB530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1B90DA8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1" w:hRule="atLeast"/>
          <w:jc w:val="center"/>
        </w:trPr>
        <w:tc>
          <w:tcPr>
            <w:tcW w:w="533" w:type="dxa"/>
            <w:gridSpan w:val="2"/>
            <w:vMerge w:val="continue"/>
            <w:tcBorders>
              <w:tl2br w:val="nil"/>
              <w:tr2bl w:val="nil"/>
            </w:tcBorders>
            <w:vAlign w:val="center"/>
          </w:tcPr>
          <w:p w14:paraId="0F021030">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004FEEB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6A02F6E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52E67D1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7CA1DEF8">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3F05AA4D">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安装单位、使用单位的资质证书、安全生产许可证和特种作业人员的特种作业操作资格证书不全，监理单位未审核的。</w:t>
            </w:r>
          </w:p>
        </w:tc>
        <w:tc>
          <w:tcPr>
            <w:tcW w:w="3375" w:type="dxa"/>
            <w:tcBorders>
              <w:tl2br w:val="nil"/>
              <w:tr2bl w:val="nil"/>
            </w:tcBorders>
            <w:vAlign w:val="center"/>
          </w:tcPr>
          <w:p w14:paraId="66222D5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7D1A41C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9" w:hRule="atLeast"/>
          <w:jc w:val="center"/>
        </w:trPr>
        <w:tc>
          <w:tcPr>
            <w:tcW w:w="533" w:type="dxa"/>
            <w:gridSpan w:val="2"/>
            <w:vMerge w:val="continue"/>
            <w:tcBorders>
              <w:tl2br w:val="nil"/>
              <w:tr2bl w:val="nil"/>
            </w:tcBorders>
            <w:vAlign w:val="center"/>
          </w:tcPr>
          <w:p w14:paraId="6A58C043">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6A34F07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34D8C18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7023D30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6BDA7E1D">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7E30A26E">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安装单位、使用单位无资质证书、安全生产许可证和特种作业人员无特种作业操作资格证书，监理单位未审核的。</w:t>
            </w:r>
          </w:p>
        </w:tc>
        <w:tc>
          <w:tcPr>
            <w:tcW w:w="3375" w:type="dxa"/>
            <w:tcBorders>
              <w:tl2br w:val="nil"/>
              <w:tr2bl w:val="nil"/>
            </w:tcBorders>
            <w:vAlign w:val="center"/>
          </w:tcPr>
          <w:p w14:paraId="7450A62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7C161C2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5" w:hRule="atLeast"/>
          <w:jc w:val="center"/>
        </w:trPr>
        <w:tc>
          <w:tcPr>
            <w:tcW w:w="533" w:type="dxa"/>
            <w:gridSpan w:val="2"/>
            <w:vMerge w:val="restart"/>
            <w:tcBorders>
              <w:tl2br w:val="nil"/>
              <w:tr2bl w:val="nil"/>
            </w:tcBorders>
            <w:vAlign w:val="center"/>
          </w:tcPr>
          <w:p w14:paraId="2498B75D">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kern w:val="0"/>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100</w:t>
            </w:r>
          </w:p>
        </w:tc>
        <w:tc>
          <w:tcPr>
            <w:tcW w:w="1376" w:type="dxa"/>
            <w:vMerge w:val="restart"/>
            <w:tcBorders>
              <w:tl2br w:val="nil"/>
              <w:tr2bl w:val="nil"/>
            </w:tcBorders>
            <w:vAlign w:val="center"/>
          </w:tcPr>
          <w:p w14:paraId="74B6E4B5">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监理单位未监督安装单位执行建筑起重机械安装、拆卸工程专项施工方案情况的</w:t>
            </w:r>
          </w:p>
        </w:tc>
        <w:tc>
          <w:tcPr>
            <w:tcW w:w="1128" w:type="dxa"/>
            <w:gridSpan w:val="2"/>
            <w:vMerge w:val="restart"/>
            <w:tcBorders>
              <w:tl2br w:val="nil"/>
              <w:tr2bl w:val="nil"/>
            </w:tcBorders>
            <w:vAlign w:val="center"/>
          </w:tcPr>
          <w:p w14:paraId="11C622F4">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第二十二条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四</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354" w:type="dxa"/>
            <w:vMerge w:val="restart"/>
            <w:tcBorders>
              <w:tl2br w:val="nil"/>
              <w:tr2bl w:val="nil"/>
            </w:tcBorders>
            <w:vAlign w:val="center"/>
          </w:tcPr>
          <w:p w14:paraId="3C7E0226">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p>
          <w:p w14:paraId="285AD95A">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第三十二条</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违反本规定，监理单位未履行第二十二条第（一）、（二）、（四）、（五）项安全职责的，由县级以上地方人民政府建设主管部门责令限期改正，予以警告，并处以5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414DCFCD">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p>
          <w:p w14:paraId="191F86FB">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第二十二条</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监理单位应当履行下列安全职责：</w:t>
            </w:r>
          </w:p>
          <w:p w14:paraId="7073AE06">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（四）监督安装单位执行建筑起重机械安装、拆卸工程专项施工方案情况；</w:t>
            </w:r>
          </w:p>
        </w:tc>
        <w:tc>
          <w:tcPr>
            <w:tcW w:w="912" w:type="dxa"/>
            <w:tcBorders>
              <w:tl2br w:val="nil"/>
              <w:tr2bl w:val="nil"/>
            </w:tcBorders>
            <w:vAlign w:val="center"/>
          </w:tcPr>
          <w:p w14:paraId="6B59F47F">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35BAD6B8">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监理单位未监督安装单位执行1台建筑起重机械安装、拆卸工程专项施工方案情况的。</w:t>
            </w:r>
          </w:p>
        </w:tc>
        <w:tc>
          <w:tcPr>
            <w:tcW w:w="3375" w:type="dxa"/>
            <w:tcBorders>
              <w:tl2br w:val="nil"/>
              <w:tr2bl w:val="nil"/>
            </w:tcBorders>
            <w:vAlign w:val="center"/>
          </w:tcPr>
          <w:p w14:paraId="45739A1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40AF39B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9" w:hRule="atLeast"/>
          <w:jc w:val="center"/>
        </w:trPr>
        <w:tc>
          <w:tcPr>
            <w:tcW w:w="533" w:type="dxa"/>
            <w:gridSpan w:val="2"/>
            <w:vMerge w:val="continue"/>
            <w:tcBorders>
              <w:tl2br w:val="nil"/>
              <w:tr2bl w:val="nil"/>
            </w:tcBorders>
            <w:vAlign w:val="center"/>
          </w:tcPr>
          <w:p w14:paraId="03570FFE">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2C24373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7D91F1D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7ECCDEC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3298273D">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4376C807">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监理单位未监督安装单位执行2台建筑起重机械安装、拆卸工程专项施工方案情况的。</w:t>
            </w:r>
          </w:p>
        </w:tc>
        <w:tc>
          <w:tcPr>
            <w:tcW w:w="3375" w:type="dxa"/>
            <w:tcBorders>
              <w:tl2br w:val="nil"/>
              <w:tr2bl w:val="nil"/>
            </w:tcBorders>
            <w:vAlign w:val="center"/>
          </w:tcPr>
          <w:p w14:paraId="05190BF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1D24C7C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2" w:hRule="atLeast"/>
          <w:jc w:val="center"/>
        </w:trPr>
        <w:tc>
          <w:tcPr>
            <w:tcW w:w="533" w:type="dxa"/>
            <w:gridSpan w:val="2"/>
            <w:vMerge w:val="continue"/>
            <w:tcBorders>
              <w:tl2br w:val="nil"/>
              <w:tr2bl w:val="nil"/>
            </w:tcBorders>
            <w:vAlign w:val="center"/>
          </w:tcPr>
          <w:p w14:paraId="0A2DFF82">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5AF6E9B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17ED32D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64BEBD4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05469F8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0307137D">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监理单位未监督安装单位执行3台以上建筑起重机械安装、拆卸工程专项施工方案情况；或造成一定后果影响的。</w:t>
            </w:r>
          </w:p>
        </w:tc>
        <w:tc>
          <w:tcPr>
            <w:tcW w:w="3375" w:type="dxa"/>
            <w:tcBorders>
              <w:tl2br w:val="nil"/>
              <w:tr2bl w:val="nil"/>
            </w:tcBorders>
            <w:vAlign w:val="center"/>
          </w:tcPr>
          <w:p w14:paraId="1C23498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56AEAF5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2B5CD45A">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kern w:val="0"/>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101</w:t>
            </w:r>
          </w:p>
        </w:tc>
        <w:tc>
          <w:tcPr>
            <w:tcW w:w="1376" w:type="dxa"/>
            <w:vMerge w:val="restart"/>
            <w:tcBorders>
              <w:tl2br w:val="nil"/>
              <w:tr2bl w:val="nil"/>
            </w:tcBorders>
            <w:vAlign w:val="center"/>
          </w:tcPr>
          <w:p w14:paraId="1177DB21">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监理单位未监督检查建筑起重机械的使用情况的</w:t>
            </w:r>
          </w:p>
        </w:tc>
        <w:tc>
          <w:tcPr>
            <w:tcW w:w="1128" w:type="dxa"/>
            <w:gridSpan w:val="2"/>
            <w:vMerge w:val="restart"/>
            <w:tcBorders>
              <w:tl2br w:val="nil"/>
              <w:tr2bl w:val="nil"/>
            </w:tcBorders>
            <w:vAlign w:val="center"/>
          </w:tcPr>
          <w:p w14:paraId="10607AF0">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7A765E88">
            <w:pPr>
              <w:keepNext w:val="0"/>
              <w:keepLines w:val="0"/>
              <w:pageBreakBefore w:val="0"/>
              <w:kinsoku/>
              <w:overflowPunct/>
              <w:topLinePunct w:val="0"/>
              <w:autoSpaceDE/>
              <w:autoSpaceDN/>
              <w:bidi w:val="0"/>
              <w:adjustRightInd/>
              <w:spacing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第二十二条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五</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354" w:type="dxa"/>
            <w:vMerge w:val="restart"/>
            <w:tcBorders>
              <w:tl2br w:val="nil"/>
              <w:tr2bl w:val="nil"/>
            </w:tcBorders>
            <w:vAlign w:val="center"/>
          </w:tcPr>
          <w:p w14:paraId="3E426C30">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p>
          <w:p w14:paraId="088A0912">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第三十二条</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违反本规定，监理单位未履行第二十二条第（一）、（二）、（四）、（五）项安全职责的，由县级以上地方人民政府建设主管部门责令限期改正，予以警告，并处以5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462237D0">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p>
          <w:p w14:paraId="3121D55C">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第二十二条</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监理单位应当履行下列安全职责：</w:t>
            </w:r>
          </w:p>
          <w:p w14:paraId="770CC68C">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（五）监督检查建筑起重机械的使用情况；</w:t>
            </w:r>
          </w:p>
        </w:tc>
        <w:tc>
          <w:tcPr>
            <w:tcW w:w="912" w:type="dxa"/>
            <w:tcBorders>
              <w:tl2br w:val="nil"/>
              <w:tr2bl w:val="nil"/>
            </w:tcBorders>
            <w:vAlign w:val="center"/>
          </w:tcPr>
          <w:p w14:paraId="55B3404A">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733DED5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监理单位未履行监督检查，但使用情况正常的。</w:t>
            </w:r>
          </w:p>
        </w:tc>
        <w:tc>
          <w:tcPr>
            <w:tcW w:w="3375" w:type="dxa"/>
            <w:tcBorders>
              <w:tl2br w:val="nil"/>
              <w:tr2bl w:val="nil"/>
            </w:tcBorders>
            <w:vAlign w:val="center"/>
          </w:tcPr>
          <w:p w14:paraId="08A5496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023B4C9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2BED8A06">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4C76181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3EA0CC4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6FCB574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015860C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1EEE132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监理单位未履行监督检查，且现场存在使用不规范现象的。</w:t>
            </w:r>
          </w:p>
        </w:tc>
        <w:tc>
          <w:tcPr>
            <w:tcW w:w="3375" w:type="dxa"/>
            <w:tcBorders>
              <w:tl2br w:val="nil"/>
              <w:tr2bl w:val="nil"/>
            </w:tcBorders>
            <w:vAlign w:val="center"/>
          </w:tcPr>
          <w:p w14:paraId="3051A56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004EF60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33B7DB0F">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67C6592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01920F8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5B89818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6581CCB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02A2B0D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监理单位未履行监督检查，且出现较大安全隐患或造成安全事故的。</w:t>
            </w:r>
          </w:p>
        </w:tc>
        <w:tc>
          <w:tcPr>
            <w:tcW w:w="3375" w:type="dxa"/>
            <w:tcBorders>
              <w:tl2br w:val="nil"/>
              <w:tr2bl w:val="nil"/>
            </w:tcBorders>
            <w:vAlign w:val="center"/>
          </w:tcPr>
          <w:p w14:paraId="5F697EA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3754F23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0F6C6DFB">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kern w:val="0"/>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102</w:t>
            </w:r>
          </w:p>
        </w:tc>
        <w:tc>
          <w:tcPr>
            <w:tcW w:w="1376" w:type="dxa"/>
            <w:vMerge w:val="restart"/>
            <w:tcBorders>
              <w:tl2br w:val="nil"/>
              <w:tr2bl w:val="nil"/>
            </w:tcBorders>
            <w:vAlign w:val="center"/>
          </w:tcPr>
          <w:p w14:paraId="73134F36">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建设单位未按照规定协调组织制定防止多台塔式起重机相互碰撞的安全措施的</w:t>
            </w:r>
          </w:p>
        </w:tc>
        <w:tc>
          <w:tcPr>
            <w:tcW w:w="1128" w:type="dxa"/>
            <w:gridSpan w:val="2"/>
            <w:vMerge w:val="restart"/>
            <w:tcBorders>
              <w:tl2br w:val="nil"/>
              <w:tr2bl w:val="nil"/>
            </w:tcBorders>
            <w:vAlign w:val="center"/>
          </w:tcPr>
          <w:p w14:paraId="2CC7DB43">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第三十三条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354" w:type="dxa"/>
            <w:vMerge w:val="restart"/>
            <w:tcBorders>
              <w:tl2br w:val="nil"/>
              <w:tr2bl w:val="nil"/>
            </w:tcBorders>
            <w:vAlign w:val="center"/>
          </w:tcPr>
          <w:p w14:paraId="26B46418">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p>
          <w:p w14:paraId="39BE9B00">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第三十三条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违反本规定，建设单位有下列行为之一的，由县级以上地方人民政府建设主管部门责令限期改正，予以警告，并处以5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元以上3万元以下罚款；逾期未改的，责令停止施工：</w:t>
            </w:r>
          </w:p>
          <w:p w14:paraId="47968BC9">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（一）未按照规定协调组织制定防止多台塔式起重机相互碰撞的安全措施的；</w:t>
            </w:r>
          </w:p>
        </w:tc>
        <w:tc>
          <w:tcPr>
            <w:tcW w:w="912" w:type="dxa"/>
            <w:tcBorders>
              <w:tl2br w:val="nil"/>
              <w:tr2bl w:val="nil"/>
            </w:tcBorders>
            <w:vAlign w:val="center"/>
          </w:tcPr>
          <w:p w14:paraId="4EDF5F82">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44583C6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未按照规定协调组织制定防止2台塔式起重机相互碰撞的安全措施的。</w:t>
            </w:r>
          </w:p>
        </w:tc>
        <w:tc>
          <w:tcPr>
            <w:tcW w:w="3375" w:type="dxa"/>
            <w:tcBorders>
              <w:tl2br w:val="nil"/>
              <w:tr2bl w:val="nil"/>
            </w:tcBorders>
            <w:vAlign w:val="center"/>
          </w:tcPr>
          <w:p w14:paraId="689BD11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3FD5A48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07BCE77B">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4A9D440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5DE2645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07763E8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320FE642">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56888D4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未按照规定协调组织制定防止3台塔式起重机相互碰撞的安全措施的。</w:t>
            </w:r>
          </w:p>
        </w:tc>
        <w:tc>
          <w:tcPr>
            <w:tcW w:w="3375" w:type="dxa"/>
            <w:tcBorders>
              <w:tl2br w:val="nil"/>
              <w:tr2bl w:val="nil"/>
            </w:tcBorders>
            <w:vAlign w:val="center"/>
          </w:tcPr>
          <w:p w14:paraId="0F0EFA3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53B6415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1A2184A2">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6A59FBC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539CF9E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7D1A49E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634C405F">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19E8D78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未按照规定协调组织制定防止4台以上塔式起重机相互碰撞的安全措施的；或造成一定后果影响的。</w:t>
            </w:r>
          </w:p>
        </w:tc>
        <w:tc>
          <w:tcPr>
            <w:tcW w:w="3375" w:type="dxa"/>
            <w:tcBorders>
              <w:tl2br w:val="nil"/>
              <w:tr2bl w:val="nil"/>
            </w:tcBorders>
            <w:vAlign w:val="center"/>
          </w:tcPr>
          <w:p w14:paraId="6FBEBA1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74CB312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4963826C">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kern w:val="0"/>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103</w:t>
            </w:r>
          </w:p>
        </w:tc>
        <w:tc>
          <w:tcPr>
            <w:tcW w:w="1376" w:type="dxa"/>
            <w:vMerge w:val="restart"/>
            <w:tcBorders>
              <w:tl2br w:val="nil"/>
              <w:tr2bl w:val="nil"/>
            </w:tcBorders>
            <w:vAlign w:val="center"/>
          </w:tcPr>
          <w:p w14:paraId="0C7A7F32">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41EC97CA">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建设单位在接到监理单位报告后，未责令安装单位、使用单位立即停工整改的</w:t>
            </w:r>
          </w:p>
        </w:tc>
        <w:tc>
          <w:tcPr>
            <w:tcW w:w="1128" w:type="dxa"/>
            <w:gridSpan w:val="2"/>
            <w:vMerge w:val="restart"/>
            <w:tcBorders>
              <w:tl2br w:val="nil"/>
              <w:tr2bl w:val="nil"/>
            </w:tcBorders>
            <w:vAlign w:val="center"/>
          </w:tcPr>
          <w:p w14:paraId="12489EEE">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67390635">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第二十三条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354" w:type="dxa"/>
            <w:vMerge w:val="restart"/>
            <w:tcBorders>
              <w:tl2br w:val="nil"/>
              <w:tr2bl w:val="nil"/>
            </w:tcBorders>
            <w:vAlign w:val="center"/>
          </w:tcPr>
          <w:p w14:paraId="0D325B43">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03FA6CDF">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p>
          <w:p w14:paraId="184E3521">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第三十三条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违反本规定，建设单位有下列行为之一的，由县级以上地方人民政府建设主管部门责令限期改正，予以警告，并处以5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元以上3万元以下罚款；逾期未改的，责令停止施工：</w:t>
            </w:r>
          </w:p>
          <w:p w14:paraId="223DD55E">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（二）接到监理单位报告后，未责令安装单位、使用单位立即停工整改的。</w:t>
            </w:r>
          </w:p>
        </w:tc>
        <w:tc>
          <w:tcPr>
            <w:tcW w:w="912" w:type="dxa"/>
            <w:tcBorders>
              <w:tl2br w:val="nil"/>
              <w:tr2bl w:val="nil"/>
            </w:tcBorders>
            <w:vAlign w:val="center"/>
          </w:tcPr>
          <w:p w14:paraId="779912B0">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709B70B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375" w:type="dxa"/>
            <w:tcBorders>
              <w:tl2br w:val="nil"/>
              <w:tr2bl w:val="nil"/>
            </w:tcBorders>
            <w:vAlign w:val="center"/>
          </w:tcPr>
          <w:p w14:paraId="0A8E85C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责令限期改正，予以警告，以5千元以上1万元以下罚款。</w:t>
            </w:r>
          </w:p>
        </w:tc>
      </w:tr>
      <w:tr w14:paraId="12953ED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0A73988F">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1283094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5021A4C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0EF4E38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5A41777C">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3A66D04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2668872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责令限期改正，予以警告，以1万元以上2万元以下罚款。</w:t>
            </w:r>
          </w:p>
        </w:tc>
      </w:tr>
      <w:tr w14:paraId="2DCB31B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490E198E">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4F29398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6F8C644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vMerge w:val="continue"/>
            <w:tcBorders>
              <w:tl2br w:val="nil"/>
              <w:tr2bl w:val="nil"/>
            </w:tcBorders>
            <w:vAlign w:val="center"/>
          </w:tcPr>
          <w:p w14:paraId="27F1B4D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3A8975E1">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2208323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53F93DD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375" w:type="dxa"/>
            <w:tcBorders>
              <w:tl2br w:val="nil"/>
              <w:tr2bl w:val="nil"/>
            </w:tcBorders>
            <w:vAlign w:val="center"/>
          </w:tcPr>
          <w:p w14:paraId="05199B3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5EEF8E5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533" w:type="dxa"/>
            <w:gridSpan w:val="2"/>
            <w:vMerge w:val="restart"/>
            <w:tcBorders>
              <w:tl2br w:val="nil"/>
              <w:tr2bl w:val="nil"/>
            </w:tcBorders>
            <w:vAlign w:val="center"/>
          </w:tcPr>
          <w:p w14:paraId="5C9F5B6E">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104</w:t>
            </w:r>
          </w:p>
        </w:tc>
        <w:tc>
          <w:tcPr>
            <w:tcW w:w="1488" w:type="dxa"/>
            <w:gridSpan w:val="2"/>
            <w:vMerge w:val="restart"/>
            <w:tcBorders>
              <w:tl2br w:val="nil"/>
              <w:tr2bl w:val="nil"/>
            </w:tcBorders>
            <w:vAlign w:val="center"/>
          </w:tcPr>
          <w:p w14:paraId="643888E8">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住宅物业的建设单位未通过招投标的方式选聘物业服务企业或者未经批准，擅自采用协议方式选聘物业服务企业的</w:t>
            </w:r>
          </w:p>
        </w:tc>
        <w:tc>
          <w:tcPr>
            <w:tcW w:w="1016" w:type="dxa"/>
            <w:vMerge w:val="restart"/>
            <w:tcBorders>
              <w:tl2br w:val="nil"/>
              <w:tr2bl w:val="nil"/>
            </w:tcBorders>
            <w:vAlign w:val="center"/>
          </w:tcPr>
          <w:p w14:paraId="79E0C643">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《物业管理条例》第二十四条第二款，</w:t>
            </w:r>
          </w:p>
        </w:tc>
        <w:tc>
          <w:tcPr>
            <w:tcW w:w="4354" w:type="dxa"/>
            <w:vMerge w:val="restart"/>
            <w:tcBorders>
              <w:tl2br w:val="nil"/>
              <w:tr2bl w:val="nil"/>
            </w:tcBorders>
            <w:vAlign w:val="center"/>
          </w:tcPr>
          <w:p w14:paraId="6B1FF0A1">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szCs w:val="21"/>
                <w14:textFill>
                  <w14:solidFill>
                    <w14:schemeClr w14:val="tx1"/>
                  </w14:solidFill>
                </w14:textFill>
              </w:rPr>
              <w:t>物业管理条例》</w:t>
            </w:r>
            <w:r>
              <w:rPr>
                <w:rFonts w:hint="eastAsia" w:ascii="仿宋_GB2312" w:hAnsi="宋体" w:eastAsia="仿宋_GB2312" w:cs="Times New Roman"/>
                <w:b/>
                <w:bCs/>
                <w:color w:val="000000" w:themeColor="text1"/>
                <w:szCs w:val="21"/>
                <w14:textFill>
                  <w14:solidFill>
                    <w14:schemeClr w14:val="tx1"/>
                  </w14:solidFill>
                </w14:textFill>
              </w:rPr>
              <w:t>第五十六条</w:t>
            </w:r>
            <w:r>
              <w:rPr>
                <w:rFonts w:hint="eastAsia" w:ascii="仿宋_GB2312" w:hAnsi="宋体" w:eastAsia="仿宋_GB2312" w:cs="Times New Roman"/>
                <w:b/>
                <w:bCs/>
                <w:color w:val="000000" w:themeColor="text1"/>
                <w:szCs w:val="21"/>
                <w:lang w:eastAsia="zh-CN"/>
                <w14:textFill>
                  <w14:solidFill>
                    <w14:schemeClr w14:val="tx1"/>
                  </w14:solidFill>
                </w14:textFill>
              </w:rPr>
              <w:t>：</w:t>
            </w:r>
            <w:r>
              <w:rPr>
                <w:rFonts w:hint="eastAsia" w:ascii="仿宋_GB2312" w:hAnsi="宋体" w:eastAsia="仿宋_GB2312" w:cs="Times New Roman"/>
                <w:color w:val="000000" w:themeColor="text1"/>
                <w:szCs w:val="21"/>
                <w14:textFill>
                  <w14:solidFill>
                    <w14:schemeClr w14:val="tx1"/>
                  </w14:solidFill>
                </w14:textFill>
              </w:rPr>
              <w:t>违反本条例的规定，住宅物业的建设单位未通过招投标的方式选聘物业服务企业或者未经批准，擅自采用协议方式选聘物业服务企业的，县级以上地方人民政府房地产行政主管部门责令限期改正，给予警告，可以并处10万元以下的罚款。</w:t>
            </w:r>
          </w:p>
          <w:p w14:paraId="3E54AFC8">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《物业管理条例》</w:t>
            </w:r>
            <w:r>
              <w:rPr>
                <w:rFonts w:hint="eastAsia" w:ascii="仿宋_GB2312" w:hAnsi="宋体" w:eastAsia="仿宋_GB2312" w:cs="Times New Roman"/>
                <w:b/>
                <w:bCs/>
                <w:color w:val="000000" w:themeColor="text1"/>
                <w:szCs w:val="21"/>
                <w14:textFill>
                  <w14:solidFill>
                    <w14:schemeClr w14:val="tx1"/>
                  </w14:solidFill>
                </w14:textFill>
              </w:rPr>
              <w:t>第二十四条第二款</w:t>
            </w:r>
            <w:r>
              <w:rPr>
                <w:rFonts w:hint="eastAsia" w:ascii="仿宋_GB2312" w:hAnsi="宋体" w:eastAsia="仿宋_GB2312" w:cs="Times New Roman"/>
                <w:b/>
                <w:bCs/>
                <w:color w:val="000000" w:themeColor="text1"/>
                <w:szCs w:val="21"/>
                <w:lang w:eastAsia="zh-CN"/>
                <w14:textFill>
                  <w14:solidFill>
                    <w14:schemeClr w14:val="tx1"/>
                  </w14:solidFill>
                </w14:textFill>
              </w:rPr>
              <w:t>：</w:t>
            </w:r>
            <w:r>
              <w:rPr>
                <w:rFonts w:hint="eastAsia" w:ascii="仿宋_GB2312" w:hAnsi="宋体" w:eastAsia="仿宋_GB2312" w:cs="Times New Roman"/>
                <w:color w:val="000000" w:themeColor="text1"/>
                <w:szCs w:val="21"/>
                <w14:textFill>
                  <w14:solidFill>
                    <w14:schemeClr w14:val="tx1"/>
                  </w14:solidFill>
                </w14:textFill>
              </w:rPr>
              <w:t>住宅物业的建设单位，应当通过招投标的方式选聘物业服务企业；投标人少于3个或者住宅规模较小的，经物业所在地的区、县人民政府房地产行政主管部门批准，可以采用协议方式选聘物业服务企业。</w:t>
            </w:r>
          </w:p>
        </w:tc>
        <w:tc>
          <w:tcPr>
            <w:tcW w:w="912" w:type="dxa"/>
            <w:tcBorders>
              <w:tl2br w:val="nil"/>
              <w:tr2bl w:val="nil"/>
            </w:tcBorders>
            <w:tcMar>
              <w:top w:w="15" w:type="dxa"/>
              <w:left w:w="15" w:type="dxa"/>
              <w:bottom w:w="15" w:type="dxa"/>
              <w:right w:w="15" w:type="dxa"/>
            </w:tcMar>
            <w:vAlign w:val="center"/>
          </w:tcPr>
          <w:p w14:paraId="4161915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66E95EDD">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375" w:type="dxa"/>
            <w:tcBorders>
              <w:tl2br w:val="nil"/>
              <w:tr2bl w:val="nil"/>
            </w:tcBorders>
            <w:tcMar>
              <w:top w:w="15" w:type="dxa"/>
              <w:left w:w="15" w:type="dxa"/>
              <w:bottom w:w="15" w:type="dxa"/>
              <w:right w:w="15" w:type="dxa"/>
            </w:tcMar>
            <w:vAlign w:val="center"/>
          </w:tcPr>
          <w:p w14:paraId="38D16607">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责令限期改正，给予警告，可以并处3万元以下罚款。</w:t>
            </w:r>
          </w:p>
        </w:tc>
      </w:tr>
      <w:tr w14:paraId="736E105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533" w:type="dxa"/>
            <w:gridSpan w:val="2"/>
            <w:vMerge w:val="continue"/>
            <w:tcBorders>
              <w:tl2br w:val="nil"/>
              <w:tr2bl w:val="nil"/>
            </w:tcBorders>
            <w:vAlign w:val="center"/>
          </w:tcPr>
          <w:p w14:paraId="48CA39C3">
            <w:pPr>
              <w:pStyle w:val="29"/>
              <w:keepNext w:val="0"/>
              <w:keepLines w:val="0"/>
              <w:pageBreakBefore w:val="0"/>
              <w:widowControl/>
              <w:numPr>
                <w:ilvl w:val="0"/>
                <w:numId w:val="1"/>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58F90215">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3A3AE1D7">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vMerge w:val="continue"/>
            <w:tcBorders>
              <w:tl2br w:val="nil"/>
              <w:tr2bl w:val="nil"/>
            </w:tcBorders>
            <w:vAlign w:val="center"/>
          </w:tcPr>
          <w:p w14:paraId="2FFCA643">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38E1020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7B4506E4">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w:t>
            </w: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r>
              <w:rPr>
                <w:rFonts w:hint="eastAsia" w:ascii="仿宋_GB2312" w:hAnsi="宋体" w:eastAsia="仿宋_GB2312" w:cs="Times New Roman"/>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0D4ABE3A">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责令限期改正，给予警告，可以并处3万元以上6万元以下罚款。</w:t>
            </w:r>
          </w:p>
        </w:tc>
      </w:tr>
      <w:tr w14:paraId="0C17DB8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533" w:type="dxa"/>
            <w:gridSpan w:val="2"/>
            <w:vMerge w:val="continue"/>
            <w:tcBorders>
              <w:tl2br w:val="nil"/>
              <w:tr2bl w:val="nil"/>
            </w:tcBorders>
            <w:vAlign w:val="center"/>
          </w:tcPr>
          <w:p w14:paraId="3774F0C3">
            <w:pPr>
              <w:pStyle w:val="29"/>
              <w:keepNext w:val="0"/>
              <w:keepLines w:val="0"/>
              <w:pageBreakBefore w:val="0"/>
              <w:widowControl/>
              <w:numPr>
                <w:ilvl w:val="0"/>
                <w:numId w:val="1"/>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06855E5B">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64D82AF3">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vMerge w:val="continue"/>
            <w:tcBorders>
              <w:tl2br w:val="nil"/>
              <w:tr2bl w:val="nil"/>
            </w:tcBorders>
            <w:vAlign w:val="center"/>
          </w:tcPr>
          <w:p w14:paraId="6DD6B583">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610A1B63">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089A50CD">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经责令停止违法行为后，继续实施违法行为的</w:t>
            </w:r>
            <w:r>
              <w:rPr>
                <w:rFonts w:hint="eastAsia" w:ascii="仿宋_GB2312" w:hAnsi="宋体" w:eastAsia="仿宋_GB2312" w:cs="Times New Roman"/>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lang w:val="en-US" w:eastAsia="zh-CN"/>
                <w14:textFill>
                  <w14:solidFill>
                    <w14:schemeClr w14:val="tx1"/>
                  </w14:solidFill>
                </w14:textFill>
              </w:rPr>
              <w:t>或</w:t>
            </w:r>
            <w:r>
              <w:rPr>
                <w:rFonts w:hint="eastAsia" w:ascii="仿宋_GB2312" w:hAnsi="宋体" w:eastAsia="仿宋_GB2312" w:cs="Times New Roman"/>
                <w:color w:val="000000" w:themeColor="text1"/>
                <w:kern w:val="0"/>
                <w:szCs w:val="21"/>
                <w14:textFill>
                  <w14:solidFill>
                    <w14:schemeClr w14:val="tx1"/>
                  </w14:solidFill>
                </w14:textFill>
              </w:rPr>
              <w:t>2年内2次及以上同类型违法</w:t>
            </w:r>
            <w:r>
              <w:rPr>
                <w:rFonts w:hint="eastAsia" w:ascii="仿宋_GB2312" w:hAnsi="宋体" w:eastAsia="仿宋_GB2312" w:cs="Times New Roman"/>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lang w:val="en-US" w:eastAsia="zh-CN"/>
                <w14:textFill>
                  <w14:solidFill>
                    <w14:schemeClr w14:val="tx1"/>
                  </w14:solidFill>
                </w14:textFill>
              </w:rPr>
              <w:t>或</w:t>
            </w:r>
            <w:r>
              <w:rPr>
                <w:rFonts w:hint="eastAsia" w:ascii="仿宋_GB2312" w:hAnsi="宋体" w:eastAsia="仿宋_GB2312" w:cs="Times New Roman"/>
                <w:color w:val="000000" w:themeColor="text1"/>
                <w:kern w:val="0"/>
                <w:szCs w:val="21"/>
                <w14:textFill>
                  <w14:solidFill>
                    <w14:schemeClr w14:val="tx1"/>
                  </w14:solidFill>
                </w14:textFill>
              </w:rPr>
              <w:t>引发网络舆情事件、群体性事件等影响社会稳定的。</w:t>
            </w:r>
          </w:p>
        </w:tc>
        <w:tc>
          <w:tcPr>
            <w:tcW w:w="3375" w:type="dxa"/>
            <w:tcBorders>
              <w:tl2br w:val="nil"/>
              <w:tr2bl w:val="nil"/>
            </w:tcBorders>
            <w:tcMar>
              <w:top w:w="15" w:type="dxa"/>
              <w:left w:w="15" w:type="dxa"/>
              <w:bottom w:w="15" w:type="dxa"/>
              <w:right w:w="15" w:type="dxa"/>
            </w:tcMar>
            <w:vAlign w:val="center"/>
          </w:tcPr>
          <w:p w14:paraId="3AF654C1">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责令限期改正，给予警告，可以并处6万元以上10万元以下罚款。</w:t>
            </w:r>
          </w:p>
        </w:tc>
      </w:tr>
      <w:tr w14:paraId="215DCEE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3" w:type="dxa"/>
            <w:gridSpan w:val="2"/>
            <w:vMerge w:val="restart"/>
            <w:tcBorders>
              <w:tl2br w:val="nil"/>
              <w:tr2bl w:val="nil"/>
            </w:tcBorders>
            <w:vAlign w:val="center"/>
          </w:tcPr>
          <w:p w14:paraId="519F0FA6">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105</w:t>
            </w:r>
          </w:p>
        </w:tc>
        <w:tc>
          <w:tcPr>
            <w:tcW w:w="1488" w:type="dxa"/>
            <w:gridSpan w:val="2"/>
            <w:vMerge w:val="restart"/>
            <w:tcBorders>
              <w:tl2br w:val="nil"/>
              <w:tr2bl w:val="nil"/>
            </w:tcBorders>
            <w:vAlign w:val="center"/>
          </w:tcPr>
          <w:p w14:paraId="3DECFD7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hint="eastAsia"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建设单位擅自处分属于业主的物业共用部位、共用设施设备的所有权或者使用权的。</w:t>
            </w:r>
          </w:p>
          <w:p w14:paraId="28D6BF01">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restart"/>
            <w:tcBorders>
              <w:tl2br w:val="nil"/>
              <w:tr2bl w:val="nil"/>
            </w:tcBorders>
            <w:vAlign w:val="center"/>
          </w:tcPr>
          <w:p w14:paraId="5DC06005">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《物业管理条例》第二十七条</w:t>
            </w:r>
          </w:p>
          <w:p w14:paraId="1C727351">
            <w:pPr>
              <w:keepNext w:val="0"/>
              <w:keepLines w:val="0"/>
              <w:pageBreakBefore w:val="0"/>
              <w:widowControl/>
              <w:kinsoku/>
              <w:overflowPunct/>
              <w:topLinePunct w:val="0"/>
              <w:autoSpaceDE/>
              <w:autoSpaceDN/>
              <w:bidi w:val="0"/>
              <w:adjustRightInd/>
              <w:spacing w:line="260" w:lineRule="exact"/>
              <w:rPr>
                <w:rFonts w:ascii="仿宋_GB2312" w:hAnsi="宋体" w:eastAsia="仿宋_GB2312" w:cs="Times New Roman"/>
                <w:color w:val="000000" w:themeColor="text1"/>
                <w:szCs w:val="21"/>
                <w14:textFill>
                  <w14:solidFill>
                    <w14:schemeClr w14:val="tx1"/>
                  </w14:solidFill>
                </w14:textFill>
              </w:rPr>
            </w:pPr>
          </w:p>
          <w:p w14:paraId="62AFD897">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vMerge w:val="restart"/>
            <w:tcBorders>
              <w:tl2br w:val="nil"/>
              <w:tr2bl w:val="nil"/>
            </w:tcBorders>
            <w:vAlign w:val="center"/>
          </w:tcPr>
          <w:p w14:paraId="29332CF9">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《物业管理条例》</w:t>
            </w:r>
            <w:r>
              <w:rPr>
                <w:rFonts w:hint="eastAsia" w:ascii="仿宋_GB2312" w:hAnsi="宋体" w:eastAsia="仿宋_GB2312" w:cs="Times New Roman"/>
                <w:b/>
                <w:bCs/>
                <w:color w:val="000000" w:themeColor="text1"/>
                <w:kern w:val="0"/>
                <w:szCs w:val="21"/>
                <w14:textFill>
                  <w14:solidFill>
                    <w14:schemeClr w14:val="tx1"/>
                  </w14:solidFill>
                </w14:textFill>
              </w:rPr>
              <w:t>第五十七条</w:t>
            </w:r>
            <w:r>
              <w:rPr>
                <w:rFonts w:hint="eastAsia" w:ascii="仿宋_GB2312" w:hAnsi="宋体" w:eastAsia="仿宋_GB2312" w:cs="Times New Roman"/>
                <w:b/>
                <w:bCs/>
                <w:color w:val="000000" w:themeColor="text1"/>
                <w:kern w:val="0"/>
                <w:szCs w:val="21"/>
                <w:lang w:eastAsia="zh-CN"/>
                <w14:textFill>
                  <w14:solidFill>
                    <w14:schemeClr w14:val="tx1"/>
                  </w14:solidFill>
                </w14:textFill>
              </w:rPr>
              <w:t>：</w:t>
            </w:r>
            <w:r>
              <w:rPr>
                <w:rFonts w:ascii="仿宋_GB2312" w:hAnsi="宋体" w:eastAsia="仿宋_GB2312" w:cs="Times New Roman"/>
                <w:color w:val="000000" w:themeColor="text1"/>
                <w:kern w:val="0"/>
                <w:szCs w:val="21"/>
                <w14:textFill>
                  <w14:solidFill>
                    <w14:schemeClr w14:val="tx1"/>
                  </w14:solidFill>
                </w14:textFill>
              </w:rPr>
              <w:t>违反本条例的规定，建设单位擅自处分属于业主的物业共用部位、共用设施设备的所有权或者使用权的，由县级以上地方人民政府房地产行政主管部门处5万元以上20万元以下的罚款；给业主造成损失的，依法承担赔偿责任。</w:t>
            </w:r>
          </w:p>
          <w:p w14:paraId="22D0FF81">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《物业管理条例》</w:t>
            </w:r>
            <w:r>
              <w:rPr>
                <w:rFonts w:hint="eastAsia" w:ascii="仿宋_GB2312" w:hAnsi="宋体" w:eastAsia="仿宋_GB2312" w:cs="Times New Roman"/>
                <w:b/>
                <w:bCs/>
                <w:color w:val="000000" w:themeColor="text1"/>
                <w:kern w:val="0"/>
                <w:szCs w:val="21"/>
                <w14:textFill>
                  <w14:solidFill>
                    <w14:schemeClr w14:val="tx1"/>
                  </w14:solidFill>
                </w14:textFill>
              </w:rPr>
              <w:t>第二十七条</w:t>
            </w:r>
            <w:r>
              <w:rPr>
                <w:rFonts w:hint="eastAsia" w:ascii="仿宋_GB2312" w:hAnsi="宋体" w:eastAsia="仿宋_GB2312" w:cs="Times New Roman"/>
                <w:b/>
                <w:bCs/>
                <w:color w:val="000000" w:themeColor="text1"/>
                <w:kern w:val="0"/>
                <w:szCs w:val="21"/>
                <w:lang w:eastAsia="zh-CN"/>
                <w14:textFill>
                  <w14:solidFill>
                    <w14:schemeClr w14:val="tx1"/>
                  </w14:solidFill>
                </w14:textFill>
              </w:rPr>
              <w:t>：</w:t>
            </w:r>
            <w:r>
              <w:rPr>
                <w:rFonts w:ascii="仿宋_GB2312" w:hAnsi="宋体" w:eastAsia="仿宋_GB2312" w:cs="Times New Roman"/>
                <w:color w:val="000000" w:themeColor="text1"/>
                <w:kern w:val="0"/>
                <w:szCs w:val="21"/>
                <w14:textFill>
                  <w14:solidFill>
                    <w14:schemeClr w14:val="tx1"/>
                  </w14:solidFill>
                </w14:textFill>
              </w:rPr>
              <w:t>业主依法享有的物业共用部位、共用设施设备的所有权或者使用权，建设单位不得擅自处分。</w:t>
            </w:r>
          </w:p>
        </w:tc>
        <w:tc>
          <w:tcPr>
            <w:tcW w:w="912" w:type="dxa"/>
            <w:tcBorders>
              <w:tl2br w:val="nil"/>
              <w:tr2bl w:val="nil"/>
            </w:tcBorders>
            <w:tcMar>
              <w:top w:w="15" w:type="dxa"/>
              <w:left w:w="15" w:type="dxa"/>
              <w:bottom w:w="15" w:type="dxa"/>
              <w:right w:w="15" w:type="dxa"/>
            </w:tcMar>
            <w:vAlign w:val="center"/>
          </w:tcPr>
          <w:p w14:paraId="22E5E6BB">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0E0016C8">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375" w:type="dxa"/>
            <w:tcBorders>
              <w:tl2br w:val="nil"/>
              <w:tr2bl w:val="nil"/>
            </w:tcBorders>
            <w:tcMar>
              <w:top w:w="15" w:type="dxa"/>
              <w:left w:w="15" w:type="dxa"/>
              <w:bottom w:w="15" w:type="dxa"/>
              <w:right w:w="15" w:type="dxa"/>
            </w:tcMar>
            <w:vAlign w:val="center"/>
          </w:tcPr>
          <w:p w14:paraId="4BFA4FF0">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处5万元罚款。</w:t>
            </w:r>
          </w:p>
        </w:tc>
      </w:tr>
      <w:tr w14:paraId="6A71E8E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3" w:type="dxa"/>
            <w:gridSpan w:val="2"/>
            <w:vMerge w:val="continue"/>
            <w:tcBorders>
              <w:tl2br w:val="nil"/>
              <w:tr2bl w:val="nil"/>
            </w:tcBorders>
            <w:vAlign w:val="center"/>
          </w:tcPr>
          <w:p w14:paraId="56F6B2A8">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305A2C10">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7BB45C6B">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vMerge w:val="continue"/>
            <w:tcBorders>
              <w:tl2br w:val="nil"/>
              <w:tr2bl w:val="nil"/>
            </w:tcBorders>
            <w:vAlign w:val="center"/>
          </w:tcPr>
          <w:p w14:paraId="63E4CEA5">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76A4AB62">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4B0227FF">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w:t>
            </w: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r>
              <w:rPr>
                <w:rFonts w:hint="eastAsia" w:ascii="仿宋_GB2312" w:hAnsi="宋体" w:eastAsia="仿宋_GB2312" w:cs="Times New Roman"/>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34459830">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处5万元以上15万元以下罚款。</w:t>
            </w:r>
          </w:p>
          <w:p w14:paraId="467B8F9B">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p>
        </w:tc>
      </w:tr>
      <w:tr w14:paraId="61DBB3D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3" w:type="dxa"/>
            <w:gridSpan w:val="2"/>
            <w:vMerge w:val="continue"/>
            <w:tcBorders>
              <w:tl2br w:val="nil"/>
              <w:tr2bl w:val="nil"/>
            </w:tcBorders>
            <w:vAlign w:val="center"/>
          </w:tcPr>
          <w:p w14:paraId="5721885D">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0D416A2B">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5D6CA113">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vMerge w:val="continue"/>
            <w:tcBorders>
              <w:tl2br w:val="nil"/>
              <w:tr2bl w:val="nil"/>
            </w:tcBorders>
            <w:vAlign w:val="center"/>
          </w:tcPr>
          <w:p w14:paraId="393AF72E">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57BEDB8F">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3AD9D538">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经责令停止违法行为后，继续实施违法行为的</w:t>
            </w:r>
            <w:r>
              <w:rPr>
                <w:rFonts w:hint="eastAsia" w:ascii="仿宋_GB2312" w:hAnsi="宋体" w:eastAsia="仿宋_GB2312" w:cs="Times New Roman"/>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lang w:val="en-US" w:eastAsia="zh-CN"/>
                <w14:textFill>
                  <w14:solidFill>
                    <w14:schemeClr w14:val="tx1"/>
                  </w14:solidFill>
                </w14:textFill>
              </w:rPr>
              <w:t>或</w:t>
            </w:r>
            <w:r>
              <w:rPr>
                <w:rFonts w:hint="eastAsia" w:ascii="仿宋_GB2312" w:hAnsi="宋体" w:eastAsia="仿宋_GB2312" w:cs="Times New Roman"/>
                <w:color w:val="000000" w:themeColor="text1"/>
                <w:kern w:val="0"/>
                <w:szCs w:val="21"/>
                <w14:textFill>
                  <w14:solidFill>
                    <w14:schemeClr w14:val="tx1"/>
                  </w14:solidFill>
                </w14:textFill>
              </w:rPr>
              <w:t>2年内2次及以上同类型违法</w:t>
            </w:r>
            <w:r>
              <w:rPr>
                <w:rFonts w:hint="eastAsia" w:ascii="仿宋_GB2312" w:hAnsi="宋体" w:eastAsia="仿宋_GB2312" w:cs="Times New Roman"/>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lang w:val="en-US" w:eastAsia="zh-CN"/>
                <w14:textFill>
                  <w14:solidFill>
                    <w14:schemeClr w14:val="tx1"/>
                  </w14:solidFill>
                </w14:textFill>
              </w:rPr>
              <w:t>或</w:t>
            </w:r>
            <w:r>
              <w:rPr>
                <w:rFonts w:hint="eastAsia" w:ascii="仿宋_GB2312" w:hAnsi="宋体" w:eastAsia="仿宋_GB2312" w:cs="Times New Roman"/>
                <w:color w:val="000000" w:themeColor="text1"/>
                <w:kern w:val="0"/>
                <w:szCs w:val="21"/>
                <w14:textFill>
                  <w14:solidFill>
                    <w14:schemeClr w14:val="tx1"/>
                  </w14:solidFill>
                </w14:textFill>
              </w:rPr>
              <w:t>引发网络舆情事件、群体性事件等影响社会稳定的。</w:t>
            </w:r>
          </w:p>
        </w:tc>
        <w:tc>
          <w:tcPr>
            <w:tcW w:w="3375" w:type="dxa"/>
            <w:tcBorders>
              <w:tl2br w:val="nil"/>
              <w:tr2bl w:val="nil"/>
            </w:tcBorders>
            <w:tcMar>
              <w:top w:w="15" w:type="dxa"/>
              <w:left w:w="15" w:type="dxa"/>
              <w:bottom w:w="15" w:type="dxa"/>
              <w:right w:w="15" w:type="dxa"/>
            </w:tcMar>
            <w:vAlign w:val="center"/>
          </w:tcPr>
          <w:p w14:paraId="254A2762">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处15万元以上20万元以下罚款。</w:t>
            </w:r>
          </w:p>
        </w:tc>
      </w:tr>
      <w:tr w14:paraId="192E29D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6" w:hRule="atLeast"/>
          <w:jc w:val="center"/>
        </w:trPr>
        <w:tc>
          <w:tcPr>
            <w:tcW w:w="533" w:type="dxa"/>
            <w:gridSpan w:val="2"/>
            <w:vMerge w:val="restart"/>
            <w:tcBorders>
              <w:tl2br w:val="nil"/>
              <w:tr2bl w:val="nil"/>
            </w:tcBorders>
            <w:vAlign w:val="center"/>
          </w:tcPr>
          <w:p w14:paraId="4EC0E927">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106</w:t>
            </w:r>
          </w:p>
        </w:tc>
        <w:tc>
          <w:tcPr>
            <w:tcW w:w="1488" w:type="dxa"/>
            <w:gridSpan w:val="2"/>
            <w:vMerge w:val="restart"/>
            <w:tcBorders>
              <w:tl2br w:val="nil"/>
              <w:tr2bl w:val="nil"/>
            </w:tcBorders>
            <w:vAlign w:val="center"/>
          </w:tcPr>
          <w:p w14:paraId="28C10111">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在办理物业承接验收手续时，建设单位</w:t>
            </w:r>
            <w:r>
              <w:rPr>
                <w:rFonts w:hint="eastAsia" w:ascii="仿宋_GB2312" w:hAnsi="宋体" w:eastAsia="仿宋_GB2312" w:cs="Times New Roman"/>
                <w:color w:val="000000" w:themeColor="text1"/>
                <w:kern w:val="0"/>
                <w:szCs w:val="21"/>
                <w14:textFill>
                  <w14:solidFill>
                    <w14:schemeClr w14:val="tx1"/>
                  </w14:solidFill>
                </w14:textFill>
              </w:rPr>
              <w:t>未</w:t>
            </w:r>
            <w:r>
              <w:rPr>
                <w:rFonts w:ascii="仿宋_GB2312" w:hAnsi="宋体" w:eastAsia="仿宋_GB2312" w:cs="Times New Roman"/>
                <w:color w:val="000000" w:themeColor="text1"/>
                <w:kern w:val="0"/>
                <w:szCs w:val="21"/>
                <w14:textFill>
                  <w14:solidFill>
                    <w14:schemeClr w14:val="tx1"/>
                  </w14:solidFill>
                </w14:textFill>
              </w:rPr>
              <w:t>向物业服务企业移交</w:t>
            </w:r>
            <w:r>
              <w:rPr>
                <w:rFonts w:hint="eastAsia" w:ascii="仿宋_GB2312" w:hAnsi="宋体" w:eastAsia="仿宋_GB2312" w:cs="Times New Roman"/>
                <w:color w:val="000000" w:themeColor="text1"/>
                <w:kern w:val="0"/>
                <w:szCs w:val="21"/>
                <w14:textFill>
                  <w14:solidFill>
                    <w14:schemeClr w14:val="tx1"/>
                  </w14:solidFill>
                </w14:textFill>
              </w:rPr>
              <w:t>有关</w:t>
            </w:r>
            <w:r>
              <w:rPr>
                <w:rFonts w:ascii="仿宋_GB2312" w:hAnsi="宋体" w:eastAsia="仿宋_GB2312" w:cs="Times New Roman"/>
                <w:color w:val="000000" w:themeColor="text1"/>
                <w:kern w:val="0"/>
                <w:szCs w:val="21"/>
                <w14:textFill>
                  <w14:solidFill>
                    <w14:schemeClr w14:val="tx1"/>
                  </w14:solidFill>
                </w14:textFill>
              </w:rPr>
              <w:t>资料</w:t>
            </w:r>
            <w:r>
              <w:rPr>
                <w:rFonts w:hint="eastAsia" w:ascii="仿宋_GB2312" w:hAnsi="宋体" w:eastAsia="仿宋_GB2312" w:cs="Times New Roman"/>
                <w:color w:val="000000" w:themeColor="text1"/>
                <w:kern w:val="0"/>
                <w:szCs w:val="21"/>
                <w14:textFill>
                  <w14:solidFill>
                    <w14:schemeClr w14:val="tx1"/>
                  </w14:solidFill>
                </w14:textFill>
              </w:rPr>
              <w:t>的</w:t>
            </w:r>
            <w:r>
              <w:rPr>
                <w:rFonts w:hint="eastAsia" w:ascii="仿宋_GB2312" w:hAnsi="宋体" w:eastAsia="仿宋_GB2312" w:cs="Times New Roman"/>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前期物业服务合同终止时，物业服务企业未将有关资料移交给业主委员会的。</w:t>
            </w:r>
          </w:p>
        </w:tc>
        <w:tc>
          <w:tcPr>
            <w:tcW w:w="1016" w:type="dxa"/>
            <w:vMerge w:val="restart"/>
            <w:tcBorders>
              <w:tl2br w:val="nil"/>
              <w:tr2bl w:val="nil"/>
            </w:tcBorders>
            <w:vAlign w:val="center"/>
          </w:tcPr>
          <w:p w14:paraId="7D73B4C3">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《物业管理条例》第二十九条</w:t>
            </w:r>
          </w:p>
        </w:tc>
        <w:tc>
          <w:tcPr>
            <w:tcW w:w="4354" w:type="dxa"/>
            <w:vMerge w:val="restart"/>
            <w:tcBorders>
              <w:tl2br w:val="nil"/>
              <w:tr2bl w:val="nil"/>
            </w:tcBorders>
            <w:vAlign w:val="center"/>
          </w:tcPr>
          <w:p w14:paraId="7BFE34FD">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szCs w:val="21"/>
                <w14:textFill>
                  <w14:solidFill>
                    <w14:schemeClr w14:val="tx1"/>
                  </w14:solidFill>
                </w14:textFill>
              </w:rPr>
              <w:t>物业管理条例》</w:t>
            </w:r>
            <w:r>
              <w:rPr>
                <w:rFonts w:hint="eastAsia" w:ascii="仿宋_GB2312" w:hAnsi="宋体" w:eastAsia="仿宋_GB2312" w:cs="Times New Roman"/>
                <w:b/>
                <w:bCs/>
                <w:color w:val="000000" w:themeColor="text1"/>
                <w:szCs w:val="21"/>
                <w14:textFill>
                  <w14:solidFill>
                    <w14:schemeClr w14:val="tx1"/>
                  </w14:solidFill>
                </w14:textFill>
              </w:rPr>
              <w:t>第五十八条</w:t>
            </w:r>
            <w:r>
              <w:rPr>
                <w:rFonts w:hint="eastAsia" w:ascii="仿宋_GB2312" w:hAnsi="宋体" w:eastAsia="仿宋_GB2312" w:cs="Times New Roman"/>
                <w:b/>
                <w:bCs/>
                <w:color w:val="000000" w:themeColor="text1"/>
                <w:szCs w:val="21"/>
                <w:lang w:eastAsia="zh-CN"/>
                <w14:textFill>
                  <w14:solidFill>
                    <w14:schemeClr w14:val="tx1"/>
                  </w14:solidFill>
                </w14:textFill>
              </w:rPr>
              <w:t>：</w:t>
            </w:r>
            <w:r>
              <w:rPr>
                <w:rFonts w:hint="eastAsia" w:ascii="仿宋_GB2312" w:hAnsi="宋体" w:eastAsia="仿宋_GB2312" w:cs="Times New Roman"/>
                <w:color w:val="000000" w:themeColor="text1"/>
                <w:szCs w:val="21"/>
                <w14:textFill>
                  <w14:solidFill>
                    <w14:schemeClr w14:val="tx1"/>
                  </w14:solidFill>
                </w14:textFill>
              </w:rPr>
              <w:t>不移交有关资料的，由县级以上地方人民政府房地产行政主管部门责令限期改正；逾期仍不移交有关资料的，对建设单位、物业服务企业予以通报，处1万元以上10万元以下的罚款。</w:t>
            </w:r>
          </w:p>
          <w:p w14:paraId="111B4DEE">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《物业管理条例》</w:t>
            </w:r>
            <w:r>
              <w:rPr>
                <w:rFonts w:hint="eastAsia" w:ascii="仿宋_GB2312" w:hAnsi="宋体" w:eastAsia="仿宋_GB2312" w:cs="Times New Roman"/>
                <w:b/>
                <w:bCs/>
                <w:color w:val="000000" w:themeColor="text1"/>
                <w:kern w:val="0"/>
                <w:szCs w:val="21"/>
                <w14:textFill>
                  <w14:solidFill>
                    <w14:schemeClr w14:val="tx1"/>
                  </w14:solidFill>
                </w14:textFill>
              </w:rPr>
              <w:t>第二十九条</w:t>
            </w:r>
            <w:r>
              <w:rPr>
                <w:rFonts w:hint="eastAsia" w:ascii="仿宋_GB2312" w:hAnsi="宋体" w:eastAsia="仿宋_GB2312" w:cs="Times New Roman"/>
                <w:b/>
                <w:bCs/>
                <w:color w:val="000000" w:themeColor="text1"/>
                <w:kern w:val="0"/>
                <w:szCs w:val="21"/>
                <w:lang w:eastAsia="zh-CN"/>
                <w14:textFill>
                  <w14:solidFill>
                    <w14:schemeClr w14:val="tx1"/>
                  </w14:solidFill>
                </w14:textFill>
              </w:rPr>
              <w:t>：</w:t>
            </w:r>
            <w:r>
              <w:rPr>
                <w:rFonts w:ascii="仿宋_GB2312" w:hAnsi="宋体" w:eastAsia="仿宋_GB2312" w:cs="Times New Roman"/>
                <w:color w:val="000000" w:themeColor="text1"/>
                <w:kern w:val="0"/>
                <w:szCs w:val="21"/>
                <w14:textFill>
                  <w14:solidFill>
                    <w14:schemeClr w14:val="tx1"/>
                  </w14:solidFill>
                </w14:textFill>
              </w:rPr>
              <w:t>在办理物业承接验收手续时，建设单位应当向物业服务企业移交下列资料：（一）竣工总平面图，单体建筑、结构、设备竣工图，配套设施、地下管网工程竣工图等竣工验收资料；（二）设施设备的安装、使用和维护保养等技术资料；（三）物业质量保修文件和物业使用说明文件；（四）物业管理所必需的其他资料。 物业服企业应当在前期物业服务合同终止时将上述资料移交给业主委员会。</w:t>
            </w:r>
          </w:p>
        </w:tc>
        <w:tc>
          <w:tcPr>
            <w:tcW w:w="912" w:type="dxa"/>
            <w:tcBorders>
              <w:tl2br w:val="nil"/>
              <w:tr2bl w:val="nil"/>
            </w:tcBorders>
            <w:tcMar>
              <w:top w:w="15" w:type="dxa"/>
              <w:left w:w="15" w:type="dxa"/>
              <w:bottom w:w="15" w:type="dxa"/>
              <w:right w:w="15" w:type="dxa"/>
            </w:tcMar>
            <w:vAlign w:val="center"/>
          </w:tcPr>
          <w:p w14:paraId="746865B7">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6BC9C353">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初次违法，责令限期改正，逾期1个月以下，不移交有关资料的。</w:t>
            </w:r>
          </w:p>
        </w:tc>
        <w:tc>
          <w:tcPr>
            <w:tcW w:w="3375" w:type="dxa"/>
            <w:tcBorders>
              <w:tl2br w:val="nil"/>
              <w:tr2bl w:val="nil"/>
            </w:tcBorders>
            <w:tcMar>
              <w:top w:w="15" w:type="dxa"/>
              <w:left w:w="15" w:type="dxa"/>
              <w:bottom w:w="15" w:type="dxa"/>
              <w:right w:w="15" w:type="dxa"/>
            </w:tcMar>
            <w:vAlign w:val="center"/>
          </w:tcPr>
          <w:p w14:paraId="6BD91FEE">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予以通报，处1万元罚款。</w:t>
            </w:r>
          </w:p>
        </w:tc>
      </w:tr>
      <w:tr w14:paraId="659D2C3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2" w:hRule="atLeast"/>
          <w:jc w:val="center"/>
        </w:trPr>
        <w:tc>
          <w:tcPr>
            <w:tcW w:w="533" w:type="dxa"/>
            <w:gridSpan w:val="2"/>
            <w:vMerge w:val="continue"/>
            <w:tcBorders>
              <w:tl2br w:val="nil"/>
              <w:tr2bl w:val="nil"/>
            </w:tcBorders>
            <w:vAlign w:val="center"/>
          </w:tcPr>
          <w:p w14:paraId="01F49872">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521B2D09">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37516EEF">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vMerge w:val="continue"/>
            <w:tcBorders>
              <w:tl2br w:val="nil"/>
              <w:tr2bl w:val="nil"/>
            </w:tcBorders>
            <w:vAlign w:val="center"/>
          </w:tcPr>
          <w:p w14:paraId="5B65D107">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0A982B61">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4778C14C">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责令限期改正，逾期1个月以上3个月以下，仍不移交有关资料的。</w:t>
            </w:r>
          </w:p>
        </w:tc>
        <w:tc>
          <w:tcPr>
            <w:tcW w:w="3375" w:type="dxa"/>
            <w:tcBorders>
              <w:tl2br w:val="nil"/>
              <w:tr2bl w:val="nil"/>
            </w:tcBorders>
            <w:tcMar>
              <w:top w:w="15" w:type="dxa"/>
              <w:left w:w="15" w:type="dxa"/>
              <w:bottom w:w="15" w:type="dxa"/>
              <w:right w:w="15" w:type="dxa"/>
            </w:tcMar>
            <w:vAlign w:val="center"/>
          </w:tcPr>
          <w:p w14:paraId="07181A74">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予以通报，处1万元以上5万元以下罚款。</w:t>
            </w:r>
          </w:p>
        </w:tc>
      </w:tr>
      <w:tr w14:paraId="0A5105F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3" w:type="dxa"/>
            <w:gridSpan w:val="2"/>
            <w:vMerge w:val="continue"/>
            <w:tcBorders>
              <w:tl2br w:val="nil"/>
              <w:tr2bl w:val="nil"/>
            </w:tcBorders>
            <w:vAlign w:val="center"/>
          </w:tcPr>
          <w:p w14:paraId="200A4600">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269C1EF8">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1C4AD2B0">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vMerge w:val="continue"/>
            <w:tcBorders>
              <w:tl2br w:val="nil"/>
              <w:tr2bl w:val="nil"/>
            </w:tcBorders>
            <w:vAlign w:val="center"/>
          </w:tcPr>
          <w:p w14:paraId="0B890325">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2045B9EB">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05D0BC49">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责令限期改正，逾期3个月以上，仍不移交有关资料的。</w:t>
            </w:r>
          </w:p>
        </w:tc>
        <w:tc>
          <w:tcPr>
            <w:tcW w:w="3375" w:type="dxa"/>
            <w:tcBorders>
              <w:tl2br w:val="nil"/>
              <w:tr2bl w:val="nil"/>
            </w:tcBorders>
            <w:tcMar>
              <w:top w:w="15" w:type="dxa"/>
              <w:left w:w="15" w:type="dxa"/>
              <w:bottom w:w="15" w:type="dxa"/>
              <w:right w:w="15" w:type="dxa"/>
            </w:tcMar>
            <w:vAlign w:val="center"/>
          </w:tcPr>
          <w:p w14:paraId="35D60068">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予以通报，处5万元以上10万元以下罚款。</w:t>
            </w:r>
          </w:p>
          <w:p w14:paraId="1A7EF96E">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p>
        </w:tc>
      </w:tr>
      <w:tr w14:paraId="7CCF677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3" w:type="dxa"/>
            <w:gridSpan w:val="2"/>
            <w:vMerge w:val="restart"/>
            <w:tcBorders>
              <w:tl2br w:val="nil"/>
              <w:tr2bl w:val="nil"/>
            </w:tcBorders>
            <w:vAlign w:val="center"/>
          </w:tcPr>
          <w:p w14:paraId="5B95E3E2">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107</w:t>
            </w:r>
          </w:p>
        </w:tc>
        <w:tc>
          <w:tcPr>
            <w:tcW w:w="1488" w:type="dxa"/>
            <w:gridSpan w:val="2"/>
            <w:vMerge w:val="restart"/>
            <w:tcBorders>
              <w:tl2br w:val="nil"/>
              <w:tr2bl w:val="nil"/>
            </w:tcBorders>
            <w:vAlign w:val="center"/>
          </w:tcPr>
          <w:p w14:paraId="16ED5A42">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物业服务企业将一个物业管理区域内的全部物业管理一并委托给他人的</w:t>
            </w:r>
          </w:p>
        </w:tc>
        <w:tc>
          <w:tcPr>
            <w:tcW w:w="1016" w:type="dxa"/>
            <w:vMerge w:val="restart"/>
            <w:tcBorders>
              <w:tl2br w:val="nil"/>
              <w:tr2bl w:val="nil"/>
            </w:tcBorders>
            <w:vAlign w:val="center"/>
          </w:tcPr>
          <w:p w14:paraId="5A04D10F">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《物业管理条例》第三十九条</w:t>
            </w:r>
          </w:p>
        </w:tc>
        <w:tc>
          <w:tcPr>
            <w:tcW w:w="4354" w:type="dxa"/>
            <w:vMerge w:val="restart"/>
            <w:tcBorders>
              <w:tl2br w:val="nil"/>
              <w:tr2bl w:val="nil"/>
            </w:tcBorders>
            <w:vAlign w:val="center"/>
          </w:tcPr>
          <w:p w14:paraId="0015A00C">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szCs w:val="21"/>
                <w14:textFill>
                  <w14:solidFill>
                    <w14:schemeClr w14:val="tx1"/>
                  </w14:solidFill>
                </w14:textFill>
              </w:rPr>
              <w:t>物业管理条例》</w:t>
            </w:r>
            <w:r>
              <w:rPr>
                <w:rFonts w:hint="eastAsia" w:ascii="仿宋_GB2312" w:hAnsi="宋体" w:eastAsia="仿宋_GB2312" w:cs="Times New Roman"/>
                <w:b/>
                <w:bCs/>
                <w:color w:val="000000" w:themeColor="text1"/>
                <w:szCs w:val="21"/>
                <w14:textFill>
                  <w14:solidFill>
                    <w14:schemeClr w14:val="tx1"/>
                  </w14:solidFill>
                </w14:textFill>
              </w:rPr>
              <w:t>第五十九条</w:t>
            </w:r>
            <w:r>
              <w:rPr>
                <w:rFonts w:hint="eastAsia" w:ascii="仿宋_GB2312" w:hAnsi="宋体" w:eastAsia="仿宋_GB2312" w:cs="Times New Roman"/>
                <w:b/>
                <w:bCs/>
                <w:color w:val="000000" w:themeColor="text1"/>
                <w:szCs w:val="21"/>
                <w:lang w:eastAsia="zh-CN"/>
                <w14:textFill>
                  <w14:solidFill>
                    <w14:schemeClr w14:val="tx1"/>
                  </w14:solidFill>
                </w14:textFill>
              </w:rPr>
              <w:t>：</w:t>
            </w:r>
            <w:r>
              <w:rPr>
                <w:rFonts w:hint="eastAsia" w:ascii="仿宋_GB2312" w:hAnsi="宋体" w:eastAsia="仿宋_GB2312" w:cs="Times New Roman"/>
                <w:color w:val="000000" w:themeColor="text1"/>
                <w:szCs w:val="21"/>
                <w14:textFill>
                  <w14:solidFill>
                    <w14:schemeClr w14:val="tx1"/>
                  </w14:solidFill>
                </w14:textFill>
              </w:rPr>
              <w:t>违反本条例的规定，物业服务企业将一个物业管理区域内的全部物业管理一并委托给他人的，由县级以上地方人民政府房地产行政主管部门责令限期改正，处委托合同价款30%以上50%以下的罚款。委托所得收益，用于物业管理区域内物业共用部位、共用设施设备的维修、养护，剩余部分按照业主大会的决定使用；给业主造成损失的，依法承担赔偿责任。</w:t>
            </w:r>
          </w:p>
          <w:p w14:paraId="5DF28F37">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《物业管理条例》</w:t>
            </w:r>
            <w:r>
              <w:rPr>
                <w:rFonts w:hint="eastAsia" w:ascii="仿宋_GB2312" w:hAnsi="宋体" w:eastAsia="仿宋_GB2312" w:cs="Times New Roman"/>
                <w:b/>
                <w:bCs/>
                <w:color w:val="000000" w:themeColor="text1"/>
                <w:szCs w:val="21"/>
                <w14:textFill>
                  <w14:solidFill>
                    <w14:schemeClr w14:val="tx1"/>
                  </w14:solidFill>
                </w14:textFill>
              </w:rPr>
              <w:t>第三十九条</w:t>
            </w:r>
            <w:r>
              <w:rPr>
                <w:rFonts w:hint="eastAsia" w:ascii="仿宋_GB2312" w:hAnsi="宋体" w:eastAsia="仿宋_GB2312" w:cs="Times New Roman"/>
                <w:b/>
                <w:bCs/>
                <w:color w:val="000000" w:themeColor="text1"/>
                <w:szCs w:val="21"/>
                <w:lang w:eastAsia="zh-CN"/>
                <w14:textFill>
                  <w14:solidFill>
                    <w14:schemeClr w14:val="tx1"/>
                  </w14:solidFill>
                </w14:textFill>
              </w:rPr>
              <w:t>：</w:t>
            </w:r>
            <w:r>
              <w:rPr>
                <w:rFonts w:hint="eastAsia" w:ascii="仿宋_GB2312" w:hAnsi="宋体" w:eastAsia="仿宋_GB2312" w:cs="Times New Roman"/>
                <w:color w:val="000000" w:themeColor="text1"/>
                <w:szCs w:val="21"/>
                <w14:textFill>
                  <w14:solidFill>
                    <w14:schemeClr w14:val="tx1"/>
                  </w14:solidFill>
                </w14:textFill>
              </w:rPr>
              <w:t>物业服务企业可以将物业管理区域内的专项服务业务委托给专业性服务企业，但不得将该区域内的全部物业管理一并委托给他人。</w:t>
            </w:r>
          </w:p>
        </w:tc>
        <w:tc>
          <w:tcPr>
            <w:tcW w:w="912" w:type="dxa"/>
            <w:tcBorders>
              <w:tl2br w:val="nil"/>
              <w:tr2bl w:val="nil"/>
            </w:tcBorders>
            <w:tcMar>
              <w:top w:w="15" w:type="dxa"/>
              <w:left w:w="15" w:type="dxa"/>
              <w:bottom w:w="15" w:type="dxa"/>
              <w:right w:w="15" w:type="dxa"/>
            </w:tcMar>
            <w:vAlign w:val="center"/>
          </w:tcPr>
          <w:p w14:paraId="34D81854">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505000A2">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375" w:type="dxa"/>
            <w:tcBorders>
              <w:tl2br w:val="nil"/>
              <w:tr2bl w:val="nil"/>
            </w:tcBorders>
            <w:tcMar>
              <w:top w:w="15" w:type="dxa"/>
              <w:left w:w="15" w:type="dxa"/>
              <w:bottom w:w="15" w:type="dxa"/>
              <w:right w:w="15" w:type="dxa"/>
            </w:tcMar>
            <w:vAlign w:val="center"/>
          </w:tcPr>
          <w:p w14:paraId="4D42C3C9">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责令限期改正，处委托合同价款30%的罚款。</w:t>
            </w:r>
          </w:p>
        </w:tc>
      </w:tr>
      <w:tr w14:paraId="11C5E24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3" w:type="dxa"/>
            <w:gridSpan w:val="2"/>
            <w:vMerge w:val="continue"/>
            <w:tcBorders>
              <w:tl2br w:val="nil"/>
              <w:tr2bl w:val="nil"/>
            </w:tcBorders>
            <w:vAlign w:val="center"/>
          </w:tcPr>
          <w:p w14:paraId="6178AC77">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390AFC72">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272A377B">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vMerge w:val="continue"/>
            <w:tcBorders>
              <w:tl2br w:val="nil"/>
              <w:tr2bl w:val="nil"/>
            </w:tcBorders>
            <w:vAlign w:val="center"/>
          </w:tcPr>
          <w:p w14:paraId="16442E48">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004DFF7B">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7B717471">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w:t>
            </w: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r>
              <w:rPr>
                <w:rFonts w:hint="eastAsia" w:ascii="仿宋_GB2312" w:hAnsi="宋体" w:eastAsia="仿宋_GB2312" w:cs="Times New Roman"/>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57E9B4E9">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责令限期改正，处委托合同价款30%以上40%以下的罚款。</w:t>
            </w:r>
          </w:p>
        </w:tc>
      </w:tr>
      <w:tr w14:paraId="5FE0804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3" w:type="dxa"/>
            <w:gridSpan w:val="2"/>
            <w:vMerge w:val="continue"/>
            <w:tcBorders>
              <w:tl2br w:val="nil"/>
              <w:tr2bl w:val="nil"/>
            </w:tcBorders>
            <w:vAlign w:val="center"/>
          </w:tcPr>
          <w:p w14:paraId="62EC1441">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5882BC68">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5E8E8527">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vMerge w:val="continue"/>
            <w:tcBorders>
              <w:tl2br w:val="nil"/>
              <w:tr2bl w:val="nil"/>
            </w:tcBorders>
            <w:vAlign w:val="center"/>
          </w:tcPr>
          <w:p w14:paraId="624E25A9">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0FC91F70">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7142B92C">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经责令停止违法行为后，继续实施违法行为的</w:t>
            </w:r>
            <w:r>
              <w:rPr>
                <w:rFonts w:hint="eastAsia" w:ascii="仿宋_GB2312" w:hAnsi="宋体" w:eastAsia="仿宋_GB2312" w:cs="Times New Roman"/>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lang w:val="en-US" w:eastAsia="zh-CN"/>
                <w14:textFill>
                  <w14:solidFill>
                    <w14:schemeClr w14:val="tx1"/>
                  </w14:solidFill>
                </w14:textFill>
              </w:rPr>
              <w:t>或</w:t>
            </w:r>
            <w:r>
              <w:rPr>
                <w:rFonts w:hint="eastAsia" w:ascii="仿宋_GB2312" w:hAnsi="宋体" w:eastAsia="仿宋_GB2312" w:cs="Times New Roman"/>
                <w:color w:val="000000" w:themeColor="text1"/>
                <w:kern w:val="0"/>
                <w:szCs w:val="21"/>
                <w14:textFill>
                  <w14:solidFill>
                    <w14:schemeClr w14:val="tx1"/>
                  </w14:solidFill>
                </w14:textFill>
              </w:rPr>
              <w:t>2年内2次及以上同类型违法</w:t>
            </w:r>
            <w:r>
              <w:rPr>
                <w:rFonts w:hint="eastAsia" w:ascii="仿宋_GB2312" w:hAnsi="宋体" w:eastAsia="仿宋_GB2312" w:cs="Times New Roman"/>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lang w:val="en-US" w:eastAsia="zh-CN"/>
                <w14:textFill>
                  <w14:solidFill>
                    <w14:schemeClr w14:val="tx1"/>
                  </w14:solidFill>
                </w14:textFill>
              </w:rPr>
              <w:t>或</w:t>
            </w:r>
            <w:r>
              <w:rPr>
                <w:rFonts w:hint="eastAsia" w:ascii="仿宋_GB2312" w:hAnsi="宋体" w:eastAsia="仿宋_GB2312" w:cs="Times New Roman"/>
                <w:color w:val="000000" w:themeColor="text1"/>
                <w:kern w:val="0"/>
                <w:szCs w:val="21"/>
                <w14:textFill>
                  <w14:solidFill>
                    <w14:schemeClr w14:val="tx1"/>
                  </w14:solidFill>
                </w14:textFill>
              </w:rPr>
              <w:t>引发网络舆情事件、群体性事件等影响社会稳定的。</w:t>
            </w:r>
          </w:p>
        </w:tc>
        <w:tc>
          <w:tcPr>
            <w:tcW w:w="3375" w:type="dxa"/>
            <w:tcBorders>
              <w:tl2br w:val="nil"/>
              <w:tr2bl w:val="nil"/>
            </w:tcBorders>
            <w:tcMar>
              <w:top w:w="15" w:type="dxa"/>
              <w:left w:w="15" w:type="dxa"/>
              <w:bottom w:w="15" w:type="dxa"/>
              <w:right w:w="15" w:type="dxa"/>
            </w:tcMar>
            <w:vAlign w:val="center"/>
          </w:tcPr>
          <w:p w14:paraId="6777739B">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责令限期改正，处委托合同价款40%以上50%以下的罚款。</w:t>
            </w:r>
          </w:p>
        </w:tc>
      </w:tr>
      <w:tr w14:paraId="04D2E82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3" w:type="dxa"/>
            <w:gridSpan w:val="2"/>
            <w:vMerge w:val="restart"/>
            <w:tcBorders>
              <w:tl2br w:val="nil"/>
              <w:tr2bl w:val="nil"/>
            </w:tcBorders>
            <w:vAlign w:val="center"/>
          </w:tcPr>
          <w:p w14:paraId="3D9EDDE4">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108</w:t>
            </w:r>
          </w:p>
        </w:tc>
        <w:tc>
          <w:tcPr>
            <w:tcW w:w="1488" w:type="dxa"/>
            <w:gridSpan w:val="2"/>
            <w:vMerge w:val="restart"/>
            <w:tcBorders>
              <w:tl2br w:val="nil"/>
              <w:tr2bl w:val="nil"/>
            </w:tcBorders>
            <w:vAlign w:val="center"/>
          </w:tcPr>
          <w:p w14:paraId="2E1D22EE">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挪用专项维修资金的</w:t>
            </w:r>
          </w:p>
        </w:tc>
        <w:tc>
          <w:tcPr>
            <w:tcW w:w="1016" w:type="dxa"/>
            <w:vMerge w:val="restart"/>
            <w:tcBorders>
              <w:tl2br w:val="nil"/>
              <w:tr2bl w:val="nil"/>
            </w:tcBorders>
            <w:vAlign w:val="center"/>
          </w:tcPr>
          <w:p w14:paraId="4E5AA207">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《物业管理条例》第五十三条</w:t>
            </w:r>
          </w:p>
        </w:tc>
        <w:tc>
          <w:tcPr>
            <w:tcW w:w="4354" w:type="dxa"/>
            <w:vMerge w:val="restart"/>
            <w:tcBorders>
              <w:tl2br w:val="nil"/>
              <w:tr2bl w:val="nil"/>
            </w:tcBorders>
            <w:vAlign w:val="center"/>
          </w:tcPr>
          <w:p w14:paraId="2B71325A">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szCs w:val="21"/>
                <w14:textFill>
                  <w14:solidFill>
                    <w14:schemeClr w14:val="tx1"/>
                  </w14:solidFill>
                </w14:textFill>
              </w:rPr>
              <w:t>物业管理条例》</w:t>
            </w:r>
            <w:r>
              <w:rPr>
                <w:rFonts w:hint="eastAsia" w:ascii="仿宋_GB2312" w:hAnsi="宋体" w:eastAsia="仿宋_GB2312" w:cs="Times New Roman"/>
                <w:b/>
                <w:bCs/>
                <w:color w:val="000000" w:themeColor="text1"/>
                <w:szCs w:val="21"/>
                <w14:textFill>
                  <w14:solidFill>
                    <w14:schemeClr w14:val="tx1"/>
                  </w14:solidFill>
                </w14:textFill>
              </w:rPr>
              <w:t>第六十条</w:t>
            </w:r>
            <w:r>
              <w:rPr>
                <w:rFonts w:hint="eastAsia" w:ascii="仿宋_GB2312" w:hAnsi="宋体" w:eastAsia="仿宋_GB2312" w:cs="Times New Roman"/>
                <w:b/>
                <w:bCs/>
                <w:color w:val="000000" w:themeColor="text1"/>
                <w:szCs w:val="21"/>
                <w:lang w:eastAsia="zh-CN"/>
                <w14:textFill>
                  <w14:solidFill>
                    <w14:schemeClr w14:val="tx1"/>
                  </w14:solidFill>
                </w14:textFill>
              </w:rPr>
              <w:t>：</w:t>
            </w:r>
            <w:r>
              <w:rPr>
                <w:rFonts w:hint="eastAsia" w:ascii="仿宋_GB2312" w:hAnsi="宋体" w:eastAsia="仿宋_GB2312" w:cs="Times New Roman"/>
                <w:color w:val="000000" w:themeColor="text1"/>
                <w:szCs w:val="21"/>
                <w14:textFill>
                  <w14:solidFill>
                    <w14:schemeClr w14:val="tx1"/>
                  </w14:solidFill>
                </w14:textFill>
              </w:rPr>
              <w:t>违反本条例的规定，挪用专项维修资金的，由县级以上地方人民政府房地产行政主管部门追回挪用的专项维修资金，给予警告，没收违法所得，可以并处挪用数额2倍以下的罚款；构成犯罪的，依法追究直接负责的主管人员和其他直接责任人员的刑事责任。</w:t>
            </w:r>
          </w:p>
          <w:p w14:paraId="13FED52A">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《物业管理条例》</w:t>
            </w:r>
            <w:r>
              <w:rPr>
                <w:rFonts w:hint="eastAsia" w:ascii="仿宋_GB2312" w:hAnsi="宋体" w:eastAsia="仿宋_GB2312" w:cs="Times New Roman"/>
                <w:b/>
                <w:bCs/>
                <w:color w:val="000000" w:themeColor="text1"/>
                <w:kern w:val="0"/>
                <w:szCs w:val="21"/>
                <w14:textFill>
                  <w14:solidFill>
                    <w14:schemeClr w14:val="tx1"/>
                  </w14:solidFill>
                </w14:textFill>
              </w:rPr>
              <w:t>第五十三条</w:t>
            </w:r>
            <w:r>
              <w:rPr>
                <w:rFonts w:hint="eastAsia" w:ascii="仿宋_GB2312" w:hAnsi="宋体" w:eastAsia="仿宋_GB2312" w:cs="Times New Roman"/>
                <w:b/>
                <w:bCs/>
                <w:color w:val="000000" w:themeColor="text1"/>
                <w:kern w:val="0"/>
                <w:szCs w:val="21"/>
                <w:lang w:eastAsia="zh-CN"/>
                <w14:textFill>
                  <w14:solidFill>
                    <w14:schemeClr w14:val="tx1"/>
                  </w14:solidFill>
                </w14:textFill>
              </w:rPr>
              <w:t>：</w:t>
            </w:r>
            <w:r>
              <w:rPr>
                <w:rFonts w:ascii="仿宋_GB2312" w:hAnsi="宋体" w:eastAsia="仿宋_GB2312" w:cs="Times New Roman"/>
                <w:color w:val="000000" w:themeColor="text1"/>
                <w:kern w:val="0"/>
                <w:szCs w:val="21"/>
                <w14:textFill>
                  <w14:solidFill>
                    <w14:schemeClr w14:val="tx1"/>
                  </w14:solidFill>
                </w14:textFill>
              </w:rPr>
              <w:t>住宅物业、住宅小区内的非住宅物业或者与单幢住宅楼结构相连的非住宅物业的业主，应当按照国家有关规定交纳专项维修资金。 专项维修资金属于业主所有，专项用于物业保修期满后物业共用部位、共用设施设备的维修和更新、改造，不得挪作他用。 专项维修资金收取、使用、管理的办法由国务院建设行政主管部门会同国务院财政部门制定。</w:t>
            </w:r>
          </w:p>
        </w:tc>
        <w:tc>
          <w:tcPr>
            <w:tcW w:w="912" w:type="dxa"/>
            <w:tcBorders>
              <w:tl2br w:val="nil"/>
              <w:tr2bl w:val="nil"/>
            </w:tcBorders>
            <w:tcMar>
              <w:top w:w="15" w:type="dxa"/>
              <w:left w:w="15" w:type="dxa"/>
              <w:bottom w:w="15" w:type="dxa"/>
              <w:right w:w="15" w:type="dxa"/>
            </w:tcMar>
            <w:vAlign w:val="center"/>
          </w:tcPr>
          <w:p w14:paraId="07320982">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41445A0F">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375" w:type="dxa"/>
            <w:tcBorders>
              <w:tl2br w:val="nil"/>
              <w:tr2bl w:val="nil"/>
            </w:tcBorders>
            <w:tcMar>
              <w:top w:w="15" w:type="dxa"/>
              <w:left w:w="15" w:type="dxa"/>
              <w:bottom w:w="15" w:type="dxa"/>
              <w:right w:w="15" w:type="dxa"/>
            </w:tcMar>
            <w:vAlign w:val="center"/>
          </w:tcPr>
          <w:p w14:paraId="5C168ED4">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追回挪用的专项维修资金，给予警告，没收违法所得，可以并处挪用数额0.5倍以下的罚款。</w:t>
            </w:r>
          </w:p>
        </w:tc>
      </w:tr>
      <w:tr w14:paraId="1F70E8C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3" w:type="dxa"/>
            <w:gridSpan w:val="2"/>
            <w:vMerge w:val="continue"/>
            <w:tcBorders>
              <w:tl2br w:val="nil"/>
              <w:tr2bl w:val="nil"/>
            </w:tcBorders>
            <w:vAlign w:val="center"/>
          </w:tcPr>
          <w:p w14:paraId="4BA01C2B">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0DFA0D60">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7AC897A4">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vMerge w:val="continue"/>
            <w:tcBorders>
              <w:tl2br w:val="nil"/>
              <w:tr2bl w:val="nil"/>
            </w:tcBorders>
            <w:vAlign w:val="center"/>
          </w:tcPr>
          <w:p w14:paraId="1911450C">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30824DEB">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4BEF7236">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w:t>
            </w: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r>
              <w:rPr>
                <w:rFonts w:hint="eastAsia" w:ascii="仿宋_GB2312" w:hAnsi="宋体" w:eastAsia="仿宋_GB2312" w:cs="Times New Roman"/>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5F0C7722">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追回挪用的专项维修资金，给予警告，没收违法所得，可以并处挪用数额0.5倍以上1倍以下的罚款。</w:t>
            </w:r>
          </w:p>
        </w:tc>
      </w:tr>
      <w:tr w14:paraId="405753A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3" w:type="dxa"/>
            <w:gridSpan w:val="2"/>
            <w:vMerge w:val="continue"/>
            <w:tcBorders>
              <w:tl2br w:val="nil"/>
              <w:tr2bl w:val="nil"/>
            </w:tcBorders>
            <w:vAlign w:val="center"/>
          </w:tcPr>
          <w:p w14:paraId="452E10B6">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132247EA">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11E1BBFE">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vMerge w:val="continue"/>
            <w:tcBorders>
              <w:tl2br w:val="nil"/>
              <w:tr2bl w:val="nil"/>
            </w:tcBorders>
            <w:vAlign w:val="center"/>
          </w:tcPr>
          <w:p w14:paraId="79C9093F">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62F0103C">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0306E2D4">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经责令停止违法行为后，继续实施违法行为的</w:t>
            </w:r>
            <w:r>
              <w:rPr>
                <w:rFonts w:hint="eastAsia" w:ascii="仿宋_GB2312" w:hAnsi="宋体" w:eastAsia="仿宋_GB2312" w:cs="Times New Roman"/>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lang w:val="en-US" w:eastAsia="zh-CN"/>
                <w14:textFill>
                  <w14:solidFill>
                    <w14:schemeClr w14:val="tx1"/>
                  </w14:solidFill>
                </w14:textFill>
              </w:rPr>
              <w:t>或</w:t>
            </w:r>
            <w:r>
              <w:rPr>
                <w:rFonts w:hint="eastAsia" w:ascii="仿宋_GB2312" w:hAnsi="宋体" w:eastAsia="仿宋_GB2312" w:cs="Times New Roman"/>
                <w:color w:val="000000" w:themeColor="text1"/>
                <w:kern w:val="0"/>
                <w:szCs w:val="21"/>
                <w14:textFill>
                  <w14:solidFill>
                    <w14:schemeClr w14:val="tx1"/>
                  </w14:solidFill>
                </w14:textFill>
              </w:rPr>
              <w:t>2年内2次及以上同类型违法</w:t>
            </w:r>
            <w:r>
              <w:rPr>
                <w:rFonts w:hint="eastAsia" w:ascii="仿宋_GB2312" w:hAnsi="宋体" w:eastAsia="仿宋_GB2312" w:cs="Times New Roman"/>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lang w:val="en-US" w:eastAsia="zh-CN"/>
                <w14:textFill>
                  <w14:solidFill>
                    <w14:schemeClr w14:val="tx1"/>
                  </w14:solidFill>
                </w14:textFill>
              </w:rPr>
              <w:t>或</w:t>
            </w:r>
            <w:r>
              <w:rPr>
                <w:rFonts w:hint="eastAsia" w:ascii="仿宋_GB2312" w:hAnsi="宋体" w:eastAsia="仿宋_GB2312" w:cs="Times New Roman"/>
                <w:color w:val="000000" w:themeColor="text1"/>
                <w:kern w:val="0"/>
                <w:szCs w:val="21"/>
                <w14:textFill>
                  <w14:solidFill>
                    <w14:schemeClr w14:val="tx1"/>
                  </w14:solidFill>
                </w14:textFill>
              </w:rPr>
              <w:t>引发网络舆情事件、群体性事件等影响社会稳定的。</w:t>
            </w:r>
          </w:p>
          <w:p w14:paraId="71382C54">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3375" w:type="dxa"/>
            <w:tcBorders>
              <w:tl2br w:val="nil"/>
              <w:tr2bl w:val="nil"/>
            </w:tcBorders>
            <w:tcMar>
              <w:top w:w="15" w:type="dxa"/>
              <w:left w:w="15" w:type="dxa"/>
              <w:bottom w:w="15" w:type="dxa"/>
              <w:right w:w="15" w:type="dxa"/>
            </w:tcMar>
            <w:vAlign w:val="center"/>
          </w:tcPr>
          <w:p w14:paraId="13311D1B">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追回挪用的专项维修资金，给予警告，没收违法所得，可以并处挪用数额1倍以上2倍以下的罚款。</w:t>
            </w:r>
          </w:p>
        </w:tc>
      </w:tr>
      <w:tr w14:paraId="0312AC9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3" w:type="dxa"/>
            <w:gridSpan w:val="2"/>
            <w:vMerge w:val="restart"/>
            <w:tcBorders>
              <w:tl2br w:val="nil"/>
              <w:tr2bl w:val="nil"/>
            </w:tcBorders>
            <w:vAlign w:val="center"/>
          </w:tcPr>
          <w:p w14:paraId="50A9BFEF">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109</w:t>
            </w:r>
          </w:p>
        </w:tc>
        <w:tc>
          <w:tcPr>
            <w:tcW w:w="1488" w:type="dxa"/>
            <w:gridSpan w:val="2"/>
            <w:vMerge w:val="restart"/>
            <w:tcBorders>
              <w:tl2br w:val="nil"/>
              <w:tr2bl w:val="nil"/>
            </w:tcBorders>
            <w:vAlign w:val="center"/>
          </w:tcPr>
          <w:p w14:paraId="54981DB4">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建设单位在物业管理区域内不按照规定配置必要的物业管理用房的</w:t>
            </w:r>
          </w:p>
        </w:tc>
        <w:tc>
          <w:tcPr>
            <w:tcW w:w="1016" w:type="dxa"/>
            <w:vMerge w:val="restart"/>
            <w:tcBorders>
              <w:tl2br w:val="nil"/>
              <w:tr2bl w:val="nil"/>
            </w:tcBorders>
            <w:vAlign w:val="center"/>
          </w:tcPr>
          <w:p w14:paraId="6E68D0FE">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《物业管理条例》第三十条</w:t>
            </w:r>
          </w:p>
        </w:tc>
        <w:tc>
          <w:tcPr>
            <w:tcW w:w="4354" w:type="dxa"/>
            <w:vMerge w:val="restart"/>
            <w:tcBorders>
              <w:tl2br w:val="nil"/>
              <w:tr2bl w:val="nil"/>
            </w:tcBorders>
            <w:vAlign w:val="center"/>
          </w:tcPr>
          <w:p w14:paraId="6D23BC15">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szCs w:val="21"/>
                <w14:textFill>
                  <w14:solidFill>
                    <w14:schemeClr w14:val="tx1"/>
                  </w14:solidFill>
                </w14:textFill>
              </w:rPr>
              <w:t>物业管理条例》</w:t>
            </w:r>
            <w:r>
              <w:rPr>
                <w:rFonts w:hint="eastAsia" w:ascii="仿宋_GB2312" w:hAnsi="宋体" w:eastAsia="仿宋_GB2312" w:cs="Times New Roman"/>
                <w:b/>
                <w:bCs/>
                <w:color w:val="000000" w:themeColor="text1"/>
                <w:szCs w:val="21"/>
                <w14:textFill>
                  <w14:solidFill>
                    <w14:schemeClr w14:val="tx1"/>
                  </w14:solidFill>
                </w14:textFill>
              </w:rPr>
              <w:t>第六十一条</w:t>
            </w:r>
            <w:r>
              <w:rPr>
                <w:rFonts w:hint="eastAsia" w:ascii="仿宋_GB2312" w:hAnsi="宋体" w:eastAsia="仿宋_GB2312" w:cs="Times New Roman"/>
                <w:b/>
                <w:bCs/>
                <w:color w:val="000000" w:themeColor="text1"/>
                <w:szCs w:val="21"/>
                <w:lang w:eastAsia="zh-CN"/>
                <w14:textFill>
                  <w14:solidFill>
                    <w14:schemeClr w14:val="tx1"/>
                  </w14:solidFill>
                </w14:textFill>
              </w:rPr>
              <w:t>：</w:t>
            </w:r>
            <w:r>
              <w:rPr>
                <w:rFonts w:hint="eastAsia" w:ascii="仿宋_GB2312" w:hAnsi="宋体" w:eastAsia="仿宋_GB2312" w:cs="Times New Roman"/>
                <w:color w:val="000000" w:themeColor="text1"/>
                <w:szCs w:val="21"/>
                <w14:textFill>
                  <w14:solidFill>
                    <w14:schemeClr w14:val="tx1"/>
                  </w14:solidFill>
                </w14:textFill>
              </w:rPr>
              <w:t>违反本条例的规定，建设单位在物业管理区域内不按照规定配置必要的物业管理用房的，由县级以上地方人民政府房地产行政主管部门责令限期改正，给予警告，没收违法所得，并处10万元以上50万元以下的罚款。</w:t>
            </w:r>
          </w:p>
          <w:p w14:paraId="7A8A6A76">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《物业管理条例》</w:t>
            </w:r>
            <w:r>
              <w:rPr>
                <w:rFonts w:hint="eastAsia" w:ascii="仿宋_GB2312" w:hAnsi="宋体" w:eastAsia="仿宋_GB2312" w:cs="Times New Roman"/>
                <w:b/>
                <w:bCs/>
                <w:color w:val="000000" w:themeColor="text1"/>
                <w:szCs w:val="21"/>
                <w14:textFill>
                  <w14:solidFill>
                    <w14:schemeClr w14:val="tx1"/>
                  </w14:solidFill>
                </w14:textFill>
              </w:rPr>
              <w:t>第三十条</w:t>
            </w:r>
            <w:r>
              <w:rPr>
                <w:rFonts w:hint="eastAsia" w:ascii="仿宋_GB2312" w:hAnsi="宋体" w:eastAsia="仿宋_GB2312" w:cs="Times New Roman"/>
                <w:b/>
                <w:bCs/>
                <w:color w:val="000000" w:themeColor="text1"/>
                <w:szCs w:val="21"/>
                <w:lang w:eastAsia="zh-CN"/>
                <w14:textFill>
                  <w14:solidFill>
                    <w14:schemeClr w14:val="tx1"/>
                  </w14:solidFill>
                </w14:textFill>
              </w:rPr>
              <w:t>：</w:t>
            </w:r>
            <w:r>
              <w:rPr>
                <w:rFonts w:ascii="仿宋_GB2312" w:hAnsi="宋体" w:eastAsia="仿宋_GB2312" w:cs="Times New Roman"/>
                <w:color w:val="000000" w:themeColor="text1"/>
                <w:szCs w:val="21"/>
                <w14:textFill>
                  <w14:solidFill>
                    <w14:schemeClr w14:val="tx1"/>
                  </w14:solidFill>
                </w14:textFill>
              </w:rPr>
              <w:t>建设单位应当按照规定在物业管理区域内配置必要的物业管理用房。</w:t>
            </w:r>
          </w:p>
        </w:tc>
        <w:tc>
          <w:tcPr>
            <w:tcW w:w="912" w:type="dxa"/>
            <w:tcBorders>
              <w:tl2br w:val="nil"/>
              <w:tr2bl w:val="nil"/>
            </w:tcBorders>
            <w:tcMar>
              <w:top w:w="15" w:type="dxa"/>
              <w:left w:w="15" w:type="dxa"/>
              <w:bottom w:w="15" w:type="dxa"/>
              <w:right w:w="15" w:type="dxa"/>
            </w:tcMar>
            <w:vAlign w:val="center"/>
          </w:tcPr>
          <w:p w14:paraId="7A4C41EF">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63247EF6">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375" w:type="dxa"/>
            <w:tcBorders>
              <w:tl2br w:val="nil"/>
              <w:tr2bl w:val="nil"/>
            </w:tcBorders>
            <w:tcMar>
              <w:top w:w="15" w:type="dxa"/>
              <w:left w:w="15" w:type="dxa"/>
              <w:bottom w:w="15" w:type="dxa"/>
              <w:right w:w="15" w:type="dxa"/>
            </w:tcMar>
            <w:vAlign w:val="center"/>
          </w:tcPr>
          <w:p w14:paraId="538F5495">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责令限期改正，给予警告，没收违法所得，并处10万元罚款。</w:t>
            </w:r>
          </w:p>
        </w:tc>
      </w:tr>
      <w:tr w14:paraId="5011D03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3" w:type="dxa"/>
            <w:gridSpan w:val="2"/>
            <w:vMerge w:val="continue"/>
            <w:tcBorders>
              <w:tl2br w:val="nil"/>
              <w:tr2bl w:val="nil"/>
            </w:tcBorders>
            <w:vAlign w:val="center"/>
          </w:tcPr>
          <w:p w14:paraId="3F9D9B32">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33345F36">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29242DBF">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vMerge w:val="continue"/>
            <w:tcBorders>
              <w:tl2br w:val="nil"/>
              <w:tr2bl w:val="nil"/>
            </w:tcBorders>
            <w:vAlign w:val="center"/>
          </w:tcPr>
          <w:p w14:paraId="6427CE91">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6858E834">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0B05CB08">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实施违法行为，侵害业主利益，不具有从轻、</w:t>
            </w: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r>
              <w:rPr>
                <w:rFonts w:hint="eastAsia" w:ascii="仿宋_GB2312" w:hAnsi="宋体" w:eastAsia="仿宋_GB2312" w:cs="Times New Roman"/>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4BE33E00">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责令限期改正，给予警告，没收违法所得，并处10万元以上30万元以下罚款。</w:t>
            </w:r>
          </w:p>
        </w:tc>
      </w:tr>
      <w:tr w14:paraId="70AD13D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57" w:hRule="atLeast"/>
          <w:jc w:val="center"/>
        </w:trPr>
        <w:tc>
          <w:tcPr>
            <w:tcW w:w="533" w:type="dxa"/>
            <w:gridSpan w:val="2"/>
            <w:vMerge w:val="continue"/>
            <w:tcBorders>
              <w:tl2br w:val="nil"/>
              <w:tr2bl w:val="nil"/>
            </w:tcBorders>
            <w:vAlign w:val="center"/>
          </w:tcPr>
          <w:p w14:paraId="203B48FC">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5026C3EA">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37F68599">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vMerge w:val="continue"/>
            <w:tcBorders>
              <w:tl2br w:val="nil"/>
              <w:tr2bl w:val="nil"/>
            </w:tcBorders>
            <w:vAlign w:val="center"/>
          </w:tcPr>
          <w:p w14:paraId="77EC9370">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68B0BF8F">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5CF12708">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经责令停止违法行为后，继续实施违法行为的</w:t>
            </w:r>
            <w:r>
              <w:rPr>
                <w:rFonts w:hint="eastAsia" w:ascii="仿宋_GB2312" w:hAnsi="宋体" w:eastAsia="仿宋_GB2312" w:cs="Times New Roman"/>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lang w:val="en-US" w:eastAsia="zh-CN"/>
                <w14:textFill>
                  <w14:solidFill>
                    <w14:schemeClr w14:val="tx1"/>
                  </w14:solidFill>
                </w14:textFill>
              </w:rPr>
              <w:t>或</w:t>
            </w:r>
            <w:r>
              <w:rPr>
                <w:rFonts w:hint="eastAsia" w:ascii="仿宋_GB2312" w:hAnsi="宋体" w:eastAsia="仿宋_GB2312" w:cs="Times New Roman"/>
                <w:color w:val="000000" w:themeColor="text1"/>
                <w:kern w:val="0"/>
                <w:szCs w:val="21"/>
                <w14:textFill>
                  <w14:solidFill>
                    <w14:schemeClr w14:val="tx1"/>
                  </w14:solidFill>
                </w14:textFill>
              </w:rPr>
              <w:t>2年内2次及以上同类型违法</w:t>
            </w:r>
            <w:r>
              <w:rPr>
                <w:rFonts w:hint="eastAsia" w:ascii="仿宋_GB2312" w:hAnsi="宋体" w:eastAsia="仿宋_GB2312" w:cs="Times New Roman"/>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lang w:val="en-US" w:eastAsia="zh-CN"/>
                <w14:textFill>
                  <w14:solidFill>
                    <w14:schemeClr w14:val="tx1"/>
                  </w14:solidFill>
                </w14:textFill>
              </w:rPr>
              <w:t>或</w:t>
            </w:r>
            <w:r>
              <w:rPr>
                <w:rFonts w:hint="eastAsia" w:ascii="仿宋_GB2312" w:hAnsi="宋体" w:eastAsia="仿宋_GB2312" w:cs="Times New Roman"/>
                <w:color w:val="000000" w:themeColor="text1"/>
                <w:kern w:val="0"/>
                <w:szCs w:val="21"/>
                <w14:textFill>
                  <w14:solidFill>
                    <w14:schemeClr w14:val="tx1"/>
                  </w14:solidFill>
                </w14:textFill>
              </w:rPr>
              <w:t>引发网络舆情事件、群体性事件等影响社会稳定的。</w:t>
            </w:r>
          </w:p>
        </w:tc>
        <w:tc>
          <w:tcPr>
            <w:tcW w:w="3375" w:type="dxa"/>
            <w:tcBorders>
              <w:tl2br w:val="nil"/>
              <w:tr2bl w:val="nil"/>
            </w:tcBorders>
            <w:tcMar>
              <w:top w:w="15" w:type="dxa"/>
              <w:left w:w="15" w:type="dxa"/>
              <w:bottom w:w="15" w:type="dxa"/>
              <w:right w:w="15" w:type="dxa"/>
            </w:tcMar>
            <w:vAlign w:val="center"/>
          </w:tcPr>
          <w:p w14:paraId="77A2E675">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责令限期改正，给予警告，没收违法所得，并处30万元以上50万元以下罚款。</w:t>
            </w:r>
          </w:p>
        </w:tc>
      </w:tr>
      <w:tr w14:paraId="6744B05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3" w:type="dxa"/>
            <w:gridSpan w:val="2"/>
            <w:vMerge w:val="restart"/>
            <w:tcBorders>
              <w:tl2br w:val="nil"/>
              <w:tr2bl w:val="nil"/>
            </w:tcBorders>
            <w:vAlign w:val="center"/>
          </w:tcPr>
          <w:p w14:paraId="3403D844">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110</w:t>
            </w:r>
          </w:p>
        </w:tc>
        <w:tc>
          <w:tcPr>
            <w:tcW w:w="1488" w:type="dxa"/>
            <w:gridSpan w:val="2"/>
            <w:vMerge w:val="restart"/>
            <w:tcBorders>
              <w:tl2br w:val="nil"/>
              <w:tr2bl w:val="nil"/>
            </w:tcBorders>
            <w:vAlign w:val="center"/>
          </w:tcPr>
          <w:p w14:paraId="4B5F71C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未经业主大会同意，物业服务企业擅自改变物业管理用房的用途的</w:t>
            </w:r>
          </w:p>
        </w:tc>
        <w:tc>
          <w:tcPr>
            <w:tcW w:w="1016" w:type="dxa"/>
            <w:vMerge w:val="restart"/>
            <w:tcBorders>
              <w:tl2br w:val="nil"/>
              <w:tr2bl w:val="nil"/>
            </w:tcBorders>
            <w:vAlign w:val="center"/>
          </w:tcPr>
          <w:p w14:paraId="61EF244B">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《物业管理条例》第三十七条</w:t>
            </w:r>
          </w:p>
        </w:tc>
        <w:tc>
          <w:tcPr>
            <w:tcW w:w="4354" w:type="dxa"/>
            <w:vMerge w:val="restart"/>
            <w:tcBorders>
              <w:tl2br w:val="nil"/>
              <w:tr2bl w:val="nil"/>
            </w:tcBorders>
            <w:vAlign w:val="center"/>
          </w:tcPr>
          <w:p w14:paraId="0425EA6C">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szCs w:val="21"/>
                <w14:textFill>
                  <w14:solidFill>
                    <w14:schemeClr w14:val="tx1"/>
                  </w14:solidFill>
                </w14:textFill>
              </w:rPr>
              <w:t>物业管理条例》</w:t>
            </w:r>
            <w:r>
              <w:rPr>
                <w:rFonts w:hint="eastAsia" w:ascii="仿宋_GB2312" w:hAnsi="宋体" w:eastAsia="仿宋_GB2312" w:cs="Times New Roman"/>
                <w:b/>
                <w:bCs/>
                <w:color w:val="000000" w:themeColor="text1"/>
                <w:szCs w:val="21"/>
                <w14:textFill>
                  <w14:solidFill>
                    <w14:schemeClr w14:val="tx1"/>
                  </w14:solidFill>
                </w14:textFill>
              </w:rPr>
              <w:t>第六十二条</w:t>
            </w:r>
            <w:r>
              <w:rPr>
                <w:rFonts w:hint="eastAsia" w:ascii="仿宋_GB2312" w:hAnsi="宋体" w:eastAsia="仿宋_GB2312" w:cs="Times New Roman"/>
                <w:b/>
                <w:bCs/>
                <w:color w:val="000000" w:themeColor="text1"/>
                <w:szCs w:val="21"/>
                <w:lang w:eastAsia="zh-CN"/>
                <w14:textFill>
                  <w14:solidFill>
                    <w14:schemeClr w14:val="tx1"/>
                  </w14:solidFill>
                </w14:textFill>
              </w:rPr>
              <w:t>：</w:t>
            </w:r>
            <w:r>
              <w:rPr>
                <w:rFonts w:hint="eastAsia" w:ascii="仿宋_GB2312" w:hAnsi="宋体" w:eastAsia="仿宋_GB2312" w:cs="Times New Roman"/>
                <w:color w:val="000000" w:themeColor="text1"/>
                <w:szCs w:val="21"/>
                <w14:textFill>
                  <w14:solidFill>
                    <w14:schemeClr w14:val="tx1"/>
                  </w14:solidFill>
                </w14:textFill>
              </w:rPr>
              <w:t>违反本条例的规定，未经业主大会同意，物业服务企业擅自改变物业管理用房的用途的，由县级以上地方人民政府房地产行政主管部门责令限期改正，给予警告，并处1万元以上10万元以下的罚款；有收益的，所得收益用于物业管理区域内物业共用部位、共用设施设备的维修、养护，剩余部分按照业主大会的决定使用。</w:t>
            </w:r>
          </w:p>
          <w:p w14:paraId="336026E0">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《物业管理条例》</w:t>
            </w:r>
            <w:r>
              <w:rPr>
                <w:rFonts w:hint="eastAsia" w:ascii="仿宋_GB2312" w:hAnsi="宋体" w:eastAsia="仿宋_GB2312" w:cs="Times New Roman"/>
                <w:b/>
                <w:bCs/>
                <w:color w:val="000000" w:themeColor="text1"/>
                <w:szCs w:val="21"/>
                <w14:textFill>
                  <w14:solidFill>
                    <w14:schemeClr w14:val="tx1"/>
                  </w14:solidFill>
                </w14:textFill>
              </w:rPr>
              <w:t>第三十七条</w:t>
            </w:r>
            <w:r>
              <w:rPr>
                <w:rFonts w:hint="eastAsia" w:ascii="仿宋_GB2312" w:hAnsi="宋体" w:eastAsia="仿宋_GB2312" w:cs="Times New Roman"/>
                <w:b/>
                <w:bCs/>
                <w:color w:val="000000" w:themeColor="text1"/>
                <w:szCs w:val="21"/>
                <w:lang w:eastAsia="zh-CN"/>
                <w14:textFill>
                  <w14:solidFill>
                    <w14:schemeClr w14:val="tx1"/>
                  </w14:solidFill>
                </w14:textFill>
              </w:rPr>
              <w:t>：</w:t>
            </w:r>
            <w:r>
              <w:rPr>
                <w:rFonts w:hint="eastAsia" w:ascii="仿宋_GB2312" w:hAnsi="宋体" w:eastAsia="仿宋_GB2312" w:cs="Times New Roman"/>
                <w:color w:val="000000" w:themeColor="text1"/>
                <w:szCs w:val="21"/>
                <w14:textFill>
                  <w14:solidFill>
                    <w14:schemeClr w14:val="tx1"/>
                  </w14:solidFill>
                </w14:textFill>
              </w:rPr>
              <w:t>物业管理用房的所有权依法属于业主。未经业主大会同意，物业服务企业不得改变物业管理用房的用途。</w:t>
            </w:r>
          </w:p>
        </w:tc>
        <w:tc>
          <w:tcPr>
            <w:tcW w:w="912" w:type="dxa"/>
            <w:tcBorders>
              <w:tl2br w:val="nil"/>
              <w:tr2bl w:val="nil"/>
            </w:tcBorders>
            <w:tcMar>
              <w:top w:w="15" w:type="dxa"/>
              <w:left w:w="15" w:type="dxa"/>
              <w:bottom w:w="15" w:type="dxa"/>
              <w:right w:w="15" w:type="dxa"/>
            </w:tcMar>
            <w:vAlign w:val="center"/>
          </w:tcPr>
          <w:p w14:paraId="3B403E37">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06EC6A58">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初次违法，责令限期改正，擅自改变用途，持续时间在3个月以下的。</w:t>
            </w:r>
          </w:p>
        </w:tc>
        <w:tc>
          <w:tcPr>
            <w:tcW w:w="3375" w:type="dxa"/>
            <w:tcBorders>
              <w:tl2br w:val="nil"/>
              <w:tr2bl w:val="nil"/>
            </w:tcBorders>
            <w:tcMar>
              <w:top w:w="15" w:type="dxa"/>
              <w:left w:w="15" w:type="dxa"/>
              <w:bottom w:w="15" w:type="dxa"/>
              <w:right w:w="15" w:type="dxa"/>
            </w:tcMar>
            <w:vAlign w:val="center"/>
          </w:tcPr>
          <w:p w14:paraId="33AFD2E0">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责令限期改正，给予警告，并处3万元罚款。</w:t>
            </w:r>
          </w:p>
        </w:tc>
      </w:tr>
      <w:tr w14:paraId="060C91B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3" w:type="dxa"/>
            <w:gridSpan w:val="2"/>
            <w:vMerge w:val="continue"/>
            <w:tcBorders>
              <w:tl2br w:val="nil"/>
              <w:tr2bl w:val="nil"/>
            </w:tcBorders>
            <w:vAlign w:val="center"/>
          </w:tcPr>
          <w:p w14:paraId="7D18B4D1">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0C9E443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09D36A27">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vMerge w:val="continue"/>
            <w:tcBorders>
              <w:tl2br w:val="nil"/>
              <w:tr2bl w:val="nil"/>
            </w:tcBorders>
            <w:vAlign w:val="center"/>
          </w:tcPr>
          <w:p w14:paraId="0470B8C2">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42CD66FF">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1C327689">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实施违法行为，造成不良社会影响，责令限期改正，擅自改变用途，持续时间在3个月以上6个月以下的。</w:t>
            </w:r>
          </w:p>
        </w:tc>
        <w:tc>
          <w:tcPr>
            <w:tcW w:w="3375" w:type="dxa"/>
            <w:tcBorders>
              <w:tl2br w:val="nil"/>
              <w:tr2bl w:val="nil"/>
            </w:tcBorders>
            <w:tcMar>
              <w:top w:w="15" w:type="dxa"/>
              <w:left w:w="15" w:type="dxa"/>
              <w:bottom w:w="15" w:type="dxa"/>
              <w:right w:w="15" w:type="dxa"/>
            </w:tcMar>
            <w:vAlign w:val="center"/>
          </w:tcPr>
          <w:p w14:paraId="4B54015B">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责令限期改正，给予警告，并处3万元以上6万元以下罚款。</w:t>
            </w:r>
          </w:p>
        </w:tc>
      </w:tr>
      <w:tr w14:paraId="16F89C2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3" w:type="dxa"/>
            <w:gridSpan w:val="2"/>
            <w:vMerge w:val="continue"/>
            <w:tcBorders>
              <w:tl2br w:val="nil"/>
              <w:tr2bl w:val="nil"/>
            </w:tcBorders>
            <w:vAlign w:val="center"/>
          </w:tcPr>
          <w:p w14:paraId="7AF483C5">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5F20C731">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4BC48ECB">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vMerge w:val="continue"/>
            <w:tcBorders>
              <w:tl2br w:val="nil"/>
              <w:tr2bl w:val="nil"/>
            </w:tcBorders>
            <w:vAlign w:val="center"/>
          </w:tcPr>
          <w:p w14:paraId="1F8E1134">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4F07DE8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7816C821">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实施违法行为，造成不良社会影响，责令限期改正，擅自改变用途，持续时间在6个月以上1年以下的。</w:t>
            </w:r>
          </w:p>
        </w:tc>
        <w:tc>
          <w:tcPr>
            <w:tcW w:w="3375" w:type="dxa"/>
            <w:tcBorders>
              <w:tl2br w:val="nil"/>
              <w:tr2bl w:val="nil"/>
            </w:tcBorders>
            <w:tcMar>
              <w:top w:w="15" w:type="dxa"/>
              <w:left w:w="15" w:type="dxa"/>
              <w:bottom w:w="15" w:type="dxa"/>
              <w:right w:w="15" w:type="dxa"/>
            </w:tcMar>
            <w:vAlign w:val="center"/>
          </w:tcPr>
          <w:p w14:paraId="57FC7D84">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责令限期改正，给予警告，并处6万元以上10万元以下罚款。</w:t>
            </w:r>
          </w:p>
          <w:p w14:paraId="532D18B0">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p>
        </w:tc>
      </w:tr>
      <w:tr w14:paraId="44238E0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3" w:type="dxa"/>
            <w:gridSpan w:val="2"/>
            <w:vMerge w:val="restart"/>
            <w:tcBorders>
              <w:tl2br w:val="nil"/>
              <w:tr2bl w:val="nil"/>
            </w:tcBorders>
            <w:vAlign w:val="center"/>
          </w:tcPr>
          <w:p w14:paraId="20187B7A">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111</w:t>
            </w:r>
          </w:p>
        </w:tc>
        <w:tc>
          <w:tcPr>
            <w:tcW w:w="1488" w:type="dxa"/>
            <w:gridSpan w:val="2"/>
            <w:vMerge w:val="restart"/>
            <w:tcBorders>
              <w:tl2br w:val="nil"/>
              <w:tr2bl w:val="nil"/>
            </w:tcBorders>
            <w:vAlign w:val="center"/>
          </w:tcPr>
          <w:p w14:paraId="33247B8D">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擅自改变物业管理区域内按照规划建设的公共建筑和共用设施用途的</w:t>
            </w:r>
          </w:p>
        </w:tc>
        <w:tc>
          <w:tcPr>
            <w:tcW w:w="1016" w:type="dxa"/>
            <w:vMerge w:val="restart"/>
            <w:tcBorders>
              <w:tl2br w:val="nil"/>
              <w:tr2bl w:val="nil"/>
            </w:tcBorders>
            <w:vAlign w:val="center"/>
          </w:tcPr>
          <w:p w14:paraId="0687D97E">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《物业管理条例》第四十九条</w:t>
            </w:r>
          </w:p>
        </w:tc>
        <w:tc>
          <w:tcPr>
            <w:tcW w:w="4354" w:type="dxa"/>
            <w:vMerge w:val="restart"/>
            <w:tcBorders>
              <w:tl2br w:val="nil"/>
              <w:tr2bl w:val="nil"/>
            </w:tcBorders>
            <w:vAlign w:val="center"/>
          </w:tcPr>
          <w:p w14:paraId="513EADB0">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szCs w:val="21"/>
                <w14:textFill>
                  <w14:solidFill>
                    <w14:schemeClr w14:val="tx1"/>
                  </w14:solidFill>
                </w14:textFill>
              </w:rPr>
              <w:t>物业管理条例》</w:t>
            </w:r>
            <w:r>
              <w:rPr>
                <w:rFonts w:hint="eastAsia" w:ascii="仿宋_GB2312" w:hAnsi="宋体" w:eastAsia="仿宋_GB2312" w:cs="Times New Roman"/>
                <w:b/>
                <w:bCs/>
                <w:color w:val="000000" w:themeColor="text1"/>
                <w:szCs w:val="21"/>
                <w14:textFill>
                  <w14:solidFill>
                    <w14:schemeClr w14:val="tx1"/>
                  </w14:solidFill>
                </w14:textFill>
              </w:rPr>
              <w:t>第六十三条</w:t>
            </w:r>
            <w:r>
              <w:rPr>
                <w:rFonts w:hint="eastAsia" w:ascii="仿宋_GB2312" w:hAnsi="宋体" w:eastAsia="仿宋_GB2312" w:cs="Times New Roman"/>
                <w:b/>
                <w:bCs/>
                <w:color w:val="000000" w:themeColor="text1"/>
                <w:szCs w:val="21"/>
                <w:lang w:eastAsia="zh-CN"/>
                <w14:textFill>
                  <w14:solidFill>
                    <w14:schemeClr w14:val="tx1"/>
                  </w14:solidFill>
                </w14:textFill>
              </w:rPr>
              <w:t>（一）</w:t>
            </w:r>
            <w:r>
              <w:rPr>
                <w:rFonts w:hint="eastAsia" w:ascii="仿宋_GB2312" w:hAnsi="宋体" w:eastAsia="仿宋_GB2312" w:cs="Times New Roman"/>
                <w:b/>
                <w:bCs/>
                <w:color w:val="000000" w:themeColor="text1"/>
                <w:szCs w:val="21"/>
                <w14:textFill>
                  <w14:solidFill>
                    <w14:schemeClr w14:val="tx1"/>
                  </w14:solidFill>
                </w14:textFill>
              </w:rPr>
              <w:t>项</w:t>
            </w:r>
            <w:r>
              <w:rPr>
                <w:rFonts w:hint="eastAsia" w:ascii="仿宋_GB2312" w:hAnsi="宋体" w:eastAsia="仿宋_GB2312" w:cs="Times New Roman"/>
                <w:b/>
                <w:bCs/>
                <w:color w:val="000000" w:themeColor="text1"/>
                <w:szCs w:val="21"/>
                <w:lang w:eastAsia="zh-CN"/>
                <w14:textFill>
                  <w14:solidFill>
                    <w14:schemeClr w14:val="tx1"/>
                  </w14:solidFill>
                </w14:textFill>
              </w:rPr>
              <w:t>：</w:t>
            </w:r>
            <w:r>
              <w:rPr>
                <w:rFonts w:hint="eastAsia" w:ascii="仿宋_GB2312" w:hAnsi="宋体" w:eastAsia="仿宋_GB2312" w:cs="Times New Roman"/>
                <w:color w:val="000000" w:themeColor="text1"/>
                <w:szCs w:val="21"/>
                <w14:textFill>
                  <w14:solidFill>
                    <w14:schemeClr w14:val="tx1"/>
                  </w14:solidFill>
                </w14:textFill>
              </w:rPr>
              <w:t>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w:t>
            </w:r>
          </w:p>
          <w:p w14:paraId="73511947">
            <w:pPr>
              <w:keepNext w:val="0"/>
              <w:keepLines w:val="0"/>
              <w:pageBreakBefore w:val="0"/>
              <w:widowControl/>
              <w:kinsoku/>
              <w:overflowPunct/>
              <w:topLinePunct w:val="0"/>
              <w:autoSpaceDE/>
              <w:autoSpaceDN/>
              <w:bidi w:val="0"/>
              <w:adjustRightInd/>
              <w:spacing w:line="260" w:lineRule="exact"/>
              <w:ind w:firstLine="420" w:firstLineChars="2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（一）擅自改变物业管理区域内按照规划建设的公共建筑和共用设施用途的；</w:t>
            </w:r>
          </w:p>
          <w:p w14:paraId="5D28069D">
            <w:pPr>
              <w:keepNext w:val="0"/>
              <w:keepLines w:val="0"/>
              <w:pageBreakBefore w:val="0"/>
              <w:widowControl/>
              <w:kinsoku/>
              <w:overflowPunct/>
              <w:topLinePunct w:val="0"/>
              <w:autoSpaceDE/>
              <w:autoSpaceDN/>
              <w:bidi w:val="0"/>
              <w:adjustRightInd/>
              <w:spacing w:line="260" w:lineRule="exact"/>
              <w:ind w:firstLine="420" w:firstLineChars="2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个人有前款规定行为之一的，处1000元以上1万元以下的罚款；单位有前款规定行为之一的，处5万元以上20万元以下的罚款。</w:t>
            </w:r>
          </w:p>
          <w:p w14:paraId="64405CC3">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《物业管理条例》</w:t>
            </w:r>
            <w:r>
              <w:rPr>
                <w:rFonts w:hint="eastAsia" w:ascii="仿宋_GB2312" w:hAnsi="宋体" w:eastAsia="仿宋_GB2312" w:cs="Times New Roman"/>
                <w:b/>
                <w:bCs/>
                <w:color w:val="000000" w:themeColor="text1"/>
                <w:szCs w:val="21"/>
                <w14:textFill>
                  <w14:solidFill>
                    <w14:schemeClr w14:val="tx1"/>
                  </w14:solidFill>
                </w14:textFill>
              </w:rPr>
              <w:t>第四十九条</w:t>
            </w:r>
            <w:r>
              <w:rPr>
                <w:rFonts w:hint="eastAsia" w:ascii="仿宋_GB2312" w:hAnsi="宋体" w:eastAsia="仿宋_GB2312" w:cs="Times New Roman"/>
                <w:b/>
                <w:bCs/>
                <w:color w:val="000000" w:themeColor="text1"/>
                <w:szCs w:val="21"/>
                <w:lang w:eastAsia="zh-CN"/>
                <w14:textFill>
                  <w14:solidFill>
                    <w14:schemeClr w14:val="tx1"/>
                  </w14:solidFill>
                </w14:textFill>
              </w:rPr>
              <w:t>：</w:t>
            </w:r>
            <w:r>
              <w:rPr>
                <w:rFonts w:hint="eastAsia" w:ascii="仿宋_GB2312" w:hAnsi="宋体" w:eastAsia="仿宋_GB2312" w:cs="Times New Roman"/>
                <w:color w:val="000000" w:themeColor="text1"/>
                <w:szCs w:val="21"/>
                <w14:textFill>
                  <w14:solidFill>
                    <w14:schemeClr w14:val="tx1"/>
                  </w14:solidFill>
                </w14:textFill>
              </w:rPr>
              <w:t>物业管理区域内按照规划建设的公共建筑和共用设施，不得改变用途。 业主依法确需改变公共建筑和共用设施用途的，应当在依法办理有关手续后告知物业服务企业；物业服务企业确需改变公共建筑和共用设施用途的，应当提请业主大会讨论决定同意后，由业主依法办理有关手续。</w:t>
            </w:r>
          </w:p>
        </w:tc>
        <w:tc>
          <w:tcPr>
            <w:tcW w:w="912" w:type="dxa"/>
            <w:tcBorders>
              <w:tl2br w:val="nil"/>
              <w:tr2bl w:val="nil"/>
            </w:tcBorders>
            <w:tcMar>
              <w:top w:w="15" w:type="dxa"/>
              <w:left w:w="15" w:type="dxa"/>
              <w:bottom w:w="15" w:type="dxa"/>
              <w:right w:w="15" w:type="dxa"/>
            </w:tcMar>
            <w:vAlign w:val="center"/>
          </w:tcPr>
          <w:p w14:paraId="5BAC313D">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6476742D">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375" w:type="dxa"/>
            <w:tcBorders>
              <w:tl2br w:val="nil"/>
              <w:tr2bl w:val="nil"/>
            </w:tcBorders>
            <w:tcMar>
              <w:top w:w="15" w:type="dxa"/>
              <w:left w:w="15" w:type="dxa"/>
              <w:bottom w:w="15" w:type="dxa"/>
              <w:right w:w="15" w:type="dxa"/>
            </w:tcMar>
            <w:vAlign w:val="center"/>
          </w:tcPr>
          <w:p w14:paraId="50145C5A">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对个人处1千元罚款；对单位处5万元罚款。</w:t>
            </w:r>
          </w:p>
        </w:tc>
      </w:tr>
      <w:tr w14:paraId="1D6D447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3" w:type="dxa"/>
            <w:gridSpan w:val="2"/>
            <w:vMerge w:val="continue"/>
            <w:tcBorders>
              <w:tl2br w:val="nil"/>
              <w:tr2bl w:val="nil"/>
            </w:tcBorders>
            <w:vAlign w:val="center"/>
          </w:tcPr>
          <w:p w14:paraId="7480F1F8">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6477DC3A">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3813C4B8">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vMerge w:val="continue"/>
            <w:tcBorders>
              <w:tl2br w:val="nil"/>
              <w:tr2bl w:val="nil"/>
            </w:tcBorders>
            <w:vAlign w:val="center"/>
          </w:tcPr>
          <w:p w14:paraId="0BE3AAFB">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39E5F59A">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50BDC1CB">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w:t>
            </w: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r>
              <w:rPr>
                <w:rFonts w:hint="eastAsia" w:ascii="仿宋_GB2312" w:hAnsi="宋体" w:eastAsia="仿宋_GB2312" w:cs="Times New Roman"/>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11335621">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对个人处1千元以上5千元以下罚款；对单位处5万元以上15万元以下罚款。</w:t>
            </w:r>
          </w:p>
        </w:tc>
      </w:tr>
      <w:tr w14:paraId="3133357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3" w:type="dxa"/>
            <w:gridSpan w:val="2"/>
            <w:vMerge w:val="continue"/>
            <w:tcBorders>
              <w:tl2br w:val="nil"/>
              <w:tr2bl w:val="nil"/>
            </w:tcBorders>
            <w:vAlign w:val="center"/>
          </w:tcPr>
          <w:p w14:paraId="26F64369">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0E00646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7F918791">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vMerge w:val="continue"/>
            <w:tcBorders>
              <w:tl2br w:val="nil"/>
              <w:tr2bl w:val="nil"/>
            </w:tcBorders>
            <w:vAlign w:val="center"/>
          </w:tcPr>
          <w:p w14:paraId="68BD1ACF">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53CDC384">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7E11840E">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经责令停止违法行为后，继续实施违法行为的</w:t>
            </w:r>
            <w:r>
              <w:rPr>
                <w:rFonts w:hint="eastAsia" w:ascii="仿宋_GB2312" w:hAnsi="宋体" w:eastAsia="仿宋_GB2312" w:cs="Times New Roman"/>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lang w:val="en-US" w:eastAsia="zh-CN"/>
                <w14:textFill>
                  <w14:solidFill>
                    <w14:schemeClr w14:val="tx1"/>
                  </w14:solidFill>
                </w14:textFill>
              </w:rPr>
              <w:t>或</w:t>
            </w:r>
            <w:r>
              <w:rPr>
                <w:rFonts w:hint="eastAsia" w:ascii="仿宋_GB2312" w:hAnsi="宋体" w:eastAsia="仿宋_GB2312" w:cs="Times New Roman"/>
                <w:color w:val="000000" w:themeColor="text1"/>
                <w:kern w:val="0"/>
                <w:szCs w:val="21"/>
                <w14:textFill>
                  <w14:solidFill>
                    <w14:schemeClr w14:val="tx1"/>
                  </w14:solidFill>
                </w14:textFill>
              </w:rPr>
              <w:t>2年内2次及以上同类型违法</w:t>
            </w:r>
            <w:r>
              <w:rPr>
                <w:rFonts w:hint="eastAsia" w:ascii="仿宋_GB2312" w:hAnsi="宋体" w:eastAsia="仿宋_GB2312" w:cs="Times New Roman"/>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lang w:val="en-US" w:eastAsia="zh-CN"/>
                <w14:textFill>
                  <w14:solidFill>
                    <w14:schemeClr w14:val="tx1"/>
                  </w14:solidFill>
                </w14:textFill>
              </w:rPr>
              <w:t>或</w:t>
            </w:r>
            <w:r>
              <w:rPr>
                <w:rFonts w:hint="eastAsia" w:ascii="仿宋_GB2312" w:hAnsi="宋体" w:eastAsia="仿宋_GB2312" w:cs="Times New Roman"/>
                <w:color w:val="000000" w:themeColor="text1"/>
                <w:kern w:val="0"/>
                <w:szCs w:val="21"/>
                <w14:textFill>
                  <w14:solidFill>
                    <w14:schemeClr w14:val="tx1"/>
                  </w14:solidFill>
                </w14:textFill>
              </w:rPr>
              <w:t>引发网络舆情事件、群体性事件等影响社会稳定的。</w:t>
            </w:r>
          </w:p>
          <w:p w14:paraId="1453EEE9">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p>
          <w:p w14:paraId="14C9B3BE">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3375" w:type="dxa"/>
            <w:tcBorders>
              <w:tl2br w:val="nil"/>
              <w:tr2bl w:val="nil"/>
            </w:tcBorders>
            <w:tcMar>
              <w:top w:w="15" w:type="dxa"/>
              <w:left w:w="15" w:type="dxa"/>
              <w:bottom w:w="15" w:type="dxa"/>
              <w:right w:w="15" w:type="dxa"/>
            </w:tcMar>
            <w:vAlign w:val="center"/>
          </w:tcPr>
          <w:p w14:paraId="5F1771E1">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对个人处5千元以上1万元以下罚款；对单位处15万元以上20万元以下罚款。</w:t>
            </w:r>
          </w:p>
        </w:tc>
      </w:tr>
      <w:tr w14:paraId="1A1E455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3" w:type="dxa"/>
            <w:gridSpan w:val="2"/>
            <w:vMerge w:val="restart"/>
            <w:tcBorders>
              <w:tl2br w:val="nil"/>
              <w:tr2bl w:val="nil"/>
            </w:tcBorders>
            <w:vAlign w:val="center"/>
          </w:tcPr>
          <w:p w14:paraId="397DC52C">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112</w:t>
            </w:r>
          </w:p>
        </w:tc>
        <w:tc>
          <w:tcPr>
            <w:tcW w:w="1488" w:type="dxa"/>
            <w:gridSpan w:val="2"/>
            <w:vMerge w:val="restart"/>
            <w:tcBorders>
              <w:tl2br w:val="nil"/>
              <w:tr2bl w:val="nil"/>
            </w:tcBorders>
            <w:vAlign w:val="center"/>
          </w:tcPr>
          <w:p w14:paraId="72E0981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擅自占用、挖掘物业管理区域内道路、场地，损害业主共同利益的</w:t>
            </w:r>
          </w:p>
        </w:tc>
        <w:tc>
          <w:tcPr>
            <w:tcW w:w="1016" w:type="dxa"/>
            <w:vMerge w:val="restart"/>
            <w:tcBorders>
              <w:tl2br w:val="nil"/>
              <w:tr2bl w:val="nil"/>
            </w:tcBorders>
            <w:vAlign w:val="center"/>
          </w:tcPr>
          <w:p w14:paraId="5B3CD793">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《物业管理条例》第五十条</w:t>
            </w:r>
          </w:p>
        </w:tc>
        <w:tc>
          <w:tcPr>
            <w:tcW w:w="4354" w:type="dxa"/>
            <w:vMerge w:val="restart"/>
            <w:tcBorders>
              <w:tl2br w:val="nil"/>
              <w:tr2bl w:val="nil"/>
            </w:tcBorders>
            <w:vAlign w:val="center"/>
          </w:tcPr>
          <w:p w14:paraId="2EC6F95D">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《物业管理条例》</w:t>
            </w:r>
            <w:r>
              <w:rPr>
                <w:rFonts w:hint="eastAsia" w:ascii="仿宋_GB2312" w:hAnsi="宋体" w:eastAsia="仿宋_GB2312" w:cs="Times New Roman"/>
                <w:b/>
                <w:bCs/>
                <w:color w:val="000000" w:themeColor="text1"/>
                <w:kern w:val="0"/>
                <w:szCs w:val="21"/>
                <w14:textFill>
                  <w14:solidFill>
                    <w14:schemeClr w14:val="tx1"/>
                  </w14:solidFill>
                </w14:textFill>
              </w:rPr>
              <w:t>第六十三条</w:t>
            </w:r>
            <w:r>
              <w:rPr>
                <w:rFonts w:hint="eastAsia" w:ascii="仿宋_GB2312" w:hAnsi="宋体" w:eastAsia="仿宋_GB2312" w:cs="Times New Roman"/>
                <w:b/>
                <w:bCs/>
                <w:color w:val="000000" w:themeColor="text1"/>
                <w:kern w:val="0"/>
                <w:szCs w:val="21"/>
                <w:lang w:eastAsia="zh-CN"/>
                <w14:textFill>
                  <w14:solidFill>
                    <w14:schemeClr w14:val="tx1"/>
                  </w14:solidFill>
                </w14:textFill>
              </w:rPr>
              <w:t>（二）</w:t>
            </w:r>
            <w:r>
              <w:rPr>
                <w:rFonts w:hint="eastAsia" w:ascii="仿宋_GB2312" w:hAnsi="宋体" w:eastAsia="仿宋_GB2312" w:cs="Times New Roman"/>
                <w:b/>
                <w:bCs/>
                <w:color w:val="000000" w:themeColor="text1"/>
                <w:kern w:val="0"/>
                <w:szCs w:val="21"/>
                <w14:textFill>
                  <w14:solidFill>
                    <w14:schemeClr w14:val="tx1"/>
                  </w14:solidFill>
                </w14:textFill>
              </w:rPr>
              <w:t>项</w:t>
            </w:r>
            <w:r>
              <w:rPr>
                <w:rFonts w:hint="eastAsia" w:ascii="仿宋_GB2312" w:hAnsi="宋体" w:eastAsia="仿宋_GB2312" w:cs="Times New Roman"/>
                <w:b/>
                <w:bCs/>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w:t>
            </w:r>
          </w:p>
          <w:p w14:paraId="775B1720">
            <w:pPr>
              <w:keepNext w:val="0"/>
              <w:keepLines w:val="0"/>
              <w:pageBreakBefore w:val="0"/>
              <w:widowControl/>
              <w:kinsoku/>
              <w:overflowPunct/>
              <w:topLinePunct w:val="0"/>
              <w:autoSpaceDE/>
              <w:autoSpaceDN/>
              <w:bidi w:val="0"/>
              <w:adjustRightInd/>
              <w:spacing w:line="260" w:lineRule="exact"/>
              <w:ind w:firstLine="420" w:firstLineChars="2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（二）擅自占用、挖掘物业管理区域内道路、场地，损害业主共同利益的；</w:t>
            </w:r>
          </w:p>
          <w:p w14:paraId="324365C3">
            <w:pPr>
              <w:keepNext w:val="0"/>
              <w:keepLines w:val="0"/>
              <w:pageBreakBefore w:val="0"/>
              <w:widowControl/>
              <w:kinsoku/>
              <w:overflowPunct/>
              <w:topLinePunct w:val="0"/>
              <w:autoSpaceDE/>
              <w:autoSpaceDN/>
              <w:bidi w:val="0"/>
              <w:adjustRightInd/>
              <w:spacing w:line="260" w:lineRule="exact"/>
              <w:ind w:firstLine="420" w:firstLineChars="2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个人有前款规</w:t>
            </w:r>
            <w:r>
              <w:rPr>
                <w:rFonts w:hint="eastAsia" w:ascii="仿宋_GB2312" w:hAnsi="宋体" w:eastAsia="仿宋_GB2312" w:cs="Times New Roman"/>
                <w:color w:val="000000" w:themeColor="text1"/>
                <w:szCs w:val="21"/>
                <w14:textFill>
                  <w14:solidFill>
                    <w14:schemeClr w14:val="tx1"/>
                  </w14:solidFill>
                </w14:textFill>
              </w:rPr>
              <w:t>定行为之一的，处1000元以上1万元以下的罚款；单位有前款规定行为之一的，处5万元以上20万元以下的罚款。</w:t>
            </w:r>
          </w:p>
          <w:p w14:paraId="451DC6B2">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《物业管理条例》</w:t>
            </w:r>
            <w:r>
              <w:rPr>
                <w:rFonts w:hint="eastAsia" w:ascii="仿宋_GB2312" w:hAnsi="宋体" w:eastAsia="仿宋_GB2312" w:cs="Times New Roman"/>
                <w:b/>
                <w:bCs/>
                <w:color w:val="000000" w:themeColor="text1"/>
                <w:szCs w:val="21"/>
                <w14:textFill>
                  <w14:solidFill>
                    <w14:schemeClr w14:val="tx1"/>
                  </w14:solidFill>
                </w14:textFill>
              </w:rPr>
              <w:t>第五十条</w:t>
            </w:r>
            <w:r>
              <w:rPr>
                <w:rFonts w:hint="eastAsia" w:ascii="仿宋_GB2312" w:hAnsi="宋体" w:eastAsia="仿宋_GB2312" w:cs="Times New Roman"/>
                <w:b/>
                <w:bCs/>
                <w:color w:val="000000" w:themeColor="text1"/>
                <w:szCs w:val="21"/>
                <w:lang w:eastAsia="zh-CN"/>
                <w14:textFill>
                  <w14:solidFill>
                    <w14:schemeClr w14:val="tx1"/>
                  </w14:solidFill>
                </w14:textFill>
              </w:rPr>
              <w:t>：</w:t>
            </w:r>
            <w:r>
              <w:rPr>
                <w:rFonts w:hint="eastAsia" w:ascii="仿宋_GB2312" w:hAnsi="宋体" w:eastAsia="仿宋_GB2312" w:cs="Times New Roman"/>
                <w:color w:val="000000" w:themeColor="text1"/>
                <w:szCs w:val="21"/>
                <w14:textFill>
                  <w14:solidFill>
                    <w14:schemeClr w14:val="tx1"/>
                  </w14:solidFill>
                </w14:textFill>
              </w:rPr>
              <w:t>业主、物业服务企业不得擅自占用、挖掘物业管理区域内的道路、场地，损害业主的共同利益。 因维修物业或者公共利益，业主确需临时占用、挖掘道路、场地的，应当征得业主委员会和物业服务企业的同意；物业服务企业确需临时占用、挖掘道路、场地的，应当征得业主委员会的同意。 业主、物业服务企业应当将临时占用、挖掘的道路、场地，在约定期限内恢复原状。</w:t>
            </w:r>
          </w:p>
        </w:tc>
        <w:tc>
          <w:tcPr>
            <w:tcW w:w="912" w:type="dxa"/>
            <w:tcBorders>
              <w:tl2br w:val="nil"/>
              <w:tr2bl w:val="nil"/>
            </w:tcBorders>
            <w:tcMar>
              <w:top w:w="15" w:type="dxa"/>
              <w:left w:w="15" w:type="dxa"/>
              <w:bottom w:w="15" w:type="dxa"/>
              <w:right w:w="15" w:type="dxa"/>
            </w:tcMar>
            <w:vAlign w:val="center"/>
          </w:tcPr>
          <w:p w14:paraId="4A382694">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109B66B0">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375" w:type="dxa"/>
            <w:tcBorders>
              <w:tl2br w:val="nil"/>
              <w:tr2bl w:val="nil"/>
            </w:tcBorders>
            <w:tcMar>
              <w:top w:w="15" w:type="dxa"/>
              <w:left w:w="15" w:type="dxa"/>
              <w:bottom w:w="15" w:type="dxa"/>
              <w:right w:w="15" w:type="dxa"/>
            </w:tcMar>
            <w:vAlign w:val="center"/>
          </w:tcPr>
          <w:p w14:paraId="24458782">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对个人处1千元罚款；对单位处5万元罚款。</w:t>
            </w:r>
          </w:p>
        </w:tc>
      </w:tr>
      <w:tr w14:paraId="538794D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3" w:type="dxa"/>
            <w:gridSpan w:val="2"/>
            <w:vMerge w:val="continue"/>
            <w:tcBorders>
              <w:tl2br w:val="nil"/>
              <w:tr2bl w:val="nil"/>
            </w:tcBorders>
            <w:vAlign w:val="center"/>
          </w:tcPr>
          <w:p w14:paraId="109B9DC4">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3BB9D2C2">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041B08CC">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vMerge w:val="continue"/>
            <w:tcBorders>
              <w:tl2br w:val="nil"/>
              <w:tr2bl w:val="nil"/>
            </w:tcBorders>
            <w:vAlign w:val="center"/>
          </w:tcPr>
          <w:p w14:paraId="0424F4D1">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0CE3D340">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38CAF177">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w:t>
            </w: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r>
              <w:rPr>
                <w:rFonts w:hint="eastAsia" w:ascii="仿宋_GB2312" w:hAnsi="宋体" w:eastAsia="仿宋_GB2312" w:cs="Times New Roman"/>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77B4882D">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对个人处1千元以上5千元以下罚款；对单位处5万元以上15万元以下罚款。</w:t>
            </w:r>
          </w:p>
        </w:tc>
      </w:tr>
      <w:tr w14:paraId="18083F7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3" w:type="dxa"/>
            <w:gridSpan w:val="2"/>
            <w:vMerge w:val="continue"/>
            <w:tcBorders>
              <w:tl2br w:val="nil"/>
              <w:tr2bl w:val="nil"/>
            </w:tcBorders>
            <w:vAlign w:val="center"/>
          </w:tcPr>
          <w:p w14:paraId="1EEC1264">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75CEE889">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22B02140">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vMerge w:val="continue"/>
            <w:tcBorders>
              <w:tl2br w:val="nil"/>
              <w:tr2bl w:val="nil"/>
            </w:tcBorders>
            <w:vAlign w:val="center"/>
          </w:tcPr>
          <w:p w14:paraId="03C7C568">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67FE595B">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6E3E41F1">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经责令停止违法行为后，继续实施违法行为的</w:t>
            </w:r>
            <w:r>
              <w:rPr>
                <w:rFonts w:hint="eastAsia" w:ascii="仿宋_GB2312" w:hAnsi="宋体" w:eastAsia="仿宋_GB2312" w:cs="Times New Roman"/>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lang w:val="en-US" w:eastAsia="zh-CN"/>
                <w14:textFill>
                  <w14:solidFill>
                    <w14:schemeClr w14:val="tx1"/>
                  </w14:solidFill>
                </w14:textFill>
              </w:rPr>
              <w:t>或</w:t>
            </w:r>
            <w:r>
              <w:rPr>
                <w:rFonts w:hint="eastAsia" w:ascii="仿宋_GB2312" w:hAnsi="宋体" w:eastAsia="仿宋_GB2312" w:cs="Times New Roman"/>
                <w:color w:val="000000" w:themeColor="text1"/>
                <w:kern w:val="0"/>
                <w:szCs w:val="21"/>
                <w14:textFill>
                  <w14:solidFill>
                    <w14:schemeClr w14:val="tx1"/>
                  </w14:solidFill>
                </w14:textFill>
              </w:rPr>
              <w:t>2年内2次及以上同类型违法</w:t>
            </w:r>
            <w:r>
              <w:rPr>
                <w:rFonts w:hint="eastAsia" w:ascii="仿宋_GB2312" w:hAnsi="宋体" w:eastAsia="仿宋_GB2312" w:cs="Times New Roman"/>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lang w:val="en-US" w:eastAsia="zh-CN"/>
                <w14:textFill>
                  <w14:solidFill>
                    <w14:schemeClr w14:val="tx1"/>
                  </w14:solidFill>
                </w14:textFill>
              </w:rPr>
              <w:t>或</w:t>
            </w:r>
            <w:r>
              <w:rPr>
                <w:rFonts w:hint="eastAsia" w:ascii="仿宋_GB2312" w:hAnsi="宋体" w:eastAsia="仿宋_GB2312" w:cs="Times New Roman"/>
                <w:color w:val="000000" w:themeColor="text1"/>
                <w:kern w:val="0"/>
                <w:szCs w:val="21"/>
                <w14:textFill>
                  <w14:solidFill>
                    <w14:schemeClr w14:val="tx1"/>
                  </w14:solidFill>
                </w14:textFill>
              </w:rPr>
              <w:t>引发网络舆情事件、群体性事件等影响社会稳定的。</w:t>
            </w:r>
          </w:p>
          <w:p w14:paraId="0E7E41EC">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p>
          <w:p w14:paraId="6E019F9A">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3375" w:type="dxa"/>
            <w:tcBorders>
              <w:tl2br w:val="nil"/>
              <w:tr2bl w:val="nil"/>
            </w:tcBorders>
            <w:tcMar>
              <w:top w:w="15" w:type="dxa"/>
              <w:left w:w="15" w:type="dxa"/>
              <w:bottom w:w="15" w:type="dxa"/>
              <w:right w:w="15" w:type="dxa"/>
            </w:tcMar>
            <w:vAlign w:val="center"/>
          </w:tcPr>
          <w:p w14:paraId="27B4432A">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对个人处5千元以上1万元以下罚款；对单位处15万元以上20万元以下罚款。</w:t>
            </w:r>
          </w:p>
        </w:tc>
      </w:tr>
      <w:tr w14:paraId="6238182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3" w:type="dxa"/>
            <w:gridSpan w:val="2"/>
            <w:vMerge w:val="restart"/>
            <w:tcBorders>
              <w:tl2br w:val="nil"/>
              <w:tr2bl w:val="nil"/>
            </w:tcBorders>
            <w:vAlign w:val="center"/>
          </w:tcPr>
          <w:p w14:paraId="425E31D4">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113</w:t>
            </w:r>
          </w:p>
        </w:tc>
        <w:tc>
          <w:tcPr>
            <w:tcW w:w="1488" w:type="dxa"/>
            <w:gridSpan w:val="2"/>
            <w:vMerge w:val="restart"/>
            <w:tcBorders>
              <w:tl2br w:val="nil"/>
              <w:tr2bl w:val="nil"/>
            </w:tcBorders>
            <w:vAlign w:val="center"/>
          </w:tcPr>
          <w:p w14:paraId="39BB36C5">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擅自利用物业共用部位、共用设施设备进行经营的</w:t>
            </w:r>
          </w:p>
        </w:tc>
        <w:tc>
          <w:tcPr>
            <w:tcW w:w="1016" w:type="dxa"/>
            <w:vMerge w:val="restart"/>
            <w:tcBorders>
              <w:tl2br w:val="nil"/>
              <w:tr2bl w:val="nil"/>
            </w:tcBorders>
            <w:vAlign w:val="center"/>
          </w:tcPr>
          <w:p w14:paraId="57820E5D">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《物业管理条例》第五十四条</w:t>
            </w:r>
          </w:p>
        </w:tc>
        <w:tc>
          <w:tcPr>
            <w:tcW w:w="4354" w:type="dxa"/>
            <w:vMerge w:val="restart"/>
            <w:tcBorders>
              <w:tl2br w:val="nil"/>
              <w:tr2bl w:val="nil"/>
            </w:tcBorders>
            <w:vAlign w:val="center"/>
          </w:tcPr>
          <w:p w14:paraId="1FA47A9B">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《物业管理条例》</w:t>
            </w:r>
            <w:r>
              <w:rPr>
                <w:rFonts w:hint="eastAsia" w:ascii="仿宋_GB2312" w:hAnsi="宋体" w:eastAsia="仿宋_GB2312" w:cs="Times New Roman"/>
                <w:b/>
                <w:bCs/>
                <w:color w:val="000000" w:themeColor="text1"/>
                <w:kern w:val="0"/>
                <w:szCs w:val="21"/>
                <w14:textFill>
                  <w14:solidFill>
                    <w14:schemeClr w14:val="tx1"/>
                  </w14:solidFill>
                </w14:textFill>
              </w:rPr>
              <w:t>第六十</w:t>
            </w:r>
            <w:r>
              <w:rPr>
                <w:rFonts w:hint="eastAsia" w:ascii="仿宋_GB2312" w:hAnsi="宋体" w:eastAsia="仿宋_GB2312" w:cs="Times New Roman"/>
                <w:b/>
                <w:bCs/>
                <w:color w:val="000000" w:themeColor="text1"/>
                <w:kern w:val="0"/>
                <w:szCs w:val="21"/>
                <w:lang w:eastAsia="zh-CN"/>
                <w14:textFill>
                  <w14:solidFill>
                    <w14:schemeClr w14:val="tx1"/>
                  </w14:solidFill>
                </w14:textFill>
              </w:rPr>
              <w:t>四</w:t>
            </w:r>
            <w:r>
              <w:rPr>
                <w:rFonts w:hint="eastAsia" w:ascii="仿宋_GB2312" w:hAnsi="宋体" w:eastAsia="仿宋_GB2312" w:cs="Times New Roman"/>
                <w:b/>
                <w:bCs/>
                <w:color w:val="000000" w:themeColor="text1"/>
                <w:kern w:val="0"/>
                <w:szCs w:val="21"/>
                <w14:textFill>
                  <w14:solidFill>
                    <w14:schemeClr w14:val="tx1"/>
                  </w14:solidFill>
                </w14:textFill>
              </w:rPr>
              <w:t>条</w:t>
            </w:r>
            <w:r>
              <w:rPr>
                <w:rFonts w:hint="eastAsia" w:ascii="仿宋_GB2312" w:hAnsi="宋体" w:eastAsia="仿宋_GB2312" w:cs="Times New Roman"/>
                <w:b/>
                <w:bCs/>
                <w:color w:val="000000" w:themeColor="text1"/>
                <w:kern w:val="0"/>
                <w:szCs w:val="21"/>
                <w:lang w:eastAsia="zh-CN"/>
                <w14:textFill>
                  <w14:solidFill>
                    <w14:schemeClr w14:val="tx1"/>
                  </w14:solidFill>
                </w14:textFill>
              </w:rPr>
              <w:t>（三）</w:t>
            </w:r>
            <w:r>
              <w:rPr>
                <w:rFonts w:hint="eastAsia" w:ascii="仿宋_GB2312" w:hAnsi="宋体" w:eastAsia="仿宋_GB2312" w:cs="Times New Roman"/>
                <w:b/>
                <w:bCs/>
                <w:color w:val="000000" w:themeColor="text1"/>
                <w:kern w:val="0"/>
                <w:szCs w:val="21"/>
                <w14:textFill>
                  <w14:solidFill>
                    <w14:schemeClr w14:val="tx1"/>
                  </w14:solidFill>
                </w14:textFill>
              </w:rPr>
              <w:t>项</w:t>
            </w:r>
            <w:r>
              <w:rPr>
                <w:rFonts w:hint="eastAsia" w:ascii="仿宋_GB2312" w:hAnsi="宋体" w:eastAsia="仿宋_GB2312" w:cs="Times New Roman"/>
                <w:b/>
                <w:bCs/>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w:t>
            </w:r>
          </w:p>
          <w:p w14:paraId="41ECCF79">
            <w:pPr>
              <w:keepNext w:val="0"/>
              <w:keepLines w:val="0"/>
              <w:pageBreakBefore w:val="0"/>
              <w:widowControl/>
              <w:numPr>
                <w:ilvl w:val="0"/>
                <w:numId w:val="2"/>
              </w:numPr>
              <w:kinsoku/>
              <w:overflowPunct/>
              <w:topLinePunct w:val="0"/>
              <w:autoSpaceDE/>
              <w:autoSpaceDN/>
              <w:bidi w:val="0"/>
              <w:adjustRightInd/>
              <w:spacing w:line="260" w:lineRule="exact"/>
              <w:ind w:firstLine="420" w:firstLineChars="200"/>
              <w:textAlignment w:val="center"/>
              <w:rPr>
                <w:rFonts w:hint="eastAsia"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 xml:space="preserve">擅自利用物业共用部位、共用设施设备进行经营的。 </w:t>
            </w:r>
          </w:p>
          <w:p w14:paraId="4943585E">
            <w:pPr>
              <w:keepNext w:val="0"/>
              <w:keepLines w:val="0"/>
              <w:pageBreakBefore w:val="0"/>
              <w:widowControl/>
              <w:numPr>
                <w:ilvl w:val="0"/>
                <w:numId w:val="0"/>
              </w:numPr>
              <w:kinsoku/>
              <w:overflowPunct/>
              <w:topLinePunct w:val="0"/>
              <w:autoSpaceDE/>
              <w:autoSpaceDN/>
              <w:bidi w:val="0"/>
              <w:adjustRightInd/>
              <w:spacing w:line="260" w:lineRule="exact"/>
              <w:ind w:firstLine="420" w:firstLineChars="2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个人有前款规定行为之一的，处1000元以上1万元以下的罚款；单位有前款规定行为之一的，处5万元以上20万元以下的罚款。</w:t>
            </w:r>
          </w:p>
          <w:p w14:paraId="787DB90A">
            <w:pPr>
              <w:keepNext w:val="0"/>
              <w:keepLines w:val="0"/>
              <w:pageBreakBefore w:val="0"/>
              <w:widowControl/>
              <w:kinsoku/>
              <w:overflowPunct/>
              <w:topLinePunct w:val="0"/>
              <w:autoSpaceDE/>
              <w:autoSpaceDN/>
              <w:bidi w:val="0"/>
              <w:adjustRightInd/>
              <w:spacing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《物业管理条例》</w:t>
            </w:r>
            <w:r>
              <w:rPr>
                <w:rFonts w:hint="eastAsia" w:ascii="仿宋_GB2312" w:hAnsi="宋体" w:eastAsia="仿宋_GB2312" w:cs="Times New Roman"/>
                <w:b/>
                <w:bCs/>
                <w:color w:val="000000" w:themeColor="text1"/>
                <w:kern w:val="0"/>
                <w:szCs w:val="21"/>
                <w14:textFill>
                  <w14:solidFill>
                    <w14:schemeClr w14:val="tx1"/>
                  </w14:solidFill>
                </w14:textFill>
              </w:rPr>
              <w:t>第五十四条</w:t>
            </w:r>
            <w:r>
              <w:rPr>
                <w:rFonts w:hint="eastAsia" w:ascii="仿宋_GB2312" w:hAnsi="宋体" w:eastAsia="仿宋_GB2312" w:cs="Times New Roman"/>
                <w:b/>
                <w:bCs/>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利用物业共用部位、共用设施设备进行经营的，应当在征得相关业主、业主大会、物业服务企业的同意后，按照规定办理有关手续。业主所得收益应当主要用于补充专项维修资金，也可以按照业主大会的决定使用。</w:t>
            </w:r>
          </w:p>
        </w:tc>
        <w:tc>
          <w:tcPr>
            <w:tcW w:w="912" w:type="dxa"/>
            <w:tcBorders>
              <w:tl2br w:val="nil"/>
              <w:tr2bl w:val="nil"/>
            </w:tcBorders>
            <w:tcMar>
              <w:top w:w="15" w:type="dxa"/>
              <w:left w:w="15" w:type="dxa"/>
              <w:bottom w:w="15" w:type="dxa"/>
              <w:right w:w="15" w:type="dxa"/>
            </w:tcMar>
            <w:vAlign w:val="center"/>
          </w:tcPr>
          <w:p w14:paraId="7E14978B">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7279A98B">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375" w:type="dxa"/>
            <w:tcBorders>
              <w:tl2br w:val="nil"/>
              <w:tr2bl w:val="nil"/>
            </w:tcBorders>
            <w:tcMar>
              <w:top w:w="15" w:type="dxa"/>
              <w:left w:w="15" w:type="dxa"/>
              <w:bottom w:w="15" w:type="dxa"/>
              <w:right w:w="15" w:type="dxa"/>
            </w:tcMar>
            <w:vAlign w:val="center"/>
          </w:tcPr>
          <w:p w14:paraId="36941471">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对个人处1千元罚款；对单位处5万元罚款。</w:t>
            </w:r>
          </w:p>
        </w:tc>
      </w:tr>
      <w:tr w14:paraId="50CCA64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3" w:type="dxa"/>
            <w:gridSpan w:val="2"/>
            <w:vMerge w:val="continue"/>
            <w:tcBorders>
              <w:tl2br w:val="nil"/>
              <w:tr2bl w:val="nil"/>
            </w:tcBorders>
            <w:vAlign w:val="center"/>
          </w:tcPr>
          <w:p w14:paraId="31889C84">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4010040C">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34F198CA">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vMerge w:val="continue"/>
            <w:tcBorders>
              <w:tl2br w:val="nil"/>
              <w:tr2bl w:val="nil"/>
            </w:tcBorders>
            <w:vAlign w:val="center"/>
          </w:tcPr>
          <w:p w14:paraId="1469B4D2">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2FECEAC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0A24CB70">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w:t>
            </w: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r>
              <w:rPr>
                <w:rFonts w:hint="eastAsia" w:ascii="仿宋_GB2312" w:hAnsi="宋体" w:eastAsia="仿宋_GB2312" w:cs="Times New Roman"/>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59224D75">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对个人处1千元以上5千元以下罚款；对单位处5万元以上15万元以下罚款。</w:t>
            </w:r>
          </w:p>
        </w:tc>
      </w:tr>
      <w:tr w14:paraId="35A7487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3" w:type="dxa"/>
            <w:gridSpan w:val="2"/>
            <w:vMerge w:val="continue"/>
            <w:tcBorders>
              <w:tl2br w:val="nil"/>
              <w:tr2bl w:val="nil"/>
            </w:tcBorders>
            <w:vAlign w:val="center"/>
          </w:tcPr>
          <w:p w14:paraId="2CB5BBA3">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7CF551C1">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1FE8BA78">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vMerge w:val="continue"/>
            <w:tcBorders>
              <w:tl2br w:val="nil"/>
              <w:tr2bl w:val="nil"/>
            </w:tcBorders>
            <w:vAlign w:val="center"/>
          </w:tcPr>
          <w:p w14:paraId="52F6C294">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4B14A1AD">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4112759A">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p w14:paraId="256DDC3C">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经责令停止违法行为后，继续实施违法行为的</w:t>
            </w:r>
            <w:r>
              <w:rPr>
                <w:rFonts w:hint="eastAsia" w:ascii="仿宋_GB2312" w:hAnsi="宋体" w:eastAsia="仿宋_GB2312" w:cs="Times New Roman"/>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lang w:val="en-US" w:eastAsia="zh-CN"/>
                <w14:textFill>
                  <w14:solidFill>
                    <w14:schemeClr w14:val="tx1"/>
                  </w14:solidFill>
                </w14:textFill>
              </w:rPr>
              <w:t>或</w:t>
            </w:r>
            <w:r>
              <w:rPr>
                <w:rFonts w:hint="eastAsia" w:ascii="仿宋_GB2312" w:hAnsi="宋体" w:eastAsia="仿宋_GB2312" w:cs="Times New Roman"/>
                <w:color w:val="000000" w:themeColor="text1"/>
                <w:kern w:val="0"/>
                <w:szCs w:val="21"/>
                <w14:textFill>
                  <w14:solidFill>
                    <w14:schemeClr w14:val="tx1"/>
                  </w14:solidFill>
                </w14:textFill>
              </w:rPr>
              <w:t>2年内2次及以上同类型违法</w:t>
            </w:r>
            <w:r>
              <w:rPr>
                <w:rFonts w:hint="eastAsia" w:ascii="仿宋_GB2312" w:hAnsi="宋体" w:eastAsia="仿宋_GB2312" w:cs="Times New Roman"/>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lang w:val="en-US" w:eastAsia="zh-CN"/>
                <w14:textFill>
                  <w14:solidFill>
                    <w14:schemeClr w14:val="tx1"/>
                  </w14:solidFill>
                </w14:textFill>
              </w:rPr>
              <w:t>或</w:t>
            </w:r>
            <w:r>
              <w:rPr>
                <w:rFonts w:hint="eastAsia" w:ascii="仿宋_GB2312" w:hAnsi="宋体" w:eastAsia="仿宋_GB2312" w:cs="Times New Roman"/>
                <w:color w:val="000000" w:themeColor="text1"/>
                <w:kern w:val="0"/>
                <w:szCs w:val="21"/>
                <w14:textFill>
                  <w14:solidFill>
                    <w14:schemeClr w14:val="tx1"/>
                  </w14:solidFill>
                </w14:textFill>
              </w:rPr>
              <w:t>引发网络舆情事件、群体性事件等影响社会稳定的。</w:t>
            </w:r>
          </w:p>
          <w:p w14:paraId="14842BC7">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p>
          <w:p w14:paraId="38CEE3D3">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3375" w:type="dxa"/>
            <w:tcBorders>
              <w:tl2br w:val="nil"/>
              <w:tr2bl w:val="nil"/>
            </w:tcBorders>
            <w:tcMar>
              <w:top w:w="15" w:type="dxa"/>
              <w:left w:w="15" w:type="dxa"/>
              <w:bottom w:w="15" w:type="dxa"/>
              <w:right w:w="15" w:type="dxa"/>
            </w:tcMar>
            <w:vAlign w:val="center"/>
          </w:tcPr>
          <w:p w14:paraId="5827E564">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对个人处5千元以上1万元以下罚款；对单位处15万元以上20万元以下罚款。</w:t>
            </w:r>
          </w:p>
        </w:tc>
      </w:tr>
      <w:tr w14:paraId="0F0E44D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3" w:type="dxa"/>
            <w:gridSpan w:val="2"/>
            <w:vMerge w:val="restart"/>
            <w:tcBorders>
              <w:tl2br w:val="nil"/>
              <w:tr2bl w:val="nil"/>
            </w:tcBorders>
            <w:vAlign w:val="center"/>
          </w:tcPr>
          <w:p w14:paraId="61DBF0F2">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114</w:t>
            </w:r>
          </w:p>
        </w:tc>
        <w:tc>
          <w:tcPr>
            <w:tcW w:w="1488" w:type="dxa"/>
            <w:gridSpan w:val="2"/>
            <w:vMerge w:val="restart"/>
            <w:tcBorders>
              <w:tl2br w:val="nil"/>
              <w:tr2bl w:val="nil"/>
            </w:tcBorders>
            <w:vAlign w:val="center"/>
          </w:tcPr>
          <w:p w14:paraId="3603902D">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买受人未按本规定交存首期住宅专项维修资金, 开发建设单位将房屋交付买受人的</w:t>
            </w:r>
          </w:p>
        </w:tc>
        <w:tc>
          <w:tcPr>
            <w:tcW w:w="1016" w:type="dxa"/>
            <w:vMerge w:val="restart"/>
            <w:tcBorders>
              <w:tl2br w:val="nil"/>
              <w:tr2bl w:val="nil"/>
            </w:tcBorders>
            <w:vAlign w:val="center"/>
          </w:tcPr>
          <w:p w14:paraId="7377400D">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《住宅专项维修资金管理办法》第十三条</w:t>
            </w:r>
          </w:p>
        </w:tc>
        <w:tc>
          <w:tcPr>
            <w:tcW w:w="4354" w:type="dxa"/>
            <w:vMerge w:val="restart"/>
            <w:tcBorders>
              <w:tl2br w:val="nil"/>
              <w:tr2bl w:val="nil"/>
            </w:tcBorders>
            <w:vAlign w:val="center"/>
          </w:tcPr>
          <w:p w14:paraId="48D76CA9">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《住宅专项维修基金管理办法》</w:t>
            </w:r>
            <w:r>
              <w:rPr>
                <w:rFonts w:hint="eastAsia" w:ascii="仿宋_GB2312" w:hAnsi="宋体" w:eastAsia="仿宋_GB2312" w:cs="Times New Roman"/>
                <w:b/>
                <w:bCs/>
                <w:color w:val="000000" w:themeColor="text1"/>
                <w:kern w:val="0"/>
                <w:szCs w:val="21"/>
                <w14:textFill>
                  <w14:solidFill>
                    <w14:schemeClr w14:val="tx1"/>
                  </w14:solidFill>
                </w14:textFill>
              </w:rPr>
              <w:t>第三十六条第一款</w:t>
            </w:r>
            <w:r>
              <w:rPr>
                <w:rFonts w:hint="eastAsia" w:ascii="仿宋_GB2312" w:hAnsi="宋体" w:eastAsia="仿宋_GB2312" w:cs="Times New Roman"/>
                <w:b/>
                <w:bCs/>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开发建设单位违反本办法第十三条规定将房屋交付买受人的，由县级以上地方人民政府建设（房地产）主管部门责令限期改正；逾期不改正的，处以3万元以下的罚款。</w:t>
            </w:r>
          </w:p>
          <w:p w14:paraId="42A3DC2D">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《住宅专项维修资金管理办法》</w:t>
            </w:r>
            <w:r>
              <w:rPr>
                <w:rFonts w:hint="eastAsia" w:ascii="仿宋_GB2312" w:hAnsi="宋体" w:eastAsia="仿宋_GB2312" w:cs="Times New Roman"/>
                <w:b/>
                <w:bCs/>
                <w:color w:val="000000" w:themeColor="text1"/>
                <w:kern w:val="0"/>
                <w:szCs w:val="21"/>
                <w14:textFill>
                  <w14:solidFill>
                    <w14:schemeClr w14:val="tx1"/>
                  </w14:solidFill>
                </w14:textFill>
              </w:rPr>
              <w:t>第十三条</w:t>
            </w:r>
            <w:r>
              <w:rPr>
                <w:rFonts w:hint="eastAsia" w:ascii="仿宋_GB2312" w:hAnsi="宋体" w:eastAsia="仿宋_GB2312" w:cs="Times New Roman"/>
                <w:b/>
                <w:bCs/>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未按本办法规定交存首期住宅专项维修资金的，开发建设单位或者公有住房售房单位不得将房屋交付购买人。</w:t>
            </w:r>
          </w:p>
        </w:tc>
        <w:tc>
          <w:tcPr>
            <w:tcW w:w="912" w:type="dxa"/>
            <w:tcBorders>
              <w:tl2br w:val="nil"/>
              <w:tr2bl w:val="nil"/>
            </w:tcBorders>
            <w:tcMar>
              <w:top w:w="15" w:type="dxa"/>
              <w:left w:w="15" w:type="dxa"/>
              <w:bottom w:w="15" w:type="dxa"/>
              <w:right w:w="15" w:type="dxa"/>
            </w:tcMar>
            <w:vAlign w:val="center"/>
          </w:tcPr>
          <w:p w14:paraId="6E603B4F">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119B28B9">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责令限期改正，逾期1个月以下的。</w:t>
            </w:r>
          </w:p>
        </w:tc>
        <w:tc>
          <w:tcPr>
            <w:tcW w:w="3375" w:type="dxa"/>
            <w:tcBorders>
              <w:tl2br w:val="nil"/>
              <w:tr2bl w:val="nil"/>
            </w:tcBorders>
            <w:tcMar>
              <w:top w:w="15" w:type="dxa"/>
              <w:left w:w="15" w:type="dxa"/>
              <w:bottom w:w="15" w:type="dxa"/>
              <w:right w:w="15" w:type="dxa"/>
            </w:tcMar>
            <w:vAlign w:val="center"/>
          </w:tcPr>
          <w:p w14:paraId="08D9607F">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处以1万元的罚款。</w:t>
            </w:r>
          </w:p>
        </w:tc>
      </w:tr>
      <w:tr w14:paraId="37CFFBD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3" w:type="dxa"/>
            <w:gridSpan w:val="2"/>
            <w:vMerge w:val="continue"/>
            <w:tcBorders>
              <w:tl2br w:val="nil"/>
              <w:tr2bl w:val="nil"/>
            </w:tcBorders>
            <w:vAlign w:val="center"/>
          </w:tcPr>
          <w:p w14:paraId="00F46D17">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78F0DD7C">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2FEA85B6">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vMerge w:val="continue"/>
            <w:tcBorders>
              <w:tl2br w:val="nil"/>
              <w:tr2bl w:val="nil"/>
            </w:tcBorders>
            <w:vAlign w:val="center"/>
          </w:tcPr>
          <w:p w14:paraId="1DC6D29F">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4E43DDB2">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13AE6C0D">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责令限期改正，逾期1个月以上3个月以下的。</w:t>
            </w:r>
          </w:p>
        </w:tc>
        <w:tc>
          <w:tcPr>
            <w:tcW w:w="3375" w:type="dxa"/>
            <w:tcBorders>
              <w:tl2br w:val="nil"/>
              <w:tr2bl w:val="nil"/>
            </w:tcBorders>
            <w:tcMar>
              <w:top w:w="15" w:type="dxa"/>
              <w:left w:w="15" w:type="dxa"/>
              <w:bottom w:w="15" w:type="dxa"/>
              <w:right w:w="15" w:type="dxa"/>
            </w:tcMar>
            <w:vAlign w:val="center"/>
          </w:tcPr>
          <w:p w14:paraId="7766DE3A">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处以1万元以上2万元以下的罚款。</w:t>
            </w:r>
          </w:p>
        </w:tc>
      </w:tr>
      <w:tr w14:paraId="6BFABBD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3" w:type="dxa"/>
            <w:gridSpan w:val="2"/>
            <w:vMerge w:val="continue"/>
            <w:tcBorders>
              <w:tl2br w:val="nil"/>
              <w:tr2bl w:val="nil"/>
            </w:tcBorders>
            <w:vAlign w:val="center"/>
          </w:tcPr>
          <w:p w14:paraId="3B009EBC">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19177976">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3DC911D6">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vMerge w:val="continue"/>
            <w:tcBorders>
              <w:tl2br w:val="nil"/>
              <w:tr2bl w:val="nil"/>
            </w:tcBorders>
            <w:vAlign w:val="center"/>
          </w:tcPr>
          <w:p w14:paraId="17021C5D">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6E166C3E">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12DDAB16">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责令限期改正，逾期3个月以上。</w:t>
            </w:r>
          </w:p>
        </w:tc>
        <w:tc>
          <w:tcPr>
            <w:tcW w:w="3375" w:type="dxa"/>
            <w:tcBorders>
              <w:tl2br w:val="nil"/>
              <w:tr2bl w:val="nil"/>
            </w:tcBorders>
            <w:tcMar>
              <w:top w:w="15" w:type="dxa"/>
              <w:left w:w="15" w:type="dxa"/>
              <w:bottom w:w="15" w:type="dxa"/>
              <w:right w:w="15" w:type="dxa"/>
            </w:tcMar>
            <w:vAlign w:val="center"/>
          </w:tcPr>
          <w:p w14:paraId="4844478A">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处以2万元以上3万元以下的罚款。</w:t>
            </w:r>
          </w:p>
        </w:tc>
      </w:tr>
      <w:tr w14:paraId="5E039F4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3" w:type="dxa"/>
            <w:gridSpan w:val="2"/>
            <w:vMerge w:val="restart"/>
            <w:tcBorders>
              <w:tl2br w:val="nil"/>
              <w:tr2bl w:val="nil"/>
            </w:tcBorders>
            <w:vAlign w:val="center"/>
          </w:tcPr>
          <w:p w14:paraId="046CF254">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115</w:t>
            </w:r>
          </w:p>
        </w:tc>
        <w:tc>
          <w:tcPr>
            <w:tcW w:w="1488" w:type="dxa"/>
            <w:gridSpan w:val="2"/>
            <w:vMerge w:val="restart"/>
            <w:tcBorders>
              <w:tl2br w:val="nil"/>
              <w:tr2bl w:val="nil"/>
            </w:tcBorders>
            <w:vAlign w:val="center"/>
          </w:tcPr>
          <w:p w14:paraId="523A91CD">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开发建设单位未按照尚未售出商品住宅或者公有住房的建筑面积，分摊维修、更新和改造费用的</w:t>
            </w:r>
          </w:p>
        </w:tc>
        <w:tc>
          <w:tcPr>
            <w:tcW w:w="1016" w:type="dxa"/>
            <w:vMerge w:val="restart"/>
            <w:tcBorders>
              <w:tl2br w:val="nil"/>
              <w:tr2bl w:val="nil"/>
            </w:tcBorders>
            <w:vAlign w:val="center"/>
          </w:tcPr>
          <w:p w14:paraId="38F5EE38">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《住宅专项维修资金管理办法》第二十一条</w:t>
            </w:r>
          </w:p>
        </w:tc>
        <w:tc>
          <w:tcPr>
            <w:tcW w:w="4354" w:type="dxa"/>
            <w:vMerge w:val="restart"/>
            <w:tcBorders>
              <w:tl2br w:val="nil"/>
              <w:tr2bl w:val="nil"/>
            </w:tcBorders>
            <w:vAlign w:val="center"/>
          </w:tcPr>
          <w:p w14:paraId="26380C86">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《住宅专项维修基金管理办法》</w:t>
            </w:r>
            <w:r>
              <w:rPr>
                <w:rFonts w:hint="eastAsia" w:ascii="仿宋_GB2312" w:hAnsi="宋体" w:eastAsia="仿宋_GB2312" w:cs="Times New Roman"/>
                <w:b/>
                <w:bCs/>
                <w:color w:val="000000" w:themeColor="text1"/>
                <w:kern w:val="0"/>
                <w:szCs w:val="21"/>
                <w14:textFill>
                  <w14:solidFill>
                    <w14:schemeClr w14:val="tx1"/>
                  </w14:solidFill>
                </w14:textFill>
              </w:rPr>
              <w:t>第三十六条第二款</w:t>
            </w:r>
            <w:r>
              <w:rPr>
                <w:rFonts w:hint="eastAsia" w:ascii="仿宋_GB2312" w:hAnsi="宋体" w:eastAsia="仿宋_GB2312" w:cs="Times New Roman"/>
                <w:b/>
                <w:bCs/>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开发建设单位未按本办法第二十一条规定分摊维修、更新和改造费用的，由县级以上地方人民政府建设（房地产）主管部门责令限期改正；逾期不改正的，处以1万元以下的罚款。</w:t>
            </w:r>
          </w:p>
          <w:p w14:paraId="5B15248A">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《住宅专项维修资金管理办法》</w:t>
            </w:r>
            <w:r>
              <w:rPr>
                <w:rFonts w:hint="eastAsia" w:ascii="仿宋_GB2312" w:hAnsi="宋体" w:eastAsia="仿宋_GB2312" w:cs="Times New Roman"/>
                <w:b/>
                <w:bCs/>
                <w:color w:val="000000" w:themeColor="text1"/>
                <w:kern w:val="0"/>
                <w:szCs w:val="21"/>
                <w14:textFill>
                  <w14:solidFill>
                    <w14:schemeClr w14:val="tx1"/>
                  </w14:solidFill>
                </w14:textFill>
              </w:rPr>
              <w:t>第二十一条</w:t>
            </w:r>
            <w:r>
              <w:rPr>
                <w:rFonts w:hint="eastAsia" w:ascii="仿宋_GB2312" w:hAnsi="宋体" w:eastAsia="仿宋_GB2312" w:cs="Times New Roman"/>
                <w:b/>
                <w:bCs/>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住宅共用部位、共用设施设备维修和更新、改造，涉及尚未售出的商品住宅、非住宅或者公有住房的，开发建设单位或者公有住房单位应当按照尚未售出商品住宅或者公有住房的建筑面积，分摊维修和更新、改造费用。</w:t>
            </w:r>
          </w:p>
        </w:tc>
        <w:tc>
          <w:tcPr>
            <w:tcW w:w="912" w:type="dxa"/>
            <w:tcBorders>
              <w:tl2br w:val="nil"/>
              <w:tr2bl w:val="nil"/>
            </w:tcBorders>
            <w:tcMar>
              <w:top w:w="15" w:type="dxa"/>
              <w:left w:w="15" w:type="dxa"/>
              <w:bottom w:w="15" w:type="dxa"/>
              <w:right w:w="15" w:type="dxa"/>
            </w:tcMar>
            <w:vAlign w:val="center"/>
          </w:tcPr>
          <w:p w14:paraId="5527DAF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2B2BC071">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责令限期改正，逾期1个月以下的。</w:t>
            </w:r>
          </w:p>
        </w:tc>
        <w:tc>
          <w:tcPr>
            <w:tcW w:w="3375" w:type="dxa"/>
            <w:tcBorders>
              <w:tl2br w:val="nil"/>
              <w:tr2bl w:val="nil"/>
            </w:tcBorders>
            <w:tcMar>
              <w:top w:w="15" w:type="dxa"/>
              <w:left w:w="15" w:type="dxa"/>
              <w:bottom w:w="15" w:type="dxa"/>
              <w:right w:w="15" w:type="dxa"/>
            </w:tcMar>
            <w:vAlign w:val="center"/>
          </w:tcPr>
          <w:p w14:paraId="22D0F556">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处以5千元以下的罚款。</w:t>
            </w:r>
          </w:p>
        </w:tc>
      </w:tr>
      <w:tr w14:paraId="594A43D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3" w:type="dxa"/>
            <w:gridSpan w:val="2"/>
            <w:vMerge w:val="continue"/>
            <w:tcBorders>
              <w:tl2br w:val="nil"/>
              <w:tr2bl w:val="nil"/>
            </w:tcBorders>
            <w:vAlign w:val="center"/>
          </w:tcPr>
          <w:p w14:paraId="57884409">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36F9B071">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30D1DD59">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vMerge w:val="continue"/>
            <w:tcBorders>
              <w:tl2br w:val="nil"/>
              <w:tr2bl w:val="nil"/>
            </w:tcBorders>
            <w:vAlign w:val="center"/>
          </w:tcPr>
          <w:p w14:paraId="298313BE">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1377A782">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0EC4A578">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责令限期改正，逾期1个月以上3个月以下的。</w:t>
            </w:r>
          </w:p>
        </w:tc>
        <w:tc>
          <w:tcPr>
            <w:tcW w:w="3375" w:type="dxa"/>
            <w:tcBorders>
              <w:tl2br w:val="nil"/>
              <w:tr2bl w:val="nil"/>
            </w:tcBorders>
            <w:tcMar>
              <w:top w:w="15" w:type="dxa"/>
              <w:left w:w="15" w:type="dxa"/>
              <w:bottom w:w="15" w:type="dxa"/>
              <w:right w:w="15" w:type="dxa"/>
            </w:tcMar>
            <w:vAlign w:val="center"/>
          </w:tcPr>
          <w:p w14:paraId="220F8583">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处以5千元以上7千5百元以下的罚款。</w:t>
            </w:r>
          </w:p>
        </w:tc>
      </w:tr>
      <w:tr w14:paraId="50D7928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3" w:type="dxa"/>
            <w:gridSpan w:val="2"/>
            <w:vMerge w:val="continue"/>
            <w:tcBorders>
              <w:tl2br w:val="nil"/>
              <w:tr2bl w:val="nil"/>
            </w:tcBorders>
            <w:vAlign w:val="center"/>
          </w:tcPr>
          <w:p w14:paraId="6D7B6E5E">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137E0C02">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6BB8214F">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vMerge w:val="continue"/>
            <w:tcBorders>
              <w:tl2br w:val="nil"/>
              <w:tr2bl w:val="nil"/>
            </w:tcBorders>
            <w:vAlign w:val="center"/>
          </w:tcPr>
          <w:p w14:paraId="5A4D4A1C">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2E3AFB3E">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11CFE48E">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责令限期改正，逾期3个月以上。</w:t>
            </w:r>
          </w:p>
        </w:tc>
        <w:tc>
          <w:tcPr>
            <w:tcW w:w="3375" w:type="dxa"/>
            <w:tcBorders>
              <w:tl2br w:val="nil"/>
              <w:tr2bl w:val="nil"/>
            </w:tcBorders>
            <w:tcMar>
              <w:top w:w="15" w:type="dxa"/>
              <w:left w:w="15" w:type="dxa"/>
              <w:bottom w:w="15" w:type="dxa"/>
              <w:right w:w="15" w:type="dxa"/>
            </w:tcMar>
            <w:vAlign w:val="center"/>
          </w:tcPr>
          <w:p w14:paraId="2FCEB8F9">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责令限期改正；逾期不改正的，处以7千5百元以上1万元以下的罚款。</w:t>
            </w:r>
          </w:p>
        </w:tc>
      </w:tr>
      <w:tr w14:paraId="2CF8818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3" w:type="dxa"/>
            <w:gridSpan w:val="2"/>
            <w:vMerge w:val="restart"/>
            <w:tcBorders>
              <w:tl2br w:val="nil"/>
              <w:tr2bl w:val="nil"/>
            </w:tcBorders>
            <w:vAlign w:val="center"/>
          </w:tcPr>
          <w:p w14:paraId="33BDCDBC">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116</w:t>
            </w:r>
          </w:p>
        </w:tc>
        <w:tc>
          <w:tcPr>
            <w:tcW w:w="1488" w:type="dxa"/>
            <w:gridSpan w:val="2"/>
            <w:vMerge w:val="restart"/>
            <w:tcBorders>
              <w:tl2br w:val="nil"/>
              <w:tr2bl w:val="nil"/>
            </w:tcBorders>
            <w:vAlign w:val="center"/>
          </w:tcPr>
          <w:p w14:paraId="0BA88167">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物业服务等企业挪用住宅专项维修资金的</w:t>
            </w:r>
          </w:p>
        </w:tc>
        <w:tc>
          <w:tcPr>
            <w:tcW w:w="1016" w:type="dxa"/>
            <w:vMerge w:val="restart"/>
            <w:tcBorders>
              <w:tl2br w:val="nil"/>
              <w:tr2bl w:val="nil"/>
            </w:tcBorders>
            <w:vAlign w:val="center"/>
          </w:tcPr>
          <w:p w14:paraId="6F5F7968">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《住宅专项维修资金管理办法》　第十八条</w:t>
            </w:r>
          </w:p>
        </w:tc>
        <w:tc>
          <w:tcPr>
            <w:tcW w:w="4354" w:type="dxa"/>
            <w:vMerge w:val="restart"/>
            <w:tcBorders>
              <w:tl2br w:val="nil"/>
              <w:tr2bl w:val="nil"/>
            </w:tcBorders>
            <w:vAlign w:val="center"/>
          </w:tcPr>
          <w:p w14:paraId="67FD34B9">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《住宅专项维修基金管理办法》</w:t>
            </w:r>
            <w:r>
              <w:rPr>
                <w:rFonts w:hint="eastAsia" w:ascii="仿宋_GB2312" w:hAnsi="宋体" w:eastAsia="仿宋_GB2312" w:cs="Times New Roman"/>
                <w:b/>
                <w:bCs/>
                <w:color w:val="000000" w:themeColor="text1"/>
                <w:kern w:val="0"/>
                <w:szCs w:val="21"/>
                <w14:textFill>
                  <w14:solidFill>
                    <w14:schemeClr w14:val="tx1"/>
                  </w14:solidFill>
                </w14:textFill>
              </w:rPr>
              <w:t>第三十七条</w:t>
            </w:r>
            <w:r>
              <w:rPr>
                <w:rFonts w:hint="eastAsia" w:ascii="仿宋_GB2312" w:hAnsi="宋体" w:eastAsia="仿宋_GB2312" w:cs="Times New Roman"/>
                <w:b/>
                <w:bCs/>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违反本办法规定，挪用住宅专项维修资金的，由县级以上地方人民政府建设(房地产)主管部门追回挪用的住宅专项维修资金，没收违法所得，可以并处挪用金额2倍以下的罚款；构成犯罪的，依法追究直接负责的主管人员和其他直接责任人员的刑事责任。</w:t>
            </w:r>
          </w:p>
          <w:p w14:paraId="1C334818">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《住宅专项维修资金管理办法》</w:t>
            </w:r>
            <w:r>
              <w:rPr>
                <w:rFonts w:hint="eastAsia" w:ascii="仿宋_GB2312" w:hAnsi="宋体" w:eastAsia="仿宋_GB2312" w:cs="Times New Roman"/>
                <w:b/>
                <w:bCs/>
                <w:color w:val="000000" w:themeColor="text1"/>
                <w:kern w:val="0"/>
                <w:szCs w:val="21"/>
                <w14:textFill>
                  <w14:solidFill>
                    <w14:schemeClr w14:val="tx1"/>
                  </w14:solidFill>
                </w14:textFill>
              </w:rPr>
              <w:t>第十八条</w:t>
            </w:r>
            <w:r>
              <w:rPr>
                <w:rFonts w:hint="eastAsia" w:ascii="仿宋_GB2312" w:hAnsi="宋体" w:eastAsia="仿宋_GB2312" w:cs="Times New Roman"/>
                <w:b/>
                <w:bCs/>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住宅专项维修资金应当专项用于住宅共用部位、共用设施设备保修期满后的维修和更新、改造，不得挪作他用。</w:t>
            </w:r>
          </w:p>
        </w:tc>
        <w:tc>
          <w:tcPr>
            <w:tcW w:w="912" w:type="dxa"/>
            <w:tcBorders>
              <w:tl2br w:val="nil"/>
              <w:tr2bl w:val="nil"/>
            </w:tcBorders>
            <w:tcMar>
              <w:top w:w="15" w:type="dxa"/>
              <w:left w:w="15" w:type="dxa"/>
              <w:bottom w:w="15" w:type="dxa"/>
              <w:right w:w="15" w:type="dxa"/>
            </w:tcMar>
            <w:vAlign w:val="center"/>
          </w:tcPr>
          <w:p w14:paraId="6BE66345">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665F95F7">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375" w:type="dxa"/>
            <w:tcBorders>
              <w:tl2br w:val="nil"/>
              <w:tr2bl w:val="nil"/>
            </w:tcBorders>
            <w:tcMar>
              <w:top w:w="15" w:type="dxa"/>
              <w:left w:w="15" w:type="dxa"/>
              <w:bottom w:w="15" w:type="dxa"/>
              <w:right w:w="15" w:type="dxa"/>
            </w:tcMar>
            <w:vAlign w:val="center"/>
          </w:tcPr>
          <w:p w14:paraId="73D21797">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没收违法所得，可以并处挪用金额0.5倍以下的罚款。</w:t>
            </w:r>
          </w:p>
        </w:tc>
      </w:tr>
      <w:tr w14:paraId="08AACD9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3" w:type="dxa"/>
            <w:gridSpan w:val="2"/>
            <w:vMerge w:val="continue"/>
            <w:tcBorders>
              <w:tl2br w:val="nil"/>
              <w:tr2bl w:val="nil"/>
            </w:tcBorders>
            <w:vAlign w:val="center"/>
          </w:tcPr>
          <w:p w14:paraId="1C994A71">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779AF16B">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0646B911">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vMerge w:val="continue"/>
            <w:tcBorders>
              <w:tl2br w:val="nil"/>
              <w:tr2bl w:val="nil"/>
            </w:tcBorders>
            <w:vAlign w:val="center"/>
          </w:tcPr>
          <w:p w14:paraId="1A18E5BA">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11F2E55A">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3000381E">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w:t>
            </w: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r>
              <w:rPr>
                <w:rFonts w:hint="eastAsia" w:ascii="仿宋_GB2312" w:hAnsi="宋体" w:eastAsia="仿宋_GB2312" w:cs="Times New Roman"/>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4B7B7C0A">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没收违法所得，可以并处挪用金额0.5倍以上1.5倍以下的罚款。</w:t>
            </w:r>
          </w:p>
        </w:tc>
      </w:tr>
      <w:tr w14:paraId="61C1BAB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7" w:hRule="atLeast"/>
          <w:jc w:val="center"/>
        </w:trPr>
        <w:tc>
          <w:tcPr>
            <w:tcW w:w="533" w:type="dxa"/>
            <w:gridSpan w:val="2"/>
            <w:vMerge w:val="continue"/>
            <w:tcBorders>
              <w:tl2br w:val="nil"/>
              <w:tr2bl w:val="nil"/>
            </w:tcBorders>
            <w:vAlign w:val="center"/>
          </w:tcPr>
          <w:p w14:paraId="1929A0E1">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2EC3EF4C">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168633FD">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vMerge w:val="continue"/>
            <w:tcBorders>
              <w:tl2br w:val="nil"/>
              <w:tr2bl w:val="nil"/>
            </w:tcBorders>
            <w:vAlign w:val="center"/>
          </w:tcPr>
          <w:p w14:paraId="4989423D">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7EA90351">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531D9BFC">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经责令停止违法行为后，继续实施违法行为的</w:t>
            </w:r>
            <w:r>
              <w:rPr>
                <w:rFonts w:hint="eastAsia" w:ascii="仿宋_GB2312" w:hAnsi="宋体" w:eastAsia="仿宋_GB2312" w:cs="Times New Roman"/>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lang w:val="en-US" w:eastAsia="zh-CN"/>
                <w14:textFill>
                  <w14:solidFill>
                    <w14:schemeClr w14:val="tx1"/>
                  </w14:solidFill>
                </w14:textFill>
              </w:rPr>
              <w:t>或</w:t>
            </w:r>
            <w:r>
              <w:rPr>
                <w:rFonts w:hint="eastAsia" w:ascii="仿宋_GB2312" w:hAnsi="宋体" w:eastAsia="仿宋_GB2312" w:cs="Times New Roman"/>
                <w:color w:val="000000" w:themeColor="text1"/>
                <w:kern w:val="0"/>
                <w:szCs w:val="21"/>
                <w14:textFill>
                  <w14:solidFill>
                    <w14:schemeClr w14:val="tx1"/>
                  </w14:solidFill>
                </w14:textFill>
              </w:rPr>
              <w:t>2年内2次及以上同类型违法</w:t>
            </w:r>
            <w:r>
              <w:rPr>
                <w:rFonts w:hint="eastAsia" w:ascii="仿宋_GB2312" w:hAnsi="宋体" w:eastAsia="仿宋_GB2312" w:cs="Times New Roman"/>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lang w:val="en-US" w:eastAsia="zh-CN"/>
                <w14:textFill>
                  <w14:solidFill>
                    <w14:schemeClr w14:val="tx1"/>
                  </w14:solidFill>
                </w14:textFill>
              </w:rPr>
              <w:t>或</w:t>
            </w:r>
            <w:r>
              <w:rPr>
                <w:rFonts w:hint="eastAsia" w:ascii="仿宋_GB2312" w:hAnsi="宋体" w:eastAsia="仿宋_GB2312" w:cs="Times New Roman"/>
                <w:color w:val="000000" w:themeColor="text1"/>
                <w:kern w:val="0"/>
                <w:szCs w:val="21"/>
                <w14:textFill>
                  <w14:solidFill>
                    <w14:schemeClr w14:val="tx1"/>
                  </w14:solidFill>
                </w14:textFill>
              </w:rPr>
              <w:t>引发网络舆情事件、群体性事件等影响社会稳定的。</w:t>
            </w:r>
          </w:p>
        </w:tc>
        <w:tc>
          <w:tcPr>
            <w:tcW w:w="3375" w:type="dxa"/>
            <w:tcBorders>
              <w:tl2br w:val="nil"/>
              <w:tr2bl w:val="nil"/>
            </w:tcBorders>
            <w:tcMar>
              <w:top w:w="15" w:type="dxa"/>
              <w:left w:w="15" w:type="dxa"/>
              <w:bottom w:w="15" w:type="dxa"/>
              <w:right w:w="15" w:type="dxa"/>
            </w:tcMar>
            <w:vAlign w:val="center"/>
          </w:tcPr>
          <w:p w14:paraId="1BCE65B9">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没收违法所得，可以并处挪用金额1.5倍以上2倍以下的罚款。</w:t>
            </w:r>
          </w:p>
        </w:tc>
      </w:tr>
      <w:tr w14:paraId="6597EDB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90" w:hRule="atLeast"/>
          <w:jc w:val="center"/>
        </w:trPr>
        <w:tc>
          <w:tcPr>
            <w:tcW w:w="518" w:type="dxa"/>
            <w:vMerge w:val="restart"/>
            <w:tcBorders>
              <w:tl2br w:val="nil"/>
              <w:tr2bl w:val="nil"/>
            </w:tcBorders>
            <w:tcMar>
              <w:top w:w="15" w:type="dxa"/>
              <w:left w:w="15" w:type="dxa"/>
              <w:bottom w:w="15" w:type="dxa"/>
              <w:right w:w="15" w:type="dxa"/>
            </w:tcMar>
            <w:vAlign w:val="center"/>
          </w:tcPr>
          <w:p w14:paraId="2F1DAFEE">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117</w:t>
            </w:r>
          </w:p>
        </w:tc>
        <w:tc>
          <w:tcPr>
            <w:tcW w:w="1488" w:type="dxa"/>
            <w:gridSpan w:val="2"/>
            <w:vMerge w:val="restart"/>
            <w:tcBorders>
              <w:tl2br w:val="nil"/>
              <w:tr2bl w:val="nil"/>
            </w:tcBorders>
            <w:tcMar>
              <w:top w:w="15" w:type="dxa"/>
              <w:left w:w="15" w:type="dxa"/>
              <w:bottom w:w="15" w:type="dxa"/>
              <w:right w:w="15" w:type="dxa"/>
            </w:tcMar>
            <w:vAlign w:val="center"/>
          </w:tcPr>
          <w:p w14:paraId="08FC63EB">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未取得燃气经营许可证从事燃气经营活动的</w:t>
            </w:r>
          </w:p>
        </w:tc>
        <w:tc>
          <w:tcPr>
            <w:tcW w:w="1016" w:type="dxa"/>
            <w:vMerge w:val="restart"/>
            <w:tcBorders>
              <w:tl2br w:val="nil"/>
              <w:tr2bl w:val="nil"/>
            </w:tcBorders>
            <w:tcMar>
              <w:top w:w="15" w:type="dxa"/>
              <w:left w:w="15" w:type="dxa"/>
              <w:bottom w:w="15" w:type="dxa"/>
              <w:right w:w="15" w:type="dxa"/>
            </w:tcMar>
            <w:vAlign w:val="center"/>
          </w:tcPr>
          <w:p w14:paraId="4447AF76">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《城镇燃气管理条例》第十五条</w:t>
            </w:r>
          </w:p>
        </w:tc>
        <w:tc>
          <w:tcPr>
            <w:tcW w:w="4354" w:type="dxa"/>
            <w:vMerge w:val="restart"/>
            <w:tcBorders>
              <w:tl2br w:val="nil"/>
              <w:tr2bl w:val="nil"/>
            </w:tcBorders>
            <w:tcMar>
              <w:top w:w="15" w:type="dxa"/>
              <w:left w:w="15" w:type="dxa"/>
              <w:bottom w:w="15" w:type="dxa"/>
              <w:right w:w="15" w:type="dxa"/>
            </w:tcMar>
            <w:vAlign w:val="center"/>
          </w:tcPr>
          <w:p w14:paraId="484FC666">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w:t>
            </w:r>
            <w:r>
              <w:rPr>
                <w:rFonts w:hint="eastAsia" w:ascii="仿宋_GB2312" w:hAnsi="宋体" w:eastAsia="仿宋_GB2312" w:cs="宋体"/>
                <w:b/>
                <w:bCs/>
                <w:color w:val="000000" w:themeColor="text1"/>
                <w:kern w:val="0"/>
                <w:szCs w:val="21"/>
                <w14:textFill>
                  <w14:solidFill>
                    <w14:schemeClr w14:val="tx1"/>
                  </w14:solidFill>
                </w14:textFill>
              </w:rPr>
              <w:t>第四十五条第一款</w:t>
            </w:r>
            <w:r>
              <w:rPr>
                <w:rFonts w:hint="eastAsia" w:ascii="仿宋_GB2312" w:hAnsi="宋体" w:eastAsia="仿宋_GB2312" w:cs="宋体"/>
                <w:b/>
                <w:bCs/>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违反本条例规定，未取得燃气经营许可证从事燃气经营活动的，由燃气管理部门责令停止违法行为，处5万元以上50万元以下罚款；有违法所得的，没收违法所得；构成犯罪的，依法追究刑事责任。</w:t>
            </w:r>
          </w:p>
        </w:tc>
        <w:tc>
          <w:tcPr>
            <w:tcW w:w="912" w:type="dxa"/>
            <w:tcBorders>
              <w:tl2br w:val="nil"/>
              <w:tr2bl w:val="nil"/>
            </w:tcBorders>
            <w:tcMar>
              <w:top w:w="15" w:type="dxa"/>
              <w:left w:w="15" w:type="dxa"/>
              <w:bottom w:w="15" w:type="dxa"/>
              <w:right w:w="15" w:type="dxa"/>
            </w:tcMar>
            <w:vAlign w:val="center"/>
          </w:tcPr>
          <w:p w14:paraId="4CE34BBE">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szCs w:val="21"/>
                <w:lang w:val="en-US" w:eastAsia="zh-CN"/>
                <w14:textFill>
                  <w14:solidFill>
                    <w14:schemeClr w14:val="tx1"/>
                  </w14:solidFill>
                </w14:textFill>
              </w:rPr>
              <w:t>减轻情节</w:t>
            </w:r>
          </w:p>
        </w:tc>
        <w:tc>
          <w:tcPr>
            <w:tcW w:w="2407" w:type="dxa"/>
            <w:gridSpan w:val="2"/>
            <w:tcBorders>
              <w:tl2br w:val="nil"/>
              <w:tr2bl w:val="nil"/>
            </w:tcBorders>
            <w:tcMar>
              <w:top w:w="15" w:type="dxa"/>
              <w:left w:w="15" w:type="dxa"/>
              <w:bottom w:w="15" w:type="dxa"/>
              <w:right w:w="15" w:type="dxa"/>
            </w:tcMar>
            <w:vAlign w:val="center"/>
          </w:tcPr>
          <w:p w14:paraId="502109F1">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hint="default" w:ascii="仿宋_GB2312" w:hAnsi="宋体" w:eastAsia="仿宋_GB2312" w:cs="宋体"/>
                <w:color w:val="000000" w:themeColor="text1"/>
                <w:szCs w:val="21"/>
                <w:lang w:val="en-US" w:eastAsia="zh-CN"/>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（一）主动消除或者减轻违法行为危害后果的；</w:t>
            </w:r>
            <w:r>
              <w:rPr>
                <w:rFonts w:hint="eastAsia" w:ascii="仿宋_GB2312" w:hAnsi="宋体" w:eastAsia="仿宋_GB2312" w:cs="宋体"/>
                <w:color w:val="000000" w:themeColor="text1"/>
                <w:szCs w:val="21"/>
                <w:lang w:val="en-US" w:eastAsia="zh-CN"/>
                <w14:textFill>
                  <w14:solidFill>
                    <w14:schemeClr w14:val="tx1"/>
                  </w14:solidFill>
                </w14:textFill>
              </w:rPr>
              <w:t>是指在《责令改正通知书》下达前已经改正违法行为或《责令改正通知书》下达后立即改正违法行为的</w:t>
            </w:r>
          </w:p>
          <w:p w14:paraId="60099E8E">
            <w:pPr>
              <w:keepNext w:val="0"/>
              <w:keepLines w:val="0"/>
              <w:pageBreakBefore w:val="0"/>
              <w:widowControl/>
              <w:kinsoku/>
              <w:overflowPunct/>
              <w:topLinePunct w:val="0"/>
              <w:autoSpaceDE/>
              <w:autoSpaceDN/>
              <w:bidi w:val="0"/>
              <w:adjustRightInd/>
              <w:spacing w:line="260" w:lineRule="exact"/>
              <w:ind w:firstLine="420" w:firstLineChars="200"/>
              <w:textAlignment w:val="center"/>
              <w:rPr>
                <w:rFonts w:hint="eastAsia"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（二）受他人胁迫或者诱骗实施违法行为的；</w:t>
            </w:r>
          </w:p>
          <w:p w14:paraId="01799F39">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hint="eastAsia"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 （三）主动供述行政机关尚未掌握的违法行为的； </w:t>
            </w:r>
          </w:p>
        </w:tc>
        <w:tc>
          <w:tcPr>
            <w:tcW w:w="3375" w:type="dxa"/>
            <w:tcBorders>
              <w:tl2br w:val="nil"/>
              <w:tr2bl w:val="nil"/>
            </w:tcBorders>
            <w:tcMar>
              <w:top w:w="15" w:type="dxa"/>
              <w:left w:w="15" w:type="dxa"/>
              <w:bottom w:w="15" w:type="dxa"/>
              <w:right w:w="15" w:type="dxa"/>
            </w:tcMar>
            <w:vAlign w:val="center"/>
          </w:tcPr>
          <w:p w14:paraId="5FECBA7C">
            <w:pPr>
              <w:keepNext w:val="0"/>
              <w:keepLines w:val="0"/>
              <w:pageBreakBefore w:val="0"/>
              <w:widowControl/>
              <w:kinsoku/>
              <w:overflowPunct/>
              <w:topLinePunct w:val="0"/>
              <w:autoSpaceDE/>
              <w:autoSpaceDN/>
              <w:bidi w:val="0"/>
              <w:adjustRightInd/>
              <w:spacing w:line="260" w:lineRule="exact"/>
              <w:ind w:firstLine="420" w:firstLineChars="200"/>
              <w:textAlignment w:val="center"/>
              <w:rPr>
                <w:rFonts w:hint="eastAsia" w:ascii="仿宋_GB2312" w:hAnsi="宋体" w:eastAsia="仿宋_GB2312" w:cs="宋体"/>
                <w:color w:val="000000" w:themeColor="text1"/>
                <w:szCs w:val="21"/>
                <w:lang w:val="en-US" w:eastAsia="zh-CN"/>
                <w14:textFill>
                  <w14:solidFill>
                    <w14:schemeClr w14:val="tx1"/>
                  </w14:solidFill>
                </w14:textFill>
              </w:rPr>
            </w:pPr>
            <w:r>
              <w:rPr>
                <w:rFonts w:hint="eastAsia" w:ascii="仿宋_GB2312" w:hAnsi="宋体" w:eastAsia="仿宋_GB2312" w:cs="宋体"/>
                <w:color w:val="000000" w:themeColor="text1"/>
                <w:szCs w:val="21"/>
                <w:lang w:val="en-US" w:eastAsia="zh-CN"/>
                <w14:textFill>
                  <w14:solidFill>
                    <w14:schemeClr w14:val="tx1"/>
                  </w14:solidFill>
                </w14:textFill>
              </w:rPr>
              <w:t>违法经营额在2万元以下，违法所得额在5千元以下的，处2万元以下罚款</w:t>
            </w:r>
          </w:p>
          <w:p w14:paraId="218F3024">
            <w:pPr>
              <w:keepNext w:val="0"/>
              <w:keepLines w:val="0"/>
              <w:pageBreakBefore w:val="0"/>
              <w:widowControl/>
              <w:kinsoku/>
              <w:overflowPunct/>
              <w:topLinePunct w:val="0"/>
              <w:autoSpaceDE/>
              <w:autoSpaceDN/>
              <w:bidi w:val="0"/>
              <w:adjustRightInd/>
              <w:spacing w:line="260" w:lineRule="exact"/>
              <w:ind w:firstLine="420" w:firstLineChars="200"/>
              <w:textAlignment w:val="center"/>
              <w:rPr>
                <w:rFonts w:hint="eastAsia" w:ascii="仿宋_GB2312" w:hAnsi="宋体" w:eastAsia="仿宋_GB2312" w:cs="宋体"/>
                <w:color w:val="000000" w:themeColor="text1"/>
                <w:szCs w:val="21"/>
                <w:lang w:val="en-US" w:eastAsia="zh-CN"/>
                <w14:textFill>
                  <w14:solidFill>
                    <w14:schemeClr w14:val="tx1"/>
                  </w14:solidFill>
                </w14:textFill>
              </w:rPr>
            </w:pPr>
            <w:r>
              <w:rPr>
                <w:rFonts w:hint="eastAsia" w:ascii="仿宋_GB2312" w:hAnsi="宋体" w:eastAsia="仿宋_GB2312" w:cs="宋体"/>
                <w:color w:val="000000" w:themeColor="text1"/>
                <w:szCs w:val="21"/>
                <w:lang w:val="en-US" w:eastAsia="zh-CN"/>
                <w14:textFill>
                  <w14:solidFill>
                    <w14:schemeClr w14:val="tx1"/>
                  </w14:solidFill>
                </w14:textFill>
              </w:rPr>
              <w:t>违法经营额在5万元以下（不含5万），违法所得额在1万元以下（不含1万元），处2万元以上5万元以下罚款</w:t>
            </w:r>
          </w:p>
          <w:p w14:paraId="543B15EA">
            <w:pPr>
              <w:keepNext w:val="0"/>
              <w:keepLines w:val="0"/>
              <w:pageBreakBefore w:val="0"/>
              <w:widowControl/>
              <w:kinsoku/>
              <w:overflowPunct/>
              <w:topLinePunct w:val="0"/>
              <w:autoSpaceDE/>
              <w:autoSpaceDN/>
              <w:bidi w:val="0"/>
              <w:adjustRightInd/>
              <w:spacing w:line="260" w:lineRule="exact"/>
              <w:ind w:firstLine="420" w:firstLineChars="200"/>
              <w:textAlignment w:val="center"/>
              <w:rPr>
                <w:rFonts w:hint="default" w:ascii="仿宋_GB2312" w:hAnsi="宋体" w:eastAsia="仿宋_GB2312" w:cs="宋体"/>
                <w:color w:val="000000" w:themeColor="text1"/>
                <w:szCs w:val="21"/>
                <w:lang w:val="en-US" w:eastAsia="zh-CN"/>
                <w14:textFill>
                  <w14:solidFill>
                    <w14:schemeClr w14:val="tx1"/>
                  </w14:solidFill>
                </w14:textFill>
              </w:rPr>
            </w:pPr>
            <w:r>
              <w:rPr>
                <w:rFonts w:hint="eastAsia" w:ascii="仿宋_GB2312" w:hAnsi="宋体" w:eastAsia="仿宋_GB2312" w:cs="宋体"/>
                <w:color w:val="000000" w:themeColor="text1"/>
                <w:szCs w:val="21"/>
                <w:lang w:val="en-US" w:eastAsia="zh-CN"/>
                <w14:textFill>
                  <w14:solidFill>
                    <w14:schemeClr w14:val="tx1"/>
                  </w14:solidFill>
                </w14:textFill>
              </w:rPr>
              <w:t xml:space="preserve"> </w:t>
            </w:r>
          </w:p>
          <w:p w14:paraId="13BB7A08">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hint="eastAsia" w:ascii="仿宋_GB2312" w:hAnsi="宋体" w:eastAsia="仿宋_GB2312" w:cs="宋体"/>
                <w:color w:val="000000" w:themeColor="text1"/>
                <w:kern w:val="0"/>
                <w:szCs w:val="21"/>
                <w14:textFill>
                  <w14:solidFill>
                    <w14:schemeClr w14:val="tx1"/>
                  </w14:solidFill>
                </w14:textFill>
              </w:rPr>
            </w:pPr>
          </w:p>
        </w:tc>
      </w:tr>
      <w:tr w14:paraId="607DD61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90" w:hRule="atLeast"/>
          <w:jc w:val="center"/>
        </w:trPr>
        <w:tc>
          <w:tcPr>
            <w:tcW w:w="518" w:type="dxa"/>
            <w:vMerge w:val="continue"/>
            <w:tcBorders>
              <w:tl2br w:val="nil"/>
              <w:tr2bl w:val="nil"/>
            </w:tcBorders>
            <w:tcMar>
              <w:top w:w="15" w:type="dxa"/>
              <w:left w:w="15" w:type="dxa"/>
              <w:bottom w:w="15" w:type="dxa"/>
              <w:right w:w="15" w:type="dxa"/>
            </w:tcMar>
            <w:vAlign w:val="center"/>
          </w:tcPr>
          <w:p w14:paraId="6FCA704D">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p>
        </w:tc>
        <w:tc>
          <w:tcPr>
            <w:tcW w:w="1488" w:type="dxa"/>
            <w:gridSpan w:val="2"/>
            <w:vMerge w:val="continue"/>
            <w:tcBorders>
              <w:tl2br w:val="nil"/>
              <w:tr2bl w:val="nil"/>
            </w:tcBorders>
            <w:tcMar>
              <w:top w:w="15" w:type="dxa"/>
              <w:left w:w="15" w:type="dxa"/>
              <w:bottom w:w="15" w:type="dxa"/>
              <w:right w:w="15" w:type="dxa"/>
            </w:tcMar>
            <w:vAlign w:val="center"/>
          </w:tcPr>
          <w:p w14:paraId="40A3EB0B">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p>
        </w:tc>
        <w:tc>
          <w:tcPr>
            <w:tcW w:w="1016" w:type="dxa"/>
            <w:vMerge w:val="continue"/>
            <w:tcBorders>
              <w:tl2br w:val="nil"/>
              <w:tr2bl w:val="nil"/>
            </w:tcBorders>
            <w:tcMar>
              <w:top w:w="15" w:type="dxa"/>
              <w:left w:w="15" w:type="dxa"/>
              <w:bottom w:w="15" w:type="dxa"/>
              <w:right w:w="15" w:type="dxa"/>
            </w:tcMar>
            <w:vAlign w:val="center"/>
          </w:tcPr>
          <w:p w14:paraId="033A149A">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354" w:type="dxa"/>
            <w:vMerge w:val="continue"/>
            <w:tcBorders>
              <w:tl2br w:val="nil"/>
              <w:tr2bl w:val="nil"/>
            </w:tcBorders>
            <w:tcMar>
              <w:top w:w="15" w:type="dxa"/>
              <w:left w:w="15" w:type="dxa"/>
              <w:bottom w:w="15" w:type="dxa"/>
              <w:right w:w="15" w:type="dxa"/>
            </w:tcMar>
            <w:vAlign w:val="center"/>
          </w:tcPr>
          <w:p w14:paraId="28C5D210">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12FF5EA4">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6A125B59">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375" w:type="dxa"/>
            <w:tcBorders>
              <w:tl2br w:val="nil"/>
              <w:tr2bl w:val="nil"/>
            </w:tcBorders>
            <w:tcMar>
              <w:top w:w="15" w:type="dxa"/>
              <w:left w:w="15" w:type="dxa"/>
              <w:bottom w:w="15" w:type="dxa"/>
              <w:right w:w="15" w:type="dxa"/>
            </w:tcMar>
            <w:vAlign w:val="center"/>
          </w:tcPr>
          <w:p w14:paraId="52475007">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责令停止违法行为，处5万元以上10万元以下罚款；有违法所得的，没收违法所得。</w:t>
            </w:r>
          </w:p>
        </w:tc>
      </w:tr>
      <w:tr w14:paraId="22B9856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758" w:hRule="atLeast"/>
          <w:jc w:val="center"/>
        </w:trPr>
        <w:tc>
          <w:tcPr>
            <w:tcW w:w="518" w:type="dxa"/>
            <w:vMerge w:val="continue"/>
            <w:tcBorders>
              <w:tl2br w:val="nil"/>
              <w:tr2bl w:val="nil"/>
            </w:tcBorders>
            <w:vAlign w:val="center"/>
          </w:tcPr>
          <w:p w14:paraId="0EB5ED64">
            <w:pPr>
              <w:pStyle w:val="29"/>
              <w:keepNext w:val="0"/>
              <w:keepLines w:val="0"/>
              <w:pageBreakBefore w:val="0"/>
              <w:widowControl/>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7299B39C">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11C80435">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vMerge w:val="continue"/>
            <w:tcBorders>
              <w:tl2br w:val="nil"/>
              <w:tr2bl w:val="nil"/>
            </w:tcBorders>
            <w:vAlign w:val="center"/>
          </w:tcPr>
          <w:p w14:paraId="1CCC1173">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5A051504">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5859DF5F">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w:t>
            </w:r>
            <w:r>
              <w:rPr>
                <w:rFonts w:hint="eastAsia" w:ascii="仿宋_GB2312" w:hAnsi="宋体" w:eastAsia="仿宋_GB2312" w:cs="宋体"/>
                <w:color w:val="000000" w:themeColor="text1"/>
                <w:kern w:val="0"/>
                <w:szCs w:val="21"/>
                <w:lang w:eastAsia="zh-CN"/>
                <w14:textFill>
                  <w14:solidFill>
                    <w14:schemeClr w14:val="tx1"/>
                  </w14:solidFill>
                </w14:textFill>
              </w:rPr>
              <w:t>从重情节</w:t>
            </w:r>
            <w:r>
              <w:rPr>
                <w:rFonts w:hint="eastAsia" w:ascii="仿宋_GB2312" w:hAnsi="宋体" w:eastAsia="仿宋_GB2312" w:cs="宋体"/>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498C6D3B">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责令停止违法行为，处10万元以上30万元以下罚款；有违法所得的，没收违法所得。</w:t>
            </w:r>
          </w:p>
        </w:tc>
      </w:tr>
      <w:tr w14:paraId="06BA3BB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90" w:hRule="atLeast"/>
          <w:jc w:val="center"/>
        </w:trPr>
        <w:tc>
          <w:tcPr>
            <w:tcW w:w="518" w:type="dxa"/>
            <w:vMerge w:val="continue"/>
            <w:tcBorders>
              <w:tl2br w:val="nil"/>
              <w:tr2bl w:val="nil"/>
            </w:tcBorders>
            <w:vAlign w:val="center"/>
          </w:tcPr>
          <w:p w14:paraId="3FBFA051">
            <w:pPr>
              <w:pStyle w:val="29"/>
              <w:keepNext w:val="0"/>
              <w:keepLines w:val="0"/>
              <w:pageBreakBefore w:val="0"/>
              <w:widowControl/>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3156E57A">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0DD55B50">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vMerge w:val="continue"/>
            <w:tcBorders>
              <w:tl2br w:val="nil"/>
              <w:tr2bl w:val="nil"/>
            </w:tcBorders>
            <w:vAlign w:val="center"/>
          </w:tcPr>
          <w:p w14:paraId="78B0DC9D">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72889678">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05C51BB6">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经责令停止违法行为后，继续实施违法行为的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造成严重危害后果的。</w:t>
            </w:r>
          </w:p>
        </w:tc>
        <w:tc>
          <w:tcPr>
            <w:tcW w:w="3375" w:type="dxa"/>
            <w:tcBorders>
              <w:tl2br w:val="nil"/>
              <w:tr2bl w:val="nil"/>
            </w:tcBorders>
            <w:tcMar>
              <w:top w:w="15" w:type="dxa"/>
              <w:left w:w="15" w:type="dxa"/>
              <w:bottom w:w="15" w:type="dxa"/>
              <w:right w:w="15" w:type="dxa"/>
            </w:tcMar>
            <w:vAlign w:val="center"/>
          </w:tcPr>
          <w:p w14:paraId="0C216FFB">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责令停止违法行为，处30万元以上50万元以下罚款；有违法所得的，没收违法所得。</w:t>
            </w:r>
          </w:p>
        </w:tc>
      </w:tr>
      <w:tr w14:paraId="1896485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924" w:hRule="atLeast"/>
          <w:jc w:val="center"/>
        </w:trPr>
        <w:tc>
          <w:tcPr>
            <w:tcW w:w="518" w:type="dxa"/>
            <w:vMerge w:val="restart"/>
            <w:tcBorders>
              <w:tl2br w:val="nil"/>
              <w:tr2bl w:val="nil"/>
            </w:tcBorders>
            <w:tcMar>
              <w:top w:w="15" w:type="dxa"/>
              <w:left w:w="15" w:type="dxa"/>
              <w:bottom w:w="15" w:type="dxa"/>
              <w:right w:w="15" w:type="dxa"/>
            </w:tcMar>
            <w:vAlign w:val="center"/>
          </w:tcPr>
          <w:p w14:paraId="1D31587E">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118</w:t>
            </w:r>
          </w:p>
        </w:tc>
        <w:tc>
          <w:tcPr>
            <w:tcW w:w="1488" w:type="dxa"/>
            <w:gridSpan w:val="2"/>
            <w:vMerge w:val="restart"/>
            <w:tcBorders>
              <w:tl2br w:val="nil"/>
              <w:tr2bl w:val="nil"/>
            </w:tcBorders>
            <w:tcMar>
              <w:top w:w="15" w:type="dxa"/>
              <w:left w:w="15" w:type="dxa"/>
              <w:bottom w:w="15" w:type="dxa"/>
              <w:right w:w="15" w:type="dxa"/>
            </w:tcMar>
            <w:vAlign w:val="center"/>
          </w:tcPr>
          <w:p w14:paraId="23DF654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燃气经营者不按照燃气经营许可证的规定从事燃气经营活动的</w:t>
            </w:r>
          </w:p>
        </w:tc>
        <w:tc>
          <w:tcPr>
            <w:tcW w:w="1016" w:type="dxa"/>
            <w:vMerge w:val="restart"/>
            <w:tcBorders>
              <w:tl2br w:val="nil"/>
              <w:tr2bl w:val="nil"/>
            </w:tcBorders>
            <w:tcMar>
              <w:top w:w="15" w:type="dxa"/>
              <w:left w:w="15" w:type="dxa"/>
              <w:bottom w:w="15" w:type="dxa"/>
              <w:right w:w="15" w:type="dxa"/>
            </w:tcMar>
            <w:vAlign w:val="center"/>
          </w:tcPr>
          <w:p w14:paraId="5C2961DF">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《城镇燃气管理条例》第四十五条第二款</w:t>
            </w:r>
          </w:p>
        </w:tc>
        <w:tc>
          <w:tcPr>
            <w:tcW w:w="4354" w:type="dxa"/>
            <w:vMerge w:val="restart"/>
            <w:tcBorders>
              <w:tl2br w:val="nil"/>
              <w:tr2bl w:val="nil"/>
            </w:tcBorders>
            <w:tcMar>
              <w:top w:w="15" w:type="dxa"/>
              <w:left w:w="15" w:type="dxa"/>
              <w:bottom w:w="15" w:type="dxa"/>
              <w:right w:w="15" w:type="dxa"/>
            </w:tcMar>
            <w:vAlign w:val="center"/>
          </w:tcPr>
          <w:p w14:paraId="5EA20C4A">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w:t>
            </w:r>
            <w:r>
              <w:rPr>
                <w:rFonts w:hint="eastAsia" w:ascii="仿宋_GB2312" w:hAnsi="宋体" w:eastAsia="仿宋_GB2312" w:cs="宋体"/>
                <w:b/>
                <w:bCs/>
                <w:color w:val="000000" w:themeColor="text1"/>
                <w:kern w:val="0"/>
                <w:szCs w:val="21"/>
                <w14:textFill>
                  <w14:solidFill>
                    <w14:schemeClr w14:val="tx1"/>
                  </w14:solidFill>
                </w14:textFill>
              </w:rPr>
              <w:t>第四十五条第二款</w:t>
            </w:r>
            <w:r>
              <w:rPr>
                <w:rFonts w:hint="eastAsia" w:ascii="仿宋_GB2312" w:hAnsi="宋体" w:eastAsia="仿宋_GB2312" w:cs="宋体"/>
                <w:b/>
                <w:bCs/>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违反本条例规定，燃气经营者不按照燃气经营许可证的规定从事燃气经营活动的，由燃气管理部门责令限期改正，处3万元以上20万元以下罚款；有违法所得的，没收违法所得；情节严重的，吊销燃气经营许可证；构成犯罪的，依法追究刑事责任。</w:t>
            </w:r>
          </w:p>
        </w:tc>
        <w:tc>
          <w:tcPr>
            <w:tcW w:w="912" w:type="dxa"/>
            <w:tcBorders>
              <w:tl2br w:val="nil"/>
              <w:tr2bl w:val="nil"/>
            </w:tcBorders>
            <w:tcMar>
              <w:top w:w="15" w:type="dxa"/>
              <w:left w:w="15" w:type="dxa"/>
              <w:bottom w:w="15" w:type="dxa"/>
              <w:right w:w="15" w:type="dxa"/>
            </w:tcMar>
            <w:vAlign w:val="center"/>
          </w:tcPr>
          <w:p w14:paraId="21794564">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65FA6175">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375" w:type="dxa"/>
            <w:tcBorders>
              <w:tl2br w:val="nil"/>
              <w:tr2bl w:val="nil"/>
            </w:tcBorders>
            <w:tcMar>
              <w:top w:w="15" w:type="dxa"/>
              <w:left w:w="15" w:type="dxa"/>
              <w:bottom w:w="15" w:type="dxa"/>
              <w:right w:w="15" w:type="dxa"/>
            </w:tcMar>
            <w:vAlign w:val="center"/>
          </w:tcPr>
          <w:p w14:paraId="17AC287B">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责令限期改正，处3万元以上10万元以下罚款；有违法所得的，没收违法所得。</w:t>
            </w:r>
          </w:p>
        </w:tc>
      </w:tr>
      <w:tr w14:paraId="3189F9C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768" w:hRule="atLeast"/>
          <w:jc w:val="center"/>
        </w:trPr>
        <w:tc>
          <w:tcPr>
            <w:tcW w:w="518" w:type="dxa"/>
            <w:vMerge w:val="continue"/>
            <w:tcBorders>
              <w:tl2br w:val="nil"/>
              <w:tr2bl w:val="nil"/>
            </w:tcBorders>
            <w:vAlign w:val="center"/>
          </w:tcPr>
          <w:p w14:paraId="7B4B80CA">
            <w:pPr>
              <w:pStyle w:val="29"/>
              <w:keepNext w:val="0"/>
              <w:keepLines w:val="0"/>
              <w:pageBreakBefore w:val="0"/>
              <w:widowControl/>
              <w:numPr>
                <w:ilvl w:val="0"/>
                <w:numId w:val="3"/>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626889FB">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418F7B5E">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vMerge w:val="continue"/>
            <w:tcBorders>
              <w:tl2br w:val="nil"/>
              <w:tr2bl w:val="nil"/>
            </w:tcBorders>
            <w:vAlign w:val="center"/>
          </w:tcPr>
          <w:p w14:paraId="0248E8D4">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3E1C7E38">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236A12D6">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w:t>
            </w:r>
            <w:r>
              <w:rPr>
                <w:rFonts w:hint="eastAsia" w:ascii="仿宋_GB2312" w:hAnsi="宋体" w:eastAsia="仿宋_GB2312" w:cs="宋体"/>
                <w:color w:val="000000" w:themeColor="text1"/>
                <w:kern w:val="0"/>
                <w:szCs w:val="21"/>
                <w:lang w:eastAsia="zh-CN"/>
                <w14:textFill>
                  <w14:solidFill>
                    <w14:schemeClr w14:val="tx1"/>
                  </w14:solidFill>
                </w14:textFill>
              </w:rPr>
              <w:t>从重情节</w:t>
            </w:r>
            <w:r>
              <w:rPr>
                <w:rFonts w:hint="eastAsia" w:ascii="仿宋_GB2312" w:hAnsi="宋体" w:eastAsia="仿宋_GB2312" w:cs="宋体"/>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6BB2B13F">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责令限期改正，处10万元以上15万元以下罚款；有违法所得的，没收违法所得。</w:t>
            </w:r>
          </w:p>
        </w:tc>
      </w:tr>
      <w:tr w14:paraId="5120D9A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67" w:hRule="atLeast"/>
          <w:jc w:val="center"/>
        </w:trPr>
        <w:tc>
          <w:tcPr>
            <w:tcW w:w="518" w:type="dxa"/>
            <w:vMerge w:val="continue"/>
            <w:tcBorders>
              <w:tl2br w:val="nil"/>
              <w:tr2bl w:val="nil"/>
            </w:tcBorders>
            <w:vAlign w:val="center"/>
          </w:tcPr>
          <w:p w14:paraId="6A73DAAD">
            <w:pPr>
              <w:pStyle w:val="29"/>
              <w:keepNext w:val="0"/>
              <w:keepLines w:val="0"/>
              <w:pageBreakBefore w:val="0"/>
              <w:widowControl/>
              <w:numPr>
                <w:ilvl w:val="0"/>
                <w:numId w:val="3"/>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00889160">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1BE7A971">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vMerge w:val="continue"/>
            <w:tcBorders>
              <w:tl2br w:val="nil"/>
              <w:tr2bl w:val="nil"/>
            </w:tcBorders>
            <w:vAlign w:val="center"/>
          </w:tcPr>
          <w:p w14:paraId="4426CC9C">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36E072A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55C4F69D">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经责令停止违法行为后，继续实施违法行为的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造成严重危害后果的。</w:t>
            </w:r>
          </w:p>
        </w:tc>
        <w:tc>
          <w:tcPr>
            <w:tcW w:w="3375" w:type="dxa"/>
            <w:tcBorders>
              <w:tl2br w:val="nil"/>
              <w:tr2bl w:val="nil"/>
            </w:tcBorders>
            <w:tcMar>
              <w:top w:w="15" w:type="dxa"/>
              <w:left w:w="15" w:type="dxa"/>
              <w:bottom w:w="15" w:type="dxa"/>
              <w:right w:w="15" w:type="dxa"/>
            </w:tcMar>
            <w:vAlign w:val="center"/>
          </w:tcPr>
          <w:p w14:paraId="1A61EB34">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责令限期改正，处15万元以上20万元以下罚款；有违法所得的，没收违法所得；吊销燃气经营许可证。</w:t>
            </w:r>
          </w:p>
        </w:tc>
      </w:tr>
      <w:tr w14:paraId="1F3D298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872" w:hRule="atLeast"/>
          <w:jc w:val="center"/>
        </w:trPr>
        <w:tc>
          <w:tcPr>
            <w:tcW w:w="518" w:type="dxa"/>
            <w:vMerge w:val="restart"/>
            <w:tcBorders>
              <w:tl2br w:val="nil"/>
              <w:tr2bl w:val="nil"/>
            </w:tcBorders>
            <w:tcMar>
              <w:top w:w="15" w:type="dxa"/>
              <w:left w:w="15" w:type="dxa"/>
              <w:bottom w:w="15" w:type="dxa"/>
              <w:right w:w="15" w:type="dxa"/>
            </w:tcMar>
            <w:vAlign w:val="center"/>
          </w:tcPr>
          <w:p w14:paraId="6E3450AC">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119</w:t>
            </w:r>
          </w:p>
        </w:tc>
        <w:tc>
          <w:tcPr>
            <w:tcW w:w="1488" w:type="dxa"/>
            <w:gridSpan w:val="2"/>
            <w:vMerge w:val="restart"/>
            <w:tcBorders>
              <w:tl2br w:val="nil"/>
              <w:tr2bl w:val="nil"/>
            </w:tcBorders>
            <w:tcMar>
              <w:top w:w="15" w:type="dxa"/>
              <w:left w:w="15" w:type="dxa"/>
              <w:bottom w:w="15" w:type="dxa"/>
              <w:right w:w="15" w:type="dxa"/>
            </w:tcMar>
            <w:vAlign w:val="center"/>
          </w:tcPr>
          <w:p w14:paraId="27FBDAE6">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拒绝向市政燃气管网覆盖范围内符合用气条件的单位或者个人供气的</w:t>
            </w:r>
          </w:p>
        </w:tc>
        <w:tc>
          <w:tcPr>
            <w:tcW w:w="1016" w:type="dxa"/>
            <w:vMerge w:val="restart"/>
            <w:tcBorders>
              <w:tl2br w:val="nil"/>
              <w:tr2bl w:val="nil"/>
            </w:tcBorders>
            <w:tcMar>
              <w:top w:w="15" w:type="dxa"/>
              <w:left w:w="15" w:type="dxa"/>
              <w:bottom w:w="15" w:type="dxa"/>
              <w:right w:w="15" w:type="dxa"/>
            </w:tcMar>
            <w:vAlign w:val="center"/>
          </w:tcPr>
          <w:p w14:paraId="5899BD38">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《城镇燃气管理条例》第十八条第一项</w:t>
            </w:r>
          </w:p>
        </w:tc>
        <w:tc>
          <w:tcPr>
            <w:tcW w:w="4354" w:type="dxa"/>
            <w:vMerge w:val="restart"/>
            <w:tcBorders>
              <w:tl2br w:val="nil"/>
              <w:tr2bl w:val="nil"/>
            </w:tcBorders>
            <w:tcMar>
              <w:top w:w="15" w:type="dxa"/>
              <w:left w:w="15" w:type="dxa"/>
              <w:bottom w:w="15" w:type="dxa"/>
              <w:right w:w="15" w:type="dxa"/>
            </w:tcMar>
            <w:vAlign w:val="center"/>
          </w:tcPr>
          <w:p w14:paraId="43DEB488">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w:t>
            </w:r>
            <w:bookmarkStart w:id="0" w:name="46"/>
            <w:r>
              <w:rPr>
                <w:rFonts w:hint="eastAsia" w:ascii="仿宋_GB2312" w:hAnsi="宋体" w:eastAsia="仿宋_GB2312" w:cs="宋体"/>
                <w:b/>
                <w:bCs/>
                <w:color w:val="000000" w:themeColor="text1"/>
                <w:kern w:val="0"/>
                <w:szCs w:val="21"/>
                <w14:textFill>
                  <w14:solidFill>
                    <w14:schemeClr w14:val="tx1"/>
                  </w14:solidFill>
                </w14:textFill>
              </w:rPr>
              <w:t>第四十六条</w:t>
            </w:r>
            <w:bookmarkEnd w:id="0"/>
            <w:r>
              <w:rPr>
                <w:rFonts w:hint="eastAsia" w:ascii="仿宋_GB2312" w:hAnsi="宋体" w:eastAsia="仿宋_GB2312" w:cs="宋体"/>
                <w:b/>
                <w:bCs/>
                <w:color w:val="000000" w:themeColor="text1"/>
                <w:kern w:val="0"/>
                <w:szCs w:val="21"/>
                <w:lang w:eastAsia="zh-CN"/>
                <w14:textFill>
                  <w14:solidFill>
                    <w14:schemeClr w14:val="tx1"/>
                  </w14:solidFill>
                </w14:textFill>
              </w:rPr>
              <w:t>（一）</w:t>
            </w:r>
            <w:r>
              <w:rPr>
                <w:rFonts w:hint="eastAsia" w:ascii="仿宋_GB2312" w:hAnsi="宋体" w:eastAsia="仿宋_GB2312" w:cs="宋体"/>
                <w:b/>
                <w:bCs/>
                <w:color w:val="000000" w:themeColor="text1"/>
                <w:kern w:val="0"/>
                <w:szCs w:val="21"/>
                <w14:textFill>
                  <w14:solidFill>
                    <w14:schemeClr w14:val="tx1"/>
                  </w14:solidFill>
                </w14:textFill>
              </w:rPr>
              <w:t>项</w:t>
            </w:r>
            <w:r>
              <w:rPr>
                <w:rFonts w:hint="eastAsia" w:ascii="仿宋_GB2312" w:hAnsi="宋体" w:eastAsia="仿宋_GB2312" w:cs="宋体"/>
                <w:b/>
                <w:bCs/>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 （一）拒绝向市政燃气管网覆盖范围内符合用气条件的单位或者个人供气的；（二）倒卖、抵押、出租、出借、转让、涂改燃气经营许可证的； （三）未履行必要告知义务擅自停止供气、调整供气量，或者未经审批擅自停业或者歇业的；（四）向未取得燃气经营许可证的单位或者个人提供用于经营的燃气的；（五）在不具备安全条件的场所储存燃气的； （六）要求燃气用户购买其指定的产品或者接受其提供的服务；（七）燃气经营者未向燃气用户持续、稳定、安全供应符合国家质量标准的燃气，或者未对燃气用户的燃气设施定期进行安全检查。</w:t>
            </w:r>
          </w:p>
          <w:p w14:paraId="56F01F7A">
            <w:pPr>
              <w:pStyle w:val="11"/>
              <w:keepNext w:val="0"/>
              <w:keepLines w:val="0"/>
              <w:pageBreakBefore w:val="0"/>
              <w:kinsoku/>
              <w:overflowPunct/>
              <w:topLinePunct w:val="0"/>
              <w:autoSpaceDE/>
              <w:autoSpaceDN/>
              <w:bidi w:val="0"/>
              <w:adjustRightInd/>
              <w:spacing w:before="0" w:beforeAutospacing="0" w:after="0" w:afterAutospacing="0" w:line="260" w:lineRule="exact"/>
              <w:ind w:firstLine="210" w:firstLineChars="100"/>
              <w:jc w:val="both"/>
              <w:rPr>
                <w:rFonts w:ascii="仿宋_GB2312" w:eastAsia="仿宋_GB2312"/>
                <w:color w:val="000000" w:themeColor="text1"/>
                <w:sz w:val="2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5CEB7268">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2594F81B">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375" w:type="dxa"/>
            <w:tcBorders>
              <w:tl2br w:val="nil"/>
              <w:tr2bl w:val="nil"/>
            </w:tcBorders>
            <w:tcMar>
              <w:top w:w="15" w:type="dxa"/>
              <w:left w:w="15" w:type="dxa"/>
              <w:bottom w:w="15" w:type="dxa"/>
              <w:right w:w="15" w:type="dxa"/>
            </w:tcMar>
            <w:vAlign w:val="center"/>
          </w:tcPr>
          <w:p w14:paraId="0E0C5688">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责令限期改正，处2万元以上4万元以下罚款；有违法所得的，没收违法所得。</w:t>
            </w:r>
          </w:p>
        </w:tc>
      </w:tr>
      <w:tr w14:paraId="785316A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792" w:hRule="atLeast"/>
          <w:jc w:val="center"/>
        </w:trPr>
        <w:tc>
          <w:tcPr>
            <w:tcW w:w="518" w:type="dxa"/>
            <w:vMerge w:val="continue"/>
            <w:tcBorders>
              <w:tl2br w:val="nil"/>
              <w:tr2bl w:val="nil"/>
            </w:tcBorders>
            <w:vAlign w:val="center"/>
          </w:tcPr>
          <w:p w14:paraId="1D4512D6">
            <w:pPr>
              <w:pStyle w:val="29"/>
              <w:keepNext w:val="0"/>
              <w:keepLines w:val="0"/>
              <w:pageBreakBefore w:val="0"/>
              <w:widowControl/>
              <w:numPr>
                <w:ilvl w:val="0"/>
                <w:numId w:val="3"/>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5A386C5A">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5BF884CA">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vMerge w:val="continue"/>
            <w:tcBorders>
              <w:tl2br w:val="nil"/>
              <w:tr2bl w:val="nil"/>
            </w:tcBorders>
            <w:vAlign w:val="center"/>
          </w:tcPr>
          <w:p w14:paraId="0B77C9D6">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1CE44351">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54462D2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w:t>
            </w:r>
            <w:r>
              <w:rPr>
                <w:rFonts w:hint="eastAsia" w:ascii="仿宋_GB2312" w:hAnsi="宋体" w:eastAsia="仿宋_GB2312" w:cs="宋体"/>
                <w:color w:val="000000" w:themeColor="text1"/>
                <w:kern w:val="0"/>
                <w:szCs w:val="21"/>
                <w:lang w:eastAsia="zh-CN"/>
                <w14:textFill>
                  <w14:solidFill>
                    <w14:schemeClr w14:val="tx1"/>
                  </w14:solidFill>
                </w14:textFill>
              </w:rPr>
              <w:t>从重情节</w:t>
            </w:r>
            <w:r>
              <w:rPr>
                <w:rFonts w:hint="eastAsia" w:ascii="仿宋_GB2312" w:hAnsi="宋体" w:eastAsia="仿宋_GB2312" w:cs="宋体"/>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571A2D8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责令限期改正，处4万元以上7万元以下罚款；有违法所得的，没收违法所得。</w:t>
            </w:r>
          </w:p>
        </w:tc>
      </w:tr>
      <w:tr w14:paraId="0D49B55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32" w:hRule="atLeast"/>
          <w:jc w:val="center"/>
        </w:trPr>
        <w:tc>
          <w:tcPr>
            <w:tcW w:w="518" w:type="dxa"/>
            <w:vMerge w:val="continue"/>
            <w:tcBorders>
              <w:tl2br w:val="nil"/>
              <w:tr2bl w:val="nil"/>
            </w:tcBorders>
            <w:vAlign w:val="center"/>
          </w:tcPr>
          <w:p w14:paraId="1950DDE7">
            <w:pPr>
              <w:pStyle w:val="29"/>
              <w:keepNext w:val="0"/>
              <w:keepLines w:val="0"/>
              <w:pageBreakBefore w:val="0"/>
              <w:widowControl/>
              <w:numPr>
                <w:ilvl w:val="0"/>
                <w:numId w:val="3"/>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6537D83E">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00EAA428">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vMerge w:val="continue"/>
            <w:tcBorders>
              <w:tl2br w:val="nil"/>
              <w:tr2bl w:val="nil"/>
            </w:tcBorders>
            <w:vAlign w:val="center"/>
          </w:tcPr>
          <w:p w14:paraId="7C9668F8">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4E707D3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5694408C">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经责令停止违法行为后，继续实施违法行为的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造成严重危害后果的。</w:t>
            </w:r>
          </w:p>
        </w:tc>
        <w:tc>
          <w:tcPr>
            <w:tcW w:w="3375" w:type="dxa"/>
            <w:tcBorders>
              <w:tl2br w:val="nil"/>
              <w:tr2bl w:val="nil"/>
            </w:tcBorders>
            <w:tcMar>
              <w:top w:w="15" w:type="dxa"/>
              <w:left w:w="15" w:type="dxa"/>
              <w:bottom w:w="15" w:type="dxa"/>
              <w:right w:w="15" w:type="dxa"/>
            </w:tcMar>
            <w:vAlign w:val="center"/>
          </w:tcPr>
          <w:p w14:paraId="1368437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责令限期改正，处7万元以上10万元以下罚款；有违法所得的，没收违法所得；吊销燃气经营许可证。</w:t>
            </w:r>
          </w:p>
        </w:tc>
      </w:tr>
      <w:tr w14:paraId="0C7863B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028" w:hRule="atLeast"/>
          <w:jc w:val="center"/>
        </w:trPr>
        <w:tc>
          <w:tcPr>
            <w:tcW w:w="518" w:type="dxa"/>
            <w:vMerge w:val="restart"/>
            <w:tcBorders>
              <w:tl2br w:val="nil"/>
              <w:tr2bl w:val="nil"/>
            </w:tcBorders>
            <w:vAlign w:val="center"/>
          </w:tcPr>
          <w:p w14:paraId="42F3C0FB">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120</w:t>
            </w:r>
          </w:p>
        </w:tc>
        <w:tc>
          <w:tcPr>
            <w:tcW w:w="1488" w:type="dxa"/>
            <w:gridSpan w:val="2"/>
            <w:vMerge w:val="restart"/>
            <w:tcBorders>
              <w:tl2br w:val="nil"/>
              <w:tr2bl w:val="nil"/>
            </w:tcBorders>
            <w:vAlign w:val="center"/>
          </w:tcPr>
          <w:p w14:paraId="26CE5D91">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倒卖、抵押、出租、出借、转让、涂改燃气经营许可证的</w:t>
            </w:r>
          </w:p>
        </w:tc>
        <w:tc>
          <w:tcPr>
            <w:tcW w:w="1016" w:type="dxa"/>
            <w:vMerge w:val="restart"/>
            <w:tcBorders>
              <w:tl2br w:val="nil"/>
              <w:tr2bl w:val="nil"/>
            </w:tcBorders>
            <w:vAlign w:val="center"/>
          </w:tcPr>
          <w:p w14:paraId="2518286E">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《城镇燃气管理条例》第十八条第二项</w:t>
            </w:r>
          </w:p>
        </w:tc>
        <w:tc>
          <w:tcPr>
            <w:tcW w:w="4354" w:type="dxa"/>
            <w:vMerge w:val="restart"/>
            <w:tcBorders>
              <w:tl2br w:val="nil"/>
              <w:tr2bl w:val="nil"/>
            </w:tcBorders>
            <w:vAlign w:val="center"/>
          </w:tcPr>
          <w:p w14:paraId="551F1500">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w:t>
            </w:r>
            <w:r>
              <w:rPr>
                <w:rFonts w:hint="eastAsia" w:ascii="仿宋_GB2312" w:hAnsi="宋体" w:eastAsia="仿宋_GB2312" w:cs="宋体"/>
                <w:b/>
                <w:bCs/>
                <w:color w:val="000000" w:themeColor="text1"/>
                <w:kern w:val="0"/>
                <w:szCs w:val="21"/>
                <w14:textFill>
                  <w14:solidFill>
                    <w14:schemeClr w14:val="tx1"/>
                  </w14:solidFill>
                </w14:textFill>
              </w:rPr>
              <w:t>第四十六条</w:t>
            </w:r>
            <w:r>
              <w:rPr>
                <w:rFonts w:hint="eastAsia" w:ascii="仿宋_GB2312" w:hAnsi="宋体" w:eastAsia="仿宋_GB2312" w:cs="宋体"/>
                <w:b/>
                <w:bCs/>
                <w:color w:val="000000" w:themeColor="text1"/>
                <w:kern w:val="0"/>
                <w:szCs w:val="21"/>
                <w:lang w:eastAsia="zh-CN"/>
                <w14:textFill>
                  <w14:solidFill>
                    <w14:schemeClr w14:val="tx1"/>
                  </w14:solidFill>
                </w14:textFill>
              </w:rPr>
              <w:t>（二）</w:t>
            </w:r>
            <w:r>
              <w:rPr>
                <w:rFonts w:hint="eastAsia" w:ascii="仿宋_GB2312" w:hAnsi="宋体" w:eastAsia="仿宋_GB2312" w:cs="宋体"/>
                <w:b/>
                <w:bCs/>
                <w:color w:val="000000" w:themeColor="text1"/>
                <w:kern w:val="0"/>
                <w:szCs w:val="21"/>
                <w14:textFill>
                  <w14:solidFill>
                    <w14:schemeClr w14:val="tx1"/>
                  </w14:solidFill>
                </w14:textFill>
              </w:rPr>
              <w:t>项</w:t>
            </w:r>
            <w:r>
              <w:rPr>
                <w:rFonts w:hint="eastAsia" w:ascii="仿宋_GB2312" w:hAnsi="宋体" w:eastAsia="仿宋_GB2312" w:cs="宋体"/>
                <w:b/>
                <w:bCs/>
                <w:color w:val="000000" w:themeColor="text1"/>
                <w:kern w:val="0"/>
                <w:szCs w:val="21"/>
                <w:lang w:eastAsia="zh-CN"/>
                <w14:textFill>
                  <w14:solidFill>
                    <w14:schemeClr w14:val="tx1"/>
                  </w14:solidFill>
                </w14:textFill>
              </w:rPr>
              <w:t>：</w:t>
            </w:r>
            <w:r>
              <w:rPr>
                <w:rFonts w:hint="eastAsia" w:ascii="仿宋_GB2312" w:eastAsia="仿宋_GB2312"/>
                <w:color w:val="000000" w:themeColor="text1"/>
                <w:sz w:val="21"/>
                <w:szCs w:val="21"/>
                <w14:textFill>
                  <w14:solidFill>
                    <w14:schemeClr w14:val="tx1"/>
                  </w14:solidFill>
                </w14:textFill>
              </w:rPr>
              <w:t>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 （一）拒绝向市政燃气管网覆盖范围内符合用气条件的单位或者个人供气的；（二）倒卖、抵押、出租、出借、转让、涂改燃气经营许可证的； （三）未履行必要告知义务擅自停止供气、调整供气量，或者未经审批擅自停业或者歇业的；（四）向未取得燃气经营许可证的单位或者个人提供用于经营的燃气的；（五）在不具备安全条件的场所储存燃气的； （六）要求燃气用户购买其指定的产品或者接受其提供的服务；（七）燃气经营者未向燃气用户持续、稳定、安全供应符合国家质量标准的燃气，或者未对燃气用户的燃气设施定期进行安全检查。</w:t>
            </w:r>
          </w:p>
        </w:tc>
        <w:tc>
          <w:tcPr>
            <w:tcW w:w="912" w:type="dxa"/>
            <w:tcBorders>
              <w:tl2br w:val="nil"/>
              <w:tr2bl w:val="nil"/>
            </w:tcBorders>
            <w:tcMar>
              <w:top w:w="15" w:type="dxa"/>
              <w:left w:w="15" w:type="dxa"/>
              <w:bottom w:w="15" w:type="dxa"/>
              <w:right w:w="15" w:type="dxa"/>
            </w:tcMar>
            <w:vAlign w:val="center"/>
          </w:tcPr>
          <w:p w14:paraId="10CEC8E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48176C04">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375" w:type="dxa"/>
            <w:tcBorders>
              <w:tl2br w:val="nil"/>
              <w:tr2bl w:val="nil"/>
            </w:tcBorders>
            <w:tcMar>
              <w:top w:w="15" w:type="dxa"/>
              <w:left w:w="15" w:type="dxa"/>
              <w:bottom w:w="15" w:type="dxa"/>
              <w:right w:w="15" w:type="dxa"/>
            </w:tcMar>
            <w:vAlign w:val="center"/>
          </w:tcPr>
          <w:p w14:paraId="1A47B600">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责令限期改正，处2万元以上4万元以下罚款；有违法所得的，没收违法所得。</w:t>
            </w:r>
          </w:p>
        </w:tc>
      </w:tr>
      <w:tr w14:paraId="327E078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962" w:hRule="atLeast"/>
          <w:jc w:val="center"/>
        </w:trPr>
        <w:tc>
          <w:tcPr>
            <w:tcW w:w="518" w:type="dxa"/>
            <w:vMerge w:val="continue"/>
            <w:tcBorders>
              <w:tl2br w:val="nil"/>
              <w:tr2bl w:val="nil"/>
            </w:tcBorders>
            <w:vAlign w:val="center"/>
          </w:tcPr>
          <w:p w14:paraId="0DCE45CA">
            <w:pPr>
              <w:pStyle w:val="29"/>
              <w:keepNext w:val="0"/>
              <w:keepLines w:val="0"/>
              <w:pageBreakBefore w:val="0"/>
              <w:widowControl/>
              <w:numPr>
                <w:ilvl w:val="0"/>
                <w:numId w:val="3"/>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33753EF3">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4E2D20F7">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354" w:type="dxa"/>
            <w:vMerge w:val="continue"/>
            <w:tcBorders>
              <w:tl2br w:val="nil"/>
              <w:tr2bl w:val="nil"/>
            </w:tcBorders>
            <w:vAlign w:val="center"/>
          </w:tcPr>
          <w:p w14:paraId="55E58376">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5007016F">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350A1B6F">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w:t>
            </w:r>
            <w:r>
              <w:rPr>
                <w:rFonts w:hint="eastAsia" w:ascii="仿宋_GB2312" w:hAnsi="宋体" w:eastAsia="仿宋_GB2312" w:cs="宋体"/>
                <w:color w:val="000000" w:themeColor="text1"/>
                <w:kern w:val="0"/>
                <w:szCs w:val="21"/>
                <w:lang w:eastAsia="zh-CN"/>
                <w14:textFill>
                  <w14:solidFill>
                    <w14:schemeClr w14:val="tx1"/>
                  </w14:solidFill>
                </w14:textFill>
              </w:rPr>
              <w:t>从重情节</w:t>
            </w:r>
            <w:r>
              <w:rPr>
                <w:rFonts w:hint="eastAsia" w:ascii="仿宋_GB2312" w:hAnsi="宋体" w:eastAsia="仿宋_GB2312" w:cs="宋体"/>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3BFCFF6B">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责令限期改正，处4万元以上7万元以下罚款；有违法所得的，没收违法所得。</w:t>
            </w:r>
          </w:p>
        </w:tc>
      </w:tr>
      <w:tr w14:paraId="2AA73D1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818" w:hRule="atLeast"/>
          <w:jc w:val="center"/>
        </w:trPr>
        <w:tc>
          <w:tcPr>
            <w:tcW w:w="518" w:type="dxa"/>
            <w:vMerge w:val="continue"/>
            <w:tcBorders>
              <w:tl2br w:val="nil"/>
              <w:tr2bl w:val="nil"/>
            </w:tcBorders>
            <w:vAlign w:val="center"/>
          </w:tcPr>
          <w:p w14:paraId="4DC7D495">
            <w:pPr>
              <w:pStyle w:val="29"/>
              <w:keepNext w:val="0"/>
              <w:keepLines w:val="0"/>
              <w:pageBreakBefore w:val="0"/>
              <w:widowControl/>
              <w:numPr>
                <w:ilvl w:val="0"/>
                <w:numId w:val="3"/>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488" w:type="dxa"/>
            <w:gridSpan w:val="2"/>
            <w:vMerge w:val="continue"/>
            <w:tcBorders>
              <w:tl2br w:val="nil"/>
              <w:tr2bl w:val="nil"/>
            </w:tcBorders>
            <w:vAlign w:val="center"/>
          </w:tcPr>
          <w:p w14:paraId="477489C2">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3C517154">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6915B90E">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717AE97F">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3E82E21E">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经责令停止违法行为后，继续实施违法行为的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造成严重危害后果的。</w:t>
            </w:r>
          </w:p>
        </w:tc>
        <w:tc>
          <w:tcPr>
            <w:tcW w:w="3375" w:type="dxa"/>
            <w:tcBorders>
              <w:tl2br w:val="nil"/>
              <w:tr2bl w:val="nil"/>
            </w:tcBorders>
            <w:tcMar>
              <w:top w:w="15" w:type="dxa"/>
              <w:left w:w="15" w:type="dxa"/>
              <w:bottom w:w="15" w:type="dxa"/>
              <w:right w:w="15" w:type="dxa"/>
            </w:tcMar>
            <w:vAlign w:val="center"/>
          </w:tcPr>
          <w:p w14:paraId="0B57C798">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责令限期改正，处7万元以上10万元以下罚款；有违法所得的，没收违法所得；吊销燃气经营许可证。</w:t>
            </w:r>
          </w:p>
        </w:tc>
      </w:tr>
      <w:tr w14:paraId="0EEC45C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640" w:hRule="atLeast"/>
          <w:jc w:val="center"/>
        </w:trPr>
        <w:tc>
          <w:tcPr>
            <w:tcW w:w="518" w:type="dxa"/>
            <w:vMerge w:val="restart"/>
            <w:tcBorders>
              <w:tl2br w:val="nil"/>
              <w:tr2bl w:val="nil"/>
            </w:tcBorders>
            <w:vAlign w:val="center"/>
          </w:tcPr>
          <w:p w14:paraId="5D127C8D">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121</w:t>
            </w:r>
          </w:p>
        </w:tc>
        <w:tc>
          <w:tcPr>
            <w:tcW w:w="1488" w:type="dxa"/>
            <w:gridSpan w:val="2"/>
            <w:vMerge w:val="restart"/>
            <w:tcBorders>
              <w:tl2br w:val="nil"/>
              <w:tr2bl w:val="nil"/>
            </w:tcBorders>
            <w:vAlign w:val="center"/>
          </w:tcPr>
          <w:p w14:paraId="1447D3A8">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未履行必要告知义务擅自停止供气、调整供气量，或者未经审批擅自停业或者歇业的</w:t>
            </w:r>
          </w:p>
        </w:tc>
        <w:tc>
          <w:tcPr>
            <w:tcW w:w="1016" w:type="dxa"/>
            <w:vMerge w:val="restart"/>
            <w:tcBorders>
              <w:tl2br w:val="nil"/>
              <w:tr2bl w:val="nil"/>
            </w:tcBorders>
            <w:vAlign w:val="center"/>
          </w:tcPr>
          <w:p w14:paraId="69BC6298">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《城镇燃气管理条例》第十八条第三项</w:t>
            </w:r>
          </w:p>
        </w:tc>
        <w:tc>
          <w:tcPr>
            <w:tcW w:w="4354" w:type="dxa"/>
            <w:vMerge w:val="restart"/>
            <w:tcBorders>
              <w:tl2br w:val="nil"/>
              <w:tr2bl w:val="nil"/>
            </w:tcBorders>
            <w:vAlign w:val="center"/>
          </w:tcPr>
          <w:p w14:paraId="70A1406B">
            <w:pPr>
              <w:keepNext w:val="0"/>
              <w:keepLines w:val="0"/>
              <w:pageBreakBefore w:val="0"/>
              <w:widowControl/>
              <w:kinsoku/>
              <w:overflowPunct/>
              <w:topLinePunct w:val="0"/>
              <w:autoSpaceDE/>
              <w:autoSpaceDN/>
              <w:bidi w:val="0"/>
              <w:adjustRightInd/>
              <w:spacing w:line="260" w:lineRule="exact"/>
              <w:textAlignment w:val="center"/>
              <w:rPr>
                <w:rFonts w:ascii="仿宋_GB2312" w:eastAsia="仿宋_GB2312"/>
                <w:color w:val="000000" w:themeColor="text1"/>
                <w:sz w:val="2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w:t>
            </w:r>
            <w:r>
              <w:rPr>
                <w:rFonts w:hint="eastAsia" w:ascii="仿宋_GB2312" w:hAnsi="宋体" w:eastAsia="仿宋_GB2312" w:cs="宋体"/>
                <w:b/>
                <w:bCs/>
                <w:color w:val="000000" w:themeColor="text1"/>
                <w:kern w:val="0"/>
                <w:szCs w:val="21"/>
                <w14:textFill>
                  <w14:solidFill>
                    <w14:schemeClr w14:val="tx1"/>
                  </w14:solidFill>
                </w14:textFill>
              </w:rPr>
              <w:t>第四十六条</w:t>
            </w:r>
            <w:r>
              <w:rPr>
                <w:rFonts w:hint="eastAsia" w:ascii="仿宋_GB2312" w:hAnsi="宋体" w:eastAsia="仿宋_GB2312" w:cs="宋体"/>
                <w:b/>
                <w:bCs/>
                <w:color w:val="000000" w:themeColor="text1"/>
                <w:kern w:val="0"/>
                <w:szCs w:val="21"/>
                <w:lang w:eastAsia="zh-CN"/>
                <w14:textFill>
                  <w14:solidFill>
                    <w14:schemeClr w14:val="tx1"/>
                  </w14:solidFill>
                </w14:textFill>
              </w:rPr>
              <w:t>（三）</w:t>
            </w:r>
            <w:r>
              <w:rPr>
                <w:rFonts w:hint="eastAsia" w:ascii="仿宋_GB2312" w:hAnsi="宋体" w:eastAsia="仿宋_GB2312" w:cs="宋体"/>
                <w:b/>
                <w:bCs/>
                <w:color w:val="000000" w:themeColor="text1"/>
                <w:kern w:val="0"/>
                <w:szCs w:val="21"/>
                <w14:textFill>
                  <w14:solidFill>
                    <w14:schemeClr w14:val="tx1"/>
                  </w14:solidFill>
                </w14:textFill>
              </w:rPr>
              <w:t>项</w:t>
            </w:r>
            <w:r>
              <w:rPr>
                <w:rFonts w:hint="eastAsia" w:ascii="仿宋_GB2312" w:hAnsi="宋体" w:eastAsia="仿宋_GB2312" w:cs="宋体"/>
                <w:b/>
                <w:bCs/>
                <w:color w:val="000000" w:themeColor="text1"/>
                <w:kern w:val="0"/>
                <w:szCs w:val="21"/>
                <w:lang w:eastAsia="zh-CN"/>
                <w14:textFill>
                  <w14:solidFill>
                    <w14:schemeClr w14:val="tx1"/>
                  </w14:solidFill>
                </w14:textFill>
              </w:rPr>
              <w:t>：</w:t>
            </w:r>
            <w:r>
              <w:rPr>
                <w:rFonts w:hint="eastAsia" w:ascii="仿宋_GB2312" w:eastAsia="仿宋_GB2312"/>
                <w:color w:val="000000" w:themeColor="text1"/>
                <w:sz w:val="21"/>
                <w:szCs w:val="21"/>
                <w14:textFill>
                  <w14:solidFill>
                    <w14:schemeClr w14:val="tx1"/>
                  </w14:solidFill>
                </w14:textFill>
              </w:rPr>
              <w:t>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 （一）拒绝向市政燃气管网覆盖范围内符合用气条件的单位或者个人供气的；（二）倒卖、抵押、出租、出借、转让、涂改燃气经营许可证的； （三）未履行必要告知义务擅自停止供气、调整供气量，或者未经审批擅自停业或者歇业的； （四）向未取得燃气经营许可证的单位或者个人提供用于经营的燃气的；（五）在不具备安全条件的场所储存燃气的； （六）要求燃气用户购买其指定的产品或者接受其提供的服务；（七）燃气经营者未向燃气用户持续、稳定、安全供应符合国家质量标准的燃气，或者未对燃气用户的燃气设施定期进行安全检查。</w:t>
            </w:r>
          </w:p>
          <w:p w14:paraId="2682F888">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5E04E6D0">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29868ECE">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375" w:type="dxa"/>
            <w:tcBorders>
              <w:tl2br w:val="nil"/>
              <w:tr2bl w:val="nil"/>
            </w:tcBorders>
            <w:tcMar>
              <w:top w:w="15" w:type="dxa"/>
              <w:left w:w="15" w:type="dxa"/>
              <w:bottom w:w="15" w:type="dxa"/>
              <w:right w:w="15" w:type="dxa"/>
            </w:tcMar>
            <w:vAlign w:val="center"/>
          </w:tcPr>
          <w:p w14:paraId="11189BD1">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责令限期改正，处2万元以上4万元以下罚款；有违法所得的，没收违法所得。</w:t>
            </w:r>
          </w:p>
        </w:tc>
      </w:tr>
      <w:tr w14:paraId="44DEDCC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540" w:hRule="atLeast"/>
          <w:jc w:val="center"/>
        </w:trPr>
        <w:tc>
          <w:tcPr>
            <w:tcW w:w="518" w:type="dxa"/>
            <w:vMerge w:val="continue"/>
            <w:tcBorders>
              <w:tl2br w:val="nil"/>
              <w:tr2bl w:val="nil"/>
            </w:tcBorders>
            <w:vAlign w:val="center"/>
          </w:tcPr>
          <w:p w14:paraId="2F0CE71B">
            <w:pPr>
              <w:pStyle w:val="29"/>
              <w:keepNext w:val="0"/>
              <w:keepLines w:val="0"/>
              <w:pageBreakBefore w:val="0"/>
              <w:widowControl/>
              <w:numPr>
                <w:ilvl w:val="0"/>
                <w:numId w:val="3"/>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689C5D66">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0C92653E">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354" w:type="dxa"/>
            <w:vMerge w:val="continue"/>
            <w:tcBorders>
              <w:tl2br w:val="nil"/>
              <w:tr2bl w:val="nil"/>
            </w:tcBorders>
            <w:vAlign w:val="center"/>
          </w:tcPr>
          <w:p w14:paraId="4823660A">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10FF62A1">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7E0F86A2">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w:t>
            </w:r>
            <w:r>
              <w:rPr>
                <w:rFonts w:hint="eastAsia" w:ascii="仿宋_GB2312" w:hAnsi="宋体" w:eastAsia="仿宋_GB2312" w:cs="宋体"/>
                <w:color w:val="000000" w:themeColor="text1"/>
                <w:kern w:val="0"/>
                <w:szCs w:val="21"/>
                <w:lang w:eastAsia="zh-CN"/>
                <w14:textFill>
                  <w14:solidFill>
                    <w14:schemeClr w14:val="tx1"/>
                  </w14:solidFill>
                </w14:textFill>
              </w:rPr>
              <w:t>从重情节</w:t>
            </w:r>
            <w:r>
              <w:rPr>
                <w:rFonts w:hint="eastAsia" w:ascii="仿宋_GB2312" w:hAnsi="宋体" w:eastAsia="仿宋_GB2312" w:cs="宋体"/>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2B0B7C8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责令限期改正，处4万元以上7万元以下罚款；有违法所得的，没收违法所得。</w:t>
            </w:r>
          </w:p>
        </w:tc>
      </w:tr>
      <w:tr w14:paraId="21D6B88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690" w:hRule="atLeast"/>
          <w:jc w:val="center"/>
        </w:trPr>
        <w:tc>
          <w:tcPr>
            <w:tcW w:w="518" w:type="dxa"/>
            <w:vMerge w:val="continue"/>
            <w:tcBorders>
              <w:tl2br w:val="nil"/>
              <w:tr2bl w:val="nil"/>
            </w:tcBorders>
            <w:vAlign w:val="center"/>
          </w:tcPr>
          <w:p w14:paraId="353EDDCE">
            <w:pPr>
              <w:pStyle w:val="29"/>
              <w:keepNext w:val="0"/>
              <w:keepLines w:val="0"/>
              <w:pageBreakBefore w:val="0"/>
              <w:widowControl/>
              <w:numPr>
                <w:ilvl w:val="0"/>
                <w:numId w:val="3"/>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488" w:type="dxa"/>
            <w:gridSpan w:val="2"/>
            <w:vMerge w:val="continue"/>
            <w:tcBorders>
              <w:tl2br w:val="nil"/>
              <w:tr2bl w:val="nil"/>
            </w:tcBorders>
            <w:vAlign w:val="center"/>
          </w:tcPr>
          <w:p w14:paraId="1DDE721A">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14E7DD43">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02E5993B">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5845453F">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1765A3BE">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经责令停止违法行为后，继续实施违法行为的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造成严重危害后果的。</w:t>
            </w:r>
          </w:p>
        </w:tc>
        <w:tc>
          <w:tcPr>
            <w:tcW w:w="3375" w:type="dxa"/>
            <w:tcBorders>
              <w:tl2br w:val="nil"/>
              <w:tr2bl w:val="nil"/>
            </w:tcBorders>
            <w:tcMar>
              <w:top w:w="15" w:type="dxa"/>
              <w:left w:w="15" w:type="dxa"/>
              <w:bottom w:w="15" w:type="dxa"/>
              <w:right w:w="15" w:type="dxa"/>
            </w:tcMar>
            <w:vAlign w:val="center"/>
          </w:tcPr>
          <w:p w14:paraId="1179CD5C">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责令限期改正，处7万元以上10万元以下罚款；有违法所得的，没收违法所得；吊销燃气经营许可证。</w:t>
            </w:r>
          </w:p>
        </w:tc>
      </w:tr>
      <w:tr w14:paraId="0D50F46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535" w:hRule="atLeast"/>
          <w:jc w:val="center"/>
        </w:trPr>
        <w:tc>
          <w:tcPr>
            <w:tcW w:w="518" w:type="dxa"/>
            <w:vMerge w:val="restart"/>
            <w:tcBorders>
              <w:tl2br w:val="nil"/>
              <w:tr2bl w:val="nil"/>
            </w:tcBorders>
            <w:vAlign w:val="center"/>
          </w:tcPr>
          <w:p w14:paraId="0920D1C2">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122</w:t>
            </w:r>
          </w:p>
        </w:tc>
        <w:tc>
          <w:tcPr>
            <w:tcW w:w="1488" w:type="dxa"/>
            <w:gridSpan w:val="2"/>
            <w:vMerge w:val="restart"/>
            <w:tcBorders>
              <w:tl2br w:val="nil"/>
              <w:tr2bl w:val="nil"/>
            </w:tcBorders>
            <w:vAlign w:val="center"/>
          </w:tcPr>
          <w:p w14:paraId="18A30B41">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向未取得燃气经营许可证的单位或者个人提供用于经营的燃气的</w:t>
            </w:r>
          </w:p>
        </w:tc>
        <w:tc>
          <w:tcPr>
            <w:tcW w:w="1016" w:type="dxa"/>
            <w:vMerge w:val="restart"/>
            <w:tcBorders>
              <w:tl2br w:val="nil"/>
              <w:tr2bl w:val="nil"/>
            </w:tcBorders>
            <w:vAlign w:val="center"/>
          </w:tcPr>
          <w:p w14:paraId="4C492AE4">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《城镇燃气管理条例》第十八条第四项</w:t>
            </w:r>
          </w:p>
        </w:tc>
        <w:tc>
          <w:tcPr>
            <w:tcW w:w="4354" w:type="dxa"/>
            <w:vMerge w:val="restart"/>
            <w:tcBorders>
              <w:tl2br w:val="nil"/>
              <w:tr2bl w:val="nil"/>
            </w:tcBorders>
            <w:vAlign w:val="center"/>
          </w:tcPr>
          <w:p w14:paraId="183B8681">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《城镇燃气管理条例》第四十六条</w:t>
            </w:r>
            <w:r>
              <w:rPr>
                <w:rFonts w:hint="eastAsia" w:ascii="仿宋_GB2312" w:hAnsi="宋体" w:eastAsia="仿宋_GB2312" w:cs="宋体"/>
                <w:color w:val="000000" w:themeColor="text1"/>
                <w:kern w:val="0"/>
                <w:szCs w:val="21"/>
                <w:lang w:eastAsia="zh-CN"/>
                <w14:textFill>
                  <w14:solidFill>
                    <w14:schemeClr w14:val="tx1"/>
                  </w14:solidFill>
                </w14:textFill>
              </w:rPr>
              <w:t>（四）</w:t>
            </w:r>
            <w:r>
              <w:rPr>
                <w:rFonts w:hint="eastAsia" w:ascii="仿宋_GB2312" w:hAnsi="宋体" w:eastAsia="仿宋_GB2312" w:cs="宋体"/>
                <w:color w:val="000000" w:themeColor="text1"/>
                <w:kern w:val="0"/>
                <w:szCs w:val="21"/>
                <w14:textFill>
                  <w14:solidFill>
                    <w14:schemeClr w14:val="tx1"/>
                  </w14:solidFill>
                </w14:textFill>
              </w:rPr>
              <w:t>项</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 （一）拒绝向市政燃气管网覆盖范围内符合用气条件的单位或者个人供气的；（二）倒卖、抵押、出租、出借、转让、涂改燃气经营许可证的； （三）未履行必要告知义务擅自停止供气、调整供气量，或者未经审批擅自停业或者歇业的； （四）向未取得燃气经营许可证的单位或者个人提供用于经营的燃气的；（五）在不具备安全条件的场所储存燃气的； （六）要求燃气用户购买其指定的产品或者接受其提供的服务；（七）燃气经营者未向燃气用户持续、稳定、安全供应符合国家质量标准的燃气，或者未对燃气用户的燃气设施定期进行安全检查。</w:t>
            </w:r>
          </w:p>
        </w:tc>
        <w:tc>
          <w:tcPr>
            <w:tcW w:w="912" w:type="dxa"/>
            <w:tcBorders>
              <w:tl2br w:val="nil"/>
              <w:tr2bl w:val="nil"/>
            </w:tcBorders>
            <w:tcMar>
              <w:top w:w="15" w:type="dxa"/>
              <w:left w:w="15" w:type="dxa"/>
              <w:bottom w:w="15" w:type="dxa"/>
              <w:right w:w="15" w:type="dxa"/>
            </w:tcMar>
            <w:vAlign w:val="center"/>
          </w:tcPr>
          <w:p w14:paraId="249A6570">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1096C635">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375" w:type="dxa"/>
            <w:tcBorders>
              <w:tl2br w:val="nil"/>
              <w:tr2bl w:val="nil"/>
            </w:tcBorders>
            <w:tcMar>
              <w:top w:w="15" w:type="dxa"/>
              <w:left w:w="15" w:type="dxa"/>
              <w:bottom w:w="15" w:type="dxa"/>
              <w:right w:w="15" w:type="dxa"/>
            </w:tcMar>
            <w:vAlign w:val="center"/>
          </w:tcPr>
          <w:p w14:paraId="448C9A69">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责令限期改正，处2万元以上4万元以下罚款；有违法所得的，没收违法所得。</w:t>
            </w:r>
          </w:p>
        </w:tc>
      </w:tr>
      <w:tr w14:paraId="4D382CB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754" w:hRule="atLeast"/>
          <w:jc w:val="center"/>
        </w:trPr>
        <w:tc>
          <w:tcPr>
            <w:tcW w:w="518" w:type="dxa"/>
            <w:vMerge w:val="continue"/>
            <w:tcBorders>
              <w:tl2br w:val="nil"/>
              <w:tr2bl w:val="nil"/>
            </w:tcBorders>
            <w:vAlign w:val="center"/>
          </w:tcPr>
          <w:p w14:paraId="5BE68D80">
            <w:pPr>
              <w:pStyle w:val="29"/>
              <w:keepNext w:val="0"/>
              <w:keepLines w:val="0"/>
              <w:pageBreakBefore w:val="0"/>
              <w:widowControl/>
              <w:numPr>
                <w:ilvl w:val="0"/>
                <w:numId w:val="3"/>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73F386BB">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28DCB6B6">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4354" w:type="dxa"/>
            <w:vMerge w:val="continue"/>
            <w:tcBorders>
              <w:tl2br w:val="nil"/>
              <w:tr2bl w:val="nil"/>
            </w:tcBorders>
            <w:vAlign w:val="center"/>
          </w:tcPr>
          <w:p w14:paraId="5168239A">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2D220C5A">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17ADF8CF">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w:t>
            </w:r>
            <w:r>
              <w:rPr>
                <w:rFonts w:hint="eastAsia" w:ascii="仿宋_GB2312" w:hAnsi="宋体" w:eastAsia="仿宋_GB2312" w:cs="宋体"/>
                <w:color w:val="000000" w:themeColor="text1"/>
                <w:kern w:val="0"/>
                <w:szCs w:val="21"/>
                <w:lang w:eastAsia="zh-CN"/>
                <w14:textFill>
                  <w14:solidFill>
                    <w14:schemeClr w14:val="tx1"/>
                  </w14:solidFill>
                </w14:textFill>
              </w:rPr>
              <w:t>从重情节</w:t>
            </w:r>
            <w:r>
              <w:rPr>
                <w:rFonts w:hint="eastAsia" w:ascii="仿宋_GB2312" w:hAnsi="宋体" w:eastAsia="仿宋_GB2312" w:cs="宋体"/>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2B4F2A0A">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责令限期改正，处4万元以上7万元以下罚款；有违法所得的，没收违法所得。</w:t>
            </w:r>
          </w:p>
        </w:tc>
      </w:tr>
      <w:tr w14:paraId="0CD0DFE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058" w:hRule="atLeast"/>
          <w:jc w:val="center"/>
        </w:trPr>
        <w:tc>
          <w:tcPr>
            <w:tcW w:w="518" w:type="dxa"/>
            <w:vMerge w:val="continue"/>
            <w:tcBorders>
              <w:tl2br w:val="nil"/>
              <w:tr2bl w:val="nil"/>
            </w:tcBorders>
            <w:vAlign w:val="center"/>
          </w:tcPr>
          <w:p w14:paraId="719E0F1E">
            <w:pPr>
              <w:pStyle w:val="29"/>
              <w:keepNext w:val="0"/>
              <w:keepLines w:val="0"/>
              <w:pageBreakBefore w:val="0"/>
              <w:widowControl/>
              <w:numPr>
                <w:ilvl w:val="0"/>
                <w:numId w:val="3"/>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488" w:type="dxa"/>
            <w:gridSpan w:val="2"/>
            <w:vMerge w:val="continue"/>
            <w:tcBorders>
              <w:tl2br w:val="nil"/>
              <w:tr2bl w:val="nil"/>
            </w:tcBorders>
            <w:vAlign w:val="center"/>
          </w:tcPr>
          <w:p w14:paraId="1FF13E32">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4E013290">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4AF5EE86">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096922DC">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1B888536">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经责令停止违法行为后，继续实施违法行为的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造成严重危害后果的。</w:t>
            </w:r>
          </w:p>
        </w:tc>
        <w:tc>
          <w:tcPr>
            <w:tcW w:w="3375" w:type="dxa"/>
            <w:tcBorders>
              <w:tl2br w:val="nil"/>
              <w:tr2bl w:val="nil"/>
            </w:tcBorders>
            <w:tcMar>
              <w:top w:w="15" w:type="dxa"/>
              <w:left w:w="15" w:type="dxa"/>
              <w:bottom w:w="15" w:type="dxa"/>
              <w:right w:w="15" w:type="dxa"/>
            </w:tcMar>
            <w:vAlign w:val="center"/>
          </w:tcPr>
          <w:p w14:paraId="0E244E8D">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责令限期改正，处7万元以上10万元以下罚款；有违法所得的，没收违法所得；吊销燃气经营许可证。</w:t>
            </w:r>
          </w:p>
        </w:tc>
      </w:tr>
      <w:tr w14:paraId="67A9D92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127" w:hRule="atLeast"/>
          <w:jc w:val="center"/>
        </w:trPr>
        <w:tc>
          <w:tcPr>
            <w:tcW w:w="518" w:type="dxa"/>
            <w:vMerge w:val="restart"/>
            <w:tcBorders>
              <w:tl2br w:val="nil"/>
              <w:tr2bl w:val="nil"/>
            </w:tcBorders>
            <w:vAlign w:val="center"/>
          </w:tcPr>
          <w:p w14:paraId="0190D1D2">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123</w:t>
            </w:r>
          </w:p>
        </w:tc>
        <w:tc>
          <w:tcPr>
            <w:tcW w:w="1488" w:type="dxa"/>
            <w:gridSpan w:val="2"/>
            <w:vMerge w:val="restart"/>
            <w:tcBorders>
              <w:tl2br w:val="nil"/>
              <w:tr2bl w:val="nil"/>
            </w:tcBorders>
            <w:vAlign w:val="center"/>
          </w:tcPr>
          <w:p w14:paraId="02D8BE3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在不具备安全条件的场所储存燃气的</w:t>
            </w:r>
          </w:p>
        </w:tc>
        <w:tc>
          <w:tcPr>
            <w:tcW w:w="1016" w:type="dxa"/>
            <w:vMerge w:val="restart"/>
            <w:tcBorders>
              <w:tl2br w:val="nil"/>
              <w:tr2bl w:val="nil"/>
            </w:tcBorders>
            <w:vAlign w:val="center"/>
          </w:tcPr>
          <w:p w14:paraId="2C051076">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《城镇燃气管理条例》第十八条第五项</w:t>
            </w:r>
          </w:p>
        </w:tc>
        <w:tc>
          <w:tcPr>
            <w:tcW w:w="4354" w:type="dxa"/>
            <w:vMerge w:val="restart"/>
            <w:tcBorders>
              <w:tl2br w:val="nil"/>
              <w:tr2bl w:val="nil"/>
            </w:tcBorders>
            <w:vAlign w:val="center"/>
          </w:tcPr>
          <w:p w14:paraId="0CDD2EB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eastAsia="仿宋_GB2312"/>
                <w:color w:val="000000" w:themeColor="text1"/>
                <w:sz w:val="2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w:t>
            </w:r>
            <w:r>
              <w:rPr>
                <w:rFonts w:hint="eastAsia" w:ascii="仿宋_GB2312" w:hAnsi="宋体" w:eastAsia="仿宋_GB2312" w:cs="宋体"/>
                <w:b/>
                <w:bCs/>
                <w:i w:val="0"/>
                <w:iCs w:val="0"/>
                <w:color w:val="000000" w:themeColor="text1"/>
                <w:kern w:val="0"/>
                <w:szCs w:val="21"/>
                <w14:textFill>
                  <w14:solidFill>
                    <w14:schemeClr w14:val="tx1"/>
                  </w14:solidFill>
                </w14:textFill>
              </w:rPr>
              <w:t>第四十六条</w:t>
            </w:r>
            <w:r>
              <w:rPr>
                <w:rFonts w:hint="eastAsia" w:ascii="仿宋_GB2312" w:hAnsi="宋体" w:eastAsia="仿宋_GB2312" w:cs="宋体"/>
                <w:b/>
                <w:bCs/>
                <w:i w:val="0"/>
                <w:iCs w:val="0"/>
                <w:color w:val="000000" w:themeColor="text1"/>
                <w:kern w:val="0"/>
                <w:szCs w:val="21"/>
                <w:lang w:eastAsia="zh-CN"/>
                <w14:textFill>
                  <w14:solidFill>
                    <w14:schemeClr w14:val="tx1"/>
                  </w14:solidFill>
                </w14:textFill>
              </w:rPr>
              <w:t>（五）</w:t>
            </w:r>
            <w:r>
              <w:rPr>
                <w:rFonts w:hint="eastAsia" w:ascii="仿宋_GB2312" w:hAnsi="宋体" w:eastAsia="仿宋_GB2312" w:cs="宋体"/>
                <w:b/>
                <w:bCs/>
                <w:i w:val="0"/>
                <w:iCs w:val="0"/>
                <w:color w:val="000000" w:themeColor="text1"/>
                <w:kern w:val="0"/>
                <w:szCs w:val="21"/>
                <w14:textFill>
                  <w14:solidFill>
                    <w14:schemeClr w14:val="tx1"/>
                  </w14:solidFill>
                </w14:textFill>
              </w:rPr>
              <w:t>项</w:t>
            </w:r>
            <w:r>
              <w:rPr>
                <w:rFonts w:hint="eastAsia" w:ascii="仿宋_GB2312" w:hAnsi="宋体" w:eastAsia="仿宋_GB2312" w:cs="宋体"/>
                <w:b/>
                <w:bCs/>
                <w:i w:val="0"/>
                <w:iCs w:val="0"/>
                <w:color w:val="000000" w:themeColor="text1"/>
                <w:kern w:val="0"/>
                <w:szCs w:val="21"/>
                <w:lang w:eastAsia="zh-CN"/>
                <w14:textFill>
                  <w14:solidFill>
                    <w14:schemeClr w14:val="tx1"/>
                  </w14:solidFill>
                </w14:textFill>
              </w:rPr>
              <w:t>：</w:t>
            </w:r>
            <w:r>
              <w:rPr>
                <w:rFonts w:hint="eastAsia" w:ascii="仿宋_GB2312" w:eastAsia="仿宋_GB2312"/>
                <w:color w:val="000000" w:themeColor="text1"/>
                <w:sz w:val="21"/>
                <w:szCs w:val="21"/>
                <w14:textFill>
                  <w14:solidFill>
                    <w14:schemeClr w14:val="tx1"/>
                  </w14:solidFill>
                </w14:textFill>
              </w:rPr>
              <w:t>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 （一）拒绝向市政燃气管网覆盖范围内符合用气条件的单位或者个人供气的；（二）倒卖、抵押、出租、出借、转让、涂改燃气经营许可证的； （三）未履行必要告知义务擅自停止供气、调整供气量，或者未经审批擅自停业或者歇业的；（四）向未取得燃气经营许可证的单位或者个人提供用于经营的燃气的；（五）在不具备安全条件的场所储存燃气的； （六）要求燃气用户购买其指定的产品或者接受其提供的服务；（七）燃气经营者未向燃气用户持续、稳定、安全供应符合国家质量标准的燃气，或者未对燃气用户的燃气设施定期进行安全检查。</w:t>
            </w:r>
          </w:p>
          <w:p w14:paraId="47EAB88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3EBBAB5F">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0E7E6FED">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375" w:type="dxa"/>
            <w:tcBorders>
              <w:tl2br w:val="nil"/>
              <w:tr2bl w:val="nil"/>
            </w:tcBorders>
            <w:tcMar>
              <w:top w:w="15" w:type="dxa"/>
              <w:left w:w="15" w:type="dxa"/>
              <w:bottom w:w="15" w:type="dxa"/>
              <w:right w:w="15" w:type="dxa"/>
            </w:tcMar>
            <w:vAlign w:val="center"/>
          </w:tcPr>
          <w:p w14:paraId="1325CF65">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责令限期改正，处2万元以上4万元以下罚款；有违法所得的，没收违法所得。</w:t>
            </w:r>
          </w:p>
        </w:tc>
      </w:tr>
      <w:tr w14:paraId="71C5DE9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879" w:hRule="atLeast"/>
          <w:jc w:val="center"/>
        </w:trPr>
        <w:tc>
          <w:tcPr>
            <w:tcW w:w="518" w:type="dxa"/>
            <w:vMerge w:val="continue"/>
            <w:tcBorders>
              <w:tl2br w:val="nil"/>
              <w:tr2bl w:val="nil"/>
            </w:tcBorders>
            <w:vAlign w:val="center"/>
          </w:tcPr>
          <w:p w14:paraId="6B1D6F85">
            <w:pPr>
              <w:pStyle w:val="29"/>
              <w:keepNext w:val="0"/>
              <w:keepLines w:val="0"/>
              <w:pageBreakBefore w:val="0"/>
              <w:widowControl/>
              <w:numPr>
                <w:ilvl w:val="0"/>
                <w:numId w:val="3"/>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442A347A">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6441491E">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4354" w:type="dxa"/>
            <w:vMerge w:val="continue"/>
            <w:tcBorders>
              <w:tl2br w:val="nil"/>
              <w:tr2bl w:val="nil"/>
            </w:tcBorders>
            <w:vAlign w:val="center"/>
          </w:tcPr>
          <w:p w14:paraId="72F76C97">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58742D6F">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354485A6">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w:t>
            </w:r>
            <w:r>
              <w:rPr>
                <w:rFonts w:hint="eastAsia" w:ascii="仿宋_GB2312" w:hAnsi="宋体" w:eastAsia="仿宋_GB2312" w:cs="宋体"/>
                <w:color w:val="000000" w:themeColor="text1"/>
                <w:kern w:val="0"/>
                <w:szCs w:val="21"/>
                <w:lang w:eastAsia="zh-CN"/>
                <w14:textFill>
                  <w14:solidFill>
                    <w14:schemeClr w14:val="tx1"/>
                  </w14:solidFill>
                </w14:textFill>
              </w:rPr>
              <w:t>从重情节</w:t>
            </w:r>
            <w:r>
              <w:rPr>
                <w:rFonts w:hint="eastAsia" w:ascii="仿宋_GB2312" w:hAnsi="宋体" w:eastAsia="仿宋_GB2312" w:cs="宋体"/>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43FD6000">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责令限期改正，处4万元以上7万元以下罚款；有违法所得的，没收违法所得。</w:t>
            </w:r>
          </w:p>
        </w:tc>
      </w:tr>
      <w:tr w14:paraId="6915EA7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926" w:hRule="atLeast"/>
          <w:jc w:val="center"/>
        </w:trPr>
        <w:tc>
          <w:tcPr>
            <w:tcW w:w="518" w:type="dxa"/>
            <w:vMerge w:val="continue"/>
            <w:tcBorders>
              <w:tl2br w:val="nil"/>
              <w:tr2bl w:val="nil"/>
            </w:tcBorders>
            <w:vAlign w:val="center"/>
          </w:tcPr>
          <w:p w14:paraId="7E38FE47">
            <w:pPr>
              <w:pStyle w:val="29"/>
              <w:keepNext w:val="0"/>
              <w:keepLines w:val="0"/>
              <w:pageBreakBefore w:val="0"/>
              <w:widowControl/>
              <w:numPr>
                <w:ilvl w:val="0"/>
                <w:numId w:val="3"/>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488" w:type="dxa"/>
            <w:gridSpan w:val="2"/>
            <w:vMerge w:val="continue"/>
            <w:tcBorders>
              <w:tl2br w:val="nil"/>
              <w:tr2bl w:val="nil"/>
            </w:tcBorders>
            <w:vAlign w:val="center"/>
          </w:tcPr>
          <w:p w14:paraId="5682C682">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4398F3F0">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6FDBD3AB">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5860E1D0">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00125CDF">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经责令停止违法行为后，继续实施违法行为的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造成严重危害后果的。</w:t>
            </w:r>
          </w:p>
        </w:tc>
        <w:tc>
          <w:tcPr>
            <w:tcW w:w="3375" w:type="dxa"/>
            <w:tcBorders>
              <w:tl2br w:val="nil"/>
              <w:tr2bl w:val="nil"/>
            </w:tcBorders>
            <w:tcMar>
              <w:top w:w="15" w:type="dxa"/>
              <w:left w:w="15" w:type="dxa"/>
              <w:bottom w:w="15" w:type="dxa"/>
              <w:right w:w="15" w:type="dxa"/>
            </w:tcMar>
            <w:vAlign w:val="center"/>
          </w:tcPr>
          <w:p w14:paraId="0677B82B">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责令限期改正，处7万元以上10万元以下罚款；有违法所得的，没收违法所得；吊销燃气经营许可证。</w:t>
            </w:r>
          </w:p>
        </w:tc>
      </w:tr>
      <w:tr w14:paraId="14AE04B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081" w:hRule="atLeast"/>
          <w:jc w:val="center"/>
        </w:trPr>
        <w:tc>
          <w:tcPr>
            <w:tcW w:w="518" w:type="dxa"/>
            <w:vMerge w:val="restart"/>
            <w:tcBorders>
              <w:tl2br w:val="nil"/>
              <w:tr2bl w:val="nil"/>
            </w:tcBorders>
            <w:vAlign w:val="center"/>
          </w:tcPr>
          <w:p w14:paraId="3098A16B">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124</w:t>
            </w:r>
          </w:p>
        </w:tc>
        <w:tc>
          <w:tcPr>
            <w:tcW w:w="1488" w:type="dxa"/>
            <w:gridSpan w:val="2"/>
            <w:vMerge w:val="restart"/>
            <w:tcBorders>
              <w:tl2br w:val="nil"/>
              <w:tr2bl w:val="nil"/>
            </w:tcBorders>
            <w:vAlign w:val="center"/>
          </w:tcPr>
          <w:p w14:paraId="18D0986D">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要求燃气用户购买其指定的产品或者接受其提供的服务的</w:t>
            </w:r>
          </w:p>
        </w:tc>
        <w:tc>
          <w:tcPr>
            <w:tcW w:w="1016" w:type="dxa"/>
            <w:vMerge w:val="restart"/>
            <w:tcBorders>
              <w:tl2br w:val="nil"/>
              <w:tr2bl w:val="nil"/>
            </w:tcBorders>
            <w:vAlign w:val="center"/>
          </w:tcPr>
          <w:p w14:paraId="743E2108">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《城镇燃气管理条例》第十八条第六项</w:t>
            </w:r>
          </w:p>
        </w:tc>
        <w:tc>
          <w:tcPr>
            <w:tcW w:w="4354" w:type="dxa"/>
            <w:vMerge w:val="restart"/>
            <w:tcBorders>
              <w:tl2br w:val="nil"/>
              <w:tr2bl w:val="nil"/>
            </w:tcBorders>
            <w:vAlign w:val="center"/>
          </w:tcPr>
          <w:p w14:paraId="5A2E8D2F">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w:t>
            </w:r>
            <w:r>
              <w:rPr>
                <w:rFonts w:hint="eastAsia" w:ascii="仿宋_GB2312" w:hAnsi="宋体" w:eastAsia="仿宋_GB2312" w:cs="宋体"/>
                <w:b/>
                <w:bCs/>
                <w:color w:val="000000" w:themeColor="text1"/>
                <w:kern w:val="0"/>
                <w:szCs w:val="21"/>
                <w14:textFill>
                  <w14:solidFill>
                    <w14:schemeClr w14:val="tx1"/>
                  </w14:solidFill>
                </w14:textFill>
              </w:rPr>
              <w:t>第四十六条</w:t>
            </w:r>
            <w:r>
              <w:rPr>
                <w:rFonts w:hint="eastAsia" w:ascii="仿宋_GB2312" w:hAnsi="宋体" w:eastAsia="仿宋_GB2312" w:cs="宋体"/>
                <w:b/>
                <w:bCs/>
                <w:color w:val="000000" w:themeColor="text1"/>
                <w:kern w:val="0"/>
                <w:szCs w:val="21"/>
                <w:lang w:eastAsia="zh-CN"/>
                <w14:textFill>
                  <w14:solidFill>
                    <w14:schemeClr w14:val="tx1"/>
                  </w14:solidFill>
                </w14:textFill>
              </w:rPr>
              <w:t>（六）</w:t>
            </w:r>
            <w:r>
              <w:rPr>
                <w:rFonts w:hint="eastAsia" w:ascii="仿宋_GB2312" w:hAnsi="宋体" w:eastAsia="仿宋_GB2312" w:cs="宋体"/>
                <w:b/>
                <w:bCs/>
                <w:color w:val="000000" w:themeColor="text1"/>
                <w:kern w:val="0"/>
                <w:szCs w:val="21"/>
                <w14:textFill>
                  <w14:solidFill>
                    <w14:schemeClr w14:val="tx1"/>
                  </w14:solidFill>
                </w14:textFill>
              </w:rPr>
              <w:t>项</w:t>
            </w:r>
            <w:r>
              <w:rPr>
                <w:rFonts w:hint="eastAsia" w:ascii="仿宋_GB2312" w:hAnsi="宋体" w:eastAsia="仿宋_GB2312" w:cs="宋体"/>
                <w:b/>
                <w:bCs/>
                <w:color w:val="000000" w:themeColor="text1"/>
                <w:kern w:val="0"/>
                <w:szCs w:val="21"/>
                <w:lang w:eastAsia="zh-CN"/>
                <w14:textFill>
                  <w14:solidFill>
                    <w14:schemeClr w14:val="tx1"/>
                  </w14:solidFill>
                </w14:textFill>
              </w:rPr>
              <w:t>：</w:t>
            </w:r>
            <w:r>
              <w:rPr>
                <w:rFonts w:hint="eastAsia" w:ascii="仿宋_GB2312" w:eastAsia="仿宋_GB2312"/>
                <w:color w:val="000000" w:themeColor="text1"/>
                <w:sz w:val="21"/>
                <w:szCs w:val="21"/>
                <w14:textFill>
                  <w14:solidFill>
                    <w14:schemeClr w14:val="tx1"/>
                  </w14:solidFill>
                </w14:textFill>
              </w:rPr>
              <w:t>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 （一）拒绝向市政燃气管网覆盖范围内符合用气条件的单位或者个人供气的；（二）倒卖、抵押、出租、出借、转让、涂改燃气经营许可证的； （三）未履行必要告知义务擅自停止供气、调整供气量，或者未经审批擅自停业或者歇业的；（四）向未取得燃气经营许可证的单位或者个人提供用于经营的燃气的；（五）在不具备安全条件的场所储存燃气的； （六）要求燃气用户购买其指定的产品或者接受其提供的服务；（七）燃气经营者未向燃气用户持续、稳定、安全供应符合国家质量标准的燃气，或者未对燃气用户的燃气设施定期进行安全检查。</w:t>
            </w:r>
          </w:p>
        </w:tc>
        <w:tc>
          <w:tcPr>
            <w:tcW w:w="912" w:type="dxa"/>
            <w:tcBorders>
              <w:tl2br w:val="nil"/>
              <w:tr2bl w:val="nil"/>
            </w:tcBorders>
            <w:tcMar>
              <w:top w:w="15" w:type="dxa"/>
              <w:left w:w="15" w:type="dxa"/>
              <w:bottom w:w="15" w:type="dxa"/>
              <w:right w:w="15" w:type="dxa"/>
            </w:tcMar>
            <w:vAlign w:val="center"/>
          </w:tcPr>
          <w:p w14:paraId="64C078C7">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1CF504F9">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375" w:type="dxa"/>
            <w:tcBorders>
              <w:tl2br w:val="nil"/>
              <w:tr2bl w:val="nil"/>
            </w:tcBorders>
            <w:tcMar>
              <w:top w:w="15" w:type="dxa"/>
              <w:left w:w="15" w:type="dxa"/>
              <w:bottom w:w="15" w:type="dxa"/>
              <w:right w:w="15" w:type="dxa"/>
            </w:tcMar>
            <w:vAlign w:val="center"/>
          </w:tcPr>
          <w:p w14:paraId="1DE77DF9">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责令限期改正，处2万元以上4万元以下罚款；有违法所得的，没收违法所得。</w:t>
            </w:r>
          </w:p>
        </w:tc>
      </w:tr>
      <w:tr w14:paraId="6367201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211" w:hRule="atLeast"/>
          <w:jc w:val="center"/>
        </w:trPr>
        <w:tc>
          <w:tcPr>
            <w:tcW w:w="518" w:type="dxa"/>
            <w:vMerge w:val="continue"/>
            <w:tcBorders>
              <w:tl2br w:val="nil"/>
              <w:tr2bl w:val="nil"/>
            </w:tcBorders>
            <w:vAlign w:val="center"/>
          </w:tcPr>
          <w:p w14:paraId="745CE68E">
            <w:pPr>
              <w:pStyle w:val="29"/>
              <w:keepNext w:val="0"/>
              <w:keepLines w:val="0"/>
              <w:pageBreakBefore w:val="0"/>
              <w:widowControl/>
              <w:numPr>
                <w:ilvl w:val="0"/>
                <w:numId w:val="3"/>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4455E256">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4076A978">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354" w:type="dxa"/>
            <w:vMerge w:val="continue"/>
            <w:tcBorders>
              <w:tl2br w:val="nil"/>
              <w:tr2bl w:val="nil"/>
            </w:tcBorders>
            <w:vAlign w:val="center"/>
          </w:tcPr>
          <w:p w14:paraId="6F56B4DC">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70664FFA">
            <w:pPr>
              <w:keepNext w:val="0"/>
              <w:keepLines w:val="0"/>
              <w:pageBreakBefore w:val="0"/>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1200EDE4">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w:t>
            </w:r>
            <w:r>
              <w:rPr>
                <w:rFonts w:hint="eastAsia" w:ascii="仿宋_GB2312" w:hAnsi="宋体" w:eastAsia="仿宋_GB2312" w:cs="宋体"/>
                <w:color w:val="000000" w:themeColor="text1"/>
                <w:kern w:val="0"/>
                <w:szCs w:val="21"/>
                <w:lang w:eastAsia="zh-CN"/>
                <w14:textFill>
                  <w14:solidFill>
                    <w14:schemeClr w14:val="tx1"/>
                  </w14:solidFill>
                </w14:textFill>
              </w:rPr>
              <w:t>从重情节</w:t>
            </w:r>
            <w:r>
              <w:rPr>
                <w:rFonts w:hint="eastAsia" w:ascii="仿宋_GB2312" w:hAnsi="宋体" w:eastAsia="仿宋_GB2312" w:cs="宋体"/>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1079CD77">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责令限期改正，处4万元以上7万元以下罚款；有违法所得的，没收违法所得。</w:t>
            </w:r>
          </w:p>
        </w:tc>
      </w:tr>
      <w:tr w14:paraId="6D69BD4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899" w:hRule="atLeast"/>
          <w:jc w:val="center"/>
        </w:trPr>
        <w:tc>
          <w:tcPr>
            <w:tcW w:w="518" w:type="dxa"/>
            <w:vMerge w:val="continue"/>
            <w:tcBorders>
              <w:tl2br w:val="nil"/>
              <w:tr2bl w:val="nil"/>
            </w:tcBorders>
            <w:vAlign w:val="center"/>
          </w:tcPr>
          <w:p w14:paraId="25D81A20">
            <w:pPr>
              <w:pStyle w:val="29"/>
              <w:keepNext w:val="0"/>
              <w:keepLines w:val="0"/>
              <w:pageBreakBefore w:val="0"/>
              <w:widowControl/>
              <w:numPr>
                <w:ilvl w:val="0"/>
                <w:numId w:val="3"/>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488" w:type="dxa"/>
            <w:gridSpan w:val="2"/>
            <w:vMerge w:val="continue"/>
            <w:tcBorders>
              <w:tl2br w:val="nil"/>
              <w:tr2bl w:val="nil"/>
            </w:tcBorders>
            <w:vAlign w:val="center"/>
          </w:tcPr>
          <w:p w14:paraId="1118A78B">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3781D144">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09018569">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60286D9C">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168DE215">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经责令停止违法行为后，继续实施违法行为的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造成严重危害后果的。</w:t>
            </w:r>
          </w:p>
        </w:tc>
        <w:tc>
          <w:tcPr>
            <w:tcW w:w="3375" w:type="dxa"/>
            <w:tcBorders>
              <w:tl2br w:val="nil"/>
              <w:tr2bl w:val="nil"/>
            </w:tcBorders>
            <w:tcMar>
              <w:top w:w="15" w:type="dxa"/>
              <w:left w:w="15" w:type="dxa"/>
              <w:bottom w:w="15" w:type="dxa"/>
              <w:right w:w="15" w:type="dxa"/>
            </w:tcMar>
            <w:vAlign w:val="center"/>
          </w:tcPr>
          <w:p w14:paraId="5C4E11C7">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责令限期改正，处7万元以上10万元以下罚款；有违法所得的，没收违法所得；吊销燃气经营许可证。</w:t>
            </w:r>
          </w:p>
        </w:tc>
      </w:tr>
      <w:tr w14:paraId="192A082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091" w:hRule="atLeast"/>
          <w:jc w:val="center"/>
        </w:trPr>
        <w:tc>
          <w:tcPr>
            <w:tcW w:w="518" w:type="dxa"/>
            <w:vMerge w:val="restart"/>
            <w:tcBorders>
              <w:tl2br w:val="nil"/>
              <w:tr2bl w:val="nil"/>
            </w:tcBorders>
            <w:vAlign w:val="center"/>
          </w:tcPr>
          <w:p w14:paraId="0D834409">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125</w:t>
            </w:r>
          </w:p>
        </w:tc>
        <w:tc>
          <w:tcPr>
            <w:tcW w:w="1488" w:type="dxa"/>
            <w:gridSpan w:val="2"/>
            <w:vMerge w:val="restart"/>
            <w:tcBorders>
              <w:tl2br w:val="nil"/>
              <w:tr2bl w:val="nil"/>
            </w:tcBorders>
            <w:vAlign w:val="center"/>
          </w:tcPr>
          <w:p w14:paraId="6626810A">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燃气经营者未向燃气用户持续、稳定、安全供应符合国家质量标准的燃气，或者未对燃气用户的燃气设施定期进行安全检查的</w:t>
            </w:r>
          </w:p>
        </w:tc>
        <w:tc>
          <w:tcPr>
            <w:tcW w:w="1016" w:type="dxa"/>
            <w:vMerge w:val="restart"/>
            <w:tcBorders>
              <w:tl2br w:val="nil"/>
              <w:tr2bl w:val="nil"/>
            </w:tcBorders>
            <w:vAlign w:val="center"/>
          </w:tcPr>
          <w:p w14:paraId="1C3ABC8E">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《城镇燃气管理条例》第十七条</w:t>
            </w:r>
          </w:p>
        </w:tc>
        <w:tc>
          <w:tcPr>
            <w:tcW w:w="4354" w:type="dxa"/>
            <w:vMerge w:val="restart"/>
            <w:tcBorders>
              <w:tl2br w:val="nil"/>
              <w:tr2bl w:val="nil"/>
            </w:tcBorders>
            <w:vAlign w:val="center"/>
          </w:tcPr>
          <w:p w14:paraId="014353A4">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w:t>
            </w:r>
            <w:r>
              <w:rPr>
                <w:rFonts w:hint="eastAsia" w:ascii="仿宋_GB2312" w:hAnsi="宋体" w:eastAsia="仿宋_GB2312" w:cs="宋体"/>
                <w:b/>
                <w:bCs/>
                <w:color w:val="000000" w:themeColor="text1"/>
                <w:kern w:val="0"/>
                <w:szCs w:val="21"/>
                <w14:textFill>
                  <w14:solidFill>
                    <w14:schemeClr w14:val="tx1"/>
                  </w14:solidFill>
                </w14:textFill>
              </w:rPr>
              <w:t>第四十六条</w:t>
            </w:r>
            <w:r>
              <w:rPr>
                <w:rFonts w:hint="eastAsia" w:ascii="仿宋_GB2312" w:hAnsi="宋体" w:eastAsia="仿宋_GB2312" w:cs="宋体"/>
                <w:b/>
                <w:bCs/>
                <w:color w:val="000000" w:themeColor="text1"/>
                <w:kern w:val="0"/>
                <w:szCs w:val="21"/>
                <w:lang w:eastAsia="zh-CN"/>
                <w14:textFill>
                  <w14:solidFill>
                    <w14:schemeClr w14:val="tx1"/>
                  </w14:solidFill>
                </w14:textFill>
              </w:rPr>
              <w:t>（七）</w:t>
            </w:r>
            <w:r>
              <w:rPr>
                <w:rFonts w:hint="eastAsia" w:ascii="仿宋_GB2312" w:hAnsi="宋体" w:eastAsia="仿宋_GB2312" w:cs="宋体"/>
                <w:b/>
                <w:bCs/>
                <w:color w:val="000000" w:themeColor="text1"/>
                <w:kern w:val="0"/>
                <w:szCs w:val="21"/>
                <w14:textFill>
                  <w14:solidFill>
                    <w14:schemeClr w14:val="tx1"/>
                  </w14:solidFill>
                </w14:textFill>
              </w:rPr>
              <w:t>项</w:t>
            </w:r>
            <w:r>
              <w:rPr>
                <w:rFonts w:hint="eastAsia" w:ascii="仿宋_GB2312" w:hAnsi="宋体" w:eastAsia="仿宋_GB2312" w:cs="宋体"/>
                <w:b/>
                <w:bCs/>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 （一）拒绝向市政燃气管网覆盖范围内符合用气条件的单位或者个人供气的；（二）倒卖、抵押、出租、出借、转让、涂改燃气经营许可证的； （三）未履行必要告知义务擅自停止供气、调整供气量，或者未经审批擅自停业或者歇业的；（四）向未取得燃气经营许可证的单位或者个人提供用于经营的燃气的；（五）在不具备安全条件的场所储存燃气的； （六）要求燃气用户购买其指定的产品或者接受其提供的服务；（七）燃气经营者未向燃气用户持续、稳定、安全供应符合国家质量标准的燃气，或者未对燃气用户的燃气设施定期进行安全检查。</w:t>
            </w:r>
          </w:p>
        </w:tc>
        <w:tc>
          <w:tcPr>
            <w:tcW w:w="912" w:type="dxa"/>
            <w:tcBorders>
              <w:tl2br w:val="nil"/>
              <w:tr2bl w:val="nil"/>
            </w:tcBorders>
            <w:tcMar>
              <w:top w:w="15" w:type="dxa"/>
              <w:left w:w="15" w:type="dxa"/>
              <w:bottom w:w="15" w:type="dxa"/>
              <w:right w:w="15" w:type="dxa"/>
            </w:tcMar>
            <w:vAlign w:val="center"/>
          </w:tcPr>
          <w:p w14:paraId="085594AC">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10EE3DB2">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未持续、稳定、安全供气2日以下，或未对50户以下燃气用户的燃气设施定期进行安全检查的。</w:t>
            </w:r>
          </w:p>
        </w:tc>
        <w:tc>
          <w:tcPr>
            <w:tcW w:w="3375" w:type="dxa"/>
            <w:tcBorders>
              <w:tl2br w:val="nil"/>
              <w:tr2bl w:val="nil"/>
            </w:tcBorders>
            <w:tcMar>
              <w:top w:w="15" w:type="dxa"/>
              <w:left w:w="15" w:type="dxa"/>
              <w:bottom w:w="15" w:type="dxa"/>
              <w:right w:w="15" w:type="dxa"/>
            </w:tcMar>
            <w:vAlign w:val="center"/>
          </w:tcPr>
          <w:p w14:paraId="24620976">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责令限期改正，处1万元以上4万元以下罚款；有违法所得的，没收违法所得。</w:t>
            </w:r>
          </w:p>
        </w:tc>
      </w:tr>
      <w:tr w14:paraId="22EEEB2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180" w:hRule="atLeast"/>
          <w:jc w:val="center"/>
        </w:trPr>
        <w:tc>
          <w:tcPr>
            <w:tcW w:w="518" w:type="dxa"/>
            <w:vMerge w:val="continue"/>
            <w:tcBorders>
              <w:tl2br w:val="nil"/>
              <w:tr2bl w:val="nil"/>
            </w:tcBorders>
            <w:vAlign w:val="center"/>
          </w:tcPr>
          <w:p w14:paraId="26867A2E">
            <w:pPr>
              <w:pStyle w:val="29"/>
              <w:keepNext w:val="0"/>
              <w:keepLines w:val="0"/>
              <w:pageBreakBefore w:val="0"/>
              <w:widowControl/>
              <w:numPr>
                <w:ilvl w:val="0"/>
                <w:numId w:val="3"/>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76B2258A">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73F2E905">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354" w:type="dxa"/>
            <w:vMerge w:val="continue"/>
            <w:tcBorders>
              <w:tl2br w:val="nil"/>
              <w:tr2bl w:val="nil"/>
            </w:tcBorders>
            <w:vAlign w:val="center"/>
          </w:tcPr>
          <w:p w14:paraId="604928C1">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19A50058">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3519DCFE">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未持续、稳定、安全供气2日以上5日以下的，或未对50户以上500户以下燃气用户的燃气设施定期进行安全检查的。</w:t>
            </w:r>
          </w:p>
        </w:tc>
        <w:tc>
          <w:tcPr>
            <w:tcW w:w="3375" w:type="dxa"/>
            <w:tcBorders>
              <w:tl2br w:val="nil"/>
              <w:tr2bl w:val="nil"/>
            </w:tcBorders>
            <w:tcMar>
              <w:top w:w="15" w:type="dxa"/>
              <w:left w:w="15" w:type="dxa"/>
              <w:bottom w:w="15" w:type="dxa"/>
              <w:right w:w="15" w:type="dxa"/>
            </w:tcMar>
            <w:vAlign w:val="center"/>
          </w:tcPr>
          <w:p w14:paraId="7E7A7CB0">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责令限期改正，处4万元以上7万元以下罚款；有违法所得的，没收违法所得。</w:t>
            </w:r>
          </w:p>
        </w:tc>
      </w:tr>
      <w:tr w14:paraId="3749655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90" w:hRule="atLeast"/>
          <w:jc w:val="center"/>
        </w:trPr>
        <w:tc>
          <w:tcPr>
            <w:tcW w:w="518" w:type="dxa"/>
            <w:vMerge w:val="continue"/>
            <w:tcBorders>
              <w:tl2br w:val="nil"/>
              <w:tr2bl w:val="nil"/>
            </w:tcBorders>
            <w:vAlign w:val="center"/>
          </w:tcPr>
          <w:p w14:paraId="65F5F9A7">
            <w:pPr>
              <w:pStyle w:val="29"/>
              <w:keepNext w:val="0"/>
              <w:keepLines w:val="0"/>
              <w:pageBreakBefore w:val="0"/>
              <w:widowControl/>
              <w:numPr>
                <w:ilvl w:val="0"/>
                <w:numId w:val="3"/>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488" w:type="dxa"/>
            <w:gridSpan w:val="2"/>
            <w:vMerge w:val="continue"/>
            <w:tcBorders>
              <w:tl2br w:val="nil"/>
              <w:tr2bl w:val="nil"/>
            </w:tcBorders>
            <w:vAlign w:val="center"/>
          </w:tcPr>
          <w:p w14:paraId="3A8B6002">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4DD31D04">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6BB26CF2">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7A291A22">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51517DB1">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未持续、稳定、安全供气5日以上的，或未对500户以上燃气用户的燃气设施定期进行安全检查的。</w:t>
            </w:r>
          </w:p>
        </w:tc>
        <w:tc>
          <w:tcPr>
            <w:tcW w:w="3375" w:type="dxa"/>
            <w:tcBorders>
              <w:tl2br w:val="nil"/>
              <w:tr2bl w:val="nil"/>
            </w:tcBorders>
            <w:tcMar>
              <w:top w:w="15" w:type="dxa"/>
              <w:left w:w="15" w:type="dxa"/>
              <w:bottom w:w="15" w:type="dxa"/>
              <w:right w:w="15" w:type="dxa"/>
            </w:tcMar>
            <w:vAlign w:val="center"/>
          </w:tcPr>
          <w:p w14:paraId="64BE433C">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责令限期改正，处7万元以上10万元以下罚款；有违法所得的，没收违法所得；吊销燃气经营许可证。</w:t>
            </w:r>
          </w:p>
        </w:tc>
      </w:tr>
      <w:tr w14:paraId="68CE17B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754" w:hRule="atLeast"/>
          <w:jc w:val="center"/>
        </w:trPr>
        <w:tc>
          <w:tcPr>
            <w:tcW w:w="518" w:type="dxa"/>
            <w:vMerge w:val="restart"/>
            <w:tcBorders>
              <w:tl2br w:val="nil"/>
              <w:tr2bl w:val="nil"/>
            </w:tcBorders>
            <w:tcMar>
              <w:top w:w="15" w:type="dxa"/>
              <w:left w:w="15" w:type="dxa"/>
              <w:bottom w:w="15" w:type="dxa"/>
              <w:right w:w="15" w:type="dxa"/>
            </w:tcMar>
            <w:vAlign w:val="center"/>
          </w:tcPr>
          <w:p w14:paraId="2842F087">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126</w:t>
            </w:r>
          </w:p>
        </w:tc>
        <w:tc>
          <w:tcPr>
            <w:tcW w:w="1488" w:type="dxa"/>
            <w:gridSpan w:val="2"/>
            <w:vMerge w:val="restart"/>
            <w:tcBorders>
              <w:tl2br w:val="nil"/>
              <w:tr2bl w:val="nil"/>
            </w:tcBorders>
            <w:tcMar>
              <w:top w:w="15" w:type="dxa"/>
              <w:left w:w="15" w:type="dxa"/>
              <w:bottom w:w="15" w:type="dxa"/>
              <w:right w:w="15" w:type="dxa"/>
            </w:tcMar>
            <w:vAlign w:val="center"/>
          </w:tcPr>
          <w:p w14:paraId="171203D6">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燃气经营者未按照国家有关工程建设标准和安全生产管理的规定，设置燃气设施防腐、绝缘、防雷、降压、隔离等保护装置和安全警示标志的，或者未定期进行巡查、检测、维修和维护的，或者未采取措施及时消除燃气安全事故隐患的</w:t>
            </w:r>
          </w:p>
        </w:tc>
        <w:tc>
          <w:tcPr>
            <w:tcW w:w="1016" w:type="dxa"/>
            <w:vMerge w:val="restart"/>
            <w:tcBorders>
              <w:tl2br w:val="nil"/>
              <w:tr2bl w:val="nil"/>
            </w:tcBorders>
            <w:tcMar>
              <w:top w:w="15" w:type="dxa"/>
              <w:left w:w="15" w:type="dxa"/>
              <w:bottom w:w="15" w:type="dxa"/>
              <w:right w:w="15" w:type="dxa"/>
            </w:tcMar>
            <w:vAlign w:val="center"/>
          </w:tcPr>
          <w:p w14:paraId="079FB543">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《城镇燃气管理条例》第三十五条</w:t>
            </w:r>
          </w:p>
        </w:tc>
        <w:tc>
          <w:tcPr>
            <w:tcW w:w="4354" w:type="dxa"/>
            <w:vMerge w:val="restart"/>
            <w:tcBorders>
              <w:tl2br w:val="nil"/>
              <w:tr2bl w:val="nil"/>
            </w:tcBorders>
            <w:tcMar>
              <w:top w:w="15" w:type="dxa"/>
              <w:left w:w="15" w:type="dxa"/>
              <w:bottom w:w="15" w:type="dxa"/>
              <w:right w:w="15" w:type="dxa"/>
            </w:tcMar>
            <w:vAlign w:val="center"/>
          </w:tcPr>
          <w:p w14:paraId="0CF46E6E">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bookmarkStart w:id="1" w:name="48"/>
            <w:r>
              <w:rPr>
                <w:rFonts w:hint="eastAsia" w:ascii="仿宋_GB2312" w:hAnsi="宋体" w:eastAsia="仿宋_GB2312" w:cs="宋体"/>
                <w:color w:val="000000" w:themeColor="text1"/>
                <w:kern w:val="0"/>
                <w:szCs w:val="21"/>
                <w14:textFill>
                  <w14:solidFill>
                    <w14:schemeClr w14:val="tx1"/>
                  </w14:solidFill>
                </w14:textFill>
              </w:rPr>
              <w:t>《城镇燃气管理条例》</w:t>
            </w:r>
            <w:r>
              <w:rPr>
                <w:rFonts w:hint="eastAsia" w:ascii="仿宋_GB2312" w:hAnsi="宋体" w:eastAsia="仿宋_GB2312" w:cs="宋体"/>
                <w:b/>
                <w:bCs/>
                <w:color w:val="000000" w:themeColor="text1"/>
                <w:kern w:val="0"/>
                <w:szCs w:val="21"/>
                <w14:textFill>
                  <w14:solidFill>
                    <w14:schemeClr w14:val="tx1"/>
                  </w14:solidFill>
                </w14:textFill>
              </w:rPr>
              <w:t>第四十八条</w:t>
            </w:r>
            <w:bookmarkEnd w:id="1"/>
            <w:r>
              <w:rPr>
                <w:rFonts w:hint="eastAsia" w:ascii="仿宋_GB2312" w:hAnsi="宋体" w:eastAsia="仿宋_GB2312" w:cs="宋体"/>
                <w:b/>
                <w:bCs/>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违反本条例规定，燃气经营者未按照国家有关工程建设标准和安全生产管理的规定，设置燃气设施防腐、绝缘、防雷、降压、隔离等保护装置和安全警示标志的，或者未定期进行巡查、检测、维修和维护的，或者未采取措施及时消除燃气安全事故隐患的，由燃气管理部门责令限期改正，处1万元以上10万元以下罚款。</w:t>
            </w:r>
          </w:p>
        </w:tc>
        <w:tc>
          <w:tcPr>
            <w:tcW w:w="912" w:type="dxa"/>
            <w:tcBorders>
              <w:tl2br w:val="nil"/>
              <w:tr2bl w:val="nil"/>
            </w:tcBorders>
            <w:tcMar>
              <w:top w:w="15" w:type="dxa"/>
              <w:left w:w="15" w:type="dxa"/>
              <w:bottom w:w="15" w:type="dxa"/>
              <w:right w:w="15" w:type="dxa"/>
            </w:tcMar>
            <w:vAlign w:val="center"/>
          </w:tcPr>
          <w:p w14:paraId="16CABE98">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5D62C462">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初次违法，危害后果轻微，积极采取改正措施整改的。</w:t>
            </w:r>
          </w:p>
        </w:tc>
        <w:tc>
          <w:tcPr>
            <w:tcW w:w="3375" w:type="dxa"/>
            <w:tcBorders>
              <w:tl2br w:val="nil"/>
              <w:tr2bl w:val="nil"/>
            </w:tcBorders>
            <w:tcMar>
              <w:top w:w="15" w:type="dxa"/>
              <w:left w:w="15" w:type="dxa"/>
              <w:bottom w:w="15" w:type="dxa"/>
              <w:right w:w="15" w:type="dxa"/>
            </w:tcMar>
            <w:vAlign w:val="center"/>
          </w:tcPr>
          <w:p w14:paraId="3FBAA7BF">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责令限期改正，处1万元以上3万元以下罚款。</w:t>
            </w:r>
          </w:p>
        </w:tc>
      </w:tr>
      <w:tr w14:paraId="2C39050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828" w:hRule="atLeast"/>
          <w:jc w:val="center"/>
        </w:trPr>
        <w:tc>
          <w:tcPr>
            <w:tcW w:w="518" w:type="dxa"/>
            <w:vMerge w:val="continue"/>
            <w:tcBorders>
              <w:tl2br w:val="nil"/>
              <w:tr2bl w:val="nil"/>
            </w:tcBorders>
            <w:vAlign w:val="center"/>
          </w:tcPr>
          <w:p w14:paraId="12F4CB6A">
            <w:pPr>
              <w:pStyle w:val="29"/>
              <w:keepNext w:val="0"/>
              <w:keepLines w:val="0"/>
              <w:pageBreakBefore w:val="0"/>
              <w:widowControl/>
              <w:numPr>
                <w:ilvl w:val="0"/>
                <w:numId w:val="3"/>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56107A93">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5B15B0AF">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vMerge w:val="continue"/>
            <w:tcBorders>
              <w:tl2br w:val="nil"/>
              <w:tr2bl w:val="nil"/>
            </w:tcBorders>
            <w:vAlign w:val="center"/>
          </w:tcPr>
          <w:p w14:paraId="0F3A01DB">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49CE5B20">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74186652">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w:t>
            </w:r>
            <w:r>
              <w:rPr>
                <w:rFonts w:hint="eastAsia" w:ascii="仿宋_GB2312" w:hAnsi="宋体" w:eastAsia="仿宋_GB2312" w:cs="宋体"/>
                <w:color w:val="000000" w:themeColor="text1"/>
                <w:kern w:val="0"/>
                <w:szCs w:val="21"/>
                <w:lang w:eastAsia="zh-CN"/>
                <w14:textFill>
                  <w14:solidFill>
                    <w14:schemeClr w14:val="tx1"/>
                  </w14:solidFill>
                </w14:textFill>
              </w:rPr>
              <w:t>从重情节</w:t>
            </w:r>
            <w:r>
              <w:rPr>
                <w:rFonts w:hint="eastAsia" w:ascii="仿宋_GB2312" w:hAnsi="宋体" w:eastAsia="仿宋_GB2312" w:cs="宋体"/>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756481E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责令限期改正，处3万元以上5万元以下罚款。</w:t>
            </w:r>
          </w:p>
        </w:tc>
      </w:tr>
      <w:tr w14:paraId="41417A6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542" w:hRule="atLeast"/>
          <w:jc w:val="center"/>
        </w:trPr>
        <w:tc>
          <w:tcPr>
            <w:tcW w:w="518" w:type="dxa"/>
            <w:vMerge w:val="continue"/>
            <w:tcBorders>
              <w:tl2br w:val="nil"/>
              <w:tr2bl w:val="nil"/>
            </w:tcBorders>
            <w:vAlign w:val="center"/>
          </w:tcPr>
          <w:p w14:paraId="48BC9E4F">
            <w:pPr>
              <w:pStyle w:val="29"/>
              <w:keepNext w:val="0"/>
              <w:keepLines w:val="0"/>
              <w:pageBreakBefore w:val="0"/>
              <w:widowControl/>
              <w:numPr>
                <w:ilvl w:val="0"/>
                <w:numId w:val="3"/>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24E45A7F">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5EA58BE6">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vMerge w:val="continue"/>
            <w:tcBorders>
              <w:tl2br w:val="nil"/>
              <w:tr2bl w:val="nil"/>
            </w:tcBorders>
            <w:vAlign w:val="center"/>
          </w:tcPr>
          <w:p w14:paraId="06C35BA1">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5F71929F">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4420D6AC">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经责令停止违法行为后，继续实施该违法行为的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造成严重危害后果的。</w:t>
            </w:r>
          </w:p>
        </w:tc>
        <w:tc>
          <w:tcPr>
            <w:tcW w:w="3375" w:type="dxa"/>
            <w:tcBorders>
              <w:tl2br w:val="nil"/>
              <w:tr2bl w:val="nil"/>
            </w:tcBorders>
            <w:tcMar>
              <w:top w:w="15" w:type="dxa"/>
              <w:left w:w="15" w:type="dxa"/>
              <w:bottom w:w="15" w:type="dxa"/>
              <w:right w:w="15" w:type="dxa"/>
            </w:tcMar>
            <w:vAlign w:val="center"/>
          </w:tcPr>
          <w:p w14:paraId="112A7674">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责令限期改正，处5万元以上10万元以下罚款。</w:t>
            </w:r>
          </w:p>
        </w:tc>
      </w:tr>
      <w:tr w14:paraId="600EC05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938" w:hRule="atLeast"/>
          <w:jc w:val="center"/>
        </w:trPr>
        <w:tc>
          <w:tcPr>
            <w:tcW w:w="518" w:type="dxa"/>
            <w:vMerge w:val="restart"/>
            <w:tcBorders>
              <w:tl2br w:val="nil"/>
              <w:tr2bl w:val="nil"/>
            </w:tcBorders>
            <w:tcMar>
              <w:top w:w="15" w:type="dxa"/>
              <w:left w:w="15" w:type="dxa"/>
              <w:bottom w:w="15" w:type="dxa"/>
              <w:right w:w="15" w:type="dxa"/>
            </w:tcMar>
            <w:vAlign w:val="center"/>
          </w:tcPr>
          <w:p w14:paraId="48B8BAFE">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127</w:t>
            </w:r>
          </w:p>
        </w:tc>
        <w:tc>
          <w:tcPr>
            <w:tcW w:w="1488" w:type="dxa"/>
            <w:gridSpan w:val="2"/>
            <w:vMerge w:val="restart"/>
            <w:tcBorders>
              <w:tl2br w:val="nil"/>
              <w:tr2bl w:val="nil"/>
            </w:tcBorders>
            <w:tcMar>
              <w:top w:w="15" w:type="dxa"/>
              <w:left w:w="15" w:type="dxa"/>
              <w:bottom w:w="15" w:type="dxa"/>
              <w:right w:w="15" w:type="dxa"/>
            </w:tcMar>
            <w:vAlign w:val="center"/>
          </w:tcPr>
          <w:p w14:paraId="270EC96A">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燃气用户及相关单位和个人有下列行为之一的：（1）擅自操作公用燃气阀门的；（2）将燃气管道作为负重支架或者接地引线的；（3）安装、使用不符合气源要求的燃气燃烧器具的；（4）擅自安装、改装、拆除户内燃气设施和燃气计量装置的；（5）在不具备安全条件的场所使用、储存燃气的；（6）改变燃气用途或者转供燃气的；（7）未设立售后服务站点或者未配备经考核合格的燃气燃烧器具安装、维修人员的；（8）燃气燃烧器具的安装、维修不符合国家有关标准的</w:t>
            </w:r>
          </w:p>
        </w:tc>
        <w:tc>
          <w:tcPr>
            <w:tcW w:w="1016" w:type="dxa"/>
            <w:vMerge w:val="restart"/>
            <w:tcBorders>
              <w:tl2br w:val="nil"/>
              <w:tr2bl w:val="nil"/>
            </w:tcBorders>
            <w:tcMar>
              <w:top w:w="15" w:type="dxa"/>
              <w:left w:w="15" w:type="dxa"/>
              <w:bottom w:w="15" w:type="dxa"/>
              <w:right w:w="15" w:type="dxa"/>
            </w:tcMar>
            <w:vAlign w:val="center"/>
          </w:tcPr>
          <w:p w14:paraId="1E5B0F5C">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《城镇燃气管理条例》第二十八条、第三十二条</w:t>
            </w:r>
          </w:p>
          <w:p w14:paraId="39B29C90">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354" w:type="dxa"/>
            <w:vMerge w:val="restart"/>
            <w:tcBorders>
              <w:tl2br w:val="nil"/>
              <w:tr2bl w:val="nil"/>
            </w:tcBorders>
            <w:tcMar>
              <w:top w:w="15" w:type="dxa"/>
              <w:left w:w="15" w:type="dxa"/>
              <w:bottom w:w="15" w:type="dxa"/>
              <w:right w:w="15" w:type="dxa"/>
            </w:tcMar>
            <w:vAlign w:val="center"/>
          </w:tcPr>
          <w:p w14:paraId="1C6641DA">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宋体"/>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w:t>
            </w:r>
            <w:r>
              <w:rPr>
                <w:rFonts w:hint="eastAsia" w:ascii="仿宋_GB2312" w:hAnsi="宋体" w:eastAsia="仿宋_GB2312" w:cs="宋体"/>
                <w:b/>
                <w:bCs/>
                <w:color w:val="000000" w:themeColor="text1"/>
                <w:kern w:val="0"/>
                <w:szCs w:val="21"/>
                <w14:textFill>
                  <w14:solidFill>
                    <w14:schemeClr w14:val="tx1"/>
                  </w14:solidFill>
                </w14:textFill>
              </w:rPr>
              <w:t>第四十九条</w:t>
            </w:r>
            <w:r>
              <w:rPr>
                <w:rFonts w:hint="eastAsia" w:ascii="仿宋_GB2312" w:hAnsi="宋体" w:eastAsia="仿宋_GB2312" w:cs="宋体"/>
                <w:b/>
                <w:bCs/>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违反本条例规定，燃气用户及相关单位和个人有下列行为之一的，由燃气管理部门责令限期改正；逾期不改正的，对单位可以处10万元以下罚款，对个人可以处1000元以下罚款；造成损失的，依法承担赔偿责任；构成犯罪的，依法追究刑事责任：（一）擅自操作公用燃气阀门的；（二）将燃气管道作为负重支架或者接地引线的；（三）安装、使用不符合气源要求的燃气燃烧器具的；（四）擅自安装、改装、拆除户内燃气设施和燃气计量装置的；（五）在不具备安全条件的场所使用、储存燃气的；（六）改变燃气用途或者转供燃气的；（七）未设立售后服务站点或者未配备经考核合格的燃气燃烧器具安装、维修人员的；（八）燃气燃烧器具的安装、维修不符合国家有关标准的。</w:t>
            </w:r>
          </w:p>
          <w:p w14:paraId="22651E4A">
            <w:pPr>
              <w:keepNext w:val="0"/>
              <w:keepLines w:val="0"/>
              <w:pageBreakBefore w:val="0"/>
              <w:widowControl/>
              <w:kinsoku/>
              <w:overflowPunct/>
              <w:topLinePunct w:val="0"/>
              <w:autoSpaceDE/>
              <w:autoSpaceDN/>
              <w:bidi w:val="0"/>
              <w:adjustRightInd/>
              <w:spacing w:line="260" w:lineRule="exact"/>
              <w:ind w:firstLine="420" w:firstLineChars="2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盗用燃气的，依照有关治安管理处罚的法律规定进行处罚。</w:t>
            </w:r>
          </w:p>
        </w:tc>
        <w:tc>
          <w:tcPr>
            <w:tcW w:w="912" w:type="dxa"/>
            <w:tcBorders>
              <w:tl2br w:val="nil"/>
              <w:tr2bl w:val="nil"/>
            </w:tcBorders>
            <w:tcMar>
              <w:top w:w="15" w:type="dxa"/>
              <w:left w:w="15" w:type="dxa"/>
              <w:bottom w:w="15" w:type="dxa"/>
              <w:right w:w="15" w:type="dxa"/>
            </w:tcMar>
            <w:vAlign w:val="center"/>
          </w:tcPr>
          <w:p w14:paraId="4D800DDC">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3A4196AD">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初次违法，危害后果轻微的。</w:t>
            </w:r>
          </w:p>
        </w:tc>
        <w:tc>
          <w:tcPr>
            <w:tcW w:w="3375" w:type="dxa"/>
            <w:tcBorders>
              <w:tl2br w:val="nil"/>
              <w:tr2bl w:val="nil"/>
            </w:tcBorders>
            <w:tcMar>
              <w:top w:w="15" w:type="dxa"/>
              <w:left w:w="15" w:type="dxa"/>
              <w:bottom w:w="15" w:type="dxa"/>
              <w:right w:w="15" w:type="dxa"/>
            </w:tcMar>
            <w:vAlign w:val="center"/>
          </w:tcPr>
          <w:p w14:paraId="7C4CD229">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责令限期改正；逾期不改正的，对单位可以处1万元以上3万元以下罚款，对个人可以处100元以上300元以下罚款。</w:t>
            </w:r>
          </w:p>
        </w:tc>
      </w:tr>
      <w:tr w14:paraId="7A8CD92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001" w:hRule="atLeast"/>
          <w:jc w:val="center"/>
        </w:trPr>
        <w:tc>
          <w:tcPr>
            <w:tcW w:w="518" w:type="dxa"/>
            <w:vMerge w:val="continue"/>
            <w:tcBorders>
              <w:tl2br w:val="nil"/>
              <w:tr2bl w:val="nil"/>
            </w:tcBorders>
            <w:vAlign w:val="center"/>
          </w:tcPr>
          <w:p w14:paraId="4AAE49CC">
            <w:pPr>
              <w:pStyle w:val="29"/>
              <w:keepNext w:val="0"/>
              <w:keepLines w:val="0"/>
              <w:pageBreakBefore w:val="0"/>
              <w:widowControl/>
              <w:numPr>
                <w:ilvl w:val="0"/>
                <w:numId w:val="3"/>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3A4AC1F1">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6E0AD79E">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vMerge w:val="continue"/>
            <w:tcBorders>
              <w:tl2br w:val="nil"/>
              <w:tr2bl w:val="nil"/>
            </w:tcBorders>
            <w:vAlign w:val="center"/>
          </w:tcPr>
          <w:p w14:paraId="4A06065D">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33D4E8FE">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74871EB9">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w:t>
            </w:r>
            <w:r>
              <w:rPr>
                <w:rFonts w:hint="eastAsia" w:ascii="仿宋_GB2312" w:hAnsi="宋体" w:eastAsia="仿宋_GB2312" w:cs="宋体"/>
                <w:color w:val="000000" w:themeColor="text1"/>
                <w:kern w:val="0"/>
                <w:szCs w:val="21"/>
                <w:lang w:eastAsia="zh-CN"/>
                <w14:textFill>
                  <w14:solidFill>
                    <w14:schemeClr w14:val="tx1"/>
                  </w14:solidFill>
                </w14:textFill>
              </w:rPr>
              <w:t>从重情节</w:t>
            </w:r>
            <w:r>
              <w:rPr>
                <w:rFonts w:hint="eastAsia" w:ascii="仿宋_GB2312" w:hAnsi="宋体" w:eastAsia="仿宋_GB2312" w:cs="宋体"/>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12D82F5C">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责令限期改正；逾期不改正的，对单位可以处3万元以上5万元以下罚款，对个人可以处300元以上500元以下罚款。</w:t>
            </w:r>
          </w:p>
        </w:tc>
      </w:tr>
      <w:tr w14:paraId="1C88DD9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556" w:hRule="atLeast"/>
          <w:jc w:val="center"/>
        </w:trPr>
        <w:tc>
          <w:tcPr>
            <w:tcW w:w="518" w:type="dxa"/>
            <w:vMerge w:val="continue"/>
            <w:tcBorders>
              <w:tl2br w:val="nil"/>
              <w:tr2bl w:val="nil"/>
            </w:tcBorders>
            <w:vAlign w:val="center"/>
          </w:tcPr>
          <w:p w14:paraId="3C82AEDD">
            <w:pPr>
              <w:pStyle w:val="29"/>
              <w:keepNext w:val="0"/>
              <w:keepLines w:val="0"/>
              <w:pageBreakBefore w:val="0"/>
              <w:widowControl/>
              <w:numPr>
                <w:ilvl w:val="0"/>
                <w:numId w:val="3"/>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3058C5AA">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7BFDCBD4">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vMerge w:val="continue"/>
            <w:tcBorders>
              <w:tl2br w:val="nil"/>
              <w:tr2bl w:val="nil"/>
            </w:tcBorders>
            <w:vAlign w:val="center"/>
          </w:tcPr>
          <w:p w14:paraId="0F593220">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2B2730E3">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2E3EFFC6">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造成严重危害后果的。</w:t>
            </w:r>
          </w:p>
        </w:tc>
        <w:tc>
          <w:tcPr>
            <w:tcW w:w="3375" w:type="dxa"/>
            <w:tcBorders>
              <w:tl2br w:val="nil"/>
              <w:tr2bl w:val="nil"/>
            </w:tcBorders>
            <w:tcMar>
              <w:top w:w="15" w:type="dxa"/>
              <w:left w:w="15" w:type="dxa"/>
              <w:bottom w:w="15" w:type="dxa"/>
              <w:right w:w="15" w:type="dxa"/>
            </w:tcMar>
            <w:vAlign w:val="center"/>
          </w:tcPr>
          <w:p w14:paraId="2B7E913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责令限期改正；逾期不改正的，对单位可以处5万元以上10万元以下罚款，对个人可以处500元以上1千元以下罚款。</w:t>
            </w:r>
          </w:p>
        </w:tc>
      </w:tr>
      <w:tr w14:paraId="3308EF4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394" w:hRule="atLeast"/>
          <w:jc w:val="center"/>
        </w:trPr>
        <w:tc>
          <w:tcPr>
            <w:tcW w:w="518" w:type="dxa"/>
            <w:vMerge w:val="restart"/>
            <w:tcBorders>
              <w:tl2br w:val="nil"/>
              <w:tr2bl w:val="nil"/>
            </w:tcBorders>
            <w:tcMar>
              <w:top w:w="15" w:type="dxa"/>
              <w:left w:w="15" w:type="dxa"/>
              <w:bottom w:w="15" w:type="dxa"/>
              <w:right w:w="15" w:type="dxa"/>
            </w:tcMar>
            <w:vAlign w:val="center"/>
          </w:tcPr>
          <w:p w14:paraId="2992ABF6">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128</w:t>
            </w:r>
          </w:p>
        </w:tc>
        <w:tc>
          <w:tcPr>
            <w:tcW w:w="1488" w:type="dxa"/>
            <w:gridSpan w:val="2"/>
            <w:vMerge w:val="restart"/>
            <w:tcBorders>
              <w:tl2br w:val="nil"/>
              <w:tr2bl w:val="nil"/>
            </w:tcBorders>
            <w:tcMar>
              <w:top w:w="15" w:type="dxa"/>
              <w:left w:w="15" w:type="dxa"/>
              <w:bottom w:w="15" w:type="dxa"/>
              <w:right w:w="15" w:type="dxa"/>
            </w:tcMar>
            <w:vAlign w:val="center"/>
          </w:tcPr>
          <w:p w14:paraId="5A6D3A8B">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在燃气设施保护范围内从事下列活动之一的：（1）进行爆破、取土等作业或者动用明火的；（2）倾倒、排放腐蚀性物质的；（3）放置易燃易爆物品或者种植深根植物的；（4）未与燃气经营者共同制定燃气设施保护方案，采取相应的安全保护措施，从事敷设管道、打桩、顶进、挖掘、钻探等可能影响燃气设施安全活动的</w:t>
            </w:r>
          </w:p>
        </w:tc>
        <w:tc>
          <w:tcPr>
            <w:tcW w:w="1016" w:type="dxa"/>
            <w:vMerge w:val="restart"/>
            <w:tcBorders>
              <w:tl2br w:val="nil"/>
              <w:tr2bl w:val="nil"/>
            </w:tcBorders>
            <w:tcMar>
              <w:top w:w="15" w:type="dxa"/>
              <w:left w:w="15" w:type="dxa"/>
              <w:bottom w:w="15" w:type="dxa"/>
              <w:right w:w="15" w:type="dxa"/>
            </w:tcMar>
            <w:vAlign w:val="center"/>
          </w:tcPr>
          <w:p w14:paraId="32C96514">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《城镇燃气管理条例》第三十三条、第三十四条</w:t>
            </w:r>
          </w:p>
        </w:tc>
        <w:tc>
          <w:tcPr>
            <w:tcW w:w="4354" w:type="dxa"/>
            <w:vMerge w:val="restart"/>
            <w:tcBorders>
              <w:tl2br w:val="nil"/>
              <w:tr2bl w:val="nil"/>
            </w:tcBorders>
            <w:tcMar>
              <w:top w:w="15" w:type="dxa"/>
              <w:left w:w="15" w:type="dxa"/>
              <w:bottom w:w="15" w:type="dxa"/>
              <w:right w:w="15" w:type="dxa"/>
            </w:tcMar>
            <w:vAlign w:val="center"/>
          </w:tcPr>
          <w:p w14:paraId="7DAD5B12">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宋体"/>
                <w:color w:val="000000" w:themeColor="text1"/>
                <w:kern w:val="0"/>
                <w:szCs w:val="21"/>
                <w:lang w:eastAsia="zh-CN"/>
                <w14:textFill>
                  <w14:solidFill>
                    <w14:schemeClr w14:val="tx1"/>
                  </w14:solidFill>
                </w14:textFill>
              </w:rPr>
            </w:pPr>
            <w:bookmarkStart w:id="2" w:name="50"/>
            <w:r>
              <w:rPr>
                <w:rFonts w:hint="eastAsia" w:ascii="仿宋_GB2312" w:hAnsi="宋体" w:eastAsia="仿宋_GB2312" w:cs="宋体"/>
                <w:color w:val="000000" w:themeColor="text1"/>
                <w:kern w:val="0"/>
                <w:szCs w:val="21"/>
                <w14:textFill>
                  <w14:solidFill>
                    <w14:schemeClr w14:val="tx1"/>
                  </w14:solidFill>
                </w14:textFill>
              </w:rPr>
              <w:t>《城镇燃气管理条例》</w:t>
            </w:r>
            <w:r>
              <w:rPr>
                <w:rFonts w:hint="eastAsia" w:ascii="仿宋_GB2312" w:hAnsi="宋体" w:eastAsia="仿宋_GB2312" w:cs="宋体"/>
                <w:b/>
                <w:bCs/>
                <w:color w:val="000000" w:themeColor="text1"/>
                <w:kern w:val="0"/>
                <w:szCs w:val="21"/>
                <w14:textFill>
                  <w14:solidFill>
                    <w14:schemeClr w14:val="tx1"/>
                  </w14:solidFill>
                </w14:textFill>
              </w:rPr>
              <w:t>第五十条</w:t>
            </w:r>
            <w:bookmarkEnd w:id="2"/>
            <w:r>
              <w:rPr>
                <w:rFonts w:hint="eastAsia" w:ascii="仿宋_GB2312" w:hAnsi="宋体" w:eastAsia="仿宋_GB2312" w:cs="宋体"/>
                <w:b/>
                <w:bCs/>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违反本条例规定，在燃气设施保护范围内从事下列活动之一的，由燃气管理部门责令停止违法行为，限期恢复原状或者采取其他补救措施，对单位处5万元以上10万元以下罚款，对个人处5000元以上5万元以下罚款；造成损失的，依法承担赔偿责任；构成犯罪的，依法追究刑事责任：（一）进行爆破、取土等作业或者动用明火的；（二）倾倒、排放腐蚀性物质的；（三）放置易燃易爆物品或者种植深根植物的；（四）未与燃气经营者共同制定燃气设施保护方案，采取相应的安全保护措施，从事敷设管道、打桩、顶进、挖掘、钻探等可能影响燃气设施安全活动的。</w:t>
            </w:r>
          </w:p>
          <w:p w14:paraId="26514D52">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 xml:space="preserve">  违反本条例规定，在燃气设施保护范围内建设占压地下燃气管线的建筑物、构筑物或者其他设施的，依照有关城乡规划的法律、行政法规的规定进行处罚。</w:t>
            </w:r>
          </w:p>
        </w:tc>
        <w:tc>
          <w:tcPr>
            <w:tcW w:w="912" w:type="dxa"/>
            <w:tcBorders>
              <w:tl2br w:val="nil"/>
              <w:tr2bl w:val="nil"/>
            </w:tcBorders>
            <w:tcMar>
              <w:top w:w="15" w:type="dxa"/>
              <w:left w:w="15" w:type="dxa"/>
              <w:bottom w:w="15" w:type="dxa"/>
              <w:right w:w="15" w:type="dxa"/>
            </w:tcMar>
            <w:vAlign w:val="center"/>
          </w:tcPr>
          <w:p w14:paraId="19235C7D">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szCs w:val="21"/>
                <w:lang w:val="en-US" w:eastAsia="zh-CN"/>
                <w14:textFill>
                  <w14:solidFill>
                    <w14:schemeClr w14:val="tx1"/>
                  </w14:solidFill>
                </w14:textFill>
              </w:rPr>
              <w:t>减轻处罚</w:t>
            </w:r>
          </w:p>
        </w:tc>
        <w:tc>
          <w:tcPr>
            <w:tcW w:w="2407" w:type="dxa"/>
            <w:gridSpan w:val="2"/>
            <w:tcBorders>
              <w:tl2br w:val="nil"/>
              <w:tr2bl w:val="nil"/>
            </w:tcBorders>
            <w:tcMar>
              <w:top w:w="15" w:type="dxa"/>
              <w:left w:w="15" w:type="dxa"/>
              <w:bottom w:w="15" w:type="dxa"/>
              <w:right w:w="15" w:type="dxa"/>
            </w:tcMar>
            <w:vAlign w:val="center"/>
          </w:tcPr>
          <w:p w14:paraId="36BCBB05">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hint="default" w:ascii="仿宋_GB2312" w:hAnsi="宋体" w:eastAsia="仿宋_GB2312" w:cs="宋体"/>
                <w:color w:val="000000" w:themeColor="text1"/>
                <w:szCs w:val="21"/>
                <w:lang w:val="en-US" w:eastAsia="zh-CN"/>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（一）主动消除或者减轻违法行为危害后果的；</w:t>
            </w:r>
            <w:r>
              <w:rPr>
                <w:rFonts w:hint="eastAsia" w:ascii="仿宋_GB2312" w:hAnsi="宋体" w:eastAsia="仿宋_GB2312" w:cs="宋体"/>
                <w:color w:val="000000" w:themeColor="text1"/>
                <w:szCs w:val="21"/>
                <w:lang w:val="en-US" w:eastAsia="zh-CN"/>
                <w14:textFill>
                  <w14:solidFill>
                    <w14:schemeClr w14:val="tx1"/>
                  </w14:solidFill>
                </w14:textFill>
              </w:rPr>
              <w:t>是指在《责令改正通知书》下达前已经改正违法行为或《责令改正通知书》下达后立即改正违法行为的</w:t>
            </w:r>
          </w:p>
          <w:p w14:paraId="4D49A7E4">
            <w:pPr>
              <w:keepNext w:val="0"/>
              <w:keepLines w:val="0"/>
              <w:pageBreakBefore w:val="0"/>
              <w:widowControl/>
              <w:kinsoku/>
              <w:overflowPunct/>
              <w:topLinePunct w:val="0"/>
              <w:autoSpaceDE/>
              <w:autoSpaceDN/>
              <w:bidi w:val="0"/>
              <w:adjustRightInd/>
              <w:spacing w:line="260" w:lineRule="exact"/>
              <w:ind w:firstLine="420" w:firstLineChars="200"/>
              <w:textAlignment w:val="center"/>
              <w:rPr>
                <w:rFonts w:hint="eastAsia"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（二）受他人胁迫或者诱骗实施违法行为的；</w:t>
            </w:r>
          </w:p>
          <w:p w14:paraId="19898C65">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hint="eastAsia"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 （三）主动供述行政机关尚未掌握的违法行为的； </w:t>
            </w:r>
          </w:p>
        </w:tc>
        <w:tc>
          <w:tcPr>
            <w:tcW w:w="3375" w:type="dxa"/>
            <w:tcBorders>
              <w:tl2br w:val="nil"/>
              <w:tr2bl w:val="nil"/>
            </w:tcBorders>
            <w:tcMar>
              <w:top w:w="15" w:type="dxa"/>
              <w:left w:w="15" w:type="dxa"/>
              <w:bottom w:w="15" w:type="dxa"/>
              <w:right w:w="15" w:type="dxa"/>
            </w:tcMar>
            <w:vAlign w:val="center"/>
          </w:tcPr>
          <w:p w14:paraId="4539B0D4">
            <w:pPr>
              <w:keepNext w:val="0"/>
              <w:keepLines w:val="0"/>
              <w:pageBreakBefore w:val="0"/>
              <w:widowControl/>
              <w:kinsoku/>
              <w:overflowPunct/>
              <w:topLinePunct w:val="0"/>
              <w:autoSpaceDE/>
              <w:autoSpaceDN/>
              <w:bidi w:val="0"/>
              <w:adjustRightInd/>
              <w:spacing w:line="260" w:lineRule="exact"/>
              <w:ind w:firstLine="420" w:firstLineChars="200"/>
              <w:textAlignment w:val="center"/>
              <w:rPr>
                <w:rFonts w:hint="eastAsia" w:ascii="仿宋_GB2312" w:hAnsi="宋体" w:eastAsia="仿宋_GB2312" w:cs="宋体"/>
                <w:color w:val="000000" w:themeColor="text1"/>
                <w:szCs w:val="21"/>
                <w:lang w:val="en-US" w:eastAsia="zh-CN"/>
                <w14:textFill>
                  <w14:solidFill>
                    <w14:schemeClr w14:val="tx1"/>
                  </w14:solidFill>
                </w14:textFill>
              </w:rPr>
            </w:pPr>
            <w:r>
              <w:rPr>
                <w:rFonts w:hint="eastAsia" w:ascii="仿宋_GB2312" w:hAnsi="宋体" w:eastAsia="仿宋_GB2312" w:cs="宋体"/>
                <w:color w:val="000000" w:themeColor="text1"/>
                <w:szCs w:val="21"/>
                <w:lang w:val="en-US" w:eastAsia="zh-CN"/>
                <w14:textFill>
                  <w14:solidFill>
                    <w14:schemeClr w14:val="tx1"/>
                  </w14:solidFill>
                </w14:textFill>
              </w:rPr>
              <w:t>违法经营额在2万元以下，违法所得额在5千元以下的，处2万元以下罚款</w:t>
            </w:r>
          </w:p>
          <w:p w14:paraId="158BB2DD">
            <w:pPr>
              <w:keepNext w:val="0"/>
              <w:keepLines w:val="0"/>
              <w:pageBreakBefore w:val="0"/>
              <w:widowControl/>
              <w:kinsoku/>
              <w:overflowPunct/>
              <w:topLinePunct w:val="0"/>
              <w:autoSpaceDE/>
              <w:autoSpaceDN/>
              <w:bidi w:val="0"/>
              <w:adjustRightInd/>
              <w:spacing w:line="260" w:lineRule="exact"/>
              <w:ind w:firstLine="420" w:firstLineChars="200"/>
              <w:textAlignment w:val="center"/>
              <w:rPr>
                <w:rFonts w:hint="eastAsia" w:ascii="仿宋_GB2312" w:hAnsi="宋体" w:eastAsia="仿宋_GB2312" w:cs="宋体"/>
                <w:color w:val="000000" w:themeColor="text1"/>
                <w:szCs w:val="21"/>
                <w:lang w:val="en-US" w:eastAsia="zh-CN"/>
                <w14:textFill>
                  <w14:solidFill>
                    <w14:schemeClr w14:val="tx1"/>
                  </w14:solidFill>
                </w14:textFill>
              </w:rPr>
            </w:pPr>
            <w:r>
              <w:rPr>
                <w:rFonts w:hint="eastAsia" w:ascii="仿宋_GB2312" w:hAnsi="宋体" w:eastAsia="仿宋_GB2312" w:cs="宋体"/>
                <w:color w:val="000000" w:themeColor="text1"/>
                <w:szCs w:val="21"/>
                <w:lang w:val="en-US" w:eastAsia="zh-CN"/>
                <w14:textFill>
                  <w14:solidFill>
                    <w14:schemeClr w14:val="tx1"/>
                  </w14:solidFill>
                </w14:textFill>
              </w:rPr>
              <w:t>违法经营额在5万元以下（不含5万），违法所得额在1万元以下（不含1万元），处2万元以上5万元以下罚款</w:t>
            </w:r>
          </w:p>
          <w:p w14:paraId="430B959E">
            <w:pPr>
              <w:keepNext w:val="0"/>
              <w:keepLines w:val="0"/>
              <w:pageBreakBefore w:val="0"/>
              <w:widowControl/>
              <w:kinsoku/>
              <w:overflowPunct/>
              <w:topLinePunct w:val="0"/>
              <w:autoSpaceDE/>
              <w:autoSpaceDN/>
              <w:bidi w:val="0"/>
              <w:adjustRightInd/>
              <w:spacing w:line="260" w:lineRule="exact"/>
              <w:ind w:firstLine="420" w:firstLineChars="200"/>
              <w:textAlignment w:val="center"/>
              <w:rPr>
                <w:rFonts w:hint="default" w:ascii="仿宋_GB2312" w:hAnsi="宋体" w:eastAsia="仿宋_GB2312" w:cs="宋体"/>
                <w:color w:val="000000" w:themeColor="text1"/>
                <w:szCs w:val="21"/>
                <w:lang w:val="en-US" w:eastAsia="zh-CN"/>
                <w14:textFill>
                  <w14:solidFill>
                    <w14:schemeClr w14:val="tx1"/>
                  </w14:solidFill>
                </w14:textFill>
              </w:rPr>
            </w:pPr>
            <w:r>
              <w:rPr>
                <w:rFonts w:hint="eastAsia" w:ascii="仿宋_GB2312" w:hAnsi="宋体" w:eastAsia="仿宋_GB2312" w:cs="宋体"/>
                <w:color w:val="000000" w:themeColor="text1"/>
                <w:szCs w:val="21"/>
                <w:lang w:val="en-US" w:eastAsia="zh-CN"/>
                <w14:textFill>
                  <w14:solidFill>
                    <w14:schemeClr w14:val="tx1"/>
                  </w14:solidFill>
                </w14:textFill>
              </w:rPr>
              <w:t xml:space="preserve"> </w:t>
            </w:r>
          </w:p>
          <w:p w14:paraId="3554DC5A">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hint="eastAsia" w:ascii="仿宋_GB2312" w:hAnsi="宋体" w:eastAsia="仿宋_GB2312" w:cs="宋体"/>
                <w:color w:val="000000" w:themeColor="text1"/>
                <w:kern w:val="0"/>
                <w:szCs w:val="21"/>
                <w14:textFill>
                  <w14:solidFill>
                    <w14:schemeClr w14:val="tx1"/>
                  </w14:solidFill>
                </w14:textFill>
              </w:rPr>
            </w:pPr>
          </w:p>
        </w:tc>
      </w:tr>
      <w:tr w14:paraId="056F02B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394" w:hRule="atLeast"/>
          <w:jc w:val="center"/>
        </w:trPr>
        <w:tc>
          <w:tcPr>
            <w:tcW w:w="518" w:type="dxa"/>
            <w:vMerge w:val="continue"/>
            <w:tcBorders>
              <w:tl2br w:val="nil"/>
              <w:tr2bl w:val="nil"/>
            </w:tcBorders>
            <w:tcMar>
              <w:top w:w="15" w:type="dxa"/>
              <w:left w:w="15" w:type="dxa"/>
              <w:bottom w:w="15" w:type="dxa"/>
              <w:right w:w="15" w:type="dxa"/>
            </w:tcMar>
            <w:vAlign w:val="center"/>
          </w:tcPr>
          <w:p w14:paraId="3DC625E9">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p>
        </w:tc>
        <w:tc>
          <w:tcPr>
            <w:tcW w:w="1488" w:type="dxa"/>
            <w:gridSpan w:val="2"/>
            <w:vMerge w:val="continue"/>
            <w:tcBorders>
              <w:tl2br w:val="nil"/>
              <w:tr2bl w:val="nil"/>
            </w:tcBorders>
            <w:tcMar>
              <w:top w:w="15" w:type="dxa"/>
              <w:left w:w="15" w:type="dxa"/>
              <w:bottom w:w="15" w:type="dxa"/>
              <w:right w:w="15" w:type="dxa"/>
            </w:tcMar>
            <w:vAlign w:val="center"/>
          </w:tcPr>
          <w:p w14:paraId="747BCD6B">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p>
        </w:tc>
        <w:tc>
          <w:tcPr>
            <w:tcW w:w="1016" w:type="dxa"/>
            <w:vMerge w:val="continue"/>
            <w:tcBorders>
              <w:tl2br w:val="nil"/>
              <w:tr2bl w:val="nil"/>
            </w:tcBorders>
            <w:tcMar>
              <w:top w:w="15" w:type="dxa"/>
              <w:left w:w="15" w:type="dxa"/>
              <w:bottom w:w="15" w:type="dxa"/>
              <w:right w:w="15" w:type="dxa"/>
            </w:tcMar>
            <w:vAlign w:val="center"/>
          </w:tcPr>
          <w:p w14:paraId="4D6C6303">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354" w:type="dxa"/>
            <w:vMerge w:val="continue"/>
            <w:tcBorders>
              <w:tl2br w:val="nil"/>
              <w:tr2bl w:val="nil"/>
            </w:tcBorders>
            <w:tcMar>
              <w:top w:w="15" w:type="dxa"/>
              <w:left w:w="15" w:type="dxa"/>
              <w:bottom w:w="15" w:type="dxa"/>
              <w:right w:w="15" w:type="dxa"/>
            </w:tcMar>
            <w:vAlign w:val="center"/>
          </w:tcPr>
          <w:p w14:paraId="2977E5CC">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69B8DBCB">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2E07323C">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375" w:type="dxa"/>
            <w:tcBorders>
              <w:tl2br w:val="nil"/>
              <w:tr2bl w:val="nil"/>
            </w:tcBorders>
            <w:tcMar>
              <w:top w:w="15" w:type="dxa"/>
              <w:left w:w="15" w:type="dxa"/>
              <w:bottom w:w="15" w:type="dxa"/>
              <w:right w:w="15" w:type="dxa"/>
            </w:tcMar>
            <w:vAlign w:val="center"/>
          </w:tcPr>
          <w:p w14:paraId="66ABB7C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责令停止违法行为，限期恢复原状或者采取其他补救措施，对单位处5万元罚款，对个人处5千元罚款。</w:t>
            </w:r>
          </w:p>
        </w:tc>
      </w:tr>
      <w:tr w14:paraId="6801BFD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133" w:hRule="atLeast"/>
          <w:jc w:val="center"/>
        </w:trPr>
        <w:tc>
          <w:tcPr>
            <w:tcW w:w="518" w:type="dxa"/>
            <w:vMerge w:val="continue"/>
            <w:tcBorders>
              <w:tl2br w:val="nil"/>
              <w:tr2bl w:val="nil"/>
            </w:tcBorders>
            <w:vAlign w:val="center"/>
          </w:tcPr>
          <w:p w14:paraId="48184610">
            <w:pPr>
              <w:pStyle w:val="29"/>
              <w:keepNext w:val="0"/>
              <w:keepLines w:val="0"/>
              <w:pageBreakBefore w:val="0"/>
              <w:widowControl/>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0F763C7B">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04B22EBD">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vMerge w:val="continue"/>
            <w:tcBorders>
              <w:tl2br w:val="nil"/>
              <w:tr2bl w:val="nil"/>
            </w:tcBorders>
            <w:vAlign w:val="center"/>
          </w:tcPr>
          <w:p w14:paraId="6A83341C">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1ADC6B10">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3CCF277A">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w:t>
            </w:r>
            <w:r>
              <w:rPr>
                <w:rFonts w:hint="eastAsia" w:ascii="仿宋_GB2312" w:hAnsi="宋体" w:eastAsia="仿宋_GB2312" w:cs="宋体"/>
                <w:color w:val="000000" w:themeColor="text1"/>
                <w:kern w:val="0"/>
                <w:szCs w:val="21"/>
                <w:lang w:eastAsia="zh-CN"/>
                <w14:textFill>
                  <w14:solidFill>
                    <w14:schemeClr w14:val="tx1"/>
                  </w14:solidFill>
                </w14:textFill>
              </w:rPr>
              <w:t>从重情节</w:t>
            </w:r>
            <w:r>
              <w:rPr>
                <w:rFonts w:hint="eastAsia" w:ascii="仿宋_GB2312" w:hAnsi="宋体" w:eastAsia="仿宋_GB2312" w:cs="宋体"/>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1640AAAB">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责令停止违法行为，限期恢复原状或者采取其他补救措施，对单位处5万元以上8万元以下罚款，对个人处5千元以上3万元以下罚款。</w:t>
            </w:r>
          </w:p>
        </w:tc>
      </w:tr>
      <w:tr w14:paraId="0CF7AC1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556" w:hRule="atLeast"/>
          <w:jc w:val="center"/>
        </w:trPr>
        <w:tc>
          <w:tcPr>
            <w:tcW w:w="518" w:type="dxa"/>
            <w:vMerge w:val="continue"/>
            <w:tcBorders>
              <w:tl2br w:val="nil"/>
              <w:tr2bl w:val="nil"/>
            </w:tcBorders>
            <w:vAlign w:val="center"/>
          </w:tcPr>
          <w:p w14:paraId="34AF4D03">
            <w:pPr>
              <w:pStyle w:val="29"/>
              <w:keepNext w:val="0"/>
              <w:keepLines w:val="0"/>
              <w:pageBreakBefore w:val="0"/>
              <w:widowControl/>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0ADA3196">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1FEDAB5D">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vMerge w:val="continue"/>
            <w:tcBorders>
              <w:tl2br w:val="nil"/>
              <w:tr2bl w:val="nil"/>
            </w:tcBorders>
            <w:vAlign w:val="center"/>
          </w:tcPr>
          <w:p w14:paraId="481C4D7A">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4DA4B548">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53BE98C9">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经责令停止违法行为后，继续实施该违法行为的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造成严重危害后果的。</w:t>
            </w:r>
          </w:p>
        </w:tc>
        <w:tc>
          <w:tcPr>
            <w:tcW w:w="3375" w:type="dxa"/>
            <w:tcBorders>
              <w:tl2br w:val="nil"/>
              <w:tr2bl w:val="nil"/>
            </w:tcBorders>
            <w:tcMar>
              <w:top w:w="15" w:type="dxa"/>
              <w:left w:w="15" w:type="dxa"/>
              <w:bottom w:w="15" w:type="dxa"/>
              <w:right w:w="15" w:type="dxa"/>
            </w:tcMar>
            <w:vAlign w:val="center"/>
          </w:tcPr>
          <w:p w14:paraId="47747982">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责令停止违法行为，限期恢复原状或者采取其他补救措施，对单位处8万元以上10万元以下罚款，对个人处3万元以上5万元以下罚款。</w:t>
            </w:r>
          </w:p>
        </w:tc>
      </w:tr>
      <w:tr w14:paraId="18AFDD3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34" w:hRule="atLeast"/>
          <w:jc w:val="center"/>
        </w:trPr>
        <w:tc>
          <w:tcPr>
            <w:tcW w:w="518" w:type="dxa"/>
            <w:vMerge w:val="restart"/>
            <w:tcBorders>
              <w:tl2br w:val="nil"/>
              <w:tr2bl w:val="nil"/>
            </w:tcBorders>
            <w:tcMar>
              <w:top w:w="15" w:type="dxa"/>
              <w:left w:w="15" w:type="dxa"/>
              <w:bottom w:w="15" w:type="dxa"/>
              <w:right w:w="15" w:type="dxa"/>
            </w:tcMar>
            <w:vAlign w:val="center"/>
          </w:tcPr>
          <w:p w14:paraId="1A994FF2">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129</w:t>
            </w:r>
          </w:p>
        </w:tc>
        <w:tc>
          <w:tcPr>
            <w:tcW w:w="1488" w:type="dxa"/>
            <w:gridSpan w:val="2"/>
            <w:vMerge w:val="restart"/>
            <w:tcBorders>
              <w:tl2br w:val="nil"/>
              <w:tr2bl w:val="nil"/>
            </w:tcBorders>
            <w:tcMar>
              <w:top w:w="15" w:type="dxa"/>
              <w:left w:w="15" w:type="dxa"/>
              <w:bottom w:w="15" w:type="dxa"/>
              <w:right w:w="15" w:type="dxa"/>
            </w:tcMar>
            <w:vAlign w:val="center"/>
          </w:tcPr>
          <w:p w14:paraId="4BA7D4F8">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侵占、毁损、擅自拆除、移动燃气设施或者擅自改动市政燃气设施</w:t>
            </w:r>
          </w:p>
        </w:tc>
        <w:tc>
          <w:tcPr>
            <w:tcW w:w="1016" w:type="dxa"/>
            <w:vMerge w:val="restart"/>
            <w:tcBorders>
              <w:tl2br w:val="nil"/>
              <w:tr2bl w:val="nil"/>
            </w:tcBorders>
            <w:tcMar>
              <w:top w:w="15" w:type="dxa"/>
              <w:left w:w="15" w:type="dxa"/>
              <w:bottom w:w="15" w:type="dxa"/>
              <w:right w:w="15" w:type="dxa"/>
            </w:tcMar>
            <w:vAlign w:val="center"/>
          </w:tcPr>
          <w:p w14:paraId="3D9870AC">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《城镇燃气管理条例》第三十六条、第三十八条</w:t>
            </w:r>
          </w:p>
        </w:tc>
        <w:tc>
          <w:tcPr>
            <w:tcW w:w="4354" w:type="dxa"/>
            <w:vMerge w:val="restart"/>
            <w:tcBorders>
              <w:tl2br w:val="nil"/>
              <w:tr2bl w:val="nil"/>
            </w:tcBorders>
            <w:tcMar>
              <w:top w:w="15" w:type="dxa"/>
              <w:left w:w="15" w:type="dxa"/>
              <w:bottom w:w="15" w:type="dxa"/>
              <w:right w:w="15" w:type="dxa"/>
            </w:tcMar>
            <w:vAlign w:val="center"/>
          </w:tcPr>
          <w:p w14:paraId="5610647C">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bookmarkStart w:id="3" w:name="51"/>
            <w:r>
              <w:rPr>
                <w:rFonts w:hint="eastAsia" w:ascii="仿宋_GB2312" w:hAnsi="宋体" w:eastAsia="仿宋_GB2312" w:cs="宋体"/>
                <w:color w:val="000000" w:themeColor="text1"/>
                <w:kern w:val="0"/>
                <w:szCs w:val="21"/>
                <w14:textFill>
                  <w14:solidFill>
                    <w14:schemeClr w14:val="tx1"/>
                  </w14:solidFill>
                </w14:textFill>
              </w:rPr>
              <w:t>《城镇燃气管理条例》</w:t>
            </w:r>
            <w:r>
              <w:rPr>
                <w:rFonts w:hint="eastAsia" w:ascii="仿宋_GB2312" w:hAnsi="宋体" w:eastAsia="仿宋_GB2312" w:cs="宋体"/>
                <w:b/>
                <w:bCs/>
                <w:color w:val="000000" w:themeColor="text1"/>
                <w:kern w:val="0"/>
                <w:szCs w:val="21"/>
                <w14:textFill>
                  <w14:solidFill>
                    <w14:schemeClr w14:val="tx1"/>
                  </w14:solidFill>
                </w14:textFill>
              </w:rPr>
              <w:t>第五十一条第一款</w:t>
            </w:r>
            <w:bookmarkEnd w:id="3"/>
            <w:r>
              <w:rPr>
                <w:rFonts w:hint="eastAsia" w:ascii="仿宋_GB2312" w:hAnsi="宋体" w:eastAsia="仿宋_GB2312" w:cs="宋体"/>
                <w:b/>
                <w:bCs/>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违反本条例规定，侵占、毁损、擅自拆除、移动燃气设施或者擅自改动市政燃气设施的，由燃气管理部门责令限期改正，恢复原状或者采取其他补救措施，对单位处5万元以上10万元以下罚款，对个人处5000元以上5万元以下罚款；造成损失的，依法承担赔偿责任；构成犯罪的，依法追究刑事责任。</w:t>
            </w:r>
          </w:p>
        </w:tc>
        <w:tc>
          <w:tcPr>
            <w:tcW w:w="912" w:type="dxa"/>
            <w:tcBorders>
              <w:tl2br w:val="nil"/>
              <w:tr2bl w:val="nil"/>
            </w:tcBorders>
            <w:tcMar>
              <w:top w:w="15" w:type="dxa"/>
              <w:left w:w="15" w:type="dxa"/>
              <w:bottom w:w="15" w:type="dxa"/>
              <w:right w:w="15" w:type="dxa"/>
            </w:tcMar>
            <w:vAlign w:val="center"/>
          </w:tcPr>
          <w:p w14:paraId="70F8D7F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0C1B8904">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375" w:type="dxa"/>
            <w:tcBorders>
              <w:tl2br w:val="nil"/>
              <w:tr2bl w:val="nil"/>
            </w:tcBorders>
            <w:tcMar>
              <w:top w:w="15" w:type="dxa"/>
              <w:left w:w="15" w:type="dxa"/>
              <w:bottom w:w="15" w:type="dxa"/>
              <w:right w:w="15" w:type="dxa"/>
            </w:tcMar>
            <w:vAlign w:val="center"/>
          </w:tcPr>
          <w:p w14:paraId="1AF4133E">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责令限期改正，恢复原状或者采取其他补救措施，对单位处5万元罚款，对个人处5千元罚款。</w:t>
            </w:r>
          </w:p>
        </w:tc>
      </w:tr>
      <w:tr w14:paraId="73DD636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34" w:hRule="atLeast"/>
          <w:jc w:val="center"/>
        </w:trPr>
        <w:tc>
          <w:tcPr>
            <w:tcW w:w="518" w:type="dxa"/>
            <w:vMerge w:val="continue"/>
            <w:tcBorders>
              <w:tl2br w:val="nil"/>
              <w:tr2bl w:val="nil"/>
            </w:tcBorders>
            <w:vAlign w:val="center"/>
          </w:tcPr>
          <w:p w14:paraId="5BC6A067">
            <w:pPr>
              <w:pStyle w:val="29"/>
              <w:keepNext w:val="0"/>
              <w:keepLines w:val="0"/>
              <w:pageBreakBefore w:val="0"/>
              <w:widowControl/>
              <w:numPr>
                <w:ilvl w:val="0"/>
                <w:numId w:val="3"/>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48736A99">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3060C2D2">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vMerge w:val="continue"/>
            <w:tcBorders>
              <w:tl2br w:val="nil"/>
              <w:tr2bl w:val="nil"/>
            </w:tcBorders>
            <w:vAlign w:val="center"/>
          </w:tcPr>
          <w:p w14:paraId="473BD823">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7D511082">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24803D10">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w:t>
            </w:r>
            <w:r>
              <w:rPr>
                <w:rFonts w:hint="eastAsia" w:ascii="仿宋_GB2312" w:hAnsi="宋体" w:eastAsia="仿宋_GB2312" w:cs="宋体"/>
                <w:color w:val="000000" w:themeColor="text1"/>
                <w:kern w:val="0"/>
                <w:szCs w:val="21"/>
                <w:lang w:eastAsia="zh-CN"/>
                <w14:textFill>
                  <w14:solidFill>
                    <w14:schemeClr w14:val="tx1"/>
                  </w14:solidFill>
                </w14:textFill>
              </w:rPr>
              <w:t>从重情节</w:t>
            </w:r>
            <w:r>
              <w:rPr>
                <w:rFonts w:hint="eastAsia" w:ascii="仿宋_GB2312" w:hAnsi="宋体" w:eastAsia="仿宋_GB2312" w:cs="宋体"/>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1556C2DA">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责令限期改正，恢复原状或者采取其他补救措施，对单位处5万元以上8万元以下罚款，对个人处5千元以上3万元以下罚款。</w:t>
            </w:r>
          </w:p>
        </w:tc>
      </w:tr>
      <w:tr w14:paraId="72E92EC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556" w:hRule="atLeast"/>
          <w:jc w:val="center"/>
        </w:trPr>
        <w:tc>
          <w:tcPr>
            <w:tcW w:w="518" w:type="dxa"/>
            <w:vMerge w:val="continue"/>
            <w:tcBorders>
              <w:tl2br w:val="nil"/>
              <w:tr2bl w:val="nil"/>
            </w:tcBorders>
            <w:vAlign w:val="center"/>
          </w:tcPr>
          <w:p w14:paraId="1B60A356">
            <w:pPr>
              <w:pStyle w:val="29"/>
              <w:keepNext w:val="0"/>
              <w:keepLines w:val="0"/>
              <w:pageBreakBefore w:val="0"/>
              <w:widowControl/>
              <w:numPr>
                <w:ilvl w:val="0"/>
                <w:numId w:val="3"/>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7BA63CE4">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4A7A519A">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vMerge w:val="continue"/>
            <w:tcBorders>
              <w:tl2br w:val="nil"/>
              <w:tr2bl w:val="nil"/>
            </w:tcBorders>
            <w:vAlign w:val="center"/>
          </w:tcPr>
          <w:p w14:paraId="3B2C5465">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543861AB">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1884DB36">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经责令停止违法行为后，继续实施违法行为的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造成安全事故的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造成严重危害后果的。</w:t>
            </w:r>
          </w:p>
        </w:tc>
        <w:tc>
          <w:tcPr>
            <w:tcW w:w="3375" w:type="dxa"/>
            <w:tcBorders>
              <w:tl2br w:val="nil"/>
              <w:tr2bl w:val="nil"/>
            </w:tcBorders>
            <w:tcMar>
              <w:top w:w="15" w:type="dxa"/>
              <w:left w:w="15" w:type="dxa"/>
              <w:bottom w:w="15" w:type="dxa"/>
              <w:right w:w="15" w:type="dxa"/>
            </w:tcMar>
            <w:vAlign w:val="center"/>
          </w:tcPr>
          <w:p w14:paraId="3BCE9D04">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责令限期改正，恢复原状或者采取其他补救措施，对单位处8万元以上10万元以下罚款，对个人处3万元以上5万元以下罚款。</w:t>
            </w:r>
          </w:p>
        </w:tc>
      </w:tr>
      <w:tr w14:paraId="4764A7C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22" w:hRule="atLeast"/>
          <w:jc w:val="center"/>
        </w:trPr>
        <w:tc>
          <w:tcPr>
            <w:tcW w:w="518" w:type="dxa"/>
            <w:vMerge w:val="restart"/>
            <w:tcBorders>
              <w:tl2br w:val="nil"/>
              <w:tr2bl w:val="nil"/>
            </w:tcBorders>
            <w:tcMar>
              <w:top w:w="15" w:type="dxa"/>
              <w:left w:w="15" w:type="dxa"/>
              <w:bottom w:w="15" w:type="dxa"/>
              <w:right w:w="15" w:type="dxa"/>
            </w:tcMar>
            <w:vAlign w:val="center"/>
          </w:tcPr>
          <w:p w14:paraId="7C6F2CDE">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130</w:t>
            </w:r>
          </w:p>
        </w:tc>
        <w:tc>
          <w:tcPr>
            <w:tcW w:w="1488" w:type="dxa"/>
            <w:gridSpan w:val="2"/>
            <w:vMerge w:val="restart"/>
            <w:tcBorders>
              <w:tl2br w:val="nil"/>
              <w:tr2bl w:val="nil"/>
            </w:tcBorders>
            <w:tcMar>
              <w:top w:w="15" w:type="dxa"/>
              <w:left w:w="15" w:type="dxa"/>
              <w:bottom w:w="15" w:type="dxa"/>
              <w:right w:w="15" w:type="dxa"/>
            </w:tcMar>
            <w:vAlign w:val="center"/>
          </w:tcPr>
          <w:p w14:paraId="7CC8C691">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毁损、覆盖、涂改、擅自拆除或者移动燃气设施安全警示标志的</w:t>
            </w:r>
          </w:p>
        </w:tc>
        <w:tc>
          <w:tcPr>
            <w:tcW w:w="1016" w:type="dxa"/>
            <w:vMerge w:val="restart"/>
            <w:tcBorders>
              <w:tl2br w:val="nil"/>
              <w:tr2bl w:val="nil"/>
            </w:tcBorders>
            <w:tcMar>
              <w:top w:w="15" w:type="dxa"/>
              <w:left w:w="15" w:type="dxa"/>
              <w:bottom w:w="15" w:type="dxa"/>
              <w:right w:w="15" w:type="dxa"/>
            </w:tcMar>
            <w:vAlign w:val="center"/>
          </w:tcPr>
          <w:p w14:paraId="338DC57C">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《城镇燃气管理条例》第三十六条</w:t>
            </w:r>
          </w:p>
        </w:tc>
        <w:tc>
          <w:tcPr>
            <w:tcW w:w="4354" w:type="dxa"/>
            <w:vMerge w:val="restart"/>
            <w:tcBorders>
              <w:tl2br w:val="nil"/>
              <w:tr2bl w:val="nil"/>
            </w:tcBorders>
            <w:tcMar>
              <w:top w:w="15" w:type="dxa"/>
              <w:left w:w="15" w:type="dxa"/>
              <w:bottom w:w="15" w:type="dxa"/>
              <w:right w:w="15" w:type="dxa"/>
            </w:tcMar>
            <w:vAlign w:val="center"/>
          </w:tcPr>
          <w:p w14:paraId="108E20B1">
            <w:pPr>
              <w:keepNext w:val="0"/>
              <w:keepLines w:val="0"/>
              <w:pageBreakBefore w:val="0"/>
              <w:widowControl/>
              <w:kinsoku/>
              <w:overflowPunct/>
              <w:topLinePunct w:val="0"/>
              <w:autoSpaceDE/>
              <w:autoSpaceDN/>
              <w:bidi w:val="0"/>
              <w:adjustRightInd/>
              <w:spacing w:line="260" w:lineRule="exact"/>
              <w:jc w:val="both"/>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w:t>
            </w:r>
            <w:r>
              <w:rPr>
                <w:rFonts w:hint="eastAsia" w:ascii="仿宋_GB2312" w:hAnsi="宋体" w:eastAsia="仿宋_GB2312" w:cs="宋体"/>
                <w:b/>
                <w:bCs/>
                <w:color w:val="000000" w:themeColor="text1"/>
                <w:kern w:val="0"/>
                <w:szCs w:val="21"/>
                <w14:textFill>
                  <w14:solidFill>
                    <w14:schemeClr w14:val="tx1"/>
                  </w14:solidFill>
                </w14:textFill>
              </w:rPr>
              <w:t>第五十一条第二款</w:t>
            </w:r>
            <w:r>
              <w:rPr>
                <w:rFonts w:hint="eastAsia" w:ascii="仿宋_GB2312" w:hAnsi="宋体" w:eastAsia="仿宋_GB2312" w:cs="宋体"/>
                <w:b/>
                <w:bCs/>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违反本条例规定，毁损、覆盖、涂改、擅自拆除或者移动燃气设施安全警示标志的，由燃气管理部门责令限期改正，恢复原状，可以处5000元以下罚款。</w:t>
            </w:r>
          </w:p>
        </w:tc>
        <w:tc>
          <w:tcPr>
            <w:tcW w:w="912" w:type="dxa"/>
            <w:tcBorders>
              <w:tl2br w:val="nil"/>
              <w:tr2bl w:val="nil"/>
            </w:tcBorders>
            <w:tcMar>
              <w:top w:w="15" w:type="dxa"/>
              <w:left w:w="15" w:type="dxa"/>
              <w:bottom w:w="15" w:type="dxa"/>
              <w:right w:w="15" w:type="dxa"/>
            </w:tcMar>
            <w:vAlign w:val="center"/>
          </w:tcPr>
          <w:p w14:paraId="22ED9793">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250B65E5">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375" w:type="dxa"/>
            <w:tcBorders>
              <w:tl2br w:val="nil"/>
              <w:tr2bl w:val="nil"/>
            </w:tcBorders>
            <w:tcMar>
              <w:top w:w="15" w:type="dxa"/>
              <w:left w:w="15" w:type="dxa"/>
              <w:bottom w:w="15" w:type="dxa"/>
              <w:right w:w="15" w:type="dxa"/>
            </w:tcMar>
            <w:vAlign w:val="center"/>
          </w:tcPr>
          <w:p w14:paraId="1A1E9DA4">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责令限期改正，恢复原状，可以处1千元以下罚款。</w:t>
            </w:r>
          </w:p>
        </w:tc>
      </w:tr>
      <w:tr w14:paraId="452064C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22" w:hRule="atLeast"/>
          <w:jc w:val="center"/>
        </w:trPr>
        <w:tc>
          <w:tcPr>
            <w:tcW w:w="518" w:type="dxa"/>
            <w:vMerge w:val="continue"/>
            <w:tcBorders>
              <w:tl2br w:val="nil"/>
              <w:tr2bl w:val="nil"/>
            </w:tcBorders>
            <w:vAlign w:val="center"/>
          </w:tcPr>
          <w:p w14:paraId="3DC3D12F">
            <w:pPr>
              <w:pStyle w:val="29"/>
              <w:keepNext w:val="0"/>
              <w:keepLines w:val="0"/>
              <w:pageBreakBefore w:val="0"/>
              <w:widowControl/>
              <w:numPr>
                <w:ilvl w:val="0"/>
                <w:numId w:val="3"/>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54B609FB">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5E714267">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vMerge w:val="continue"/>
            <w:tcBorders>
              <w:tl2br w:val="nil"/>
              <w:tr2bl w:val="nil"/>
            </w:tcBorders>
            <w:vAlign w:val="center"/>
          </w:tcPr>
          <w:p w14:paraId="12FD755C">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7A32A068">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426AF7CF">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w:t>
            </w:r>
            <w:r>
              <w:rPr>
                <w:rFonts w:hint="eastAsia" w:ascii="仿宋_GB2312" w:hAnsi="宋体" w:eastAsia="仿宋_GB2312" w:cs="宋体"/>
                <w:color w:val="000000" w:themeColor="text1"/>
                <w:kern w:val="0"/>
                <w:szCs w:val="21"/>
                <w:lang w:eastAsia="zh-CN"/>
                <w14:textFill>
                  <w14:solidFill>
                    <w14:schemeClr w14:val="tx1"/>
                  </w14:solidFill>
                </w14:textFill>
              </w:rPr>
              <w:t>从重情节</w:t>
            </w:r>
            <w:r>
              <w:rPr>
                <w:rFonts w:hint="eastAsia" w:ascii="仿宋_GB2312" w:hAnsi="宋体" w:eastAsia="仿宋_GB2312" w:cs="宋体"/>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1C5159C0">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责令限期改正，恢复原状，可以处1千元以上3千元以下罚款。</w:t>
            </w:r>
          </w:p>
        </w:tc>
      </w:tr>
      <w:tr w14:paraId="4844E33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723" w:hRule="atLeast"/>
          <w:jc w:val="center"/>
        </w:trPr>
        <w:tc>
          <w:tcPr>
            <w:tcW w:w="518" w:type="dxa"/>
            <w:vMerge w:val="continue"/>
            <w:tcBorders>
              <w:tl2br w:val="nil"/>
              <w:tr2bl w:val="nil"/>
            </w:tcBorders>
            <w:vAlign w:val="center"/>
          </w:tcPr>
          <w:p w14:paraId="31E6B291">
            <w:pPr>
              <w:pStyle w:val="29"/>
              <w:keepNext w:val="0"/>
              <w:keepLines w:val="0"/>
              <w:pageBreakBefore w:val="0"/>
              <w:widowControl/>
              <w:numPr>
                <w:ilvl w:val="0"/>
                <w:numId w:val="3"/>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3917ABC8">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49C0BD63">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vMerge w:val="continue"/>
            <w:tcBorders>
              <w:tl2br w:val="nil"/>
              <w:tr2bl w:val="nil"/>
            </w:tcBorders>
            <w:vAlign w:val="center"/>
          </w:tcPr>
          <w:p w14:paraId="79A3609B">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27EFAE32">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41C95CD5">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lang w:val="en-US" w:eastAsia="zh-CN"/>
                <w14:textFill>
                  <w14:solidFill>
                    <w14:schemeClr w14:val="tx1"/>
                  </w14:solidFill>
                </w14:textFill>
              </w:rPr>
              <w:t>有下列情形之一的：</w:t>
            </w: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（1）经责令停止违法行为后，继续实施该违法行为的；（2）曾因实施该违法行为被查处，再次实施该违法行为的；（3）造成安全事故的；（4）造成严重危害后果的。</w:t>
            </w:r>
          </w:p>
        </w:tc>
        <w:tc>
          <w:tcPr>
            <w:tcW w:w="3375" w:type="dxa"/>
            <w:tcBorders>
              <w:tl2br w:val="nil"/>
              <w:tr2bl w:val="nil"/>
            </w:tcBorders>
            <w:tcMar>
              <w:top w:w="15" w:type="dxa"/>
              <w:left w:w="15" w:type="dxa"/>
              <w:bottom w:w="15" w:type="dxa"/>
              <w:right w:w="15" w:type="dxa"/>
            </w:tcMar>
            <w:vAlign w:val="center"/>
          </w:tcPr>
          <w:p w14:paraId="27DC7882">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责令限期改正，恢复原状，可以处3千元以上5千元以下罚款。</w:t>
            </w:r>
          </w:p>
        </w:tc>
      </w:tr>
      <w:tr w14:paraId="442C9F5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22" w:hRule="atLeast"/>
          <w:jc w:val="center"/>
        </w:trPr>
        <w:tc>
          <w:tcPr>
            <w:tcW w:w="518" w:type="dxa"/>
            <w:vMerge w:val="restart"/>
            <w:tcBorders>
              <w:tl2br w:val="nil"/>
              <w:tr2bl w:val="nil"/>
            </w:tcBorders>
            <w:tcMar>
              <w:top w:w="15" w:type="dxa"/>
              <w:left w:w="15" w:type="dxa"/>
              <w:bottom w:w="15" w:type="dxa"/>
              <w:right w:w="15" w:type="dxa"/>
            </w:tcMar>
            <w:vAlign w:val="center"/>
          </w:tcPr>
          <w:p w14:paraId="7CF6C2F3">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131</w:t>
            </w:r>
          </w:p>
        </w:tc>
        <w:tc>
          <w:tcPr>
            <w:tcW w:w="1488" w:type="dxa"/>
            <w:gridSpan w:val="2"/>
            <w:vMerge w:val="restart"/>
            <w:tcBorders>
              <w:tl2br w:val="nil"/>
              <w:tr2bl w:val="nil"/>
            </w:tcBorders>
            <w:tcMar>
              <w:top w:w="15" w:type="dxa"/>
              <w:left w:w="15" w:type="dxa"/>
              <w:bottom w:w="15" w:type="dxa"/>
              <w:right w:w="15" w:type="dxa"/>
            </w:tcMar>
            <w:vAlign w:val="center"/>
          </w:tcPr>
          <w:p w14:paraId="7B94EB7A">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建设工程施工范围内有地下燃气管线等重要燃气设施，建设单位未会同施工单位与管道燃气经营者共同制定燃气设施保护方案，或者建设单位、施工单位未采取相应的安全保护措施的</w:t>
            </w:r>
          </w:p>
        </w:tc>
        <w:tc>
          <w:tcPr>
            <w:tcW w:w="1016" w:type="dxa"/>
            <w:vMerge w:val="restart"/>
            <w:tcBorders>
              <w:tl2br w:val="nil"/>
              <w:tr2bl w:val="nil"/>
            </w:tcBorders>
            <w:tcMar>
              <w:top w:w="15" w:type="dxa"/>
              <w:left w:w="15" w:type="dxa"/>
              <w:bottom w:w="15" w:type="dxa"/>
              <w:right w:w="15" w:type="dxa"/>
            </w:tcMar>
            <w:vAlign w:val="center"/>
          </w:tcPr>
          <w:p w14:paraId="217D4DD6">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《城镇燃气管理条例》第三十七条</w:t>
            </w:r>
          </w:p>
        </w:tc>
        <w:tc>
          <w:tcPr>
            <w:tcW w:w="4354" w:type="dxa"/>
            <w:vMerge w:val="restart"/>
            <w:tcBorders>
              <w:tl2br w:val="nil"/>
              <w:tr2bl w:val="nil"/>
            </w:tcBorders>
            <w:tcMar>
              <w:top w:w="15" w:type="dxa"/>
              <w:left w:w="15" w:type="dxa"/>
              <w:bottom w:w="15" w:type="dxa"/>
              <w:right w:w="15" w:type="dxa"/>
            </w:tcMar>
            <w:vAlign w:val="center"/>
          </w:tcPr>
          <w:p w14:paraId="415031A0">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bookmarkStart w:id="4" w:name="52"/>
            <w:r>
              <w:rPr>
                <w:rFonts w:hint="eastAsia" w:ascii="仿宋_GB2312" w:hAnsi="宋体" w:eastAsia="仿宋_GB2312" w:cs="宋体"/>
                <w:color w:val="000000" w:themeColor="text1"/>
                <w:kern w:val="0"/>
                <w:szCs w:val="21"/>
                <w14:textFill>
                  <w14:solidFill>
                    <w14:schemeClr w14:val="tx1"/>
                  </w14:solidFill>
                </w14:textFill>
              </w:rPr>
              <w:t>《城镇燃气管理条例》</w:t>
            </w:r>
            <w:r>
              <w:rPr>
                <w:rFonts w:hint="eastAsia" w:ascii="仿宋_GB2312" w:hAnsi="宋体" w:eastAsia="仿宋_GB2312" w:cs="宋体"/>
                <w:b/>
                <w:bCs/>
                <w:color w:val="000000" w:themeColor="text1"/>
                <w:kern w:val="0"/>
                <w:szCs w:val="21"/>
                <w14:textFill>
                  <w14:solidFill>
                    <w14:schemeClr w14:val="tx1"/>
                  </w14:solidFill>
                </w14:textFill>
              </w:rPr>
              <w:t>第五十二条</w:t>
            </w:r>
            <w:bookmarkEnd w:id="4"/>
            <w:r>
              <w:rPr>
                <w:rFonts w:hint="eastAsia" w:ascii="仿宋_GB2312" w:hAnsi="宋体" w:eastAsia="仿宋_GB2312" w:cs="宋体"/>
                <w:b/>
                <w:bCs/>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违反本条例规定，建设工程施工范围内有地下燃气管线等重要燃气设施，建设单位未会同施工单位与管道燃气经营者共同制定燃气设施保护方案，或者建设单位、施工单位未采取相应的安全保护措施的，由燃气管理部门责令改正，处1万元以上10万元以下罚款；造成损失的，依法承担赔偿责任；构成犯罪的，依法追究刑事责任。</w:t>
            </w:r>
          </w:p>
        </w:tc>
        <w:tc>
          <w:tcPr>
            <w:tcW w:w="912" w:type="dxa"/>
            <w:tcBorders>
              <w:tl2br w:val="nil"/>
              <w:tr2bl w:val="nil"/>
            </w:tcBorders>
            <w:tcMar>
              <w:top w:w="15" w:type="dxa"/>
              <w:left w:w="15" w:type="dxa"/>
              <w:bottom w:w="15" w:type="dxa"/>
              <w:right w:w="15" w:type="dxa"/>
            </w:tcMar>
            <w:vAlign w:val="center"/>
          </w:tcPr>
          <w:p w14:paraId="36112A65">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554CFCAE">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375" w:type="dxa"/>
            <w:tcBorders>
              <w:tl2br w:val="nil"/>
              <w:tr2bl w:val="nil"/>
            </w:tcBorders>
            <w:tcMar>
              <w:top w:w="15" w:type="dxa"/>
              <w:left w:w="15" w:type="dxa"/>
              <w:bottom w:w="15" w:type="dxa"/>
              <w:right w:w="15" w:type="dxa"/>
            </w:tcMar>
            <w:vAlign w:val="center"/>
          </w:tcPr>
          <w:p w14:paraId="558D7CCB">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责令改正，处1万元以上3万元以下罚款。</w:t>
            </w:r>
          </w:p>
        </w:tc>
      </w:tr>
      <w:tr w14:paraId="7A04B2F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22" w:hRule="atLeast"/>
          <w:jc w:val="center"/>
        </w:trPr>
        <w:tc>
          <w:tcPr>
            <w:tcW w:w="518" w:type="dxa"/>
            <w:vMerge w:val="continue"/>
            <w:tcBorders>
              <w:tl2br w:val="nil"/>
              <w:tr2bl w:val="nil"/>
            </w:tcBorders>
            <w:vAlign w:val="center"/>
          </w:tcPr>
          <w:p w14:paraId="1EF1DB5B">
            <w:pPr>
              <w:pStyle w:val="29"/>
              <w:keepNext w:val="0"/>
              <w:keepLines w:val="0"/>
              <w:pageBreakBefore w:val="0"/>
              <w:widowControl/>
              <w:numPr>
                <w:ilvl w:val="0"/>
                <w:numId w:val="3"/>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5FC49974">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39BD36E5">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vMerge w:val="continue"/>
            <w:tcBorders>
              <w:tl2br w:val="nil"/>
              <w:tr2bl w:val="nil"/>
            </w:tcBorders>
            <w:vAlign w:val="center"/>
          </w:tcPr>
          <w:p w14:paraId="06251C34">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1838BBD0">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0498D7F2">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w:t>
            </w:r>
            <w:r>
              <w:rPr>
                <w:rFonts w:hint="eastAsia" w:ascii="仿宋_GB2312" w:hAnsi="宋体" w:eastAsia="仿宋_GB2312" w:cs="宋体"/>
                <w:color w:val="000000" w:themeColor="text1"/>
                <w:kern w:val="0"/>
                <w:szCs w:val="21"/>
                <w:lang w:eastAsia="zh-CN"/>
                <w14:textFill>
                  <w14:solidFill>
                    <w14:schemeClr w14:val="tx1"/>
                  </w14:solidFill>
                </w14:textFill>
              </w:rPr>
              <w:t>从重情节</w:t>
            </w:r>
            <w:r>
              <w:rPr>
                <w:rFonts w:hint="eastAsia" w:ascii="仿宋_GB2312" w:hAnsi="宋体" w:eastAsia="仿宋_GB2312" w:cs="宋体"/>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684E547F">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责令改正，处3万元以上5万元以下罚款。</w:t>
            </w:r>
          </w:p>
        </w:tc>
      </w:tr>
      <w:tr w14:paraId="3613706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556" w:hRule="atLeast"/>
          <w:jc w:val="center"/>
        </w:trPr>
        <w:tc>
          <w:tcPr>
            <w:tcW w:w="518" w:type="dxa"/>
            <w:vMerge w:val="continue"/>
            <w:tcBorders>
              <w:tl2br w:val="nil"/>
              <w:tr2bl w:val="nil"/>
            </w:tcBorders>
            <w:vAlign w:val="center"/>
          </w:tcPr>
          <w:p w14:paraId="62E1365C">
            <w:pPr>
              <w:pStyle w:val="29"/>
              <w:keepNext w:val="0"/>
              <w:keepLines w:val="0"/>
              <w:pageBreakBefore w:val="0"/>
              <w:widowControl/>
              <w:numPr>
                <w:ilvl w:val="0"/>
                <w:numId w:val="3"/>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6DFC6AD4">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5F918A6A">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vMerge w:val="continue"/>
            <w:tcBorders>
              <w:tl2br w:val="nil"/>
              <w:tr2bl w:val="nil"/>
            </w:tcBorders>
            <w:vAlign w:val="center"/>
          </w:tcPr>
          <w:p w14:paraId="537A9094">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4549C4ED">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5500A416">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经责令停止违法行为后，继续实施违法行为的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造成严重危害后果的。</w:t>
            </w:r>
          </w:p>
        </w:tc>
        <w:tc>
          <w:tcPr>
            <w:tcW w:w="3375" w:type="dxa"/>
            <w:tcBorders>
              <w:tl2br w:val="nil"/>
              <w:tr2bl w:val="nil"/>
            </w:tcBorders>
            <w:tcMar>
              <w:top w:w="15" w:type="dxa"/>
              <w:left w:w="15" w:type="dxa"/>
              <w:bottom w:w="15" w:type="dxa"/>
              <w:right w:w="15" w:type="dxa"/>
            </w:tcMar>
            <w:vAlign w:val="center"/>
          </w:tcPr>
          <w:p w14:paraId="341F9E64">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责令改正，处5万元以上10万元以下罚款。</w:t>
            </w:r>
          </w:p>
        </w:tc>
      </w:tr>
      <w:tr w14:paraId="46165DF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254" w:hRule="atLeast"/>
          <w:jc w:val="center"/>
        </w:trPr>
        <w:tc>
          <w:tcPr>
            <w:tcW w:w="518" w:type="dxa"/>
            <w:vMerge w:val="restart"/>
            <w:tcBorders>
              <w:tl2br w:val="nil"/>
              <w:tr2bl w:val="nil"/>
            </w:tcBorders>
            <w:vAlign w:val="center"/>
          </w:tcPr>
          <w:p w14:paraId="4CA500B5">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132</w:t>
            </w:r>
          </w:p>
        </w:tc>
        <w:tc>
          <w:tcPr>
            <w:tcW w:w="1488" w:type="dxa"/>
            <w:gridSpan w:val="2"/>
            <w:vMerge w:val="restart"/>
            <w:tcBorders>
              <w:tl2br w:val="nil"/>
              <w:tr2bl w:val="nil"/>
            </w:tcBorders>
            <w:vAlign w:val="center"/>
          </w:tcPr>
          <w:p w14:paraId="3468D358">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燃气经营企业销售未经许可的充装单位充装的瓶装燃气或者销售充装单位擅自为非自有气瓶充装的瓶装燃气的</w:t>
            </w:r>
          </w:p>
          <w:p w14:paraId="3642DC55">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restart"/>
            <w:tcBorders>
              <w:tl2br w:val="nil"/>
              <w:tr2bl w:val="nil"/>
            </w:tcBorders>
            <w:vAlign w:val="center"/>
          </w:tcPr>
          <w:p w14:paraId="40A48C41">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《城镇燃气管理条例》第十八条第八项</w:t>
            </w:r>
          </w:p>
          <w:p w14:paraId="4A1AA34B">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kern w:val="0"/>
                <w:szCs w:val="21"/>
                <w14:textFill>
                  <w14:solidFill>
                    <w14:schemeClr w14:val="tx1"/>
                  </w14:solidFill>
                </w14:textFill>
              </w:rPr>
            </w:pPr>
          </w:p>
        </w:tc>
        <w:tc>
          <w:tcPr>
            <w:tcW w:w="4354" w:type="dxa"/>
            <w:vMerge w:val="restart"/>
            <w:tcBorders>
              <w:tl2br w:val="nil"/>
              <w:tr2bl w:val="nil"/>
            </w:tcBorders>
            <w:vAlign w:val="center"/>
          </w:tcPr>
          <w:p w14:paraId="1DE97CBD">
            <w:pPr>
              <w:pStyle w:val="11"/>
              <w:keepNext w:val="0"/>
              <w:keepLines w:val="0"/>
              <w:pageBreakBefore w:val="0"/>
              <w:shd w:val="clear" w:color="auto" w:fill="FFFFFF"/>
              <w:kinsoku/>
              <w:overflowPunct/>
              <w:topLinePunct w:val="0"/>
              <w:autoSpaceDE/>
              <w:autoSpaceDN/>
              <w:bidi w:val="0"/>
              <w:adjustRightInd/>
              <w:spacing w:before="0" w:beforeAutospacing="0" w:after="0" w:afterAutospacing="0" w:line="260" w:lineRule="exact"/>
              <w:jc w:val="both"/>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《城镇燃气管理条例》</w:t>
            </w:r>
            <w:r>
              <w:rPr>
                <w:rFonts w:hint="eastAsia" w:ascii="仿宋_GB2312" w:eastAsia="仿宋_GB2312"/>
                <w:b/>
                <w:bCs/>
                <w:color w:val="000000" w:themeColor="text1"/>
                <w:sz w:val="21"/>
                <w:szCs w:val="21"/>
                <w14:textFill>
                  <w14:solidFill>
                    <w14:schemeClr w14:val="tx1"/>
                  </w14:solidFill>
                </w14:textFill>
              </w:rPr>
              <w:t>第四十七条</w:t>
            </w:r>
            <w:r>
              <w:rPr>
                <w:rFonts w:hint="eastAsia" w:ascii="仿宋_GB2312" w:eastAsia="仿宋_GB2312"/>
                <w:b/>
                <w:bCs/>
                <w:color w:val="000000" w:themeColor="text1"/>
                <w:sz w:val="21"/>
                <w:szCs w:val="21"/>
                <w:lang w:eastAsia="zh-CN"/>
                <w14:textFill>
                  <w14:solidFill>
                    <w14:schemeClr w14:val="tx1"/>
                  </w14:solidFill>
                </w14:textFill>
              </w:rPr>
              <w:t>：</w:t>
            </w:r>
            <w:r>
              <w:rPr>
                <w:rFonts w:hint="eastAsia" w:ascii="仿宋_GB2312" w:eastAsia="仿宋_GB2312"/>
                <w:color w:val="000000" w:themeColor="text1"/>
                <w:sz w:val="21"/>
                <w:szCs w:val="21"/>
                <w14:textFill>
                  <w14:solidFill>
                    <w14:schemeClr w14:val="tx1"/>
                  </w14:solidFill>
                </w14:textFill>
              </w:rPr>
              <w:t>违反本条例规定，擅自为非自有气瓶充装燃气或者销售未经许可的充装单位充装的瓶装燃气的，依照国家有关气瓶安全监察的规定进行处罚。</w:t>
            </w:r>
          </w:p>
          <w:p w14:paraId="69507F52">
            <w:pPr>
              <w:pStyle w:val="11"/>
              <w:keepNext w:val="0"/>
              <w:keepLines w:val="0"/>
              <w:pageBreakBefore w:val="0"/>
              <w:shd w:val="clear" w:color="auto" w:fill="FFFFFF"/>
              <w:kinsoku/>
              <w:overflowPunct/>
              <w:topLinePunct w:val="0"/>
              <w:autoSpaceDE/>
              <w:autoSpaceDN/>
              <w:bidi w:val="0"/>
              <w:adjustRightInd/>
              <w:spacing w:before="0" w:beforeAutospacing="0" w:after="0" w:afterAutospacing="0" w:line="260" w:lineRule="exact"/>
              <w:ind w:firstLine="420" w:firstLineChars="200"/>
              <w:jc w:val="both"/>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违反本条例规定，销售充装单位擅自为非自有气瓶充装的瓶装燃气的，由燃气管理部门责令改正，可以处1万元以下罚款。 违反本条例规定，冒用其他企业名称或者标识从事燃气经营、服务活动，依照有关反不正当竞争的法律规定进行处罚。</w:t>
            </w:r>
          </w:p>
        </w:tc>
        <w:tc>
          <w:tcPr>
            <w:tcW w:w="912" w:type="dxa"/>
            <w:tcBorders>
              <w:tl2br w:val="nil"/>
              <w:tr2bl w:val="nil"/>
            </w:tcBorders>
            <w:tcMar>
              <w:top w:w="15" w:type="dxa"/>
              <w:left w:w="15" w:type="dxa"/>
              <w:bottom w:w="15" w:type="dxa"/>
              <w:right w:w="15" w:type="dxa"/>
            </w:tcMar>
            <w:vAlign w:val="center"/>
          </w:tcPr>
          <w:p w14:paraId="15CC2C43">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14483795">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初次违法，危害后果轻微，积极整改的。</w:t>
            </w:r>
          </w:p>
        </w:tc>
        <w:tc>
          <w:tcPr>
            <w:tcW w:w="3375" w:type="dxa"/>
            <w:tcBorders>
              <w:tl2br w:val="nil"/>
              <w:tr2bl w:val="nil"/>
            </w:tcBorders>
            <w:tcMar>
              <w:top w:w="15" w:type="dxa"/>
              <w:left w:w="15" w:type="dxa"/>
              <w:bottom w:w="15" w:type="dxa"/>
              <w:right w:w="15" w:type="dxa"/>
            </w:tcMar>
            <w:vAlign w:val="center"/>
          </w:tcPr>
          <w:p w14:paraId="50DFB5EB">
            <w:pPr>
              <w:keepNext w:val="0"/>
              <w:keepLines w:val="0"/>
              <w:pageBreakBefore w:val="0"/>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责令改正，可处2千元罚款。</w:t>
            </w:r>
          </w:p>
        </w:tc>
      </w:tr>
      <w:tr w14:paraId="53B2761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735" w:hRule="atLeast"/>
          <w:jc w:val="center"/>
        </w:trPr>
        <w:tc>
          <w:tcPr>
            <w:tcW w:w="518" w:type="dxa"/>
            <w:vMerge w:val="continue"/>
            <w:tcBorders>
              <w:tl2br w:val="nil"/>
              <w:tr2bl w:val="nil"/>
            </w:tcBorders>
            <w:vAlign w:val="center"/>
          </w:tcPr>
          <w:p w14:paraId="01AC1308">
            <w:pPr>
              <w:pStyle w:val="29"/>
              <w:keepNext w:val="0"/>
              <w:keepLines w:val="0"/>
              <w:pageBreakBefore w:val="0"/>
              <w:widowControl/>
              <w:numPr>
                <w:ilvl w:val="0"/>
                <w:numId w:val="3"/>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6EEA8DFD">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08BB15D4">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vMerge w:val="continue"/>
            <w:tcBorders>
              <w:tl2br w:val="nil"/>
              <w:tr2bl w:val="nil"/>
            </w:tcBorders>
            <w:vAlign w:val="center"/>
          </w:tcPr>
          <w:p w14:paraId="329CFB85">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089276CB">
            <w:pPr>
              <w:keepNext w:val="0"/>
              <w:keepLines w:val="0"/>
              <w:pageBreakBefore w:val="0"/>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55DC167E">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w:t>
            </w:r>
            <w:r>
              <w:rPr>
                <w:rFonts w:hint="eastAsia" w:ascii="仿宋_GB2312" w:hAnsi="宋体" w:eastAsia="仿宋_GB2312" w:cs="宋体"/>
                <w:color w:val="000000" w:themeColor="text1"/>
                <w:kern w:val="0"/>
                <w:szCs w:val="21"/>
                <w:lang w:eastAsia="zh-CN"/>
                <w14:textFill>
                  <w14:solidFill>
                    <w14:schemeClr w14:val="tx1"/>
                  </w14:solidFill>
                </w14:textFill>
              </w:rPr>
              <w:t>从重情节</w:t>
            </w:r>
            <w:r>
              <w:rPr>
                <w:rFonts w:hint="eastAsia" w:ascii="仿宋_GB2312" w:hAnsi="宋体" w:eastAsia="仿宋_GB2312" w:cs="宋体"/>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0CF94BAD">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责令改正，可处2</w:t>
            </w:r>
            <w:r>
              <w:rPr>
                <w:rFonts w:hint="eastAsia" w:ascii="仿宋_GB2312" w:hAnsi="宋体" w:eastAsia="仿宋_GB2312" w:cs="宋体"/>
                <w:color w:val="000000" w:themeColor="text1"/>
                <w:kern w:val="0"/>
                <w:szCs w:val="21"/>
                <w14:textFill>
                  <w14:solidFill>
                    <w14:schemeClr w14:val="tx1"/>
                  </w14:solidFill>
                </w14:textFill>
              </w:rPr>
              <w:t>千元以上</w:t>
            </w:r>
            <w:r>
              <w:rPr>
                <w:rFonts w:hint="eastAsia" w:ascii="仿宋_GB2312" w:hAnsi="宋体" w:eastAsia="仿宋_GB2312" w:cs="宋体"/>
                <w:color w:val="000000" w:themeColor="text1"/>
                <w:szCs w:val="21"/>
                <w14:textFill>
                  <w14:solidFill>
                    <w14:schemeClr w14:val="tx1"/>
                  </w14:solidFill>
                </w14:textFill>
              </w:rPr>
              <w:t>5千元以下罚款。</w:t>
            </w:r>
          </w:p>
        </w:tc>
      </w:tr>
      <w:tr w14:paraId="3F814F6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556" w:hRule="atLeast"/>
          <w:jc w:val="center"/>
        </w:trPr>
        <w:tc>
          <w:tcPr>
            <w:tcW w:w="518" w:type="dxa"/>
            <w:vMerge w:val="continue"/>
            <w:tcBorders>
              <w:tl2br w:val="nil"/>
              <w:tr2bl w:val="nil"/>
            </w:tcBorders>
            <w:vAlign w:val="center"/>
          </w:tcPr>
          <w:p w14:paraId="5A112C0E">
            <w:pPr>
              <w:pStyle w:val="29"/>
              <w:keepNext w:val="0"/>
              <w:keepLines w:val="0"/>
              <w:pageBreakBefore w:val="0"/>
              <w:widowControl/>
              <w:numPr>
                <w:ilvl w:val="0"/>
                <w:numId w:val="3"/>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2F48C0EE">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6B5FF46A">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vMerge w:val="continue"/>
            <w:tcBorders>
              <w:tl2br w:val="nil"/>
              <w:tr2bl w:val="nil"/>
            </w:tcBorders>
            <w:vAlign w:val="center"/>
          </w:tcPr>
          <w:p w14:paraId="71BA8912">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79AC5DB2">
            <w:pPr>
              <w:keepNext w:val="0"/>
              <w:keepLines w:val="0"/>
              <w:pageBreakBefore w:val="0"/>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15F5770C">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经责令停止违法行为后，继续实施该违法行为的</w:t>
            </w:r>
            <w:r>
              <w:rPr>
                <w:rFonts w:hint="eastAsia" w:ascii="仿宋_GB2312" w:hAnsi="宋体" w:eastAsia="仿宋_GB2312" w:cs="宋体"/>
                <w:color w:val="000000" w:themeColor="text1"/>
                <w:szCs w:val="21"/>
                <w:lang w:eastAsia="zh-CN"/>
                <w14:textFill>
                  <w14:solidFill>
                    <w14:schemeClr w14:val="tx1"/>
                  </w14:solidFill>
                </w14:textFill>
              </w:rPr>
              <w:t>，</w:t>
            </w:r>
            <w:r>
              <w:rPr>
                <w:rFonts w:hint="eastAsia" w:ascii="仿宋_GB2312" w:hAnsi="宋体" w:eastAsia="仿宋_GB2312" w:cs="宋体"/>
                <w:color w:val="000000" w:themeColor="text1"/>
                <w:szCs w:val="21"/>
                <w:lang w:val="en-US" w:eastAsia="zh-CN"/>
                <w14:textFill>
                  <w14:solidFill>
                    <w14:schemeClr w14:val="tx1"/>
                  </w14:solidFill>
                </w14:textFill>
              </w:rPr>
              <w:t>或</w:t>
            </w:r>
            <w:r>
              <w:rPr>
                <w:rFonts w:hint="eastAsia" w:ascii="仿宋_GB2312" w:hAnsi="宋体" w:eastAsia="仿宋_GB2312" w:cs="宋体"/>
                <w:color w:val="000000" w:themeColor="text1"/>
                <w:szCs w:val="21"/>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szCs w:val="21"/>
                <w:lang w:eastAsia="zh-CN"/>
                <w14:textFill>
                  <w14:solidFill>
                    <w14:schemeClr w14:val="tx1"/>
                  </w14:solidFill>
                </w14:textFill>
              </w:rPr>
              <w:t>，</w:t>
            </w:r>
            <w:r>
              <w:rPr>
                <w:rFonts w:hint="eastAsia" w:ascii="仿宋_GB2312" w:hAnsi="宋体" w:eastAsia="仿宋_GB2312" w:cs="宋体"/>
                <w:color w:val="000000" w:themeColor="text1"/>
                <w:szCs w:val="21"/>
                <w:lang w:val="en-US" w:eastAsia="zh-CN"/>
                <w14:textFill>
                  <w14:solidFill>
                    <w14:schemeClr w14:val="tx1"/>
                  </w14:solidFill>
                </w14:textFill>
              </w:rPr>
              <w:t>或</w:t>
            </w:r>
            <w:r>
              <w:rPr>
                <w:rFonts w:hint="eastAsia" w:ascii="仿宋_GB2312" w:hAnsi="宋体" w:eastAsia="仿宋_GB2312" w:cs="宋体"/>
                <w:color w:val="000000" w:themeColor="text1"/>
                <w:szCs w:val="21"/>
                <w14:textFill>
                  <w14:solidFill>
                    <w14:schemeClr w14:val="tx1"/>
                  </w14:solidFill>
                </w14:textFill>
              </w:rPr>
              <w:t>造成严重危害后果的。</w:t>
            </w:r>
          </w:p>
        </w:tc>
        <w:tc>
          <w:tcPr>
            <w:tcW w:w="3375" w:type="dxa"/>
            <w:tcBorders>
              <w:tl2br w:val="nil"/>
              <w:tr2bl w:val="nil"/>
            </w:tcBorders>
            <w:tcMar>
              <w:top w:w="15" w:type="dxa"/>
              <w:left w:w="15" w:type="dxa"/>
              <w:bottom w:w="15" w:type="dxa"/>
              <w:right w:w="15" w:type="dxa"/>
            </w:tcMar>
            <w:vAlign w:val="center"/>
          </w:tcPr>
          <w:p w14:paraId="020916B9">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责令改正，可处5千元以上1万元以下罚款。</w:t>
            </w:r>
          </w:p>
        </w:tc>
      </w:tr>
      <w:tr w14:paraId="18A2E70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256" w:hRule="atLeast"/>
          <w:jc w:val="center"/>
        </w:trPr>
        <w:tc>
          <w:tcPr>
            <w:tcW w:w="518" w:type="dxa"/>
            <w:vMerge w:val="continue"/>
            <w:tcBorders>
              <w:tl2br w:val="nil"/>
              <w:tr2bl w:val="nil"/>
            </w:tcBorders>
            <w:vAlign w:val="center"/>
          </w:tcPr>
          <w:p w14:paraId="219AF13E">
            <w:pPr>
              <w:pStyle w:val="29"/>
              <w:keepNext w:val="0"/>
              <w:keepLines w:val="0"/>
              <w:pageBreakBefore w:val="0"/>
              <w:widowControl/>
              <w:numPr>
                <w:ilvl w:val="0"/>
                <w:numId w:val="3"/>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66A09D5D">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6A6FA476">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vMerge w:val="continue"/>
            <w:tcBorders>
              <w:tl2br w:val="nil"/>
              <w:tr2bl w:val="nil"/>
            </w:tcBorders>
            <w:vAlign w:val="center"/>
          </w:tcPr>
          <w:p w14:paraId="54BF69CA">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2AC07CC4">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165F201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整改不积极的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造成严重危害后果的。</w:t>
            </w:r>
          </w:p>
        </w:tc>
        <w:tc>
          <w:tcPr>
            <w:tcW w:w="3375" w:type="dxa"/>
            <w:tcBorders>
              <w:tl2br w:val="nil"/>
              <w:tr2bl w:val="nil"/>
            </w:tcBorders>
            <w:tcMar>
              <w:top w:w="15" w:type="dxa"/>
              <w:left w:w="15" w:type="dxa"/>
              <w:bottom w:w="15" w:type="dxa"/>
              <w:right w:w="15" w:type="dxa"/>
            </w:tcMar>
            <w:vAlign w:val="center"/>
          </w:tcPr>
          <w:p w14:paraId="5E463467">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责令限期改正，并可处3千元以上5千元以下的罚款。</w:t>
            </w:r>
          </w:p>
        </w:tc>
      </w:tr>
      <w:tr w14:paraId="2BD3B03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256" w:hRule="atLeast"/>
          <w:jc w:val="center"/>
        </w:trPr>
        <w:tc>
          <w:tcPr>
            <w:tcW w:w="518" w:type="dxa"/>
            <w:vMerge w:val="restart"/>
            <w:tcBorders>
              <w:tl2br w:val="nil"/>
              <w:tr2bl w:val="nil"/>
            </w:tcBorders>
            <w:vAlign w:val="center"/>
          </w:tcPr>
          <w:p w14:paraId="1EBB28B2">
            <w:pPr>
              <w:pStyle w:val="29"/>
              <w:keepNext w:val="0"/>
              <w:keepLines w:val="0"/>
              <w:pageBreakBefore w:val="0"/>
              <w:widowControl/>
              <w:numPr>
                <w:ilvl w:val="0"/>
                <w:numId w:val="0"/>
              </w:numPr>
              <w:kinsoku/>
              <w:overflowPunct/>
              <w:topLinePunct w:val="0"/>
              <w:autoSpaceDE/>
              <w:autoSpaceDN/>
              <w:bidi w:val="0"/>
              <w:adjustRightInd/>
              <w:spacing w:line="260" w:lineRule="exact"/>
              <w:ind w:left="420" w:leftChars="0" w:hanging="420" w:firstLineChars="0"/>
              <w:jc w:val="center"/>
              <w:rPr>
                <w:rFonts w:hint="eastAsia" w:ascii="仿宋_GB2312" w:hAnsi="宋体" w:eastAsia="仿宋_GB2312" w:cs="宋体"/>
                <w:color w:val="000000" w:themeColor="text1"/>
                <w:kern w:val="2"/>
                <w:sz w:val="21"/>
                <w:szCs w:val="21"/>
                <w:lang w:val="en-US" w:eastAsia="zh-CN" w:bidi="ar-SA"/>
                <w14:textFill>
                  <w14:solidFill>
                    <w14:schemeClr w14:val="tx1"/>
                  </w14:solidFill>
                </w14:textFill>
              </w:rPr>
            </w:pPr>
          </w:p>
          <w:p w14:paraId="2EE9A383">
            <w:pPr>
              <w:pStyle w:val="29"/>
              <w:keepNext w:val="0"/>
              <w:keepLines w:val="0"/>
              <w:pageBreakBefore w:val="0"/>
              <w:widowControl/>
              <w:numPr>
                <w:ilvl w:val="0"/>
                <w:numId w:val="0"/>
              </w:numPr>
              <w:kinsoku/>
              <w:overflowPunct/>
              <w:topLinePunct w:val="0"/>
              <w:autoSpaceDE/>
              <w:autoSpaceDN/>
              <w:bidi w:val="0"/>
              <w:adjustRightInd/>
              <w:spacing w:line="260" w:lineRule="exact"/>
              <w:ind w:left="420" w:leftChars="0" w:hanging="420" w:firstLineChars="0"/>
              <w:jc w:val="center"/>
              <w:rPr>
                <w:rFonts w:hint="eastAsia" w:ascii="仿宋_GB2312" w:hAnsi="宋体" w:eastAsia="仿宋_GB2312" w:cs="宋体"/>
                <w:color w:val="000000" w:themeColor="text1"/>
                <w:kern w:val="2"/>
                <w:sz w:val="21"/>
                <w:szCs w:val="21"/>
                <w:lang w:val="en-US" w:eastAsia="zh-CN" w:bidi="ar-SA"/>
                <w14:textFill>
                  <w14:solidFill>
                    <w14:schemeClr w14:val="tx1"/>
                  </w14:solidFill>
                </w14:textFill>
              </w:rPr>
            </w:pPr>
          </w:p>
          <w:p w14:paraId="33B5319E">
            <w:pPr>
              <w:pStyle w:val="29"/>
              <w:keepNext w:val="0"/>
              <w:keepLines w:val="0"/>
              <w:pageBreakBefore w:val="0"/>
              <w:widowControl/>
              <w:numPr>
                <w:ilvl w:val="0"/>
                <w:numId w:val="0"/>
              </w:numPr>
              <w:kinsoku/>
              <w:overflowPunct/>
              <w:topLinePunct w:val="0"/>
              <w:autoSpaceDE/>
              <w:autoSpaceDN/>
              <w:bidi w:val="0"/>
              <w:adjustRightInd/>
              <w:spacing w:line="260" w:lineRule="exact"/>
              <w:ind w:left="420" w:leftChars="0" w:hanging="420" w:firstLineChars="0"/>
              <w:jc w:val="center"/>
              <w:rPr>
                <w:rFonts w:hint="eastAsia" w:ascii="仿宋_GB2312" w:hAnsi="宋体" w:eastAsia="仿宋_GB2312" w:cs="宋体"/>
                <w:color w:val="000000" w:themeColor="text1"/>
                <w:kern w:val="2"/>
                <w:sz w:val="21"/>
                <w:szCs w:val="21"/>
                <w:lang w:val="en-US" w:eastAsia="zh-CN" w:bidi="ar-SA"/>
                <w14:textFill>
                  <w14:solidFill>
                    <w14:schemeClr w14:val="tx1"/>
                  </w14:solidFill>
                </w14:textFill>
              </w:rPr>
            </w:pPr>
          </w:p>
          <w:p w14:paraId="30081F29">
            <w:pPr>
              <w:pStyle w:val="29"/>
              <w:keepNext w:val="0"/>
              <w:keepLines w:val="0"/>
              <w:pageBreakBefore w:val="0"/>
              <w:widowControl/>
              <w:numPr>
                <w:ilvl w:val="0"/>
                <w:numId w:val="0"/>
              </w:numPr>
              <w:kinsoku/>
              <w:overflowPunct/>
              <w:topLinePunct w:val="0"/>
              <w:autoSpaceDE/>
              <w:autoSpaceDN/>
              <w:bidi w:val="0"/>
              <w:adjustRightInd/>
              <w:spacing w:line="260" w:lineRule="exact"/>
              <w:ind w:left="420" w:leftChars="0" w:hanging="420" w:firstLineChars="0"/>
              <w:jc w:val="center"/>
              <w:rPr>
                <w:rFonts w:hint="eastAsia" w:ascii="仿宋_GB2312" w:hAnsi="宋体" w:eastAsia="仿宋_GB2312" w:cs="宋体"/>
                <w:color w:val="000000" w:themeColor="text1"/>
                <w:kern w:val="2"/>
                <w:sz w:val="21"/>
                <w:szCs w:val="21"/>
                <w:lang w:val="en-US" w:eastAsia="zh-CN" w:bidi="ar-SA"/>
                <w14:textFill>
                  <w14:solidFill>
                    <w14:schemeClr w14:val="tx1"/>
                  </w14:solidFill>
                </w14:textFill>
              </w:rPr>
            </w:pPr>
          </w:p>
          <w:p w14:paraId="1B386195">
            <w:pPr>
              <w:pStyle w:val="29"/>
              <w:keepNext w:val="0"/>
              <w:keepLines w:val="0"/>
              <w:pageBreakBefore w:val="0"/>
              <w:widowControl/>
              <w:numPr>
                <w:ilvl w:val="0"/>
                <w:numId w:val="0"/>
              </w:numPr>
              <w:kinsoku/>
              <w:overflowPunct/>
              <w:topLinePunct w:val="0"/>
              <w:autoSpaceDE/>
              <w:autoSpaceDN/>
              <w:bidi w:val="0"/>
              <w:adjustRightInd/>
              <w:spacing w:line="260" w:lineRule="exact"/>
              <w:ind w:left="420" w:leftChars="0" w:hanging="420" w:firstLineChars="0"/>
              <w:jc w:val="center"/>
              <w:rPr>
                <w:rFonts w:hint="eastAsia" w:ascii="仿宋_GB2312" w:hAnsi="宋体" w:eastAsia="仿宋_GB2312" w:cs="宋体"/>
                <w:color w:val="000000" w:themeColor="text1"/>
                <w:kern w:val="2"/>
                <w:sz w:val="21"/>
                <w:szCs w:val="21"/>
                <w:lang w:val="en-US" w:eastAsia="zh-CN" w:bidi="ar-SA"/>
                <w14:textFill>
                  <w14:solidFill>
                    <w14:schemeClr w14:val="tx1"/>
                  </w14:solidFill>
                </w14:textFill>
              </w:rPr>
            </w:pPr>
          </w:p>
          <w:p w14:paraId="7E5851E8">
            <w:pPr>
              <w:pStyle w:val="29"/>
              <w:keepNext w:val="0"/>
              <w:keepLines w:val="0"/>
              <w:pageBreakBefore w:val="0"/>
              <w:widowControl/>
              <w:numPr>
                <w:ilvl w:val="0"/>
                <w:numId w:val="0"/>
              </w:numPr>
              <w:kinsoku/>
              <w:overflowPunct/>
              <w:topLinePunct w:val="0"/>
              <w:autoSpaceDE/>
              <w:autoSpaceDN/>
              <w:bidi w:val="0"/>
              <w:adjustRightInd/>
              <w:spacing w:line="260" w:lineRule="exact"/>
              <w:ind w:left="420" w:leftChars="0" w:hanging="420" w:firstLineChars="0"/>
              <w:jc w:val="center"/>
              <w:rPr>
                <w:rFonts w:hint="eastAsia" w:ascii="仿宋_GB2312" w:hAnsi="宋体" w:eastAsia="仿宋_GB2312" w:cs="宋体"/>
                <w:color w:val="000000" w:themeColor="text1"/>
                <w:kern w:val="2"/>
                <w:sz w:val="21"/>
                <w:szCs w:val="21"/>
                <w:lang w:val="en-US" w:eastAsia="zh-CN" w:bidi="ar-SA"/>
                <w14:textFill>
                  <w14:solidFill>
                    <w14:schemeClr w14:val="tx1"/>
                  </w14:solidFill>
                </w14:textFill>
              </w:rPr>
            </w:pPr>
          </w:p>
          <w:p w14:paraId="7D78C46E">
            <w:pPr>
              <w:pStyle w:val="29"/>
              <w:keepNext w:val="0"/>
              <w:keepLines w:val="0"/>
              <w:pageBreakBefore w:val="0"/>
              <w:widowControl/>
              <w:numPr>
                <w:ilvl w:val="0"/>
                <w:numId w:val="0"/>
              </w:numPr>
              <w:kinsoku/>
              <w:overflowPunct/>
              <w:topLinePunct w:val="0"/>
              <w:autoSpaceDE/>
              <w:autoSpaceDN/>
              <w:bidi w:val="0"/>
              <w:adjustRightInd/>
              <w:spacing w:line="260" w:lineRule="exact"/>
              <w:ind w:left="420" w:leftChars="0" w:hanging="420" w:firstLineChars="0"/>
              <w:jc w:val="center"/>
              <w:rPr>
                <w:rFonts w:hint="eastAsia" w:ascii="仿宋_GB2312" w:hAnsi="宋体" w:eastAsia="仿宋_GB2312" w:cs="宋体"/>
                <w:color w:val="000000" w:themeColor="text1"/>
                <w:kern w:val="2"/>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2"/>
                <w:sz w:val="21"/>
                <w:szCs w:val="21"/>
                <w:lang w:val="en-US" w:eastAsia="zh-CN" w:bidi="ar-SA"/>
                <w14:textFill>
                  <w14:solidFill>
                    <w14:schemeClr w14:val="tx1"/>
                  </w14:solidFill>
                </w14:textFill>
              </w:rPr>
              <w:t>133</w:t>
            </w:r>
          </w:p>
          <w:p w14:paraId="1728C7C8">
            <w:pPr>
              <w:pStyle w:val="29"/>
              <w:keepNext w:val="0"/>
              <w:keepLines w:val="0"/>
              <w:pageBreakBefore w:val="0"/>
              <w:widowControl/>
              <w:numPr>
                <w:ilvl w:val="0"/>
                <w:numId w:val="0"/>
              </w:numPr>
              <w:kinsoku/>
              <w:overflowPunct/>
              <w:topLinePunct w:val="0"/>
              <w:autoSpaceDE/>
              <w:autoSpaceDN/>
              <w:bidi w:val="0"/>
              <w:adjustRightInd/>
              <w:spacing w:line="260" w:lineRule="exact"/>
              <w:ind w:leftChars="0"/>
              <w:jc w:val="center"/>
              <w:rPr>
                <w:rFonts w:hint="default" w:ascii="仿宋_GB2312" w:hAnsi="宋体" w:eastAsia="仿宋_GB2312" w:cs="宋体"/>
                <w:color w:val="000000" w:themeColor="text1"/>
                <w:szCs w:val="21"/>
                <w:lang w:val="en-US" w:eastAsia="zh-CN"/>
                <w14:textFill>
                  <w14:solidFill>
                    <w14:schemeClr w14:val="tx1"/>
                  </w14:solidFill>
                </w14:textFill>
              </w:rPr>
            </w:pPr>
          </w:p>
        </w:tc>
        <w:tc>
          <w:tcPr>
            <w:tcW w:w="1488" w:type="dxa"/>
            <w:gridSpan w:val="2"/>
            <w:vMerge w:val="restart"/>
            <w:tcBorders>
              <w:tl2br w:val="nil"/>
              <w:tr2bl w:val="nil"/>
            </w:tcBorders>
            <w:vAlign w:val="center"/>
          </w:tcPr>
          <w:p w14:paraId="77C40B76">
            <w:pPr>
              <w:keepNext w:val="0"/>
              <w:keepLines w:val="0"/>
              <w:pageBreakBefore w:val="0"/>
              <w:widowControl/>
              <w:kinsoku/>
              <w:overflowPunct/>
              <w:topLinePunct w:val="0"/>
              <w:autoSpaceDE/>
              <w:autoSpaceDN/>
              <w:bidi w:val="0"/>
              <w:adjustRightInd/>
              <w:spacing w:line="260" w:lineRule="exact"/>
              <w:textAlignment w:val="center"/>
              <w:rPr>
                <w:rFonts w:hint="default" w:ascii="仿宋_GB2312" w:hAnsi="宋体" w:eastAsia="仿宋_GB2312" w:cs="宋体"/>
                <w:color w:val="000000" w:themeColor="text1"/>
                <w:kern w:val="0"/>
                <w:szCs w:val="21"/>
                <w:lang w:val="en-US" w:eastAsia="zh-CN"/>
                <w14:textFill>
                  <w14:solidFill>
                    <w14:schemeClr w14:val="tx1"/>
                  </w14:solidFill>
                </w14:textFill>
              </w:rPr>
            </w:pPr>
          </w:p>
          <w:p w14:paraId="34BF8C2C">
            <w:pPr>
              <w:keepNext w:val="0"/>
              <w:keepLines w:val="0"/>
              <w:pageBreakBefore w:val="0"/>
              <w:widowControl/>
              <w:kinsoku/>
              <w:overflowPunct/>
              <w:topLinePunct w:val="0"/>
              <w:autoSpaceDE/>
              <w:autoSpaceDN/>
              <w:bidi w:val="0"/>
              <w:adjustRightInd/>
              <w:spacing w:line="260" w:lineRule="exact"/>
              <w:textAlignment w:val="center"/>
              <w:rPr>
                <w:rFonts w:hint="default" w:ascii="仿宋_GB2312" w:hAnsi="宋体" w:eastAsia="仿宋_GB2312" w:cs="宋体"/>
                <w:color w:val="000000" w:themeColor="text1"/>
                <w:kern w:val="0"/>
                <w:szCs w:val="21"/>
                <w:lang w:val="en-US" w:eastAsia="zh-CN"/>
                <w14:textFill>
                  <w14:solidFill>
                    <w14:schemeClr w14:val="tx1"/>
                  </w14:solidFill>
                </w14:textFill>
              </w:rPr>
            </w:pPr>
          </w:p>
          <w:p w14:paraId="10CB1100">
            <w:pPr>
              <w:keepNext w:val="0"/>
              <w:keepLines w:val="0"/>
              <w:pageBreakBefore w:val="0"/>
              <w:widowControl/>
              <w:kinsoku/>
              <w:overflowPunct/>
              <w:topLinePunct w:val="0"/>
              <w:autoSpaceDE/>
              <w:autoSpaceDN/>
              <w:bidi w:val="0"/>
              <w:adjustRightInd/>
              <w:spacing w:line="260" w:lineRule="exact"/>
              <w:textAlignment w:val="center"/>
              <w:rPr>
                <w:rFonts w:hint="default" w:ascii="仿宋_GB2312" w:hAnsi="宋体" w:eastAsia="仿宋_GB2312" w:cs="宋体"/>
                <w:color w:val="000000" w:themeColor="text1"/>
                <w:kern w:val="0"/>
                <w:szCs w:val="21"/>
                <w:lang w:val="en-US" w:eastAsia="zh-CN"/>
                <w14:textFill>
                  <w14:solidFill>
                    <w14:schemeClr w14:val="tx1"/>
                  </w14:solidFill>
                </w14:textFill>
              </w:rPr>
            </w:pPr>
          </w:p>
          <w:p w14:paraId="7E37F982">
            <w:pPr>
              <w:keepNext w:val="0"/>
              <w:keepLines w:val="0"/>
              <w:pageBreakBefore w:val="0"/>
              <w:widowControl/>
              <w:kinsoku/>
              <w:overflowPunct/>
              <w:topLinePunct w:val="0"/>
              <w:autoSpaceDE/>
              <w:autoSpaceDN/>
              <w:bidi w:val="0"/>
              <w:adjustRightInd/>
              <w:spacing w:line="260" w:lineRule="exact"/>
              <w:textAlignment w:val="center"/>
              <w:rPr>
                <w:rFonts w:hint="default" w:ascii="仿宋_GB2312" w:hAnsi="宋体" w:eastAsia="仿宋_GB2312" w:cs="宋体"/>
                <w:color w:val="000000" w:themeColor="text1"/>
                <w:kern w:val="0"/>
                <w:szCs w:val="21"/>
                <w:lang w:val="en-US" w:eastAsia="zh-CN"/>
                <w14:textFill>
                  <w14:solidFill>
                    <w14:schemeClr w14:val="tx1"/>
                  </w14:solidFill>
                </w14:textFill>
              </w:rPr>
            </w:pPr>
          </w:p>
          <w:p w14:paraId="4DDCEBBC">
            <w:pPr>
              <w:keepNext w:val="0"/>
              <w:keepLines w:val="0"/>
              <w:pageBreakBefore w:val="0"/>
              <w:widowControl/>
              <w:kinsoku/>
              <w:overflowPunct/>
              <w:topLinePunct w:val="0"/>
              <w:autoSpaceDE/>
              <w:autoSpaceDN/>
              <w:bidi w:val="0"/>
              <w:adjustRightInd/>
              <w:spacing w:line="260" w:lineRule="exact"/>
              <w:textAlignment w:val="center"/>
              <w:rPr>
                <w:rFonts w:hint="default" w:ascii="仿宋_GB2312" w:hAnsi="宋体" w:eastAsia="仿宋_GB2312" w:cs="宋体"/>
                <w:color w:val="000000" w:themeColor="text1"/>
                <w:kern w:val="0"/>
                <w:szCs w:val="21"/>
                <w:lang w:val="en-US" w:eastAsia="zh-CN"/>
                <w14:textFill>
                  <w14:solidFill>
                    <w14:schemeClr w14:val="tx1"/>
                  </w14:solidFill>
                </w14:textFill>
              </w:rPr>
            </w:pPr>
          </w:p>
          <w:p w14:paraId="2B15F6A2">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宋体"/>
                <w:color w:val="000000" w:themeColor="text1"/>
                <w:kern w:val="0"/>
                <w:szCs w:val="21"/>
                <w14:textFill>
                  <w14:solidFill>
                    <w14:schemeClr w14:val="tx1"/>
                  </w14:solidFill>
                </w14:textFill>
              </w:rPr>
            </w:pPr>
            <w:r>
              <w:rPr>
                <w:rFonts w:hint="default" w:ascii="仿宋_GB2312" w:hAnsi="宋体" w:eastAsia="仿宋_GB2312" w:cs="宋体"/>
                <w:color w:val="000000" w:themeColor="text1"/>
                <w:kern w:val="0"/>
                <w:szCs w:val="21"/>
                <w:lang w:val="en-US" w:eastAsia="zh-CN"/>
                <w14:textFill>
                  <w14:solidFill>
                    <w14:schemeClr w14:val="tx1"/>
                  </w14:solidFill>
                </w14:textFill>
              </w:rPr>
              <w:t>向未签订供用气合同的燃气用户提供瓶装燃气</w:t>
            </w:r>
          </w:p>
        </w:tc>
        <w:tc>
          <w:tcPr>
            <w:tcW w:w="1016" w:type="dxa"/>
            <w:vMerge w:val="restart"/>
            <w:tcBorders>
              <w:tl2br w:val="nil"/>
              <w:tr2bl w:val="nil"/>
            </w:tcBorders>
            <w:vAlign w:val="center"/>
          </w:tcPr>
          <w:p w14:paraId="694CCE30">
            <w:pPr>
              <w:keepNext w:val="0"/>
              <w:keepLines w:val="0"/>
              <w:pageBreakBefore w:val="0"/>
              <w:widowControl/>
              <w:kinsoku/>
              <w:overflowPunct/>
              <w:topLinePunct w:val="0"/>
              <w:autoSpaceDE/>
              <w:autoSpaceDN/>
              <w:bidi w:val="0"/>
              <w:adjustRightInd/>
              <w:spacing w:line="260" w:lineRule="exact"/>
              <w:textAlignment w:val="center"/>
              <w:rPr>
                <w:rFonts w:hint="default" w:ascii="仿宋_GB2312" w:hAnsi="宋体" w:eastAsia="仿宋_GB2312" w:cs="宋体"/>
                <w:color w:val="000000" w:themeColor="text1"/>
                <w:kern w:val="0"/>
                <w:szCs w:val="21"/>
                <w:lang w:val="en-US" w:eastAsia="zh-CN"/>
                <w14:textFill>
                  <w14:solidFill>
                    <w14:schemeClr w14:val="tx1"/>
                  </w14:solidFill>
                </w14:textFill>
              </w:rPr>
            </w:pPr>
          </w:p>
          <w:p w14:paraId="6769BB37">
            <w:pPr>
              <w:keepNext w:val="0"/>
              <w:keepLines w:val="0"/>
              <w:pageBreakBefore w:val="0"/>
              <w:widowControl/>
              <w:kinsoku/>
              <w:overflowPunct/>
              <w:topLinePunct w:val="0"/>
              <w:autoSpaceDE/>
              <w:autoSpaceDN/>
              <w:bidi w:val="0"/>
              <w:adjustRightInd/>
              <w:spacing w:line="260" w:lineRule="exact"/>
              <w:textAlignment w:val="center"/>
              <w:rPr>
                <w:rFonts w:hint="default" w:ascii="仿宋_GB2312" w:hAnsi="宋体" w:eastAsia="仿宋_GB2312" w:cs="宋体"/>
                <w:color w:val="000000" w:themeColor="text1"/>
                <w:kern w:val="0"/>
                <w:szCs w:val="21"/>
                <w:lang w:val="en-US" w:eastAsia="zh-CN"/>
                <w14:textFill>
                  <w14:solidFill>
                    <w14:schemeClr w14:val="tx1"/>
                  </w14:solidFill>
                </w14:textFill>
              </w:rPr>
            </w:pPr>
          </w:p>
          <w:p w14:paraId="5D0C399B">
            <w:pPr>
              <w:keepNext w:val="0"/>
              <w:keepLines w:val="0"/>
              <w:pageBreakBefore w:val="0"/>
              <w:widowControl/>
              <w:kinsoku/>
              <w:overflowPunct/>
              <w:topLinePunct w:val="0"/>
              <w:autoSpaceDE/>
              <w:autoSpaceDN/>
              <w:bidi w:val="0"/>
              <w:adjustRightInd/>
              <w:spacing w:line="260" w:lineRule="exact"/>
              <w:textAlignment w:val="center"/>
              <w:rPr>
                <w:rFonts w:hint="default" w:ascii="仿宋_GB2312" w:hAnsi="宋体" w:eastAsia="仿宋_GB2312" w:cs="宋体"/>
                <w:color w:val="000000" w:themeColor="text1"/>
                <w:kern w:val="0"/>
                <w:szCs w:val="21"/>
                <w:lang w:val="en-US" w:eastAsia="zh-CN"/>
                <w14:textFill>
                  <w14:solidFill>
                    <w14:schemeClr w14:val="tx1"/>
                  </w14:solidFill>
                </w14:textFill>
              </w:rPr>
            </w:pPr>
          </w:p>
          <w:p w14:paraId="5F518D78">
            <w:pPr>
              <w:keepNext w:val="0"/>
              <w:keepLines w:val="0"/>
              <w:pageBreakBefore w:val="0"/>
              <w:widowControl/>
              <w:kinsoku/>
              <w:overflowPunct/>
              <w:topLinePunct w:val="0"/>
              <w:autoSpaceDE/>
              <w:autoSpaceDN/>
              <w:bidi w:val="0"/>
              <w:adjustRightInd/>
              <w:spacing w:line="260" w:lineRule="exact"/>
              <w:textAlignment w:val="center"/>
              <w:rPr>
                <w:rFonts w:hint="default" w:ascii="仿宋_GB2312" w:hAnsi="宋体" w:eastAsia="仿宋_GB2312" w:cs="宋体"/>
                <w:color w:val="000000" w:themeColor="text1"/>
                <w:kern w:val="0"/>
                <w:szCs w:val="21"/>
                <w:lang w:val="en-US" w:eastAsia="zh-CN"/>
                <w14:textFill>
                  <w14:solidFill>
                    <w14:schemeClr w14:val="tx1"/>
                  </w14:solidFill>
                </w14:textFill>
              </w:rPr>
            </w:pPr>
          </w:p>
          <w:p w14:paraId="33641844">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宋体"/>
                <w:color w:val="000000" w:themeColor="text1"/>
                <w:kern w:val="0"/>
                <w:szCs w:val="21"/>
                <w14:textFill>
                  <w14:solidFill>
                    <w14:schemeClr w14:val="tx1"/>
                  </w14:solidFill>
                </w14:textFill>
              </w:rPr>
            </w:pPr>
            <w:r>
              <w:rPr>
                <w:rFonts w:hint="default" w:ascii="仿宋_GB2312" w:hAnsi="宋体" w:eastAsia="仿宋_GB2312" w:cs="宋体"/>
                <w:color w:val="000000" w:themeColor="text1"/>
                <w:kern w:val="0"/>
                <w:szCs w:val="21"/>
                <w:lang w:val="en-US" w:eastAsia="zh-CN"/>
                <w14:textFill>
                  <w14:solidFill>
                    <w14:schemeClr w14:val="tx1"/>
                  </w14:solidFill>
                </w14:textFill>
              </w:rPr>
              <w:t>《辽宁省城镇燃气管理条例》第二十六条</w:t>
            </w:r>
            <w:r>
              <w:rPr>
                <w:rFonts w:hint="eastAsia" w:ascii="仿宋_GB2312" w:hAnsi="宋体" w:eastAsia="仿宋_GB2312" w:cs="宋体"/>
                <w:color w:val="000000" w:themeColor="text1"/>
                <w:kern w:val="0"/>
                <w:szCs w:val="21"/>
                <w:lang w:val="en-US" w:eastAsia="zh-CN"/>
                <w14:textFill>
                  <w14:solidFill>
                    <w14:schemeClr w14:val="tx1"/>
                  </w14:solidFill>
                </w14:textFill>
              </w:rPr>
              <w:t>第五项</w:t>
            </w:r>
          </w:p>
        </w:tc>
        <w:tc>
          <w:tcPr>
            <w:tcW w:w="4354" w:type="dxa"/>
            <w:vMerge w:val="restart"/>
            <w:tcBorders>
              <w:tl2br w:val="nil"/>
              <w:tr2bl w:val="nil"/>
            </w:tcBorders>
            <w:vAlign w:val="center"/>
          </w:tcPr>
          <w:p w14:paraId="472A7FA1">
            <w:pPr>
              <w:keepNext w:val="0"/>
              <w:keepLines w:val="0"/>
              <w:pageBreakBefore w:val="0"/>
              <w:widowControl/>
              <w:kinsoku/>
              <w:overflowPunct/>
              <w:topLinePunct w:val="0"/>
              <w:autoSpaceDE/>
              <w:autoSpaceDN/>
              <w:bidi w:val="0"/>
              <w:adjustRightInd/>
              <w:spacing w:line="260" w:lineRule="exact"/>
              <w:jc w:val="left"/>
              <w:textAlignment w:val="center"/>
              <w:rPr>
                <w:rFonts w:hint="default" w:ascii="仿宋_GB2312" w:hAnsi="宋体" w:eastAsia="仿宋_GB2312" w:cs="宋体"/>
                <w:color w:val="000000" w:themeColor="text1"/>
                <w:kern w:val="0"/>
                <w:szCs w:val="21"/>
                <w:lang w:val="en-US" w:eastAsia="zh-CN"/>
                <w14:textFill>
                  <w14:solidFill>
                    <w14:schemeClr w14:val="tx1"/>
                  </w14:solidFill>
                </w14:textFill>
              </w:rPr>
            </w:pPr>
          </w:p>
          <w:p w14:paraId="5EA5EB78">
            <w:pPr>
              <w:keepNext w:val="0"/>
              <w:keepLines w:val="0"/>
              <w:pageBreakBefore w:val="0"/>
              <w:widowControl/>
              <w:kinsoku/>
              <w:overflowPunct/>
              <w:topLinePunct w:val="0"/>
              <w:autoSpaceDE/>
              <w:autoSpaceDN/>
              <w:bidi w:val="0"/>
              <w:adjustRightInd/>
              <w:spacing w:line="260" w:lineRule="exact"/>
              <w:jc w:val="left"/>
              <w:textAlignment w:val="center"/>
              <w:rPr>
                <w:rFonts w:hint="default" w:ascii="仿宋_GB2312" w:hAnsi="宋体" w:eastAsia="仿宋_GB2312" w:cs="宋体"/>
                <w:color w:val="000000" w:themeColor="text1"/>
                <w:kern w:val="0"/>
                <w:szCs w:val="21"/>
                <w:lang w:val="en-US" w:eastAsia="zh-CN"/>
                <w14:textFill>
                  <w14:solidFill>
                    <w14:schemeClr w14:val="tx1"/>
                  </w14:solidFill>
                </w14:textFill>
              </w:rPr>
            </w:pPr>
          </w:p>
          <w:p w14:paraId="53C10A88">
            <w:pPr>
              <w:keepNext w:val="0"/>
              <w:keepLines w:val="0"/>
              <w:pageBreakBefore w:val="0"/>
              <w:widowControl/>
              <w:kinsoku/>
              <w:overflowPunct/>
              <w:topLinePunct w:val="0"/>
              <w:autoSpaceDE/>
              <w:autoSpaceDN/>
              <w:bidi w:val="0"/>
              <w:adjustRightInd/>
              <w:spacing w:line="260" w:lineRule="exact"/>
              <w:jc w:val="left"/>
              <w:textAlignment w:val="center"/>
              <w:rPr>
                <w:rFonts w:hint="default" w:ascii="仿宋_GB2312" w:hAnsi="宋体" w:eastAsia="仿宋_GB2312" w:cs="宋体"/>
                <w:color w:val="000000" w:themeColor="text1"/>
                <w:kern w:val="0"/>
                <w:szCs w:val="21"/>
                <w:lang w:val="en-US" w:eastAsia="zh-CN"/>
                <w14:textFill>
                  <w14:solidFill>
                    <w14:schemeClr w14:val="tx1"/>
                  </w14:solidFill>
                </w14:textFill>
              </w:rPr>
            </w:pPr>
            <w:r>
              <w:rPr>
                <w:rFonts w:hint="default" w:ascii="仿宋_GB2312" w:hAnsi="宋体" w:eastAsia="仿宋_GB2312" w:cs="宋体"/>
                <w:color w:val="000000" w:themeColor="text1"/>
                <w:kern w:val="0"/>
                <w:szCs w:val="21"/>
                <w:lang w:val="en-US" w:eastAsia="zh-CN"/>
                <w14:textFill>
                  <w14:solidFill>
                    <w14:schemeClr w14:val="tx1"/>
                  </w14:solidFill>
                </w14:textFill>
              </w:rPr>
              <w:t>《辽宁省城镇燃气管理条例》第五十二条</w:t>
            </w:r>
            <w:r>
              <w:rPr>
                <w:rFonts w:hint="eastAsia" w:ascii="仿宋_GB2312" w:hAnsi="宋体" w:eastAsia="仿宋_GB2312" w:cs="宋体"/>
                <w:color w:val="000000" w:themeColor="text1"/>
                <w:kern w:val="0"/>
                <w:szCs w:val="21"/>
                <w:lang w:val="en-US" w:eastAsia="zh-CN"/>
                <w14:textFill>
                  <w14:solidFill>
                    <w14:schemeClr w14:val="tx1"/>
                  </w14:solidFill>
                </w14:textFill>
              </w:rPr>
              <w:t>（一）项：“</w:t>
            </w:r>
            <w:r>
              <w:rPr>
                <w:rFonts w:hint="default" w:ascii="仿宋_GB2312" w:hAnsi="宋体" w:eastAsia="仿宋_GB2312" w:cs="宋体"/>
                <w:color w:val="000000" w:themeColor="text1"/>
                <w:kern w:val="0"/>
                <w:szCs w:val="21"/>
                <w:lang w:val="en-US" w:eastAsia="zh-CN"/>
                <w14:textFill>
                  <w14:solidFill>
                    <w14:schemeClr w14:val="tx1"/>
                  </w14:solidFill>
                </w14:textFill>
              </w:rPr>
              <w:t>违反本条例规定，瓶装燃气经营者有下列情形之一的，由燃气管理部门或者其他相关部门责令限期改正，处一万元以上十万元以下罚款；有违法所得的，没收违法所得;情节严重的，吊销燃气经营许可证；造成损失的，依法承担赔偿责任；涉嫌犯罪的，依法移送有关机关处理</w:t>
            </w:r>
            <w:r>
              <w:rPr>
                <w:rFonts w:hint="eastAsia" w:ascii="仿宋_GB2312" w:hAnsi="宋体" w:eastAsia="仿宋_GB2312" w:cs="宋体"/>
                <w:color w:val="000000" w:themeColor="text1"/>
                <w:kern w:val="0"/>
                <w:szCs w:val="21"/>
                <w:lang w:val="en-US" w:eastAsia="zh-CN"/>
                <w14:textFill>
                  <w14:solidFill>
                    <w14:schemeClr w14:val="tx1"/>
                  </w14:solidFill>
                </w14:textFill>
              </w:rPr>
              <w:t>。</w:t>
            </w:r>
          </w:p>
          <w:p w14:paraId="06A88292">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宋体"/>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35228D7C">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宋体"/>
                <w:color w:val="000000" w:themeColor="text1"/>
                <w:kern w:val="0"/>
                <w:szCs w:val="21"/>
                <w:lang w:val="en-US"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1A0F3357">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hint="eastAsia"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初次违法，危害后果轻微，积极整改的。</w:t>
            </w:r>
          </w:p>
        </w:tc>
        <w:tc>
          <w:tcPr>
            <w:tcW w:w="3375" w:type="dxa"/>
            <w:tcBorders>
              <w:tl2br w:val="nil"/>
              <w:tr2bl w:val="nil"/>
            </w:tcBorders>
            <w:tcMar>
              <w:top w:w="15" w:type="dxa"/>
              <w:left w:w="15" w:type="dxa"/>
              <w:bottom w:w="15" w:type="dxa"/>
              <w:right w:w="15" w:type="dxa"/>
            </w:tcMar>
            <w:vAlign w:val="center"/>
          </w:tcPr>
          <w:p w14:paraId="685ED99B">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hint="eastAsia"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责令改正，可处</w:t>
            </w:r>
            <w:r>
              <w:rPr>
                <w:rFonts w:hint="eastAsia" w:ascii="仿宋_GB2312" w:hAnsi="宋体" w:eastAsia="仿宋_GB2312" w:cs="宋体"/>
                <w:color w:val="000000" w:themeColor="text1"/>
                <w:szCs w:val="21"/>
                <w:lang w:val="en-US" w:eastAsia="zh-CN"/>
                <w14:textFill>
                  <w14:solidFill>
                    <w14:schemeClr w14:val="tx1"/>
                  </w14:solidFill>
                </w14:textFill>
              </w:rPr>
              <w:t>1</w:t>
            </w:r>
            <w:r>
              <w:rPr>
                <w:rFonts w:hint="eastAsia" w:ascii="仿宋_GB2312" w:hAnsi="宋体" w:eastAsia="仿宋_GB2312" w:cs="宋体"/>
                <w:color w:val="000000" w:themeColor="text1"/>
                <w:szCs w:val="21"/>
                <w:lang w:eastAsia="zh-CN"/>
                <w14:textFill>
                  <w14:solidFill>
                    <w14:schemeClr w14:val="tx1"/>
                  </w14:solidFill>
                </w14:textFill>
              </w:rPr>
              <w:t>万</w:t>
            </w:r>
            <w:r>
              <w:rPr>
                <w:rFonts w:hint="eastAsia" w:ascii="仿宋_GB2312" w:hAnsi="宋体" w:eastAsia="仿宋_GB2312" w:cs="宋体"/>
                <w:color w:val="000000" w:themeColor="text1"/>
                <w:szCs w:val="21"/>
                <w14:textFill>
                  <w14:solidFill>
                    <w14:schemeClr w14:val="tx1"/>
                  </w14:solidFill>
                </w14:textFill>
              </w:rPr>
              <w:t>元罚款。</w:t>
            </w:r>
          </w:p>
        </w:tc>
      </w:tr>
      <w:tr w14:paraId="033F2E2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256" w:hRule="atLeast"/>
          <w:jc w:val="center"/>
        </w:trPr>
        <w:tc>
          <w:tcPr>
            <w:tcW w:w="518" w:type="dxa"/>
            <w:vMerge w:val="continue"/>
            <w:tcBorders>
              <w:tl2br w:val="nil"/>
              <w:tr2bl w:val="nil"/>
            </w:tcBorders>
            <w:vAlign w:val="center"/>
          </w:tcPr>
          <w:p w14:paraId="30CC1C37">
            <w:pPr>
              <w:pStyle w:val="29"/>
              <w:keepNext w:val="0"/>
              <w:keepLines w:val="0"/>
              <w:pageBreakBefore w:val="0"/>
              <w:widowControl/>
              <w:numPr>
                <w:ilvl w:val="0"/>
                <w:numId w:val="0"/>
              </w:numPr>
              <w:kinsoku/>
              <w:overflowPunct/>
              <w:topLinePunct w:val="0"/>
              <w:autoSpaceDE/>
              <w:autoSpaceDN/>
              <w:bidi w:val="0"/>
              <w:adjustRightInd/>
              <w:spacing w:line="260" w:lineRule="exact"/>
              <w:ind w:left="420" w:leftChars="0" w:hanging="420" w:firstLineChars="0"/>
              <w:jc w:val="center"/>
              <w:rPr>
                <w:rFonts w:hint="default" w:ascii="仿宋_GB2312" w:hAnsi="宋体" w:eastAsia="仿宋_GB2312" w:cs="宋体"/>
                <w:color w:val="000000" w:themeColor="text1"/>
                <w:szCs w:val="21"/>
                <w:lang w:val="en-US"/>
                <w14:textFill>
                  <w14:solidFill>
                    <w14:schemeClr w14:val="tx1"/>
                  </w14:solidFill>
                </w14:textFill>
              </w:rPr>
            </w:pPr>
          </w:p>
        </w:tc>
        <w:tc>
          <w:tcPr>
            <w:tcW w:w="1488" w:type="dxa"/>
            <w:gridSpan w:val="2"/>
            <w:vMerge w:val="continue"/>
            <w:tcBorders>
              <w:tl2br w:val="nil"/>
              <w:tr2bl w:val="nil"/>
            </w:tcBorders>
            <w:vAlign w:val="center"/>
          </w:tcPr>
          <w:p w14:paraId="44EAA6F7">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宋体"/>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5489969C">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宋体"/>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4B3F45B4">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宋体"/>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706349D3">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宋体"/>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6EA039AB">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w:t>
            </w:r>
            <w:r>
              <w:rPr>
                <w:rFonts w:hint="eastAsia" w:ascii="仿宋_GB2312" w:hAnsi="宋体" w:eastAsia="仿宋_GB2312" w:cs="宋体"/>
                <w:color w:val="000000" w:themeColor="text1"/>
                <w:kern w:val="0"/>
                <w:szCs w:val="21"/>
                <w:lang w:eastAsia="zh-CN"/>
                <w14:textFill>
                  <w14:solidFill>
                    <w14:schemeClr w14:val="tx1"/>
                  </w14:solidFill>
                </w14:textFill>
              </w:rPr>
              <w:t>从重情节</w:t>
            </w:r>
            <w:r>
              <w:rPr>
                <w:rFonts w:hint="eastAsia" w:ascii="仿宋_GB2312" w:hAnsi="宋体" w:eastAsia="仿宋_GB2312" w:cs="宋体"/>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48CCAEBC">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责令改正，可处</w:t>
            </w:r>
            <w:r>
              <w:rPr>
                <w:rFonts w:hint="eastAsia" w:ascii="仿宋_GB2312" w:hAnsi="宋体" w:eastAsia="仿宋_GB2312" w:cs="宋体"/>
                <w:color w:val="000000" w:themeColor="text1"/>
                <w:szCs w:val="21"/>
                <w:lang w:val="en-US" w:eastAsia="zh-CN"/>
                <w14:textFill>
                  <w14:solidFill>
                    <w14:schemeClr w14:val="tx1"/>
                  </w14:solidFill>
                </w14:textFill>
              </w:rPr>
              <w:t>2</w:t>
            </w:r>
            <w:r>
              <w:rPr>
                <w:rFonts w:hint="eastAsia" w:ascii="仿宋_GB2312" w:hAnsi="宋体" w:eastAsia="仿宋_GB2312" w:cs="宋体"/>
                <w:color w:val="000000" w:themeColor="text1"/>
                <w:kern w:val="0"/>
                <w:szCs w:val="21"/>
                <w:lang w:eastAsia="zh-CN"/>
                <w14:textFill>
                  <w14:solidFill>
                    <w14:schemeClr w14:val="tx1"/>
                  </w14:solidFill>
                </w14:textFill>
              </w:rPr>
              <w:t>万</w:t>
            </w:r>
            <w:r>
              <w:rPr>
                <w:rFonts w:hint="eastAsia" w:ascii="仿宋_GB2312" w:hAnsi="宋体" w:eastAsia="仿宋_GB2312" w:cs="宋体"/>
                <w:color w:val="000000" w:themeColor="text1"/>
                <w:kern w:val="0"/>
                <w:szCs w:val="21"/>
                <w14:textFill>
                  <w14:solidFill>
                    <w14:schemeClr w14:val="tx1"/>
                  </w14:solidFill>
                </w14:textFill>
              </w:rPr>
              <w:t>元以上</w:t>
            </w:r>
            <w:r>
              <w:rPr>
                <w:rFonts w:hint="eastAsia" w:ascii="仿宋_GB2312" w:hAnsi="宋体" w:eastAsia="仿宋_GB2312" w:cs="宋体"/>
                <w:color w:val="000000" w:themeColor="text1"/>
                <w:szCs w:val="21"/>
                <w14:textFill>
                  <w14:solidFill>
                    <w14:schemeClr w14:val="tx1"/>
                  </w14:solidFill>
                </w14:textFill>
              </w:rPr>
              <w:t>5</w:t>
            </w:r>
            <w:r>
              <w:rPr>
                <w:rFonts w:hint="eastAsia" w:ascii="仿宋_GB2312" w:hAnsi="宋体" w:eastAsia="仿宋_GB2312" w:cs="宋体"/>
                <w:color w:val="000000" w:themeColor="text1"/>
                <w:szCs w:val="21"/>
                <w:lang w:eastAsia="zh-CN"/>
                <w14:textFill>
                  <w14:solidFill>
                    <w14:schemeClr w14:val="tx1"/>
                  </w14:solidFill>
                </w14:textFill>
              </w:rPr>
              <w:t>万</w:t>
            </w:r>
            <w:r>
              <w:rPr>
                <w:rFonts w:hint="eastAsia" w:ascii="仿宋_GB2312" w:hAnsi="宋体" w:eastAsia="仿宋_GB2312" w:cs="宋体"/>
                <w:color w:val="000000" w:themeColor="text1"/>
                <w:szCs w:val="21"/>
                <w14:textFill>
                  <w14:solidFill>
                    <w14:schemeClr w14:val="tx1"/>
                  </w14:solidFill>
                </w14:textFill>
              </w:rPr>
              <w:t>元以下罚款</w:t>
            </w:r>
            <w:r>
              <w:rPr>
                <w:rFonts w:hint="eastAsia" w:ascii="仿宋_GB2312" w:hAnsi="宋体" w:eastAsia="仿宋_GB2312" w:cs="宋体"/>
                <w:color w:val="000000" w:themeColor="text1"/>
                <w:szCs w:val="21"/>
                <w:lang w:eastAsia="zh-CN"/>
                <w14:textFill>
                  <w14:solidFill>
                    <w14:schemeClr w14:val="tx1"/>
                  </w14:solidFill>
                </w14:textFill>
              </w:rPr>
              <w:t>；</w:t>
            </w:r>
            <w:r>
              <w:rPr>
                <w:rFonts w:hint="default" w:ascii="仿宋_GB2312" w:hAnsi="宋体" w:eastAsia="仿宋_GB2312" w:cs="宋体"/>
                <w:color w:val="000000" w:themeColor="text1"/>
                <w:kern w:val="0"/>
                <w:szCs w:val="21"/>
                <w:lang w:val="en-US" w:eastAsia="zh-CN"/>
                <w14:textFill>
                  <w14:solidFill>
                    <w14:schemeClr w14:val="tx1"/>
                  </w14:solidFill>
                </w14:textFill>
              </w:rPr>
              <w:t>有违法所得的，没收违法所得</w:t>
            </w:r>
            <w:r>
              <w:rPr>
                <w:rFonts w:hint="eastAsia" w:ascii="仿宋_GB2312" w:hAnsi="宋体" w:eastAsia="仿宋_GB2312" w:cs="宋体"/>
                <w:color w:val="000000" w:themeColor="text1"/>
                <w:kern w:val="0"/>
                <w:szCs w:val="21"/>
                <w:lang w:val="en-US" w:eastAsia="zh-CN"/>
                <w14:textFill>
                  <w14:solidFill>
                    <w14:schemeClr w14:val="tx1"/>
                  </w14:solidFill>
                </w14:textFill>
              </w:rPr>
              <w:t>。</w:t>
            </w:r>
          </w:p>
        </w:tc>
      </w:tr>
      <w:tr w14:paraId="1EED35F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256" w:hRule="atLeast"/>
          <w:jc w:val="center"/>
        </w:trPr>
        <w:tc>
          <w:tcPr>
            <w:tcW w:w="518" w:type="dxa"/>
            <w:vMerge w:val="continue"/>
            <w:tcBorders>
              <w:tl2br w:val="nil"/>
              <w:tr2bl w:val="nil"/>
            </w:tcBorders>
            <w:vAlign w:val="center"/>
          </w:tcPr>
          <w:p w14:paraId="07D52B84">
            <w:pPr>
              <w:pStyle w:val="29"/>
              <w:keepNext w:val="0"/>
              <w:keepLines w:val="0"/>
              <w:pageBreakBefore w:val="0"/>
              <w:widowControl/>
              <w:numPr>
                <w:ilvl w:val="0"/>
                <w:numId w:val="0"/>
              </w:numPr>
              <w:kinsoku/>
              <w:overflowPunct/>
              <w:topLinePunct w:val="0"/>
              <w:autoSpaceDE/>
              <w:autoSpaceDN/>
              <w:bidi w:val="0"/>
              <w:adjustRightInd/>
              <w:spacing w:line="260" w:lineRule="exact"/>
              <w:ind w:leftChars="0"/>
              <w:jc w:val="center"/>
              <w:rPr>
                <w:rFonts w:hint="default" w:ascii="仿宋_GB2312" w:hAnsi="宋体" w:eastAsia="仿宋_GB2312" w:cs="宋体"/>
                <w:color w:val="000000" w:themeColor="text1"/>
                <w:szCs w:val="21"/>
                <w:lang w:val="en-US" w:eastAsia="zh-CN"/>
                <w14:textFill>
                  <w14:solidFill>
                    <w14:schemeClr w14:val="tx1"/>
                  </w14:solidFill>
                </w14:textFill>
              </w:rPr>
            </w:pPr>
          </w:p>
        </w:tc>
        <w:tc>
          <w:tcPr>
            <w:tcW w:w="1488" w:type="dxa"/>
            <w:gridSpan w:val="2"/>
            <w:vMerge w:val="continue"/>
            <w:tcBorders>
              <w:tl2br w:val="nil"/>
              <w:tr2bl w:val="nil"/>
            </w:tcBorders>
            <w:vAlign w:val="center"/>
          </w:tcPr>
          <w:p w14:paraId="2158039B">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宋体"/>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039562C7">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宋体"/>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127BCBDD">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宋体"/>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09234DDD">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宋体"/>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568A29FE">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经责令停止违法行为后，继续实施该违法行为的</w:t>
            </w:r>
            <w:r>
              <w:rPr>
                <w:rFonts w:hint="eastAsia" w:ascii="仿宋_GB2312" w:hAnsi="宋体" w:eastAsia="仿宋_GB2312" w:cs="宋体"/>
                <w:color w:val="000000" w:themeColor="text1"/>
                <w:szCs w:val="21"/>
                <w:lang w:eastAsia="zh-CN"/>
                <w14:textFill>
                  <w14:solidFill>
                    <w14:schemeClr w14:val="tx1"/>
                  </w14:solidFill>
                </w14:textFill>
              </w:rPr>
              <w:t>，</w:t>
            </w:r>
            <w:r>
              <w:rPr>
                <w:rFonts w:hint="eastAsia" w:ascii="仿宋_GB2312" w:hAnsi="宋体" w:eastAsia="仿宋_GB2312" w:cs="宋体"/>
                <w:color w:val="000000" w:themeColor="text1"/>
                <w:szCs w:val="21"/>
                <w:lang w:val="en-US" w:eastAsia="zh-CN"/>
                <w14:textFill>
                  <w14:solidFill>
                    <w14:schemeClr w14:val="tx1"/>
                  </w14:solidFill>
                </w14:textFill>
              </w:rPr>
              <w:t>或</w:t>
            </w:r>
            <w:r>
              <w:rPr>
                <w:rFonts w:hint="eastAsia" w:ascii="仿宋_GB2312" w:hAnsi="宋体" w:eastAsia="仿宋_GB2312" w:cs="宋体"/>
                <w:color w:val="000000" w:themeColor="text1"/>
                <w:szCs w:val="21"/>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szCs w:val="21"/>
                <w:lang w:eastAsia="zh-CN"/>
                <w14:textFill>
                  <w14:solidFill>
                    <w14:schemeClr w14:val="tx1"/>
                  </w14:solidFill>
                </w14:textFill>
              </w:rPr>
              <w:t>，</w:t>
            </w:r>
            <w:r>
              <w:rPr>
                <w:rFonts w:hint="eastAsia" w:ascii="仿宋_GB2312" w:hAnsi="宋体" w:eastAsia="仿宋_GB2312" w:cs="宋体"/>
                <w:color w:val="000000" w:themeColor="text1"/>
                <w:szCs w:val="21"/>
                <w:lang w:val="en-US" w:eastAsia="zh-CN"/>
                <w14:textFill>
                  <w14:solidFill>
                    <w14:schemeClr w14:val="tx1"/>
                  </w14:solidFill>
                </w14:textFill>
              </w:rPr>
              <w:t>或</w:t>
            </w:r>
            <w:r>
              <w:rPr>
                <w:rFonts w:hint="eastAsia" w:ascii="仿宋_GB2312" w:hAnsi="宋体" w:eastAsia="仿宋_GB2312" w:cs="宋体"/>
                <w:color w:val="000000" w:themeColor="text1"/>
                <w:szCs w:val="21"/>
                <w14:textFill>
                  <w14:solidFill>
                    <w14:schemeClr w14:val="tx1"/>
                  </w14:solidFill>
                </w14:textFill>
              </w:rPr>
              <w:t>造成严重危害后果的。</w:t>
            </w:r>
          </w:p>
        </w:tc>
        <w:tc>
          <w:tcPr>
            <w:tcW w:w="3375" w:type="dxa"/>
            <w:tcBorders>
              <w:tl2br w:val="nil"/>
              <w:tr2bl w:val="nil"/>
            </w:tcBorders>
            <w:tcMar>
              <w:top w:w="15" w:type="dxa"/>
              <w:left w:w="15" w:type="dxa"/>
              <w:bottom w:w="15" w:type="dxa"/>
              <w:right w:w="15" w:type="dxa"/>
            </w:tcMar>
            <w:vAlign w:val="center"/>
          </w:tcPr>
          <w:p w14:paraId="6E1699C4">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责令改正，可处5</w:t>
            </w:r>
            <w:r>
              <w:rPr>
                <w:rFonts w:hint="eastAsia" w:ascii="仿宋_GB2312" w:hAnsi="宋体" w:eastAsia="仿宋_GB2312" w:cs="宋体"/>
                <w:color w:val="000000" w:themeColor="text1"/>
                <w:szCs w:val="21"/>
                <w:lang w:eastAsia="zh-CN"/>
                <w14:textFill>
                  <w14:solidFill>
                    <w14:schemeClr w14:val="tx1"/>
                  </w14:solidFill>
                </w14:textFill>
              </w:rPr>
              <w:t>万</w:t>
            </w:r>
            <w:r>
              <w:rPr>
                <w:rFonts w:hint="eastAsia" w:ascii="仿宋_GB2312" w:hAnsi="宋体" w:eastAsia="仿宋_GB2312" w:cs="宋体"/>
                <w:color w:val="000000" w:themeColor="text1"/>
                <w:szCs w:val="21"/>
                <w14:textFill>
                  <w14:solidFill>
                    <w14:schemeClr w14:val="tx1"/>
                  </w14:solidFill>
                </w14:textFill>
              </w:rPr>
              <w:t>元以上1</w:t>
            </w:r>
            <w:r>
              <w:rPr>
                <w:rFonts w:hint="eastAsia" w:ascii="仿宋_GB2312" w:hAnsi="宋体" w:eastAsia="仿宋_GB2312" w:cs="宋体"/>
                <w:color w:val="000000" w:themeColor="text1"/>
                <w:szCs w:val="21"/>
                <w:lang w:val="en-US" w:eastAsia="zh-CN"/>
                <w14:textFill>
                  <w14:solidFill>
                    <w14:schemeClr w14:val="tx1"/>
                  </w14:solidFill>
                </w14:textFill>
              </w:rPr>
              <w:t>0</w:t>
            </w:r>
            <w:r>
              <w:rPr>
                <w:rFonts w:hint="eastAsia" w:ascii="仿宋_GB2312" w:hAnsi="宋体" w:eastAsia="仿宋_GB2312" w:cs="宋体"/>
                <w:color w:val="000000" w:themeColor="text1"/>
                <w:szCs w:val="21"/>
                <w14:textFill>
                  <w14:solidFill>
                    <w14:schemeClr w14:val="tx1"/>
                  </w14:solidFill>
                </w14:textFill>
              </w:rPr>
              <w:t>万元以下罚款</w:t>
            </w:r>
            <w:r>
              <w:rPr>
                <w:rFonts w:hint="eastAsia" w:ascii="仿宋_GB2312" w:hAnsi="宋体" w:eastAsia="仿宋_GB2312" w:cs="宋体"/>
                <w:color w:val="000000" w:themeColor="text1"/>
                <w:szCs w:val="21"/>
                <w:lang w:eastAsia="zh-CN"/>
                <w14:textFill>
                  <w14:solidFill>
                    <w14:schemeClr w14:val="tx1"/>
                  </w14:solidFill>
                </w14:textFill>
              </w:rPr>
              <w:t>；</w:t>
            </w:r>
            <w:r>
              <w:rPr>
                <w:rFonts w:hint="default" w:ascii="仿宋_GB2312" w:hAnsi="宋体" w:eastAsia="仿宋_GB2312" w:cs="宋体"/>
                <w:color w:val="000000" w:themeColor="text1"/>
                <w:kern w:val="0"/>
                <w:szCs w:val="21"/>
                <w:lang w:val="en-US" w:eastAsia="zh-CN"/>
                <w14:textFill>
                  <w14:solidFill>
                    <w14:schemeClr w14:val="tx1"/>
                  </w14:solidFill>
                </w14:textFill>
              </w:rPr>
              <w:t>吊销燃气经营许可证</w:t>
            </w:r>
            <w:r>
              <w:rPr>
                <w:rFonts w:hint="eastAsia" w:ascii="仿宋_GB2312" w:hAnsi="宋体" w:eastAsia="仿宋_GB2312" w:cs="宋体"/>
                <w:color w:val="000000" w:themeColor="text1"/>
                <w:kern w:val="0"/>
                <w:szCs w:val="21"/>
                <w:lang w:val="en-US" w:eastAsia="zh-CN"/>
                <w14:textFill>
                  <w14:solidFill>
                    <w14:schemeClr w14:val="tx1"/>
                  </w14:solidFill>
                </w14:textFill>
              </w:rPr>
              <w:t>。</w:t>
            </w:r>
          </w:p>
        </w:tc>
      </w:tr>
      <w:tr w14:paraId="413B8E3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921" w:hRule="atLeast"/>
          <w:jc w:val="center"/>
        </w:trPr>
        <w:tc>
          <w:tcPr>
            <w:tcW w:w="518" w:type="dxa"/>
            <w:vMerge w:val="restart"/>
            <w:tcBorders>
              <w:tl2br w:val="nil"/>
              <w:tr2bl w:val="nil"/>
            </w:tcBorders>
            <w:vAlign w:val="center"/>
          </w:tcPr>
          <w:p w14:paraId="354BCBF4">
            <w:pPr>
              <w:pStyle w:val="29"/>
              <w:keepNext w:val="0"/>
              <w:keepLines w:val="0"/>
              <w:pageBreakBefore w:val="0"/>
              <w:widowControl/>
              <w:numPr>
                <w:ilvl w:val="0"/>
                <w:numId w:val="0"/>
              </w:numPr>
              <w:kinsoku/>
              <w:overflowPunct/>
              <w:topLinePunct w:val="0"/>
              <w:autoSpaceDE/>
              <w:autoSpaceDN/>
              <w:bidi w:val="0"/>
              <w:adjustRightInd/>
              <w:spacing w:line="260" w:lineRule="exact"/>
              <w:ind w:leftChars="0"/>
              <w:jc w:val="center"/>
              <w:rPr>
                <w:rFonts w:hint="default" w:ascii="仿宋_GB2312" w:hAnsi="宋体" w:eastAsia="仿宋_GB2312" w:cs="宋体"/>
                <w:color w:val="000000" w:themeColor="text1"/>
                <w:szCs w:val="21"/>
                <w:lang w:val="en-US" w:eastAsia="zh-CN"/>
                <w14:textFill>
                  <w14:solidFill>
                    <w14:schemeClr w14:val="tx1"/>
                  </w14:solidFill>
                </w14:textFill>
              </w:rPr>
            </w:pPr>
            <w:r>
              <w:rPr>
                <w:rFonts w:hint="eastAsia" w:ascii="仿宋_GB2312" w:hAnsi="宋体" w:eastAsia="仿宋_GB2312" w:cs="宋体"/>
                <w:color w:val="000000" w:themeColor="text1"/>
                <w:szCs w:val="21"/>
                <w:lang w:val="en-US" w:eastAsia="zh-CN"/>
                <w14:textFill>
                  <w14:solidFill>
                    <w14:schemeClr w14:val="tx1"/>
                  </w14:solidFill>
                </w14:textFill>
              </w:rPr>
              <w:t>134</w:t>
            </w:r>
          </w:p>
        </w:tc>
        <w:tc>
          <w:tcPr>
            <w:tcW w:w="1488" w:type="dxa"/>
            <w:gridSpan w:val="2"/>
            <w:vMerge w:val="restart"/>
            <w:tcBorders>
              <w:tl2br w:val="nil"/>
              <w:tr2bl w:val="nil"/>
            </w:tcBorders>
            <w:vAlign w:val="center"/>
          </w:tcPr>
          <w:p w14:paraId="64C22800">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hint="eastAsia" w:ascii="仿宋_GB2312" w:hAnsi="宋体" w:eastAsia="仿宋_GB2312" w:cs="宋体"/>
                <w:color w:val="000000" w:themeColor="text1"/>
                <w:szCs w:val="21"/>
                <w14:textFill>
                  <w14:solidFill>
                    <w14:schemeClr w14:val="tx1"/>
                  </w14:solidFill>
                </w14:textFill>
              </w:rPr>
            </w:pPr>
            <w:r>
              <w:rPr>
                <w:rFonts w:hint="default" w:ascii="仿宋_GB2312" w:hAnsi="宋体" w:eastAsia="仿宋_GB2312" w:cs="宋体"/>
                <w:color w:val="000000" w:themeColor="text1"/>
                <w:szCs w:val="21"/>
                <w:lang w:val="en-US" w:eastAsia="zh-CN"/>
                <w14:textFill>
                  <w14:solidFill>
                    <w14:schemeClr w14:val="tx1"/>
                  </w14:solidFill>
                </w14:textFill>
              </w:rPr>
              <w:t>向餐饮用户提供气液两用瓶装燃气</w:t>
            </w:r>
          </w:p>
        </w:tc>
        <w:tc>
          <w:tcPr>
            <w:tcW w:w="1016" w:type="dxa"/>
            <w:vMerge w:val="restart"/>
            <w:tcBorders>
              <w:tl2br w:val="nil"/>
              <w:tr2bl w:val="nil"/>
            </w:tcBorders>
            <w:vAlign w:val="center"/>
          </w:tcPr>
          <w:p w14:paraId="1D1C4549">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hint="eastAsia" w:ascii="仿宋_GB2312" w:hAnsi="宋体" w:eastAsia="仿宋_GB2312" w:cs="宋体"/>
                <w:color w:val="000000" w:themeColor="text1"/>
                <w:szCs w:val="21"/>
                <w14:textFill>
                  <w14:solidFill>
                    <w14:schemeClr w14:val="tx1"/>
                  </w14:solidFill>
                </w14:textFill>
              </w:rPr>
            </w:pPr>
            <w:r>
              <w:rPr>
                <w:rFonts w:hint="default" w:ascii="仿宋_GB2312" w:hAnsi="宋体" w:eastAsia="仿宋_GB2312" w:cs="宋体"/>
                <w:color w:val="000000" w:themeColor="text1"/>
                <w:szCs w:val="21"/>
                <w:lang w:val="en-US" w:eastAsia="zh-CN"/>
                <w14:textFill>
                  <w14:solidFill>
                    <w14:schemeClr w14:val="tx1"/>
                  </w14:solidFill>
                </w14:textFill>
              </w:rPr>
              <w:t>《辽宁省城镇燃气管理条例》第二十六条</w:t>
            </w:r>
            <w:r>
              <w:rPr>
                <w:rFonts w:hint="eastAsia" w:ascii="仿宋_GB2312" w:hAnsi="宋体" w:eastAsia="仿宋_GB2312" w:cs="宋体"/>
                <w:color w:val="000000" w:themeColor="text1"/>
                <w:szCs w:val="21"/>
                <w:lang w:val="en-US" w:eastAsia="zh-CN"/>
                <w14:textFill>
                  <w14:solidFill>
                    <w14:schemeClr w14:val="tx1"/>
                  </w14:solidFill>
                </w14:textFill>
              </w:rPr>
              <w:t>第六项</w:t>
            </w:r>
          </w:p>
        </w:tc>
        <w:tc>
          <w:tcPr>
            <w:tcW w:w="4354" w:type="dxa"/>
            <w:vMerge w:val="restart"/>
            <w:tcBorders>
              <w:tl2br w:val="nil"/>
              <w:tr2bl w:val="nil"/>
            </w:tcBorders>
            <w:vAlign w:val="center"/>
          </w:tcPr>
          <w:p w14:paraId="67179755">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szCs w:val="21"/>
                <w:lang w:eastAsia="zh-CN"/>
                <w14:textFill>
                  <w14:solidFill>
                    <w14:schemeClr w14:val="tx1"/>
                  </w14:solidFill>
                </w14:textFill>
              </w:rPr>
              <w:tab/>
            </w:r>
            <w:r>
              <w:rPr>
                <w:rFonts w:hint="default" w:ascii="仿宋_GB2312" w:hAnsi="宋体" w:eastAsia="仿宋_GB2312" w:cs="宋体"/>
                <w:color w:val="000000" w:themeColor="text1"/>
                <w:szCs w:val="21"/>
                <w:lang w:val="en-US" w:eastAsia="zh-CN"/>
                <w14:textFill>
                  <w14:solidFill>
                    <w14:schemeClr w14:val="tx1"/>
                  </w14:solidFill>
                </w14:textFill>
              </w:rPr>
              <w:t>《辽宁省城镇燃气管理条例》第五十二条</w:t>
            </w:r>
            <w:r>
              <w:rPr>
                <w:rFonts w:hint="eastAsia" w:ascii="仿宋_GB2312" w:hAnsi="宋体" w:eastAsia="仿宋_GB2312" w:cs="宋体"/>
                <w:color w:val="000000" w:themeColor="text1"/>
                <w:szCs w:val="21"/>
                <w:lang w:val="en-US" w:eastAsia="zh-CN"/>
                <w14:textFill>
                  <w14:solidFill>
                    <w14:schemeClr w14:val="tx1"/>
                  </w14:solidFill>
                </w14:textFill>
              </w:rPr>
              <w:t>（二）项：“</w:t>
            </w:r>
            <w:r>
              <w:rPr>
                <w:rFonts w:hint="default" w:ascii="仿宋_GB2312" w:hAnsi="宋体" w:eastAsia="仿宋_GB2312" w:cs="宋体"/>
                <w:color w:val="000000" w:themeColor="text1"/>
                <w:szCs w:val="21"/>
                <w:lang w:val="en-US" w:eastAsia="zh-CN"/>
                <w14:textFill>
                  <w14:solidFill>
                    <w14:schemeClr w14:val="tx1"/>
                  </w14:solidFill>
                </w14:textFill>
              </w:rPr>
              <w:t>违反本条例规定，瓶装燃气经营者有下列情形之一的，由燃气管理部门或者其他相关部门责令限期改正，处一万元以上十万元以下罚款；有违法所得的，没收违法所得;情节严重的，吊销燃气经营许可证；造成损失的，依法承担赔偿责任；涉嫌犯罪的，依法移送有关机关处理</w:t>
            </w:r>
            <w:r>
              <w:rPr>
                <w:rFonts w:hint="eastAsia" w:ascii="仿宋_GB2312" w:hAnsi="宋体" w:eastAsia="仿宋_GB2312" w:cs="宋体"/>
                <w:color w:val="000000" w:themeColor="text1"/>
                <w:szCs w:val="21"/>
                <w:lang w:val="en-US" w:eastAsia="zh-CN"/>
                <w14:textFill>
                  <w14:solidFill>
                    <w14:schemeClr w14:val="tx1"/>
                  </w14:solidFill>
                </w14:textFill>
              </w:rPr>
              <w:t>。</w:t>
            </w:r>
          </w:p>
        </w:tc>
        <w:tc>
          <w:tcPr>
            <w:tcW w:w="912" w:type="dxa"/>
            <w:tcBorders>
              <w:tl2br w:val="nil"/>
              <w:tr2bl w:val="nil"/>
            </w:tcBorders>
            <w:tcMar>
              <w:top w:w="15" w:type="dxa"/>
              <w:left w:w="15" w:type="dxa"/>
              <w:bottom w:w="15" w:type="dxa"/>
              <w:right w:w="15" w:type="dxa"/>
            </w:tcMar>
            <w:vAlign w:val="center"/>
          </w:tcPr>
          <w:p w14:paraId="194E1C11">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5ED6FECA">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初次违法，危害后果轻微，积极整改的。</w:t>
            </w:r>
          </w:p>
        </w:tc>
        <w:tc>
          <w:tcPr>
            <w:tcW w:w="3375" w:type="dxa"/>
            <w:tcBorders>
              <w:tl2br w:val="nil"/>
              <w:tr2bl w:val="nil"/>
            </w:tcBorders>
            <w:tcMar>
              <w:top w:w="15" w:type="dxa"/>
              <w:left w:w="15" w:type="dxa"/>
              <w:bottom w:w="15" w:type="dxa"/>
              <w:right w:w="15" w:type="dxa"/>
            </w:tcMar>
            <w:vAlign w:val="center"/>
          </w:tcPr>
          <w:p w14:paraId="640C3A75">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责令改正，可处以</w:t>
            </w:r>
            <w:r>
              <w:rPr>
                <w:rFonts w:hint="eastAsia" w:ascii="仿宋_GB2312" w:hAnsi="宋体" w:eastAsia="仿宋_GB2312" w:cs="宋体"/>
                <w:color w:val="000000" w:themeColor="text1"/>
                <w:szCs w:val="21"/>
                <w:lang w:val="en-US" w:eastAsia="zh-CN"/>
                <w14:textFill>
                  <w14:solidFill>
                    <w14:schemeClr w14:val="tx1"/>
                  </w14:solidFill>
                </w14:textFill>
              </w:rPr>
              <w:t>1</w:t>
            </w:r>
            <w:r>
              <w:rPr>
                <w:rFonts w:hint="eastAsia" w:ascii="仿宋_GB2312" w:hAnsi="宋体" w:eastAsia="仿宋_GB2312" w:cs="宋体"/>
                <w:color w:val="000000" w:themeColor="text1"/>
                <w:szCs w:val="21"/>
                <w:lang w:eastAsia="zh-CN"/>
                <w14:textFill>
                  <w14:solidFill>
                    <w14:schemeClr w14:val="tx1"/>
                  </w14:solidFill>
                </w14:textFill>
              </w:rPr>
              <w:t>万</w:t>
            </w:r>
            <w:r>
              <w:rPr>
                <w:rFonts w:hint="eastAsia" w:ascii="仿宋_GB2312" w:hAnsi="宋体" w:eastAsia="仿宋_GB2312" w:cs="宋体"/>
                <w:color w:val="000000" w:themeColor="text1"/>
                <w:szCs w:val="21"/>
                <w14:textFill>
                  <w14:solidFill>
                    <w14:schemeClr w14:val="tx1"/>
                  </w14:solidFill>
                </w14:textFill>
              </w:rPr>
              <w:t>元罚款。</w:t>
            </w:r>
          </w:p>
        </w:tc>
      </w:tr>
      <w:tr w14:paraId="5A6990D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801" w:hRule="atLeast"/>
          <w:jc w:val="center"/>
        </w:trPr>
        <w:tc>
          <w:tcPr>
            <w:tcW w:w="518" w:type="dxa"/>
            <w:vMerge w:val="continue"/>
            <w:tcBorders>
              <w:tl2br w:val="nil"/>
              <w:tr2bl w:val="nil"/>
            </w:tcBorders>
            <w:vAlign w:val="center"/>
          </w:tcPr>
          <w:p w14:paraId="5784D7BA">
            <w:pPr>
              <w:pStyle w:val="29"/>
              <w:keepNext w:val="0"/>
              <w:keepLines w:val="0"/>
              <w:pageBreakBefore w:val="0"/>
              <w:widowControl/>
              <w:numPr>
                <w:ilvl w:val="0"/>
                <w:numId w:val="0"/>
              </w:numPr>
              <w:kinsoku/>
              <w:overflowPunct/>
              <w:topLinePunct w:val="0"/>
              <w:autoSpaceDE/>
              <w:autoSpaceDN/>
              <w:bidi w:val="0"/>
              <w:adjustRightInd/>
              <w:spacing w:line="260" w:lineRule="exact"/>
              <w:ind w:leftChars="0"/>
              <w:jc w:val="center"/>
              <w:rPr>
                <w:rFonts w:hint="default" w:ascii="仿宋_GB2312" w:hAnsi="宋体" w:eastAsia="仿宋_GB2312" w:cs="宋体"/>
                <w:color w:val="000000" w:themeColor="text1"/>
                <w:szCs w:val="21"/>
                <w:lang w:val="en-US" w:eastAsia="zh-CN"/>
                <w14:textFill>
                  <w14:solidFill>
                    <w14:schemeClr w14:val="tx1"/>
                  </w14:solidFill>
                </w14:textFill>
              </w:rPr>
            </w:pPr>
          </w:p>
        </w:tc>
        <w:tc>
          <w:tcPr>
            <w:tcW w:w="1488" w:type="dxa"/>
            <w:gridSpan w:val="2"/>
            <w:vMerge w:val="continue"/>
            <w:tcBorders>
              <w:tl2br w:val="nil"/>
              <w:tr2bl w:val="nil"/>
            </w:tcBorders>
            <w:vAlign w:val="center"/>
          </w:tcPr>
          <w:p w14:paraId="69FB422B">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宋体"/>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54201C01">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宋体"/>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7D51216D">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宋体"/>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332A6A08">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6AA929B5">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w:t>
            </w:r>
            <w:r>
              <w:rPr>
                <w:rFonts w:hint="eastAsia" w:ascii="仿宋_GB2312" w:hAnsi="宋体" w:eastAsia="仿宋_GB2312" w:cs="宋体"/>
                <w:color w:val="000000" w:themeColor="text1"/>
                <w:kern w:val="0"/>
                <w:szCs w:val="21"/>
                <w:lang w:eastAsia="zh-CN"/>
                <w14:textFill>
                  <w14:solidFill>
                    <w14:schemeClr w14:val="tx1"/>
                  </w14:solidFill>
                </w14:textFill>
              </w:rPr>
              <w:t>从重情节</w:t>
            </w:r>
            <w:r>
              <w:rPr>
                <w:rFonts w:hint="eastAsia" w:ascii="仿宋_GB2312" w:hAnsi="宋体" w:eastAsia="仿宋_GB2312" w:cs="宋体"/>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62243D92">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责令改正，可处</w:t>
            </w:r>
            <w:r>
              <w:rPr>
                <w:rFonts w:hint="eastAsia" w:ascii="仿宋_GB2312" w:hAnsi="宋体" w:eastAsia="仿宋_GB2312" w:cs="宋体"/>
                <w:color w:val="000000" w:themeColor="text1"/>
                <w:szCs w:val="21"/>
                <w:lang w:val="en-US" w:eastAsia="zh-CN"/>
                <w14:textFill>
                  <w14:solidFill>
                    <w14:schemeClr w14:val="tx1"/>
                  </w14:solidFill>
                </w14:textFill>
              </w:rPr>
              <w:t>2</w:t>
            </w:r>
            <w:r>
              <w:rPr>
                <w:rFonts w:hint="eastAsia" w:ascii="仿宋_GB2312" w:hAnsi="宋体" w:eastAsia="仿宋_GB2312" w:cs="宋体"/>
                <w:color w:val="000000" w:themeColor="text1"/>
                <w:kern w:val="0"/>
                <w:szCs w:val="21"/>
                <w:lang w:eastAsia="zh-CN"/>
                <w14:textFill>
                  <w14:solidFill>
                    <w14:schemeClr w14:val="tx1"/>
                  </w14:solidFill>
                </w14:textFill>
              </w:rPr>
              <w:t>万</w:t>
            </w:r>
            <w:r>
              <w:rPr>
                <w:rFonts w:hint="eastAsia" w:ascii="仿宋_GB2312" w:hAnsi="宋体" w:eastAsia="仿宋_GB2312" w:cs="宋体"/>
                <w:color w:val="000000" w:themeColor="text1"/>
                <w:kern w:val="0"/>
                <w:szCs w:val="21"/>
                <w14:textFill>
                  <w14:solidFill>
                    <w14:schemeClr w14:val="tx1"/>
                  </w14:solidFill>
                </w14:textFill>
              </w:rPr>
              <w:t>元以上</w:t>
            </w:r>
            <w:r>
              <w:rPr>
                <w:rFonts w:hint="eastAsia" w:ascii="仿宋_GB2312" w:hAnsi="宋体" w:eastAsia="仿宋_GB2312" w:cs="宋体"/>
                <w:color w:val="000000" w:themeColor="text1"/>
                <w:szCs w:val="21"/>
                <w14:textFill>
                  <w14:solidFill>
                    <w14:schemeClr w14:val="tx1"/>
                  </w14:solidFill>
                </w14:textFill>
              </w:rPr>
              <w:t>5</w:t>
            </w:r>
            <w:r>
              <w:rPr>
                <w:rFonts w:hint="eastAsia" w:ascii="仿宋_GB2312" w:hAnsi="宋体" w:eastAsia="仿宋_GB2312" w:cs="宋体"/>
                <w:color w:val="000000" w:themeColor="text1"/>
                <w:szCs w:val="21"/>
                <w:lang w:eastAsia="zh-CN"/>
                <w14:textFill>
                  <w14:solidFill>
                    <w14:schemeClr w14:val="tx1"/>
                  </w14:solidFill>
                </w14:textFill>
              </w:rPr>
              <w:t>万</w:t>
            </w:r>
            <w:r>
              <w:rPr>
                <w:rFonts w:hint="eastAsia" w:ascii="仿宋_GB2312" w:hAnsi="宋体" w:eastAsia="仿宋_GB2312" w:cs="宋体"/>
                <w:color w:val="000000" w:themeColor="text1"/>
                <w:szCs w:val="21"/>
                <w14:textFill>
                  <w14:solidFill>
                    <w14:schemeClr w14:val="tx1"/>
                  </w14:solidFill>
                </w14:textFill>
              </w:rPr>
              <w:t>元以下罚款</w:t>
            </w:r>
            <w:r>
              <w:rPr>
                <w:rFonts w:hint="eastAsia" w:ascii="仿宋_GB2312" w:hAnsi="宋体" w:eastAsia="仿宋_GB2312" w:cs="宋体"/>
                <w:color w:val="000000" w:themeColor="text1"/>
                <w:szCs w:val="21"/>
                <w:lang w:eastAsia="zh-CN"/>
                <w14:textFill>
                  <w14:solidFill>
                    <w14:schemeClr w14:val="tx1"/>
                  </w14:solidFill>
                </w14:textFill>
              </w:rPr>
              <w:t>；</w:t>
            </w:r>
            <w:r>
              <w:rPr>
                <w:rFonts w:hint="default" w:ascii="仿宋_GB2312" w:hAnsi="宋体" w:eastAsia="仿宋_GB2312" w:cs="宋体"/>
                <w:color w:val="000000" w:themeColor="text1"/>
                <w:szCs w:val="21"/>
                <w:lang w:val="en-US" w:eastAsia="zh-CN"/>
                <w14:textFill>
                  <w14:solidFill>
                    <w14:schemeClr w14:val="tx1"/>
                  </w14:solidFill>
                </w14:textFill>
              </w:rPr>
              <w:t>有违法所得的，没收违法所得</w:t>
            </w:r>
            <w:r>
              <w:rPr>
                <w:rFonts w:hint="eastAsia" w:ascii="仿宋_GB2312" w:hAnsi="宋体" w:eastAsia="仿宋_GB2312" w:cs="宋体"/>
                <w:color w:val="000000" w:themeColor="text1"/>
                <w:szCs w:val="21"/>
                <w:lang w:val="en-US" w:eastAsia="zh-CN"/>
                <w14:textFill>
                  <w14:solidFill>
                    <w14:schemeClr w14:val="tx1"/>
                  </w14:solidFill>
                </w14:textFill>
              </w:rPr>
              <w:t>。</w:t>
            </w:r>
          </w:p>
        </w:tc>
      </w:tr>
      <w:tr w14:paraId="2B33C79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256" w:hRule="atLeast"/>
          <w:jc w:val="center"/>
        </w:trPr>
        <w:tc>
          <w:tcPr>
            <w:tcW w:w="518" w:type="dxa"/>
            <w:vMerge w:val="continue"/>
            <w:tcBorders>
              <w:tl2br w:val="nil"/>
              <w:tr2bl w:val="nil"/>
            </w:tcBorders>
            <w:vAlign w:val="center"/>
          </w:tcPr>
          <w:p w14:paraId="3BD4003C">
            <w:pPr>
              <w:pStyle w:val="29"/>
              <w:keepNext w:val="0"/>
              <w:keepLines w:val="0"/>
              <w:pageBreakBefore w:val="0"/>
              <w:widowControl/>
              <w:numPr>
                <w:ilvl w:val="0"/>
                <w:numId w:val="0"/>
              </w:numPr>
              <w:kinsoku/>
              <w:overflowPunct/>
              <w:topLinePunct w:val="0"/>
              <w:autoSpaceDE/>
              <w:autoSpaceDN/>
              <w:bidi w:val="0"/>
              <w:adjustRightInd/>
              <w:spacing w:line="260" w:lineRule="exact"/>
              <w:ind w:leftChars="0"/>
              <w:jc w:val="center"/>
              <w:rPr>
                <w:rFonts w:hint="default" w:ascii="仿宋_GB2312" w:hAnsi="宋体" w:eastAsia="仿宋_GB2312" w:cs="宋体"/>
                <w:color w:val="000000" w:themeColor="text1"/>
                <w:szCs w:val="21"/>
                <w:lang w:val="en-US" w:eastAsia="zh-CN"/>
                <w14:textFill>
                  <w14:solidFill>
                    <w14:schemeClr w14:val="tx1"/>
                  </w14:solidFill>
                </w14:textFill>
              </w:rPr>
            </w:pPr>
          </w:p>
        </w:tc>
        <w:tc>
          <w:tcPr>
            <w:tcW w:w="1488" w:type="dxa"/>
            <w:gridSpan w:val="2"/>
            <w:vMerge w:val="continue"/>
            <w:tcBorders>
              <w:tl2br w:val="nil"/>
              <w:tr2bl w:val="nil"/>
            </w:tcBorders>
            <w:vAlign w:val="center"/>
          </w:tcPr>
          <w:p w14:paraId="7E268E1E">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宋体"/>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271197B8">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宋体"/>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1C0D3487">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宋体"/>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0F45200B">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2B123C59">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经责令停止违法行为后，继续实施该违法行为的</w:t>
            </w:r>
            <w:r>
              <w:rPr>
                <w:rFonts w:hint="eastAsia" w:ascii="仿宋_GB2312" w:hAnsi="宋体" w:eastAsia="仿宋_GB2312" w:cs="宋体"/>
                <w:color w:val="000000" w:themeColor="text1"/>
                <w:szCs w:val="21"/>
                <w:lang w:eastAsia="zh-CN"/>
                <w14:textFill>
                  <w14:solidFill>
                    <w14:schemeClr w14:val="tx1"/>
                  </w14:solidFill>
                </w14:textFill>
              </w:rPr>
              <w:t>，</w:t>
            </w:r>
            <w:r>
              <w:rPr>
                <w:rFonts w:hint="eastAsia" w:ascii="仿宋_GB2312" w:hAnsi="宋体" w:eastAsia="仿宋_GB2312" w:cs="宋体"/>
                <w:color w:val="000000" w:themeColor="text1"/>
                <w:szCs w:val="21"/>
                <w:lang w:val="en-US" w:eastAsia="zh-CN"/>
                <w14:textFill>
                  <w14:solidFill>
                    <w14:schemeClr w14:val="tx1"/>
                  </w14:solidFill>
                </w14:textFill>
              </w:rPr>
              <w:t>或</w:t>
            </w:r>
            <w:r>
              <w:rPr>
                <w:rFonts w:hint="eastAsia" w:ascii="仿宋_GB2312" w:hAnsi="宋体" w:eastAsia="仿宋_GB2312" w:cs="宋体"/>
                <w:color w:val="000000" w:themeColor="text1"/>
                <w:szCs w:val="21"/>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szCs w:val="21"/>
                <w:lang w:eastAsia="zh-CN"/>
                <w14:textFill>
                  <w14:solidFill>
                    <w14:schemeClr w14:val="tx1"/>
                  </w14:solidFill>
                </w14:textFill>
              </w:rPr>
              <w:t>，</w:t>
            </w:r>
            <w:r>
              <w:rPr>
                <w:rFonts w:hint="eastAsia" w:ascii="仿宋_GB2312" w:hAnsi="宋体" w:eastAsia="仿宋_GB2312" w:cs="宋体"/>
                <w:color w:val="000000" w:themeColor="text1"/>
                <w:szCs w:val="21"/>
                <w:lang w:val="en-US" w:eastAsia="zh-CN"/>
                <w14:textFill>
                  <w14:solidFill>
                    <w14:schemeClr w14:val="tx1"/>
                  </w14:solidFill>
                </w14:textFill>
              </w:rPr>
              <w:t>或</w:t>
            </w:r>
            <w:r>
              <w:rPr>
                <w:rFonts w:hint="eastAsia" w:ascii="仿宋_GB2312" w:hAnsi="宋体" w:eastAsia="仿宋_GB2312" w:cs="宋体"/>
                <w:color w:val="000000" w:themeColor="text1"/>
                <w:szCs w:val="21"/>
                <w14:textFill>
                  <w14:solidFill>
                    <w14:schemeClr w14:val="tx1"/>
                  </w14:solidFill>
                </w14:textFill>
              </w:rPr>
              <w:t>造成严重危害后果的。</w:t>
            </w:r>
          </w:p>
        </w:tc>
        <w:tc>
          <w:tcPr>
            <w:tcW w:w="3375" w:type="dxa"/>
            <w:tcBorders>
              <w:tl2br w:val="nil"/>
              <w:tr2bl w:val="nil"/>
            </w:tcBorders>
            <w:tcMar>
              <w:top w:w="15" w:type="dxa"/>
              <w:left w:w="15" w:type="dxa"/>
              <w:bottom w:w="15" w:type="dxa"/>
              <w:right w:w="15" w:type="dxa"/>
            </w:tcMar>
            <w:vAlign w:val="center"/>
          </w:tcPr>
          <w:p w14:paraId="3FD7E997">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责令改正，可处5</w:t>
            </w:r>
            <w:r>
              <w:rPr>
                <w:rFonts w:hint="eastAsia" w:ascii="仿宋_GB2312" w:hAnsi="宋体" w:eastAsia="仿宋_GB2312" w:cs="宋体"/>
                <w:color w:val="000000" w:themeColor="text1"/>
                <w:szCs w:val="21"/>
                <w:lang w:eastAsia="zh-CN"/>
                <w14:textFill>
                  <w14:solidFill>
                    <w14:schemeClr w14:val="tx1"/>
                  </w14:solidFill>
                </w14:textFill>
              </w:rPr>
              <w:t>万</w:t>
            </w:r>
            <w:r>
              <w:rPr>
                <w:rFonts w:hint="eastAsia" w:ascii="仿宋_GB2312" w:hAnsi="宋体" w:eastAsia="仿宋_GB2312" w:cs="宋体"/>
                <w:color w:val="000000" w:themeColor="text1"/>
                <w:szCs w:val="21"/>
                <w14:textFill>
                  <w14:solidFill>
                    <w14:schemeClr w14:val="tx1"/>
                  </w14:solidFill>
                </w14:textFill>
              </w:rPr>
              <w:t>元以上1</w:t>
            </w:r>
            <w:r>
              <w:rPr>
                <w:rFonts w:hint="eastAsia" w:ascii="仿宋_GB2312" w:hAnsi="宋体" w:eastAsia="仿宋_GB2312" w:cs="宋体"/>
                <w:color w:val="000000" w:themeColor="text1"/>
                <w:szCs w:val="21"/>
                <w:lang w:val="en-US" w:eastAsia="zh-CN"/>
                <w14:textFill>
                  <w14:solidFill>
                    <w14:schemeClr w14:val="tx1"/>
                  </w14:solidFill>
                </w14:textFill>
              </w:rPr>
              <w:t>0</w:t>
            </w:r>
            <w:r>
              <w:rPr>
                <w:rFonts w:hint="eastAsia" w:ascii="仿宋_GB2312" w:hAnsi="宋体" w:eastAsia="仿宋_GB2312" w:cs="宋体"/>
                <w:color w:val="000000" w:themeColor="text1"/>
                <w:szCs w:val="21"/>
                <w14:textFill>
                  <w14:solidFill>
                    <w14:schemeClr w14:val="tx1"/>
                  </w14:solidFill>
                </w14:textFill>
              </w:rPr>
              <w:t>万元以下罚款</w:t>
            </w:r>
            <w:r>
              <w:rPr>
                <w:rFonts w:hint="eastAsia" w:ascii="仿宋_GB2312" w:hAnsi="宋体" w:eastAsia="仿宋_GB2312" w:cs="宋体"/>
                <w:color w:val="000000" w:themeColor="text1"/>
                <w:szCs w:val="21"/>
                <w:lang w:eastAsia="zh-CN"/>
                <w14:textFill>
                  <w14:solidFill>
                    <w14:schemeClr w14:val="tx1"/>
                  </w14:solidFill>
                </w14:textFill>
              </w:rPr>
              <w:t>；</w:t>
            </w:r>
            <w:r>
              <w:rPr>
                <w:rFonts w:hint="default" w:ascii="仿宋_GB2312" w:hAnsi="宋体" w:eastAsia="仿宋_GB2312" w:cs="宋体"/>
                <w:color w:val="000000" w:themeColor="text1"/>
                <w:szCs w:val="21"/>
                <w:lang w:val="en-US" w:eastAsia="zh-CN"/>
                <w14:textFill>
                  <w14:solidFill>
                    <w14:schemeClr w14:val="tx1"/>
                  </w14:solidFill>
                </w14:textFill>
              </w:rPr>
              <w:t>吊销燃气经营许可证</w:t>
            </w:r>
            <w:r>
              <w:rPr>
                <w:rFonts w:hint="eastAsia" w:ascii="仿宋_GB2312" w:hAnsi="宋体" w:eastAsia="仿宋_GB2312" w:cs="宋体"/>
                <w:color w:val="000000" w:themeColor="text1"/>
                <w:szCs w:val="21"/>
                <w:lang w:val="en-US" w:eastAsia="zh-CN"/>
                <w14:textFill>
                  <w14:solidFill>
                    <w14:schemeClr w14:val="tx1"/>
                  </w14:solidFill>
                </w14:textFill>
              </w:rPr>
              <w:t>。</w:t>
            </w:r>
          </w:p>
        </w:tc>
      </w:tr>
      <w:tr w14:paraId="0CC161C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991" w:hRule="atLeast"/>
          <w:jc w:val="center"/>
        </w:trPr>
        <w:tc>
          <w:tcPr>
            <w:tcW w:w="518" w:type="dxa"/>
            <w:vMerge w:val="restart"/>
            <w:tcBorders>
              <w:tl2br w:val="nil"/>
              <w:tr2bl w:val="nil"/>
            </w:tcBorders>
            <w:vAlign w:val="center"/>
          </w:tcPr>
          <w:p w14:paraId="2FA534E2">
            <w:pPr>
              <w:pStyle w:val="29"/>
              <w:keepNext w:val="0"/>
              <w:keepLines w:val="0"/>
              <w:pageBreakBefore w:val="0"/>
              <w:widowControl/>
              <w:numPr>
                <w:ilvl w:val="0"/>
                <w:numId w:val="0"/>
              </w:numPr>
              <w:kinsoku/>
              <w:overflowPunct/>
              <w:topLinePunct w:val="0"/>
              <w:autoSpaceDE/>
              <w:autoSpaceDN/>
              <w:bidi w:val="0"/>
              <w:adjustRightInd/>
              <w:spacing w:line="260" w:lineRule="exact"/>
              <w:ind w:leftChars="0"/>
              <w:jc w:val="center"/>
              <w:rPr>
                <w:rFonts w:hint="default" w:ascii="仿宋_GB2312" w:hAnsi="宋体" w:eastAsia="仿宋_GB2312" w:cs="宋体"/>
                <w:color w:val="000000" w:themeColor="text1"/>
                <w:szCs w:val="21"/>
                <w:lang w:val="en-US" w:eastAsia="zh-CN"/>
                <w14:textFill>
                  <w14:solidFill>
                    <w14:schemeClr w14:val="tx1"/>
                  </w14:solidFill>
                </w14:textFill>
              </w:rPr>
            </w:pPr>
            <w:r>
              <w:rPr>
                <w:rFonts w:hint="eastAsia" w:ascii="仿宋_GB2312" w:hAnsi="宋体" w:eastAsia="仿宋_GB2312" w:cs="宋体"/>
                <w:color w:val="000000" w:themeColor="text1"/>
                <w:szCs w:val="21"/>
                <w:lang w:val="en-US" w:eastAsia="zh-CN"/>
                <w14:textFill>
                  <w14:solidFill>
                    <w14:schemeClr w14:val="tx1"/>
                  </w14:solidFill>
                </w14:textFill>
              </w:rPr>
              <w:t>135</w:t>
            </w:r>
          </w:p>
        </w:tc>
        <w:tc>
          <w:tcPr>
            <w:tcW w:w="1488" w:type="dxa"/>
            <w:gridSpan w:val="2"/>
            <w:vMerge w:val="restart"/>
            <w:tcBorders>
              <w:tl2br w:val="nil"/>
              <w:tr2bl w:val="nil"/>
            </w:tcBorders>
            <w:vAlign w:val="center"/>
          </w:tcPr>
          <w:p w14:paraId="4BD4E661">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hint="eastAsia" w:ascii="仿宋_GB2312" w:hAnsi="宋体" w:eastAsia="仿宋_GB2312" w:cs="宋体"/>
                <w:color w:val="000000" w:themeColor="text1"/>
                <w:kern w:val="0"/>
                <w:szCs w:val="21"/>
                <w14:textFill>
                  <w14:solidFill>
                    <w14:schemeClr w14:val="tx1"/>
                  </w14:solidFill>
                </w14:textFill>
              </w:rPr>
            </w:pPr>
            <w:r>
              <w:rPr>
                <w:rFonts w:hint="default" w:ascii="仿宋_GB2312" w:hAnsi="宋体" w:eastAsia="仿宋_GB2312" w:cs="宋体"/>
                <w:color w:val="000000" w:themeColor="text1"/>
                <w:szCs w:val="21"/>
                <w:lang w:val="en-US" w:eastAsia="zh-CN"/>
                <w14:textFill>
                  <w14:solidFill>
                    <w14:schemeClr w14:val="tx1"/>
                  </w14:solidFill>
                </w14:textFill>
              </w:rPr>
              <w:t>存放气瓶的场所与公共建筑和居民住宅建筑的距离</w:t>
            </w:r>
            <w:r>
              <w:rPr>
                <w:rFonts w:hint="eastAsia" w:ascii="仿宋_GB2312" w:hAnsi="宋体" w:eastAsia="仿宋_GB2312" w:cs="宋体"/>
                <w:color w:val="000000" w:themeColor="text1"/>
                <w:szCs w:val="21"/>
                <w:lang w:val="en-US" w:eastAsia="zh-CN"/>
                <w14:textFill>
                  <w14:solidFill>
                    <w14:schemeClr w14:val="tx1"/>
                  </w14:solidFill>
                </w14:textFill>
              </w:rPr>
              <w:t>不</w:t>
            </w:r>
            <w:r>
              <w:rPr>
                <w:rFonts w:hint="default" w:ascii="仿宋_GB2312" w:hAnsi="宋体" w:eastAsia="仿宋_GB2312" w:cs="宋体"/>
                <w:color w:val="000000" w:themeColor="text1"/>
                <w:szCs w:val="21"/>
                <w:lang w:val="en-US" w:eastAsia="zh-CN"/>
                <w14:textFill>
                  <w14:solidFill>
                    <w14:schemeClr w14:val="tx1"/>
                  </w14:solidFill>
                </w14:textFill>
              </w:rPr>
              <w:t>符合国家和省规定的安全要求</w:t>
            </w:r>
          </w:p>
        </w:tc>
        <w:tc>
          <w:tcPr>
            <w:tcW w:w="1016" w:type="dxa"/>
            <w:vMerge w:val="restart"/>
            <w:tcBorders>
              <w:tl2br w:val="nil"/>
              <w:tr2bl w:val="nil"/>
            </w:tcBorders>
            <w:vAlign w:val="center"/>
          </w:tcPr>
          <w:p w14:paraId="29812E1D">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宋体"/>
                <w:color w:val="000000" w:themeColor="text1"/>
                <w:kern w:val="0"/>
                <w:szCs w:val="21"/>
                <w14:textFill>
                  <w14:solidFill>
                    <w14:schemeClr w14:val="tx1"/>
                  </w14:solidFill>
                </w14:textFill>
              </w:rPr>
            </w:pPr>
            <w:r>
              <w:rPr>
                <w:rFonts w:hint="default" w:ascii="仿宋_GB2312" w:hAnsi="宋体" w:eastAsia="仿宋_GB2312" w:cs="宋体"/>
                <w:color w:val="000000" w:themeColor="text1"/>
                <w:szCs w:val="21"/>
                <w:lang w:val="en-US" w:eastAsia="zh-CN"/>
                <w14:textFill>
                  <w14:solidFill>
                    <w14:schemeClr w14:val="tx1"/>
                  </w14:solidFill>
                </w14:textFill>
              </w:rPr>
              <w:t>《辽宁省城镇燃气管理条例》第二十六条</w:t>
            </w:r>
            <w:r>
              <w:rPr>
                <w:rFonts w:hint="eastAsia" w:ascii="仿宋_GB2312" w:hAnsi="宋体" w:eastAsia="仿宋_GB2312" w:cs="宋体"/>
                <w:color w:val="000000" w:themeColor="text1"/>
                <w:szCs w:val="21"/>
                <w:lang w:val="en-US" w:eastAsia="zh-CN"/>
                <w14:textFill>
                  <w14:solidFill>
                    <w14:schemeClr w14:val="tx1"/>
                  </w14:solidFill>
                </w14:textFill>
              </w:rPr>
              <w:t>第七项</w:t>
            </w:r>
          </w:p>
        </w:tc>
        <w:tc>
          <w:tcPr>
            <w:tcW w:w="4354" w:type="dxa"/>
            <w:vMerge w:val="restart"/>
            <w:tcBorders>
              <w:tl2br w:val="nil"/>
              <w:tr2bl w:val="nil"/>
            </w:tcBorders>
            <w:vAlign w:val="center"/>
          </w:tcPr>
          <w:p w14:paraId="420FE6C2">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lang w:eastAsia="zh-CN"/>
                <w14:textFill>
                  <w14:solidFill>
                    <w14:schemeClr w14:val="tx1"/>
                  </w14:solidFill>
                </w14:textFill>
              </w:rPr>
              <w:tab/>
            </w:r>
            <w:r>
              <w:rPr>
                <w:rFonts w:hint="default" w:ascii="仿宋_GB2312" w:hAnsi="宋体" w:eastAsia="仿宋_GB2312" w:cs="宋体"/>
                <w:color w:val="000000" w:themeColor="text1"/>
                <w:szCs w:val="21"/>
                <w:lang w:val="en-US" w:eastAsia="zh-CN"/>
                <w14:textFill>
                  <w14:solidFill>
                    <w14:schemeClr w14:val="tx1"/>
                  </w14:solidFill>
                </w14:textFill>
              </w:rPr>
              <w:t>《辽宁省城镇燃气管理条例》第五十二条</w:t>
            </w:r>
            <w:r>
              <w:rPr>
                <w:rFonts w:hint="eastAsia" w:ascii="仿宋_GB2312" w:hAnsi="宋体" w:eastAsia="仿宋_GB2312" w:cs="宋体"/>
                <w:color w:val="000000" w:themeColor="text1"/>
                <w:szCs w:val="21"/>
                <w:lang w:val="en-US" w:eastAsia="zh-CN"/>
                <w14:textFill>
                  <w14:solidFill>
                    <w14:schemeClr w14:val="tx1"/>
                  </w14:solidFill>
                </w14:textFill>
              </w:rPr>
              <w:t>（三）项：“</w:t>
            </w:r>
            <w:r>
              <w:rPr>
                <w:rFonts w:hint="default" w:ascii="仿宋_GB2312" w:hAnsi="宋体" w:eastAsia="仿宋_GB2312" w:cs="宋体"/>
                <w:color w:val="000000" w:themeColor="text1"/>
                <w:szCs w:val="21"/>
                <w:lang w:val="en-US" w:eastAsia="zh-CN"/>
                <w14:textFill>
                  <w14:solidFill>
                    <w14:schemeClr w14:val="tx1"/>
                  </w14:solidFill>
                </w14:textFill>
              </w:rPr>
              <w:t>违反本条例规定，瓶装燃气经营者有下列情形之一的，由燃气管理部门或者其他相关部门责令限期改正，处一万元以上十万元以下罚款；有违法所得的，没收违法所得;情节严重的，吊销燃气经营许可证；造成损失的，依法承担赔偿责任；涉嫌犯罪的，依法移送有关机关处理</w:t>
            </w:r>
            <w:r>
              <w:rPr>
                <w:rFonts w:hint="eastAsia" w:ascii="仿宋_GB2312" w:hAnsi="宋体" w:eastAsia="仿宋_GB2312" w:cs="宋体"/>
                <w:color w:val="000000" w:themeColor="text1"/>
                <w:szCs w:val="21"/>
                <w:lang w:val="en-US" w:eastAsia="zh-CN"/>
                <w14:textFill>
                  <w14:solidFill>
                    <w14:schemeClr w14:val="tx1"/>
                  </w14:solidFill>
                </w14:textFill>
              </w:rPr>
              <w:t>。</w:t>
            </w:r>
          </w:p>
        </w:tc>
        <w:tc>
          <w:tcPr>
            <w:tcW w:w="912" w:type="dxa"/>
            <w:tcBorders>
              <w:tl2br w:val="nil"/>
              <w:tr2bl w:val="nil"/>
            </w:tcBorders>
            <w:tcMar>
              <w:top w:w="15" w:type="dxa"/>
              <w:left w:w="15" w:type="dxa"/>
              <w:bottom w:w="15" w:type="dxa"/>
              <w:right w:w="15" w:type="dxa"/>
            </w:tcMar>
            <w:vAlign w:val="center"/>
          </w:tcPr>
          <w:p w14:paraId="0E5F450C">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6DDEA281">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初次违法，危害后果轻微，积极整改的。</w:t>
            </w:r>
          </w:p>
        </w:tc>
        <w:tc>
          <w:tcPr>
            <w:tcW w:w="3375" w:type="dxa"/>
            <w:tcBorders>
              <w:tl2br w:val="nil"/>
              <w:tr2bl w:val="nil"/>
            </w:tcBorders>
            <w:tcMar>
              <w:top w:w="15" w:type="dxa"/>
              <w:left w:w="15" w:type="dxa"/>
              <w:bottom w:w="15" w:type="dxa"/>
              <w:right w:w="15" w:type="dxa"/>
            </w:tcMar>
            <w:vAlign w:val="center"/>
          </w:tcPr>
          <w:p w14:paraId="7D81D390">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责令改正，可处</w:t>
            </w:r>
            <w:r>
              <w:rPr>
                <w:rFonts w:hint="eastAsia" w:ascii="仿宋_GB2312" w:hAnsi="宋体" w:eastAsia="仿宋_GB2312" w:cs="宋体"/>
                <w:color w:val="000000" w:themeColor="text1"/>
                <w:szCs w:val="21"/>
                <w:lang w:val="en-US" w:eastAsia="zh-CN"/>
                <w14:textFill>
                  <w14:solidFill>
                    <w14:schemeClr w14:val="tx1"/>
                  </w14:solidFill>
                </w14:textFill>
              </w:rPr>
              <w:t>1</w:t>
            </w:r>
            <w:r>
              <w:rPr>
                <w:rFonts w:hint="eastAsia" w:ascii="仿宋_GB2312" w:hAnsi="宋体" w:eastAsia="仿宋_GB2312" w:cs="宋体"/>
                <w:color w:val="000000" w:themeColor="text1"/>
                <w:szCs w:val="21"/>
                <w:lang w:eastAsia="zh-CN"/>
                <w14:textFill>
                  <w14:solidFill>
                    <w14:schemeClr w14:val="tx1"/>
                  </w14:solidFill>
                </w14:textFill>
              </w:rPr>
              <w:t>万</w:t>
            </w:r>
            <w:r>
              <w:rPr>
                <w:rFonts w:hint="eastAsia" w:ascii="仿宋_GB2312" w:hAnsi="宋体" w:eastAsia="仿宋_GB2312" w:cs="宋体"/>
                <w:color w:val="000000" w:themeColor="text1"/>
                <w:szCs w:val="21"/>
                <w14:textFill>
                  <w14:solidFill>
                    <w14:schemeClr w14:val="tx1"/>
                  </w14:solidFill>
                </w14:textFill>
              </w:rPr>
              <w:t>元罚款。</w:t>
            </w:r>
          </w:p>
        </w:tc>
      </w:tr>
      <w:tr w14:paraId="0D38572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901" w:hRule="atLeast"/>
          <w:jc w:val="center"/>
        </w:trPr>
        <w:tc>
          <w:tcPr>
            <w:tcW w:w="518" w:type="dxa"/>
            <w:vMerge w:val="continue"/>
            <w:tcBorders>
              <w:tl2br w:val="nil"/>
              <w:tr2bl w:val="nil"/>
            </w:tcBorders>
            <w:vAlign w:val="center"/>
          </w:tcPr>
          <w:p w14:paraId="3B999CC8">
            <w:pPr>
              <w:pStyle w:val="29"/>
              <w:keepNext w:val="0"/>
              <w:keepLines w:val="0"/>
              <w:pageBreakBefore w:val="0"/>
              <w:widowControl/>
              <w:numPr>
                <w:ilvl w:val="0"/>
                <w:numId w:val="0"/>
              </w:numPr>
              <w:kinsoku/>
              <w:overflowPunct/>
              <w:topLinePunct w:val="0"/>
              <w:autoSpaceDE/>
              <w:autoSpaceDN/>
              <w:bidi w:val="0"/>
              <w:adjustRightInd/>
              <w:spacing w:line="260" w:lineRule="exact"/>
              <w:ind w:leftChars="0"/>
              <w:jc w:val="center"/>
              <w:rPr>
                <w:rFonts w:hint="default" w:ascii="仿宋_GB2312" w:hAnsi="宋体" w:eastAsia="仿宋_GB2312" w:cs="宋体"/>
                <w:color w:val="000000" w:themeColor="text1"/>
                <w:szCs w:val="21"/>
                <w:lang w:val="en-US" w:eastAsia="zh-CN"/>
                <w14:textFill>
                  <w14:solidFill>
                    <w14:schemeClr w14:val="tx1"/>
                  </w14:solidFill>
                </w14:textFill>
              </w:rPr>
            </w:pPr>
          </w:p>
        </w:tc>
        <w:tc>
          <w:tcPr>
            <w:tcW w:w="1488" w:type="dxa"/>
            <w:gridSpan w:val="2"/>
            <w:vMerge w:val="continue"/>
            <w:tcBorders>
              <w:tl2br w:val="nil"/>
              <w:tr2bl w:val="nil"/>
            </w:tcBorders>
            <w:vAlign w:val="center"/>
          </w:tcPr>
          <w:p w14:paraId="3BF96DE1">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宋体"/>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616328F6">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宋体"/>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0420AF08">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宋体"/>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14F35C2C">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6FDF4682">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w:t>
            </w:r>
            <w:r>
              <w:rPr>
                <w:rFonts w:hint="eastAsia" w:ascii="仿宋_GB2312" w:hAnsi="宋体" w:eastAsia="仿宋_GB2312" w:cs="宋体"/>
                <w:color w:val="000000" w:themeColor="text1"/>
                <w:kern w:val="0"/>
                <w:szCs w:val="21"/>
                <w:lang w:eastAsia="zh-CN"/>
                <w14:textFill>
                  <w14:solidFill>
                    <w14:schemeClr w14:val="tx1"/>
                  </w14:solidFill>
                </w14:textFill>
              </w:rPr>
              <w:t>从重情节</w:t>
            </w:r>
            <w:r>
              <w:rPr>
                <w:rFonts w:hint="eastAsia" w:ascii="仿宋_GB2312" w:hAnsi="宋体" w:eastAsia="仿宋_GB2312" w:cs="宋体"/>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4E8997F1">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责令改正，可处</w:t>
            </w:r>
            <w:r>
              <w:rPr>
                <w:rFonts w:hint="eastAsia" w:ascii="仿宋_GB2312" w:hAnsi="宋体" w:eastAsia="仿宋_GB2312" w:cs="宋体"/>
                <w:color w:val="000000" w:themeColor="text1"/>
                <w:szCs w:val="21"/>
                <w:lang w:val="en-US" w:eastAsia="zh-CN"/>
                <w14:textFill>
                  <w14:solidFill>
                    <w14:schemeClr w14:val="tx1"/>
                  </w14:solidFill>
                </w14:textFill>
              </w:rPr>
              <w:t>2</w:t>
            </w:r>
            <w:r>
              <w:rPr>
                <w:rFonts w:hint="eastAsia" w:ascii="仿宋_GB2312" w:hAnsi="宋体" w:eastAsia="仿宋_GB2312" w:cs="宋体"/>
                <w:color w:val="000000" w:themeColor="text1"/>
                <w:kern w:val="0"/>
                <w:szCs w:val="21"/>
                <w:lang w:eastAsia="zh-CN"/>
                <w14:textFill>
                  <w14:solidFill>
                    <w14:schemeClr w14:val="tx1"/>
                  </w14:solidFill>
                </w14:textFill>
              </w:rPr>
              <w:t>万</w:t>
            </w:r>
            <w:r>
              <w:rPr>
                <w:rFonts w:hint="eastAsia" w:ascii="仿宋_GB2312" w:hAnsi="宋体" w:eastAsia="仿宋_GB2312" w:cs="宋体"/>
                <w:color w:val="000000" w:themeColor="text1"/>
                <w:kern w:val="0"/>
                <w:szCs w:val="21"/>
                <w14:textFill>
                  <w14:solidFill>
                    <w14:schemeClr w14:val="tx1"/>
                  </w14:solidFill>
                </w14:textFill>
              </w:rPr>
              <w:t>元以上</w:t>
            </w:r>
            <w:r>
              <w:rPr>
                <w:rFonts w:hint="eastAsia" w:ascii="仿宋_GB2312" w:hAnsi="宋体" w:eastAsia="仿宋_GB2312" w:cs="宋体"/>
                <w:color w:val="000000" w:themeColor="text1"/>
                <w:szCs w:val="21"/>
                <w14:textFill>
                  <w14:solidFill>
                    <w14:schemeClr w14:val="tx1"/>
                  </w14:solidFill>
                </w14:textFill>
              </w:rPr>
              <w:t>5</w:t>
            </w:r>
            <w:r>
              <w:rPr>
                <w:rFonts w:hint="eastAsia" w:ascii="仿宋_GB2312" w:hAnsi="宋体" w:eastAsia="仿宋_GB2312" w:cs="宋体"/>
                <w:color w:val="000000" w:themeColor="text1"/>
                <w:szCs w:val="21"/>
                <w:lang w:eastAsia="zh-CN"/>
                <w14:textFill>
                  <w14:solidFill>
                    <w14:schemeClr w14:val="tx1"/>
                  </w14:solidFill>
                </w14:textFill>
              </w:rPr>
              <w:t>万</w:t>
            </w:r>
            <w:r>
              <w:rPr>
                <w:rFonts w:hint="eastAsia" w:ascii="仿宋_GB2312" w:hAnsi="宋体" w:eastAsia="仿宋_GB2312" w:cs="宋体"/>
                <w:color w:val="000000" w:themeColor="text1"/>
                <w:szCs w:val="21"/>
                <w14:textFill>
                  <w14:solidFill>
                    <w14:schemeClr w14:val="tx1"/>
                  </w14:solidFill>
                </w14:textFill>
              </w:rPr>
              <w:t>元以下罚款</w:t>
            </w:r>
            <w:r>
              <w:rPr>
                <w:rFonts w:hint="eastAsia" w:ascii="仿宋_GB2312" w:hAnsi="宋体" w:eastAsia="仿宋_GB2312" w:cs="宋体"/>
                <w:color w:val="000000" w:themeColor="text1"/>
                <w:szCs w:val="21"/>
                <w:lang w:eastAsia="zh-CN"/>
                <w14:textFill>
                  <w14:solidFill>
                    <w14:schemeClr w14:val="tx1"/>
                  </w14:solidFill>
                </w14:textFill>
              </w:rPr>
              <w:t>；</w:t>
            </w:r>
            <w:r>
              <w:rPr>
                <w:rFonts w:hint="default" w:ascii="仿宋_GB2312" w:hAnsi="宋体" w:eastAsia="仿宋_GB2312" w:cs="宋体"/>
                <w:color w:val="000000" w:themeColor="text1"/>
                <w:szCs w:val="21"/>
                <w:lang w:val="en-US" w:eastAsia="zh-CN"/>
                <w14:textFill>
                  <w14:solidFill>
                    <w14:schemeClr w14:val="tx1"/>
                  </w14:solidFill>
                </w14:textFill>
              </w:rPr>
              <w:t>有违法所得的，没收违法所得</w:t>
            </w:r>
            <w:r>
              <w:rPr>
                <w:rFonts w:hint="eastAsia" w:ascii="仿宋_GB2312" w:hAnsi="宋体" w:eastAsia="仿宋_GB2312" w:cs="宋体"/>
                <w:color w:val="000000" w:themeColor="text1"/>
                <w:szCs w:val="21"/>
                <w:lang w:val="en-US" w:eastAsia="zh-CN"/>
                <w14:textFill>
                  <w14:solidFill>
                    <w14:schemeClr w14:val="tx1"/>
                  </w14:solidFill>
                </w14:textFill>
              </w:rPr>
              <w:t>。</w:t>
            </w:r>
          </w:p>
        </w:tc>
      </w:tr>
      <w:tr w14:paraId="0AA4D55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256" w:hRule="atLeast"/>
          <w:jc w:val="center"/>
        </w:trPr>
        <w:tc>
          <w:tcPr>
            <w:tcW w:w="518" w:type="dxa"/>
            <w:vMerge w:val="continue"/>
            <w:tcBorders>
              <w:tl2br w:val="nil"/>
              <w:tr2bl w:val="nil"/>
            </w:tcBorders>
            <w:vAlign w:val="center"/>
          </w:tcPr>
          <w:p w14:paraId="68306AA9">
            <w:pPr>
              <w:pStyle w:val="29"/>
              <w:keepNext w:val="0"/>
              <w:keepLines w:val="0"/>
              <w:pageBreakBefore w:val="0"/>
              <w:widowControl/>
              <w:numPr>
                <w:ilvl w:val="0"/>
                <w:numId w:val="0"/>
              </w:numPr>
              <w:kinsoku/>
              <w:overflowPunct/>
              <w:topLinePunct w:val="0"/>
              <w:autoSpaceDE/>
              <w:autoSpaceDN/>
              <w:bidi w:val="0"/>
              <w:adjustRightInd/>
              <w:spacing w:line="260" w:lineRule="exact"/>
              <w:ind w:leftChars="0"/>
              <w:jc w:val="center"/>
              <w:rPr>
                <w:rFonts w:hint="default" w:ascii="仿宋_GB2312" w:hAnsi="宋体" w:eastAsia="仿宋_GB2312" w:cs="宋体"/>
                <w:color w:val="000000" w:themeColor="text1"/>
                <w:szCs w:val="21"/>
                <w:lang w:val="en-US" w:eastAsia="zh-CN"/>
                <w14:textFill>
                  <w14:solidFill>
                    <w14:schemeClr w14:val="tx1"/>
                  </w14:solidFill>
                </w14:textFill>
              </w:rPr>
            </w:pPr>
          </w:p>
        </w:tc>
        <w:tc>
          <w:tcPr>
            <w:tcW w:w="1488" w:type="dxa"/>
            <w:gridSpan w:val="2"/>
            <w:vMerge w:val="continue"/>
            <w:tcBorders>
              <w:tl2br w:val="nil"/>
              <w:tr2bl w:val="nil"/>
            </w:tcBorders>
            <w:vAlign w:val="center"/>
          </w:tcPr>
          <w:p w14:paraId="3A3880B6">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宋体"/>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04D17D42">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宋体"/>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7377D639">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宋体"/>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5FA401C6">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037D74F8">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经责令停止违法行为后，继续实施该违法行为的</w:t>
            </w:r>
            <w:r>
              <w:rPr>
                <w:rFonts w:hint="eastAsia" w:ascii="仿宋_GB2312" w:hAnsi="宋体" w:eastAsia="仿宋_GB2312" w:cs="宋体"/>
                <w:color w:val="000000" w:themeColor="text1"/>
                <w:szCs w:val="21"/>
                <w:lang w:eastAsia="zh-CN"/>
                <w14:textFill>
                  <w14:solidFill>
                    <w14:schemeClr w14:val="tx1"/>
                  </w14:solidFill>
                </w14:textFill>
              </w:rPr>
              <w:t>，</w:t>
            </w:r>
            <w:r>
              <w:rPr>
                <w:rFonts w:hint="eastAsia" w:ascii="仿宋_GB2312" w:hAnsi="宋体" w:eastAsia="仿宋_GB2312" w:cs="宋体"/>
                <w:color w:val="000000" w:themeColor="text1"/>
                <w:szCs w:val="21"/>
                <w:lang w:val="en-US" w:eastAsia="zh-CN"/>
                <w14:textFill>
                  <w14:solidFill>
                    <w14:schemeClr w14:val="tx1"/>
                  </w14:solidFill>
                </w14:textFill>
              </w:rPr>
              <w:t>或</w:t>
            </w:r>
            <w:r>
              <w:rPr>
                <w:rFonts w:hint="eastAsia" w:ascii="仿宋_GB2312" w:hAnsi="宋体" w:eastAsia="仿宋_GB2312" w:cs="宋体"/>
                <w:color w:val="000000" w:themeColor="text1"/>
                <w:szCs w:val="21"/>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szCs w:val="21"/>
                <w:lang w:eastAsia="zh-CN"/>
                <w14:textFill>
                  <w14:solidFill>
                    <w14:schemeClr w14:val="tx1"/>
                  </w14:solidFill>
                </w14:textFill>
              </w:rPr>
              <w:t>，</w:t>
            </w:r>
            <w:r>
              <w:rPr>
                <w:rFonts w:hint="eastAsia" w:ascii="仿宋_GB2312" w:hAnsi="宋体" w:eastAsia="仿宋_GB2312" w:cs="宋体"/>
                <w:color w:val="000000" w:themeColor="text1"/>
                <w:szCs w:val="21"/>
                <w:lang w:val="en-US" w:eastAsia="zh-CN"/>
                <w14:textFill>
                  <w14:solidFill>
                    <w14:schemeClr w14:val="tx1"/>
                  </w14:solidFill>
                </w14:textFill>
              </w:rPr>
              <w:t>或</w:t>
            </w:r>
            <w:r>
              <w:rPr>
                <w:rFonts w:hint="eastAsia" w:ascii="仿宋_GB2312" w:hAnsi="宋体" w:eastAsia="仿宋_GB2312" w:cs="宋体"/>
                <w:color w:val="000000" w:themeColor="text1"/>
                <w:szCs w:val="21"/>
                <w14:textFill>
                  <w14:solidFill>
                    <w14:schemeClr w14:val="tx1"/>
                  </w14:solidFill>
                </w14:textFill>
              </w:rPr>
              <w:t>造成严重危害后果的。</w:t>
            </w:r>
          </w:p>
        </w:tc>
        <w:tc>
          <w:tcPr>
            <w:tcW w:w="3375" w:type="dxa"/>
            <w:tcBorders>
              <w:tl2br w:val="nil"/>
              <w:tr2bl w:val="nil"/>
            </w:tcBorders>
            <w:tcMar>
              <w:top w:w="15" w:type="dxa"/>
              <w:left w:w="15" w:type="dxa"/>
              <w:bottom w:w="15" w:type="dxa"/>
              <w:right w:w="15" w:type="dxa"/>
            </w:tcMar>
            <w:vAlign w:val="center"/>
          </w:tcPr>
          <w:p w14:paraId="4640E15E">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责令改正，可处5</w:t>
            </w:r>
            <w:r>
              <w:rPr>
                <w:rFonts w:hint="eastAsia" w:ascii="仿宋_GB2312" w:hAnsi="宋体" w:eastAsia="仿宋_GB2312" w:cs="宋体"/>
                <w:color w:val="000000" w:themeColor="text1"/>
                <w:szCs w:val="21"/>
                <w:lang w:eastAsia="zh-CN"/>
                <w14:textFill>
                  <w14:solidFill>
                    <w14:schemeClr w14:val="tx1"/>
                  </w14:solidFill>
                </w14:textFill>
              </w:rPr>
              <w:t>万</w:t>
            </w:r>
            <w:r>
              <w:rPr>
                <w:rFonts w:hint="eastAsia" w:ascii="仿宋_GB2312" w:hAnsi="宋体" w:eastAsia="仿宋_GB2312" w:cs="宋体"/>
                <w:color w:val="000000" w:themeColor="text1"/>
                <w:szCs w:val="21"/>
                <w14:textFill>
                  <w14:solidFill>
                    <w14:schemeClr w14:val="tx1"/>
                  </w14:solidFill>
                </w14:textFill>
              </w:rPr>
              <w:t>元以上1</w:t>
            </w:r>
            <w:r>
              <w:rPr>
                <w:rFonts w:hint="eastAsia" w:ascii="仿宋_GB2312" w:hAnsi="宋体" w:eastAsia="仿宋_GB2312" w:cs="宋体"/>
                <w:color w:val="000000" w:themeColor="text1"/>
                <w:szCs w:val="21"/>
                <w:lang w:val="en-US" w:eastAsia="zh-CN"/>
                <w14:textFill>
                  <w14:solidFill>
                    <w14:schemeClr w14:val="tx1"/>
                  </w14:solidFill>
                </w14:textFill>
              </w:rPr>
              <w:t>0</w:t>
            </w:r>
            <w:r>
              <w:rPr>
                <w:rFonts w:hint="eastAsia" w:ascii="仿宋_GB2312" w:hAnsi="宋体" w:eastAsia="仿宋_GB2312" w:cs="宋体"/>
                <w:color w:val="000000" w:themeColor="text1"/>
                <w:szCs w:val="21"/>
                <w14:textFill>
                  <w14:solidFill>
                    <w14:schemeClr w14:val="tx1"/>
                  </w14:solidFill>
                </w14:textFill>
              </w:rPr>
              <w:t>万元以下罚款</w:t>
            </w:r>
            <w:r>
              <w:rPr>
                <w:rFonts w:hint="eastAsia" w:ascii="仿宋_GB2312" w:hAnsi="宋体" w:eastAsia="仿宋_GB2312" w:cs="宋体"/>
                <w:color w:val="000000" w:themeColor="text1"/>
                <w:szCs w:val="21"/>
                <w:lang w:eastAsia="zh-CN"/>
                <w14:textFill>
                  <w14:solidFill>
                    <w14:schemeClr w14:val="tx1"/>
                  </w14:solidFill>
                </w14:textFill>
              </w:rPr>
              <w:t>；</w:t>
            </w:r>
            <w:r>
              <w:rPr>
                <w:rFonts w:hint="default" w:ascii="仿宋_GB2312" w:hAnsi="宋体" w:eastAsia="仿宋_GB2312" w:cs="宋体"/>
                <w:color w:val="000000" w:themeColor="text1"/>
                <w:szCs w:val="21"/>
                <w:lang w:val="en-US" w:eastAsia="zh-CN"/>
                <w14:textFill>
                  <w14:solidFill>
                    <w14:schemeClr w14:val="tx1"/>
                  </w14:solidFill>
                </w14:textFill>
              </w:rPr>
              <w:t>吊销燃气经营许可证</w:t>
            </w:r>
            <w:r>
              <w:rPr>
                <w:rFonts w:hint="eastAsia" w:ascii="仿宋_GB2312" w:hAnsi="宋体" w:eastAsia="仿宋_GB2312" w:cs="宋体"/>
                <w:color w:val="000000" w:themeColor="text1"/>
                <w:szCs w:val="21"/>
                <w:lang w:val="en-US" w:eastAsia="zh-CN"/>
                <w14:textFill>
                  <w14:solidFill>
                    <w14:schemeClr w14:val="tx1"/>
                  </w14:solidFill>
                </w14:textFill>
              </w:rPr>
              <w:t>。</w:t>
            </w:r>
          </w:p>
        </w:tc>
      </w:tr>
      <w:tr w14:paraId="5654AD3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256" w:hRule="atLeast"/>
          <w:jc w:val="center"/>
        </w:trPr>
        <w:tc>
          <w:tcPr>
            <w:tcW w:w="518" w:type="dxa"/>
            <w:vMerge w:val="restart"/>
            <w:tcBorders>
              <w:tl2br w:val="nil"/>
              <w:tr2bl w:val="nil"/>
            </w:tcBorders>
            <w:vAlign w:val="center"/>
          </w:tcPr>
          <w:p w14:paraId="33AEF0DF">
            <w:pPr>
              <w:pStyle w:val="29"/>
              <w:keepNext w:val="0"/>
              <w:keepLines w:val="0"/>
              <w:pageBreakBefore w:val="0"/>
              <w:widowControl/>
              <w:numPr>
                <w:ilvl w:val="0"/>
                <w:numId w:val="0"/>
              </w:numPr>
              <w:kinsoku/>
              <w:overflowPunct/>
              <w:topLinePunct w:val="0"/>
              <w:autoSpaceDE/>
              <w:autoSpaceDN/>
              <w:bidi w:val="0"/>
              <w:adjustRightInd/>
              <w:spacing w:line="260" w:lineRule="exact"/>
              <w:ind w:leftChars="0"/>
              <w:jc w:val="center"/>
              <w:rPr>
                <w:rFonts w:hint="default" w:ascii="仿宋_GB2312" w:hAnsi="宋体" w:eastAsia="仿宋_GB2312" w:cs="宋体"/>
                <w:color w:val="000000" w:themeColor="text1"/>
                <w:szCs w:val="21"/>
                <w:lang w:val="en-US" w:eastAsia="zh-CN"/>
                <w14:textFill>
                  <w14:solidFill>
                    <w14:schemeClr w14:val="tx1"/>
                  </w14:solidFill>
                </w14:textFill>
              </w:rPr>
            </w:pPr>
            <w:r>
              <w:rPr>
                <w:rFonts w:hint="eastAsia" w:ascii="仿宋_GB2312" w:hAnsi="宋体" w:eastAsia="仿宋_GB2312" w:cs="宋体"/>
                <w:color w:val="000000" w:themeColor="text1"/>
                <w:szCs w:val="21"/>
                <w:lang w:val="en-US" w:eastAsia="zh-CN"/>
                <w14:textFill>
                  <w14:solidFill>
                    <w14:schemeClr w14:val="tx1"/>
                  </w14:solidFill>
                </w14:textFill>
              </w:rPr>
              <w:t>136</w:t>
            </w:r>
          </w:p>
        </w:tc>
        <w:tc>
          <w:tcPr>
            <w:tcW w:w="1488" w:type="dxa"/>
            <w:gridSpan w:val="2"/>
            <w:vMerge w:val="restart"/>
            <w:tcBorders>
              <w:tl2br w:val="nil"/>
              <w:tr2bl w:val="nil"/>
            </w:tcBorders>
            <w:vAlign w:val="center"/>
          </w:tcPr>
          <w:p w14:paraId="271BD74E">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hint="eastAsia" w:ascii="仿宋_GB2312" w:hAnsi="宋体" w:eastAsia="仿宋_GB2312" w:cs="宋体"/>
                <w:color w:val="000000" w:themeColor="text1"/>
                <w:szCs w:val="21"/>
                <w:lang w:val="en-US" w:eastAsia="zh-CN"/>
                <w14:textFill>
                  <w14:solidFill>
                    <w14:schemeClr w14:val="tx1"/>
                  </w14:solidFill>
                </w14:textFill>
              </w:rPr>
            </w:pPr>
            <w:r>
              <w:rPr>
                <w:rFonts w:hint="default" w:ascii="仿宋_GB2312" w:hAnsi="宋体" w:eastAsia="仿宋_GB2312" w:cs="宋体"/>
                <w:color w:val="000000" w:themeColor="text1"/>
                <w:szCs w:val="21"/>
                <w:lang w:val="en-US" w:eastAsia="zh-CN"/>
                <w14:textFill>
                  <w14:solidFill>
                    <w14:schemeClr w14:val="tx1"/>
                  </w14:solidFill>
                </w14:textFill>
              </w:rPr>
              <w:t>在充装后的燃气气瓶上标明充装单位和服务电话</w:t>
            </w:r>
          </w:p>
        </w:tc>
        <w:tc>
          <w:tcPr>
            <w:tcW w:w="1016" w:type="dxa"/>
            <w:vMerge w:val="restart"/>
            <w:tcBorders>
              <w:tl2br w:val="nil"/>
              <w:tr2bl w:val="nil"/>
            </w:tcBorders>
            <w:vAlign w:val="center"/>
          </w:tcPr>
          <w:p w14:paraId="026A453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hint="eastAsia" w:ascii="仿宋_GB2312" w:hAnsi="宋体" w:eastAsia="仿宋_GB2312" w:cs="宋体"/>
                <w:color w:val="000000" w:themeColor="text1"/>
                <w:szCs w:val="21"/>
                <w:lang w:val="en-US" w:eastAsia="zh-CN"/>
                <w14:textFill>
                  <w14:solidFill>
                    <w14:schemeClr w14:val="tx1"/>
                  </w14:solidFill>
                </w14:textFill>
              </w:rPr>
            </w:pPr>
            <w:r>
              <w:rPr>
                <w:rFonts w:hint="default" w:ascii="仿宋_GB2312" w:hAnsi="宋体" w:eastAsia="仿宋_GB2312" w:cs="宋体"/>
                <w:color w:val="000000" w:themeColor="text1"/>
                <w:szCs w:val="21"/>
                <w:lang w:val="en-US" w:eastAsia="zh-CN"/>
                <w14:textFill>
                  <w14:solidFill>
                    <w14:schemeClr w14:val="tx1"/>
                  </w14:solidFill>
                </w14:textFill>
              </w:rPr>
              <w:t>《辽宁省城镇燃气管理条例》第二十六条</w:t>
            </w:r>
            <w:r>
              <w:rPr>
                <w:rFonts w:hint="eastAsia" w:ascii="仿宋_GB2312" w:hAnsi="宋体" w:eastAsia="仿宋_GB2312" w:cs="宋体"/>
                <w:color w:val="000000" w:themeColor="text1"/>
                <w:szCs w:val="21"/>
                <w:lang w:val="en-US" w:eastAsia="zh-CN"/>
                <w14:textFill>
                  <w14:solidFill>
                    <w14:schemeClr w14:val="tx1"/>
                  </w14:solidFill>
                </w14:textFill>
              </w:rPr>
              <w:t>第八项</w:t>
            </w:r>
          </w:p>
        </w:tc>
        <w:tc>
          <w:tcPr>
            <w:tcW w:w="4354" w:type="dxa"/>
            <w:vMerge w:val="restart"/>
            <w:tcBorders>
              <w:tl2br w:val="nil"/>
              <w:tr2bl w:val="nil"/>
            </w:tcBorders>
            <w:vAlign w:val="center"/>
          </w:tcPr>
          <w:p w14:paraId="5AF43FA0">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hint="eastAsia" w:ascii="仿宋_GB2312" w:hAnsi="宋体" w:eastAsia="仿宋_GB2312" w:cs="宋体"/>
                <w:color w:val="000000" w:themeColor="text1"/>
                <w:kern w:val="0"/>
                <w:szCs w:val="21"/>
                <w14:textFill>
                  <w14:solidFill>
                    <w14:schemeClr w14:val="tx1"/>
                  </w14:solidFill>
                </w14:textFill>
              </w:rPr>
            </w:pPr>
            <w:r>
              <w:rPr>
                <w:rFonts w:hint="default" w:ascii="仿宋_GB2312" w:hAnsi="宋体" w:eastAsia="仿宋_GB2312" w:cs="宋体"/>
                <w:color w:val="000000" w:themeColor="text1"/>
                <w:szCs w:val="21"/>
                <w:lang w:val="en-US" w:eastAsia="zh-CN"/>
                <w14:textFill>
                  <w14:solidFill>
                    <w14:schemeClr w14:val="tx1"/>
                  </w14:solidFill>
                </w14:textFill>
              </w:rPr>
              <w:t>《辽宁省城镇燃气管理条例》第五十二条</w:t>
            </w:r>
            <w:r>
              <w:rPr>
                <w:rFonts w:hint="eastAsia" w:ascii="仿宋_GB2312" w:hAnsi="宋体" w:eastAsia="仿宋_GB2312" w:cs="宋体"/>
                <w:color w:val="000000" w:themeColor="text1"/>
                <w:szCs w:val="21"/>
                <w:lang w:val="en-US" w:eastAsia="zh-CN"/>
                <w14:textFill>
                  <w14:solidFill>
                    <w14:schemeClr w14:val="tx1"/>
                  </w14:solidFill>
                </w14:textFill>
              </w:rPr>
              <w:t>（四）项：“</w:t>
            </w:r>
            <w:r>
              <w:rPr>
                <w:rFonts w:hint="default" w:ascii="仿宋_GB2312" w:hAnsi="宋体" w:eastAsia="仿宋_GB2312" w:cs="宋体"/>
                <w:color w:val="000000" w:themeColor="text1"/>
                <w:szCs w:val="21"/>
                <w:lang w:val="en-US" w:eastAsia="zh-CN"/>
                <w14:textFill>
                  <w14:solidFill>
                    <w14:schemeClr w14:val="tx1"/>
                  </w14:solidFill>
                </w14:textFill>
              </w:rPr>
              <w:t>违反本条例规定，瓶装燃气经营者有下列情形之一的，由燃气管理部门或者其他相关部门责令限期改正，处一万元以上十万元以下罚款；有违法所得的，没收违法所得;情节严重的，吊销燃气经营许可证；造成损失的，依法承担赔偿责任；涉嫌犯罪的，依法移送有关机关处理</w:t>
            </w:r>
          </w:p>
        </w:tc>
        <w:tc>
          <w:tcPr>
            <w:tcW w:w="912" w:type="dxa"/>
            <w:tcBorders>
              <w:tl2br w:val="nil"/>
              <w:tr2bl w:val="nil"/>
            </w:tcBorders>
            <w:tcMar>
              <w:top w:w="15" w:type="dxa"/>
              <w:left w:w="15" w:type="dxa"/>
              <w:bottom w:w="15" w:type="dxa"/>
              <w:right w:w="15" w:type="dxa"/>
            </w:tcMar>
            <w:vAlign w:val="center"/>
          </w:tcPr>
          <w:p w14:paraId="256E3C14">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7F2B6E87">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初次违法，危害后果轻微，积极整改的。</w:t>
            </w:r>
          </w:p>
        </w:tc>
        <w:tc>
          <w:tcPr>
            <w:tcW w:w="3375" w:type="dxa"/>
            <w:tcBorders>
              <w:tl2br w:val="nil"/>
              <w:tr2bl w:val="nil"/>
            </w:tcBorders>
            <w:tcMar>
              <w:top w:w="15" w:type="dxa"/>
              <w:left w:w="15" w:type="dxa"/>
              <w:bottom w:w="15" w:type="dxa"/>
              <w:right w:w="15" w:type="dxa"/>
            </w:tcMar>
            <w:vAlign w:val="center"/>
          </w:tcPr>
          <w:p w14:paraId="380F39E0">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责令改正，可处</w:t>
            </w:r>
            <w:r>
              <w:rPr>
                <w:rFonts w:hint="eastAsia" w:ascii="仿宋_GB2312" w:hAnsi="宋体" w:eastAsia="仿宋_GB2312" w:cs="宋体"/>
                <w:color w:val="000000" w:themeColor="text1"/>
                <w:szCs w:val="21"/>
                <w:lang w:val="en-US" w:eastAsia="zh-CN"/>
                <w14:textFill>
                  <w14:solidFill>
                    <w14:schemeClr w14:val="tx1"/>
                  </w14:solidFill>
                </w14:textFill>
              </w:rPr>
              <w:t>1</w:t>
            </w:r>
            <w:r>
              <w:rPr>
                <w:rFonts w:hint="eastAsia" w:ascii="仿宋_GB2312" w:hAnsi="宋体" w:eastAsia="仿宋_GB2312" w:cs="宋体"/>
                <w:color w:val="000000" w:themeColor="text1"/>
                <w:szCs w:val="21"/>
                <w:lang w:eastAsia="zh-CN"/>
                <w14:textFill>
                  <w14:solidFill>
                    <w14:schemeClr w14:val="tx1"/>
                  </w14:solidFill>
                </w14:textFill>
              </w:rPr>
              <w:t>万</w:t>
            </w:r>
            <w:r>
              <w:rPr>
                <w:rFonts w:hint="eastAsia" w:ascii="仿宋_GB2312" w:hAnsi="宋体" w:eastAsia="仿宋_GB2312" w:cs="宋体"/>
                <w:color w:val="000000" w:themeColor="text1"/>
                <w:szCs w:val="21"/>
                <w14:textFill>
                  <w14:solidFill>
                    <w14:schemeClr w14:val="tx1"/>
                  </w14:solidFill>
                </w14:textFill>
              </w:rPr>
              <w:t>元罚款。</w:t>
            </w:r>
          </w:p>
        </w:tc>
      </w:tr>
      <w:tr w14:paraId="6D91DAA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256" w:hRule="atLeast"/>
          <w:jc w:val="center"/>
        </w:trPr>
        <w:tc>
          <w:tcPr>
            <w:tcW w:w="518" w:type="dxa"/>
            <w:vMerge w:val="continue"/>
            <w:tcBorders>
              <w:tl2br w:val="nil"/>
              <w:tr2bl w:val="nil"/>
            </w:tcBorders>
            <w:vAlign w:val="center"/>
          </w:tcPr>
          <w:p w14:paraId="749E5F06">
            <w:pPr>
              <w:pStyle w:val="29"/>
              <w:keepNext w:val="0"/>
              <w:keepLines w:val="0"/>
              <w:pageBreakBefore w:val="0"/>
              <w:widowControl/>
              <w:numPr>
                <w:ilvl w:val="0"/>
                <w:numId w:val="0"/>
              </w:numPr>
              <w:kinsoku/>
              <w:overflowPunct/>
              <w:topLinePunct w:val="0"/>
              <w:autoSpaceDE/>
              <w:autoSpaceDN/>
              <w:bidi w:val="0"/>
              <w:adjustRightInd/>
              <w:spacing w:line="260" w:lineRule="exact"/>
              <w:ind w:leftChars="0"/>
              <w:jc w:val="center"/>
              <w:rPr>
                <w:rFonts w:hint="default" w:ascii="仿宋_GB2312" w:hAnsi="宋体" w:eastAsia="仿宋_GB2312" w:cs="宋体"/>
                <w:color w:val="000000" w:themeColor="text1"/>
                <w:szCs w:val="21"/>
                <w:lang w:val="en-US" w:eastAsia="zh-CN"/>
                <w14:textFill>
                  <w14:solidFill>
                    <w14:schemeClr w14:val="tx1"/>
                  </w14:solidFill>
                </w14:textFill>
              </w:rPr>
            </w:pPr>
          </w:p>
        </w:tc>
        <w:tc>
          <w:tcPr>
            <w:tcW w:w="1488" w:type="dxa"/>
            <w:gridSpan w:val="2"/>
            <w:vMerge w:val="continue"/>
            <w:tcBorders>
              <w:tl2br w:val="nil"/>
              <w:tr2bl w:val="nil"/>
            </w:tcBorders>
            <w:vAlign w:val="center"/>
          </w:tcPr>
          <w:p w14:paraId="4BEFB4E1">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宋体"/>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5DCDFEA7">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宋体"/>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15D64BAE">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宋体"/>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0DF0FE71">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57188790">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w:t>
            </w:r>
            <w:r>
              <w:rPr>
                <w:rFonts w:hint="eastAsia" w:ascii="仿宋_GB2312" w:hAnsi="宋体" w:eastAsia="仿宋_GB2312" w:cs="宋体"/>
                <w:color w:val="000000" w:themeColor="text1"/>
                <w:kern w:val="0"/>
                <w:szCs w:val="21"/>
                <w:lang w:eastAsia="zh-CN"/>
                <w14:textFill>
                  <w14:solidFill>
                    <w14:schemeClr w14:val="tx1"/>
                  </w14:solidFill>
                </w14:textFill>
              </w:rPr>
              <w:t>从重情节</w:t>
            </w:r>
            <w:r>
              <w:rPr>
                <w:rFonts w:hint="eastAsia" w:ascii="仿宋_GB2312" w:hAnsi="宋体" w:eastAsia="仿宋_GB2312" w:cs="宋体"/>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66C653DD">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责令改正，可处</w:t>
            </w:r>
            <w:r>
              <w:rPr>
                <w:rFonts w:hint="eastAsia" w:ascii="仿宋_GB2312" w:hAnsi="宋体" w:eastAsia="仿宋_GB2312" w:cs="宋体"/>
                <w:color w:val="000000" w:themeColor="text1"/>
                <w:szCs w:val="21"/>
                <w:lang w:val="en-US" w:eastAsia="zh-CN"/>
                <w14:textFill>
                  <w14:solidFill>
                    <w14:schemeClr w14:val="tx1"/>
                  </w14:solidFill>
                </w14:textFill>
              </w:rPr>
              <w:t>2</w:t>
            </w:r>
            <w:r>
              <w:rPr>
                <w:rFonts w:hint="eastAsia" w:ascii="仿宋_GB2312" w:hAnsi="宋体" w:eastAsia="仿宋_GB2312" w:cs="宋体"/>
                <w:color w:val="000000" w:themeColor="text1"/>
                <w:kern w:val="0"/>
                <w:szCs w:val="21"/>
                <w:lang w:eastAsia="zh-CN"/>
                <w14:textFill>
                  <w14:solidFill>
                    <w14:schemeClr w14:val="tx1"/>
                  </w14:solidFill>
                </w14:textFill>
              </w:rPr>
              <w:t>万</w:t>
            </w:r>
            <w:r>
              <w:rPr>
                <w:rFonts w:hint="eastAsia" w:ascii="仿宋_GB2312" w:hAnsi="宋体" w:eastAsia="仿宋_GB2312" w:cs="宋体"/>
                <w:color w:val="000000" w:themeColor="text1"/>
                <w:kern w:val="0"/>
                <w:szCs w:val="21"/>
                <w14:textFill>
                  <w14:solidFill>
                    <w14:schemeClr w14:val="tx1"/>
                  </w14:solidFill>
                </w14:textFill>
              </w:rPr>
              <w:t>元以上</w:t>
            </w:r>
            <w:r>
              <w:rPr>
                <w:rFonts w:hint="eastAsia" w:ascii="仿宋_GB2312" w:hAnsi="宋体" w:eastAsia="仿宋_GB2312" w:cs="宋体"/>
                <w:color w:val="000000" w:themeColor="text1"/>
                <w:szCs w:val="21"/>
                <w14:textFill>
                  <w14:solidFill>
                    <w14:schemeClr w14:val="tx1"/>
                  </w14:solidFill>
                </w14:textFill>
              </w:rPr>
              <w:t>5</w:t>
            </w:r>
            <w:r>
              <w:rPr>
                <w:rFonts w:hint="eastAsia" w:ascii="仿宋_GB2312" w:hAnsi="宋体" w:eastAsia="仿宋_GB2312" w:cs="宋体"/>
                <w:color w:val="000000" w:themeColor="text1"/>
                <w:szCs w:val="21"/>
                <w:lang w:eastAsia="zh-CN"/>
                <w14:textFill>
                  <w14:solidFill>
                    <w14:schemeClr w14:val="tx1"/>
                  </w14:solidFill>
                </w14:textFill>
              </w:rPr>
              <w:t>万</w:t>
            </w:r>
            <w:r>
              <w:rPr>
                <w:rFonts w:hint="eastAsia" w:ascii="仿宋_GB2312" w:hAnsi="宋体" w:eastAsia="仿宋_GB2312" w:cs="宋体"/>
                <w:color w:val="000000" w:themeColor="text1"/>
                <w:szCs w:val="21"/>
                <w14:textFill>
                  <w14:solidFill>
                    <w14:schemeClr w14:val="tx1"/>
                  </w14:solidFill>
                </w14:textFill>
              </w:rPr>
              <w:t>元以下罚款</w:t>
            </w:r>
            <w:r>
              <w:rPr>
                <w:rFonts w:hint="eastAsia" w:ascii="仿宋_GB2312" w:hAnsi="宋体" w:eastAsia="仿宋_GB2312" w:cs="宋体"/>
                <w:color w:val="000000" w:themeColor="text1"/>
                <w:szCs w:val="21"/>
                <w:lang w:eastAsia="zh-CN"/>
                <w14:textFill>
                  <w14:solidFill>
                    <w14:schemeClr w14:val="tx1"/>
                  </w14:solidFill>
                </w14:textFill>
              </w:rPr>
              <w:t>；</w:t>
            </w:r>
            <w:r>
              <w:rPr>
                <w:rFonts w:hint="default" w:ascii="仿宋_GB2312" w:hAnsi="宋体" w:eastAsia="仿宋_GB2312" w:cs="宋体"/>
                <w:color w:val="000000" w:themeColor="text1"/>
                <w:szCs w:val="21"/>
                <w:lang w:val="en-US" w:eastAsia="zh-CN"/>
                <w14:textFill>
                  <w14:solidFill>
                    <w14:schemeClr w14:val="tx1"/>
                  </w14:solidFill>
                </w14:textFill>
              </w:rPr>
              <w:t>有违法所得的，没收违法所得</w:t>
            </w:r>
            <w:r>
              <w:rPr>
                <w:rFonts w:hint="eastAsia" w:ascii="仿宋_GB2312" w:hAnsi="宋体" w:eastAsia="仿宋_GB2312" w:cs="宋体"/>
                <w:color w:val="000000" w:themeColor="text1"/>
                <w:szCs w:val="21"/>
                <w:lang w:val="en-US" w:eastAsia="zh-CN"/>
                <w14:textFill>
                  <w14:solidFill>
                    <w14:schemeClr w14:val="tx1"/>
                  </w14:solidFill>
                </w14:textFill>
              </w:rPr>
              <w:t>。</w:t>
            </w:r>
          </w:p>
        </w:tc>
      </w:tr>
      <w:tr w14:paraId="67AED22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256" w:hRule="atLeast"/>
          <w:jc w:val="center"/>
        </w:trPr>
        <w:tc>
          <w:tcPr>
            <w:tcW w:w="518" w:type="dxa"/>
            <w:vMerge w:val="continue"/>
            <w:tcBorders>
              <w:tl2br w:val="nil"/>
              <w:tr2bl w:val="nil"/>
            </w:tcBorders>
            <w:vAlign w:val="center"/>
          </w:tcPr>
          <w:p w14:paraId="176D3751">
            <w:pPr>
              <w:pStyle w:val="29"/>
              <w:keepNext w:val="0"/>
              <w:keepLines w:val="0"/>
              <w:pageBreakBefore w:val="0"/>
              <w:widowControl/>
              <w:numPr>
                <w:ilvl w:val="0"/>
                <w:numId w:val="0"/>
              </w:numPr>
              <w:kinsoku/>
              <w:overflowPunct/>
              <w:topLinePunct w:val="0"/>
              <w:autoSpaceDE/>
              <w:autoSpaceDN/>
              <w:bidi w:val="0"/>
              <w:adjustRightInd/>
              <w:spacing w:line="260" w:lineRule="exact"/>
              <w:ind w:leftChars="0"/>
              <w:jc w:val="center"/>
              <w:rPr>
                <w:rFonts w:hint="default" w:ascii="仿宋_GB2312" w:hAnsi="宋体" w:eastAsia="仿宋_GB2312" w:cs="宋体"/>
                <w:color w:val="000000" w:themeColor="text1"/>
                <w:szCs w:val="21"/>
                <w:lang w:val="en-US" w:eastAsia="zh-CN"/>
                <w14:textFill>
                  <w14:solidFill>
                    <w14:schemeClr w14:val="tx1"/>
                  </w14:solidFill>
                </w14:textFill>
              </w:rPr>
            </w:pPr>
          </w:p>
        </w:tc>
        <w:tc>
          <w:tcPr>
            <w:tcW w:w="1488" w:type="dxa"/>
            <w:gridSpan w:val="2"/>
            <w:vMerge w:val="continue"/>
            <w:tcBorders>
              <w:tl2br w:val="nil"/>
              <w:tr2bl w:val="nil"/>
            </w:tcBorders>
            <w:vAlign w:val="center"/>
          </w:tcPr>
          <w:p w14:paraId="0A00F6A2">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宋体"/>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589DE2E3">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宋体"/>
                <w:color w:val="000000" w:themeColor="text1"/>
                <w:kern w:val="0"/>
                <w:szCs w:val="21"/>
                <w14:textFill>
                  <w14:solidFill>
                    <w14:schemeClr w14:val="tx1"/>
                  </w14:solidFill>
                </w14:textFill>
              </w:rPr>
            </w:pPr>
          </w:p>
        </w:tc>
        <w:tc>
          <w:tcPr>
            <w:tcW w:w="4354" w:type="dxa"/>
            <w:vMerge w:val="continue"/>
            <w:tcBorders>
              <w:tl2br w:val="nil"/>
              <w:tr2bl w:val="nil"/>
            </w:tcBorders>
            <w:vAlign w:val="center"/>
          </w:tcPr>
          <w:p w14:paraId="10141F90">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宋体"/>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273450C9">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5D3F550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经责令停止违法行为后，继续实施该违法行为的</w:t>
            </w:r>
            <w:r>
              <w:rPr>
                <w:rFonts w:hint="eastAsia" w:ascii="仿宋_GB2312" w:hAnsi="宋体" w:eastAsia="仿宋_GB2312" w:cs="宋体"/>
                <w:color w:val="000000" w:themeColor="text1"/>
                <w:szCs w:val="21"/>
                <w:lang w:eastAsia="zh-CN"/>
                <w14:textFill>
                  <w14:solidFill>
                    <w14:schemeClr w14:val="tx1"/>
                  </w14:solidFill>
                </w14:textFill>
              </w:rPr>
              <w:t>，</w:t>
            </w:r>
            <w:r>
              <w:rPr>
                <w:rFonts w:hint="eastAsia" w:ascii="仿宋_GB2312" w:hAnsi="宋体" w:eastAsia="仿宋_GB2312" w:cs="宋体"/>
                <w:color w:val="000000" w:themeColor="text1"/>
                <w:szCs w:val="21"/>
                <w:lang w:val="en-US" w:eastAsia="zh-CN"/>
                <w14:textFill>
                  <w14:solidFill>
                    <w14:schemeClr w14:val="tx1"/>
                  </w14:solidFill>
                </w14:textFill>
              </w:rPr>
              <w:t>或</w:t>
            </w:r>
            <w:r>
              <w:rPr>
                <w:rFonts w:hint="eastAsia" w:ascii="仿宋_GB2312" w:hAnsi="宋体" w:eastAsia="仿宋_GB2312" w:cs="宋体"/>
                <w:color w:val="000000" w:themeColor="text1"/>
                <w:szCs w:val="21"/>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szCs w:val="21"/>
                <w:lang w:eastAsia="zh-CN"/>
                <w14:textFill>
                  <w14:solidFill>
                    <w14:schemeClr w14:val="tx1"/>
                  </w14:solidFill>
                </w14:textFill>
              </w:rPr>
              <w:t>，</w:t>
            </w:r>
            <w:r>
              <w:rPr>
                <w:rFonts w:hint="eastAsia" w:ascii="仿宋_GB2312" w:hAnsi="宋体" w:eastAsia="仿宋_GB2312" w:cs="宋体"/>
                <w:color w:val="000000" w:themeColor="text1"/>
                <w:szCs w:val="21"/>
                <w:lang w:val="en-US" w:eastAsia="zh-CN"/>
                <w14:textFill>
                  <w14:solidFill>
                    <w14:schemeClr w14:val="tx1"/>
                  </w14:solidFill>
                </w14:textFill>
              </w:rPr>
              <w:t>或</w:t>
            </w:r>
            <w:r>
              <w:rPr>
                <w:rFonts w:hint="eastAsia" w:ascii="仿宋_GB2312" w:hAnsi="宋体" w:eastAsia="仿宋_GB2312" w:cs="宋体"/>
                <w:color w:val="000000" w:themeColor="text1"/>
                <w:szCs w:val="21"/>
                <w14:textFill>
                  <w14:solidFill>
                    <w14:schemeClr w14:val="tx1"/>
                  </w14:solidFill>
                </w14:textFill>
              </w:rPr>
              <w:t>造成严重危害后果的。</w:t>
            </w:r>
          </w:p>
        </w:tc>
        <w:tc>
          <w:tcPr>
            <w:tcW w:w="3375" w:type="dxa"/>
            <w:tcBorders>
              <w:tl2br w:val="nil"/>
              <w:tr2bl w:val="nil"/>
            </w:tcBorders>
            <w:tcMar>
              <w:top w:w="15" w:type="dxa"/>
              <w:left w:w="15" w:type="dxa"/>
              <w:bottom w:w="15" w:type="dxa"/>
              <w:right w:w="15" w:type="dxa"/>
            </w:tcMar>
            <w:vAlign w:val="center"/>
          </w:tcPr>
          <w:p w14:paraId="09B12527">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责令改正，可处5</w:t>
            </w:r>
            <w:r>
              <w:rPr>
                <w:rFonts w:hint="eastAsia" w:ascii="仿宋_GB2312" w:hAnsi="宋体" w:eastAsia="仿宋_GB2312" w:cs="宋体"/>
                <w:color w:val="000000" w:themeColor="text1"/>
                <w:szCs w:val="21"/>
                <w:lang w:eastAsia="zh-CN"/>
                <w14:textFill>
                  <w14:solidFill>
                    <w14:schemeClr w14:val="tx1"/>
                  </w14:solidFill>
                </w14:textFill>
              </w:rPr>
              <w:t>万</w:t>
            </w:r>
            <w:r>
              <w:rPr>
                <w:rFonts w:hint="eastAsia" w:ascii="仿宋_GB2312" w:hAnsi="宋体" w:eastAsia="仿宋_GB2312" w:cs="宋体"/>
                <w:color w:val="000000" w:themeColor="text1"/>
                <w:szCs w:val="21"/>
                <w14:textFill>
                  <w14:solidFill>
                    <w14:schemeClr w14:val="tx1"/>
                  </w14:solidFill>
                </w14:textFill>
              </w:rPr>
              <w:t>元以上1</w:t>
            </w:r>
            <w:r>
              <w:rPr>
                <w:rFonts w:hint="eastAsia" w:ascii="仿宋_GB2312" w:hAnsi="宋体" w:eastAsia="仿宋_GB2312" w:cs="宋体"/>
                <w:color w:val="000000" w:themeColor="text1"/>
                <w:szCs w:val="21"/>
                <w:lang w:val="en-US" w:eastAsia="zh-CN"/>
                <w14:textFill>
                  <w14:solidFill>
                    <w14:schemeClr w14:val="tx1"/>
                  </w14:solidFill>
                </w14:textFill>
              </w:rPr>
              <w:t>0</w:t>
            </w:r>
            <w:r>
              <w:rPr>
                <w:rFonts w:hint="eastAsia" w:ascii="仿宋_GB2312" w:hAnsi="宋体" w:eastAsia="仿宋_GB2312" w:cs="宋体"/>
                <w:color w:val="000000" w:themeColor="text1"/>
                <w:szCs w:val="21"/>
                <w14:textFill>
                  <w14:solidFill>
                    <w14:schemeClr w14:val="tx1"/>
                  </w14:solidFill>
                </w14:textFill>
              </w:rPr>
              <w:t>万元以下罚款</w:t>
            </w:r>
            <w:r>
              <w:rPr>
                <w:rFonts w:hint="eastAsia" w:ascii="仿宋_GB2312" w:hAnsi="宋体" w:eastAsia="仿宋_GB2312" w:cs="宋体"/>
                <w:color w:val="000000" w:themeColor="text1"/>
                <w:szCs w:val="21"/>
                <w:lang w:eastAsia="zh-CN"/>
                <w14:textFill>
                  <w14:solidFill>
                    <w14:schemeClr w14:val="tx1"/>
                  </w14:solidFill>
                </w14:textFill>
              </w:rPr>
              <w:t>；</w:t>
            </w:r>
            <w:r>
              <w:rPr>
                <w:rFonts w:hint="default" w:ascii="仿宋_GB2312" w:hAnsi="宋体" w:eastAsia="仿宋_GB2312" w:cs="宋体"/>
                <w:color w:val="000000" w:themeColor="text1"/>
                <w:szCs w:val="21"/>
                <w:lang w:val="en-US" w:eastAsia="zh-CN"/>
                <w14:textFill>
                  <w14:solidFill>
                    <w14:schemeClr w14:val="tx1"/>
                  </w14:solidFill>
                </w14:textFill>
              </w:rPr>
              <w:t>吊销燃气经营许可证</w:t>
            </w:r>
            <w:r>
              <w:rPr>
                <w:rFonts w:hint="eastAsia" w:ascii="仿宋_GB2312" w:hAnsi="宋体" w:eastAsia="仿宋_GB2312" w:cs="宋体"/>
                <w:color w:val="000000" w:themeColor="text1"/>
                <w:szCs w:val="21"/>
                <w:lang w:val="en-US" w:eastAsia="zh-CN"/>
                <w14:textFill>
                  <w14:solidFill>
                    <w14:schemeClr w14:val="tx1"/>
                  </w14:solidFill>
                </w14:textFill>
              </w:rPr>
              <w:t>。</w:t>
            </w:r>
          </w:p>
        </w:tc>
      </w:tr>
      <w:tr w14:paraId="7914649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256" w:hRule="atLeast"/>
          <w:jc w:val="center"/>
        </w:trPr>
        <w:tc>
          <w:tcPr>
            <w:tcW w:w="518" w:type="dxa"/>
            <w:vMerge w:val="restart"/>
            <w:tcBorders>
              <w:tl2br w:val="nil"/>
              <w:tr2bl w:val="nil"/>
            </w:tcBorders>
            <w:vAlign w:val="center"/>
          </w:tcPr>
          <w:p w14:paraId="60FD2589">
            <w:pPr>
              <w:pStyle w:val="29"/>
              <w:keepNext w:val="0"/>
              <w:keepLines w:val="0"/>
              <w:pageBreakBefore w:val="0"/>
              <w:widowControl/>
              <w:numPr>
                <w:ilvl w:val="0"/>
                <w:numId w:val="0"/>
              </w:numPr>
              <w:kinsoku/>
              <w:overflowPunct/>
              <w:topLinePunct w:val="0"/>
              <w:autoSpaceDE/>
              <w:autoSpaceDN/>
              <w:bidi w:val="0"/>
              <w:adjustRightInd/>
              <w:spacing w:line="260" w:lineRule="exact"/>
              <w:ind w:leftChars="0"/>
              <w:jc w:val="center"/>
              <w:rPr>
                <w:rFonts w:hint="default" w:ascii="仿宋_GB2312" w:hAnsi="宋体" w:eastAsia="仿宋_GB2312" w:cs="宋体"/>
                <w:color w:val="000000" w:themeColor="text1"/>
                <w:kern w:val="2"/>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2"/>
                <w:sz w:val="21"/>
                <w:szCs w:val="21"/>
                <w:lang w:val="en-US" w:eastAsia="zh-CN" w:bidi="ar-SA"/>
                <w14:textFill>
                  <w14:solidFill>
                    <w14:schemeClr w14:val="tx1"/>
                  </w14:solidFill>
                </w14:textFill>
              </w:rPr>
              <w:t>137</w:t>
            </w:r>
          </w:p>
        </w:tc>
        <w:tc>
          <w:tcPr>
            <w:tcW w:w="1488" w:type="dxa"/>
            <w:gridSpan w:val="2"/>
            <w:vMerge w:val="restart"/>
            <w:tcBorders>
              <w:tl2br w:val="nil"/>
              <w:tr2bl w:val="nil"/>
            </w:tcBorders>
            <w:vAlign w:val="center"/>
          </w:tcPr>
          <w:p w14:paraId="0AE19ED4">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hint="eastAsia" w:ascii="仿宋_GB2312" w:hAnsi="宋体" w:eastAsia="仿宋_GB2312" w:cs="宋体"/>
                <w:color w:val="000000" w:themeColor="text1"/>
                <w:kern w:val="2"/>
                <w:sz w:val="21"/>
                <w:szCs w:val="21"/>
                <w:lang w:val="en-US" w:eastAsia="zh-CN" w:bidi="ar-SA"/>
                <w14:textFill>
                  <w14:solidFill>
                    <w14:schemeClr w14:val="tx1"/>
                  </w14:solidFill>
                </w14:textFill>
              </w:rPr>
            </w:pPr>
            <w:r>
              <w:rPr>
                <w:rFonts w:hint="default" w:ascii="仿宋_GB2312" w:hAnsi="宋体" w:eastAsia="仿宋_GB2312" w:cs="宋体"/>
                <w:color w:val="000000" w:themeColor="text1"/>
                <w:kern w:val="2"/>
                <w:sz w:val="21"/>
                <w:szCs w:val="21"/>
                <w:lang w:val="en-US" w:eastAsia="zh-CN" w:bidi="ar-SA"/>
                <w14:textFill>
                  <w14:solidFill>
                    <w14:schemeClr w14:val="tx1"/>
                  </w14:solidFill>
                </w14:textFill>
              </w:rPr>
              <w:t>进行危害燃气设施安全的装饰装修活动</w:t>
            </w:r>
          </w:p>
        </w:tc>
        <w:tc>
          <w:tcPr>
            <w:tcW w:w="1016" w:type="dxa"/>
            <w:vMerge w:val="restart"/>
            <w:tcBorders>
              <w:tl2br w:val="nil"/>
              <w:tr2bl w:val="nil"/>
            </w:tcBorders>
            <w:vAlign w:val="center"/>
          </w:tcPr>
          <w:p w14:paraId="0C4DBAA2">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宋体"/>
                <w:color w:val="000000" w:themeColor="text1"/>
                <w:kern w:val="2"/>
                <w:sz w:val="21"/>
                <w:szCs w:val="21"/>
                <w:lang w:val="en-US" w:eastAsia="zh-CN" w:bidi="ar-SA"/>
                <w14:textFill>
                  <w14:solidFill>
                    <w14:schemeClr w14:val="tx1"/>
                  </w14:solidFill>
                </w14:textFill>
              </w:rPr>
            </w:pPr>
            <w:r>
              <w:rPr>
                <w:rFonts w:hint="default" w:ascii="仿宋_GB2312" w:hAnsi="宋体" w:eastAsia="仿宋_GB2312" w:cs="宋体"/>
                <w:color w:val="000000" w:themeColor="text1"/>
                <w:kern w:val="2"/>
                <w:sz w:val="21"/>
                <w:szCs w:val="21"/>
                <w:lang w:val="en-US" w:eastAsia="zh-CN" w:bidi="ar-SA"/>
                <w14:textFill>
                  <w14:solidFill>
                    <w14:schemeClr w14:val="tx1"/>
                  </w14:solidFill>
                </w14:textFill>
              </w:rPr>
              <w:t>《辽宁省城镇燃气管理条例》第三十四条</w:t>
            </w:r>
            <w:r>
              <w:rPr>
                <w:rFonts w:hint="eastAsia" w:ascii="仿宋_GB2312" w:hAnsi="宋体" w:eastAsia="仿宋_GB2312" w:cs="宋体"/>
                <w:color w:val="000000" w:themeColor="text1"/>
                <w:kern w:val="2"/>
                <w:sz w:val="21"/>
                <w:szCs w:val="21"/>
                <w:lang w:val="en-US" w:eastAsia="zh-CN" w:bidi="ar-SA"/>
                <w14:textFill>
                  <w14:solidFill>
                    <w14:schemeClr w14:val="tx1"/>
                  </w14:solidFill>
                </w14:textFill>
              </w:rPr>
              <w:t>第五项</w:t>
            </w:r>
          </w:p>
        </w:tc>
        <w:tc>
          <w:tcPr>
            <w:tcW w:w="4354" w:type="dxa"/>
            <w:vMerge w:val="restart"/>
            <w:tcBorders>
              <w:tl2br w:val="nil"/>
              <w:tr2bl w:val="nil"/>
            </w:tcBorders>
            <w:vAlign w:val="center"/>
          </w:tcPr>
          <w:p w14:paraId="25505DAF">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hint="default" w:ascii="仿宋_GB2312" w:hAnsi="宋体" w:eastAsia="仿宋_GB2312" w:cs="宋体"/>
                <w:color w:val="000000" w:themeColor="text1"/>
                <w:szCs w:val="21"/>
                <w:lang w:val="en-US" w:eastAsia="zh-CN"/>
                <w14:textFill>
                  <w14:solidFill>
                    <w14:schemeClr w14:val="tx1"/>
                  </w14:solidFill>
                </w14:textFill>
              </w:rPr>
            </w:pPr>
            <w:r>
              <w:rPr>
                <w:rFonts w:hint="default" w:ascii="仿宋_GB2312" w:hAnsi="宋体" w:eastAsia="仿宋_GB2312" w:cs="宋体"/>
                <w:color w:val="000000" w:themeColor="text1"/>
                <w:szCs w:val="21"/>
                <w:lang w:val="en-US" w:eastAsia="zh-CN"/>
                <w14:textFill>
                  <w14:solidFill>
                    <w14:schemeClr w14:val="tx1"/>
                  </w14:solidFill>
                </w14:textFill>
              </w:rPr>
              <w:t>《辽宁省城镇燃气管理条例》第五十三条</w:t>
            </w:r>
            <w:r>
              <w:rPr>
                <w:rFonts w:hint="eastAsia" w:ascii="仿宋_GB2312" w:hAnsi="宋体" w:eastAsia="仿宋_GB2312" w:cs="宋体"/>
                <w:color w:val="000000" w:themeColor="text1"/>
                <w:szCs w:val="21"/>
                <w:lang w:val="en-US" w:eastAsia="zh-CN"/>
                <w14:textFill>
                  <w14:solidFill>
                    <w14:schemeClr w14:val="tx1"/>
                  </w14:solidFill>
                </w14:textFill>
              </w:rPr>
              <w:t>（一）项：</w:t>
            </w:r>
            <w:r>
              <w:rPr>
                <w:rFonts w:hint="default" w:ascii="仿宋_GB2312" w:hAnsi="宋体" w:eastAsia="仿宋_GB2312" w:cs="宋体"/>
                <w:color w:val="000000" w:themeColor="text1"/>
                <w:szCs w:val="21"/>
                <w:lang w:val="en-US" w:eastAsia="zh-CN"/>
                <w14:textFill>
                  <w14:solidFill>
                    <w14:schemeClr w14:val="tx1"/>
                  </w14:solidFill>
                </w14:textFill>
              </w:rPr>
              <w:t xml:space="preserve"> 违反本条例规定，燃气用户及相关单位和个人有下列行为之一的，由燃气管理部门责令限期改正；逾期不改正的，对单位可以处十万元以下罚款，对个人可以处一千元以下罚款；造成损失的，依法承担赔偿责任；涉嫌犯罪的，依法移送有关机关处理</w:t>
            </w:r>
            <w:r>
              <w:rPr>
                <w:rFonts w:hint="eastAsia" w:ascii="仿宋_GB2312" w:hAnsi="宋体" w:eastAsia="仿宋_GB2312" w:cs="宋体"/>
                <w:color w:val="000000" w:themeColor="text1"/>
                <w:szCs w:val="21"/>
                <w:lang w:val="en-US" w:eastAsia="zh-CN"/>
                <w14:textFill>
                  <w14:solidFill>
                    <w14:schemeClr w14:val="tx1"/>
                  </w14:solidFill>
                </w14:textFill>
              </w:rPr>
              <w:t>。</w:t>
            </w:r>
          </w:p>
          <w:p w14:paraId="3F5D8DD1">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宋体"/>
                <w:color w:val="000000" w:themeColor="text1"/>
                <w:kern w:val="2"/>
                <w:sz w:val="21"/>
                <w:szCs w:val="21"/>
                <w:lang w:val="en-US" w:eastAsia="zh-CN" w:bidi="ar-SA"/>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52694389">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15B72F46">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初次违法，危害后果轻微，积极整改的。</w:t>
            </w:r>
          </w:p>
        </w:tc>
        <w:tc>
          <w:tcPr>
            <w:tcW w:w="3375" w:type="dxa"/>
            <w:tcBorders>
              <w:tl2br w:val="nil"/>
              <w:tr2bl w:val="nil"/>
            </w:tcBorders>
            <w:tcMar>
              <w:top w:w="15" w:type="dxa"/>
              <w:left w:w="15" w:type="dxa"/>
              <w:bottom w:w="15" w:type="dxa"/>
              <w:right w:w="15" w:type="dxa"/>
            </w:tcMar>
            <w:vAlign w:val="center"/>
          </w:tcPr>
          <w:p w14:paraId="7C8EEF55">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hint="default"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w:t>
            </w:r>
            <w:r>
              <w:rPr>
                <w:rFonts w:hint="eastAsia" w:ascii="仿宋_GB2312" w:hAnsi="宋体" w:eastAsia="仿宋_GB2312" w:cs="宋体"/>
                <w:color w:val="000000" w:themeColor="text1"/>
                <w:szCs w:val="21"/>
                <w:lang w:eastAsia="zh-CN"/>
                <w14:textFill>
                  <w14:solidFill>
                    <w14:schemeClr w14:val="tx1"/>
                  </w14:solidFill>
                </w14:textFill>
              </w:rPr>
              <w:t>对单位</w:t>
            </w:r>
            <w:r>
              <w:rPr>
                <w:rFonts w:hint="eastAsia" w:ascii="仿宋_GB2312" w:hAnsi="宋体" w:eastAsia="仿宋_GB2312" w:cs="宋体"/>
                <w:color w:val="000000" w:themeColor="text1"/>
                <w:szCs w:val="21"/>
                <w14:textFill>
                  <w14:solidFill>
                    <w14:schemeClr w14:val="tx1"/>
                  </w14:solidFill>
                </w14:textFill>
              </w:rPr>
              <w:t>可处</w:t>
            </w:r>
            <w:r>
              <w:rPr>
                <w:rFonts w:hint="eastAsia" w:ascii="仿宋_GB2312" w:hAnsi="宋体" w:eastAsia="仿宋_GB2312" w:cs="宋体"/>
                <w:color w:val="000000" w:themeColor="text1"/>
                <w:szCs w:val="21"/>
                <w:lang w:val="en-US" w:eastAsia="zh-CN"/>
                <w14:textFill>
                  <w14:solidFill>
                    <w14:schemeClr w14:val="tx1"/>
                  </w14:solidFill>
                </w14:textFill>
              </w:rPr>
              <w:t>1</w:t>
            </w:r>
            <w:r>
              <w:rPr>
                <w:rFonts w:hint="eastAsia" w:ascii="仿宋_GB2312" w:hAnsi="宋体" w:eastAsia="仿宋_GB2312" w:cs="宋体"/>
                <w:color w:val="000000" w:themeColor="text1"/>
                <w:szCs w:val="21"/>
                <w:lang w:eastAsia="zh-CN"/>
                <w14:textFill>
                  <w14:solidFill>
                    <w14:schemeClr w14:val="tx1"/>
                  </w14:solidFill>
                </w14:textFill>
              </w:rPr>
              <w:t>万</w:t>
            </w:r>
            <w:r>
              <w:rPr>
                <w:rFonts w:hint="eastAsia" w:ascii="仿宋_GB2312" w:hAnsi="宋体" w:eastAsia="仿宋_GB2312" w:cs="宋体"/>
                <w:color w:val="000000" w:themeColor="text1"/>
                <w:szCs w:val="21"/>
                <w14:textFill>
                  <w14:solidFill>
                    <w14:schemeClr w14:val="tx1"/>
                  </w14:solidFill>
                </w14:textFill>
              </w:rPr>
              <w:t>元罚款</w:t>
            </w:r>
            <w:r>
              <w:rPr>
                <w:rFonts w:hint="eastAsia" w:ascii="仿宋_GB2312" w:hAnsi="宋体" w:eastAsia="仿宋_GB2312" w:cs="宋体"/>
                <w:color w:val="000000" w:themeColor="text1"/>
                <w:szCs w:val="21"/>
                <w:lang w:eastAsia="zh-CN"/>
                <w14:textFill>
                  <w14:solidFill>
                    <w14:schemeClr w14:val="tx1"/>
                  </w14:solidFill>
                </w14:textFill>
              </w:rPr>
              <w:t>，对个人可处</w:t>
            </w:r>
            <w:r>
              <w:rPr>
                <w:rFonts w:hint="eastAsia" w:ascii="仿宋_GB2312" w:hAnsi="宋体" w:eastAsia="仿宋_GB2312" w:cs="宋体"/>
                <w:color w:val="000000" w:themeColor="text1"/>
                <w:szCs w:val="21"/>
                <w:lang w:val="en-US" w:eastAsia="zh-CN"/>
                <w14:textFill>
                  <w14:solidFill>
                    <w14:schemeClr w14:val="tx1"/>
                  </w14:solidFill>
                </w14:textFill>
              </w:rPr>
              <w:t>100元罚款。</w:t>
            </w:r>
          </w:p>
        </w:tc>
      </w:tr>
      <w:tr w14:paraId="5A73957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256" w:hRule="atLeast"/>
          <w:jc w:val="center"/>
        </w:trPr>
        <w:tc>
          <w:tcPr>
            <w:tcW w:w="518" w:type="dxa"/>
            <w:vMerge w:val="continue"/>
            <w:tcBorders>
              <w:tl2br w:val="nil"/>
              <w:tr2bl w:val="nil"/>
            </w:tcBorders>
            <w:vAlign w:val="center"/>
          </w:tcPr>
          <w:p w14:paraId="3782F10E">
            <w:pPr>
              <w:pStyle w:val="29"/>
              <w:keepNext w:val="0"/>
              <w:keepLines w:val="0"/>
              <w:pageBreakBefore w:val="0"/>
              <w:widowControl/>
              <w:numPr>
                <w:ilvl w:val="0"/>
                <w:numId w:val="0"/>
              </w:numPr>
              <w:kinsoku/>
              <w:overflowPunct/>
              <w:topLinePunct w:val="0"/>
              <w:autoSpaceDE/>
              <w:autoSpaceDN/>
              <w:bidi w:val="0"/>
              <w:adjustRightInd/>
              <w:spacing w:line="260" w:lineRule="exact"/>
              <w:ind w:leftChars="0"/>
              <w:jc w:val="center"/>
              <w:rPr>
                <w:rFonts w:hint="default" w:ascii="仿宋_GB2312" w:hAnsi="宋体" w:eastAsia="仿宋_GB2312" w:cs="宋体"/>
                <w:color w:val="000000" w:themeColor="text1"/>
                <w:kern w:val="2"/>
                <w:sz w:val="21"/>
                <w:szCs w:val="21"/>
                <w:lang w:val="en-US" w:eastAsia="zh-CN" w:bidi="ar-SA"/>
                <w14:textFill>
                  <w14:solidFill>
                    <w14:schemeClr w14:val="tx1"/>
                  </w14:solidFill>
                </w14:textFill>
              </w:rPr>
            </w:pPr>
          </w:p>
        </w:tc>
        <w:tc>
          <w:tcPr>
            <w:tcW w:w="1488" w:type="dxa"/>
            <w:gridSpan w:val="2"/>
            <w:vMerge w:val="continue"/>
            <w:tcBorders>
              <w:tl2br w:val="nil"/>
              <w:tr2bl w:val="nil"/>
            </w:tcBorders>
            <w:vAlign w:val="center"/>
          </w:tcPr>
          <w:p w14:paraId="1BD71074">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宋体"/>
                <w:color w:val="000000" w:themeColor="text1"/>
                <w:kern w:val="2"/>
                <w:sz w:val="21"/>
                <w:szCs w:val="21"/>
                <w:lang w:val="en-US" w:eastAsia="zh-CN" w:bidi="ar-SA"/>
                <w14:textFill>
                  <w14:solidFill>
                    <w14:schemeClr w14:val="tx1"/>
                  </w14:solidFill>
                </w14:textFill>
              </w:rPr>
            </w:pPr>
          </w:p>
        </w:tc>
        <w:tc>
          <w:tcPr>
            <w:tcW w:w="1016" w:type="dxa"/>
            <w:vMerge w:val="continue"/>
            <w:tcBorders>
              <w:tl2br w:val="nil"/>
              <w:tr2bl w:val="nil"/>
            </w:tcBorders>
            <w:vAlign w:val="center"/>
          </w:tcPr>
          <w:p w14:paraId="5D5EC0C0">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宋体"/>
                <w:color w:val="000000" w:themeColor="text1"/>
                <w:kern w:val="2"/>
                <w:sz w:val="21"/>
                <w:szCs w:val="21"/>
                <w:lang w:val="en-US" w:eastAsia="zh-CN" w:bidi="ar-SA"/>
                <w14:textFill>
                  <w14:solidFill>
                    <w14:schemeClr w14:val="tx1"/>
                  </w14:solidFill>
                </w14:textFill>
              </w:rPr>
            </w:pPr>
          </w:p>
        </w:tc>
        <w:tc>
          <w:tcPr>
            <w:tcW w:w="4354" w:type="dxa"/>
            <w:vMerge w:val="continue"/>
            <w:tcBorders>
              <w:tl2br w:val="nil"/>
              <w:tr2bl w:val="nil"/>
            </w:tcBorders>
            <w:vAlign w:val="center"/>
          </w:tcPr>
          <w:p w14:paraId="139916BB">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宋体"/>
                <w:color w:val="000000" w:themeColor="text1"/>
                <w:kern w:val="2"/>
                <w:sz w:val="21"/>
                <w:szCs w:val="21"/>
                <w:lang w:val="en-US" w:eastAsia="zh-CN" w:bidi="ar-SA"/>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166E1E94">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2DE44252">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w:t>
            </w:r>
            <w:r>
              <w:rPr>
                <w:rFonts w:hint="eastAsia" w:ascii="仿宋_GB2312" w:hAnsi="宋体" w:eastAsia="仿宋_GB2312" w:cs="宋体"/>
                <w:color w:val="000000" w:themeColor="text1"/>
                <w:kern w:val="0"/>
                <w:szCs w:val="21"/>
                <w:lang w:eastAsia="zh-CN"/>
                <w14:textFill>
                  <w14:solidFill>
                    <w14:schemeClr w14:val="tx1"/>
                  </w14:solidFill>
                </w14:textFill>
              </w:rPr>
              <w:t>从重情节</w:t>
            </w:r>
            <w:r>
              <w:rPr>
                <w:rFonts w:hint="eastAsia" w:ascii="仿宋_GB2312" w:hAnsi="宋体" w:eastAsia="仿宋_GB2312" w:cs="宋体"/>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5C6C6A45">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hint="default"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w:t>
            </w:r>
            <w:r>
              <w:rPr>
                <w:rFonts w:hint="eastAsia" w:ascii="仿宋_GB2312" w:hAnsi="宋体" w:eastAsia="仿宋_GB2312" w:cs="宋体"/>
                <w:color w:val="000000" w:themeColor="text1"/>
                <w:szCs w:val="21"/>
                <w:lang w:eastAsia="zh-CN"/>
                <w14:textFill>
                  <w14:solidFill>
                    <w14:schemeClr w14:val="tx1"/>
                  </w14:solidFill>
                </w14:textFill>
              </w:rPr>
              <w:t>对单位</w:t>
            </w:r>
            <w:r>
              <w:rPr>
                <w:rFonts w:hint="eastAsia" w:ascii="仿宋_GB2312" w:hAnsi="宋体" w:eastAsia="仿宋_GB2312" w:cs="宋体"/>
                <w:color w:val="000000" w:themeColor="text1"/>
                <w:szCs w:val="21"/>
                <w14:textFill>
                  <w14:solidFill>
                    <w14:schemeClr w14:val="tx1"/>
                  </w14:solidFill>
                </w14:textFill>
              </w:rPr>
              <w:t>可处</w:t>
            </w:r>
            <w:r>
              <w:rPr>
                <w:rFonts w:hint="eastAsia" w:ascii="仿宋_GB2312" w:hAnsi="宋体" w:eastAsia="仿宋_GB2312" w:cs="宋体"/>
                <w:color w:val="000000" w:themeColor="text1"/>
                <w:szCs w:val="21"/>
                <w:lang w:val="en-US" w:eastAsia="zh-CN"/>
                <w14:textFill>
                  <w14:solidFill>
                    <w14:schemeClr w14:val="tx1"/>
                  </w14:solidFill>
                </w14:textFill>
              </w:rPr>
              <w:t>2</w:t>
            </w:r>
            <w:r>
              <w:rPr>
                <w:rFonts w:hint="eastAsia" w:ascii="仿宋_GB2312" w:hAnsi="宋体" w:eastAsia="仿宋_GB2312" w:cs="宋体"/>
                <w:color w:val="000000" w:themeColor="text1"/>
                <w:kern w:val="0"/>
                <w:szCs w:val="21"/>
                <w:lang w:eastAsia="zh-CN"/>
                <w14:textFill>
                  <w14:solidFill>
                    <w14:schemeClr w14:val="tx1"/>
                  </w14:solidFill>
                </w14:textFill>
              </w:rPr>
              <w:t>万</w:t>
            </w:r>
            <w:r>
              <w:rPr>
                <w:rFonts w:hint="eastAsia" w:ascii="仿宋_GB2312" w:hAnsi="宋体" w:eastAsia="仿宋_GB2312" w:cs="宋体"/>
                <w:color w:val="000000" w:themeColor="text1"/>
                <w:kern w:val="0"/>
                <w:szCs w:val="21"/>
                <w14:textFill>
                  <w14:solidFill>
                    <w14:schemeClr w14:val="tx1"/>
                  </w14:solidFill>
                </w14:textFill>
              </w:rPr>
              <w:t>元以上</w:t>
            </w:r>
            <w:r>
              <w:rPr>
                <w:rFonts w:hint="eastAsia" w:ascii="仿宋_GB2312" w:hAnsi="宋体" w:eastAsia="仿宋_GB2312" w:cs="宋体"/>
                <w:color w:val="000000" w:themeColor="text1"/>
                <w:szCs w:val="21"/>
                <w14:textFill>
                  <w14:solidFill>
                    <w14:schemeClr w14:val="tx1"/>
                  </w14:solidFill>
                </w14:textFill>
              </w:rPr>
              <w:t>5</w:t>
            </w:r>
            <w:r>
              <w:rPr>
                <w:rFonts w:hint="eastAsia" w:ascii="仿宋_GB2312" w:hAnsi="宋体" w:eastAsia="仿宋_GB2312" w:cs="宋体"/>
                <w:color w:val="000000" w:themeColor="text1"/>
                <w:szCs w:val="21"/>
                <w:lang w:eastAsia="zh-CN"/>
                <w14:textFill>
                  <w14:solidFill>
                    <w14:schemeClr w14:val="tx1"/>
                  </w14:solidFill>
                </w14:textFill>
              </w:rPr>
              <w:t>万</w:t>
            </w:r>
            <w:r>
              <w:rPr>
                <w:rFonts w:hint="eastAsia" w:ascii="仿宋_GB2312" w:hAnsi="宋体" w:eastAsia="仿宋_GB2312" w:cs="宋体"/>
                <w:color w:val="000000" w:themeColor="text1"/>
                <w:szCs w:val="21"/>
                <w14:textFill>
                  <w14:solidFill>
                    <w14:schemeClr w14:val="tx1"/>
                  </w14:solidFill>
                </w14:textFill>
              </w:rPr>
              <w:t>元以下罚款</w:t>
            </w:r>
            <w:r>
              <w:rPr>
                <w:rFonts w:hint="eastAsia" w:ascii="仿宋_GB2312" w:hAnsi="宋体" w:eastAsia="仿宋_GB2312" w:cs="宋体"/>
                <w:color w:val="000000" w:themeColor="text1"/>
                <w:szCs w:val="21"/>
                <w:lang w:eastAsia="zh-CN"/>
                <w14:textFill>
                  <w14:solidFill>
                    <w14:schemeClr w14:val="tx1"/>
                  </w14:solidFill>
                </w14:textFill>
              </w:rPr>
              <w:t>；对个人可处</w:t>
            </w:r>
            <w:r>
              <w:rPr>
                <w:rFonts w:hint="eastAsia" w:ascii="仿宋_GB2312" w:hAnsi="宋体" w:eastAsia="仿宋_GB2312" w:cs="宋体"/>
                <w:color w:val="000000" w:themeColor="text1"/>
                <w:szCs w:val="21"/>
                <w:lang w:val="en-US" w:eastAsia="zh-CN"/>
                <w14:textFill>
                  <w14:solidFill>
                    <w14:schemeClr w14:val="tx1"/>
                  </w14:solidFill>
                </w14:textFill>
              </w:rPr>
              <w:t>200元以上500元以下罚款。</w:t>
            </w:r>
          </w:p>
        </w:tc>
      </w:tr>
      <w:tr w14:paraId="3964FE8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256" w:hRule="atLeast"/>
          <w:jc w:val="center"/>
        </w:trPr>
        <w:tc>
          <w:tcPr>
            <w:tcW w:w="518" w:type="dxa"/>
            <w:vMerge w:val="continue"/>
            <w:tcBorders>
              <w:tl2br w:val="nil"/>
              <w:tr2bl w:val="nil"/>
            </w:tcBorders>
            <w:vAlign w:val="center"/>
          </w:tcPr>
          <w:p w14:paraId="35389F3A">
            <w:pPr>
              <w:pStyle w:val="29"/>
              <w:keepNext w:val="0"/>
              <w:keepLines w:val="0"/>
              <w:pageBreakBefore w:val="0"/>
              <w:widowControl/>
              <w:numPr>
                <w:ilvl w:val="0"/>
                <w:numId w:val="0"/>
              </w:numPr>
              <w:kinsoku/>
              <w:overflowPunct/>
              <w:topLinePunct w:val="0"/>
              <w:autoSpaceDE/>
              <w:autoSpaceDN/>
              <w:bidi w:val="0"/>
              <w:adjustRightInd/>
              <w:spacing w:line="260" w:lineRule="exact"/>
              <w:ind w:leftChars="0"/>
              <w:jc w:val="center"/>
              <w:rPr>
                <w:rFonts w:hint="default" w:ascii="仿宋_GB2312" w:hAnsi="宋体" w:eastAsia="仿宋_GB2312" w:cs="宋体"/>
                <w:color w:val="000000" w:themeColor="text1"/>
                <w:kern w:val="2"/>
                <w:sz w:val="21"/>
                <w:szCs w:val="21"/>
                <w:lang w:val="en-US" w:eastAsia="zh-CN" w:bidi="ar-SA"/>
                <w14:textFill>
                  <w14:solidFill>
                    <w14:schemeClr w14:val="tx1"/>
                  </w14:solidFill>
                </w14:textFill>
              </w:rPr>
            </w:pPr>
          </w:p>
        </w:tc>
        <w:tc>
          <w:tcPr>
            <w:tcW w:w="1488" w:type="dxa"/>
            <w:gridSpan w:val="2"/>
            <w:vMerge w:val="continue"/>
            <w:tcBorders>
              <w:tl2br w:val="nil"/>
              <w:tr2bl w:val="nil"/>
            </w:tcBorders>
            <w:vAlign w:val="center"/>
          </w:tcPr>
          <w:p w14:paraId="2207D872">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宋体"/>
                <w:color w:val="000000" w:themeColor="text1"/>
                <w:kern w:val="2"/>
                <w:sz w:val="21"/>
                <w:szCs w:val="21"/>
                <w:lang w:val="en-US" w:eastAsia="zh-CN" w:bidi="ar-SA"/>
                <w14:textFill>
                  <w14:solidFill>
                    <w14:schemeClr w14:val="tx1"/>
                  </w14:solidFill>
                </w14:textFill>
              </w:rPr>
            </w:pPr>
          </w:p>
        </w:tc>
        <w:tc>
          <w:tcPr>
            <w:tcW w:w="1016" w:type="dxa"/>
            <w:vMerge w:val="continue"/>
            <w:tcBorders>
              <w:tl2br w:val="nil"/>
              <w:tr2bl w:val="nil"/>
            </w:tcBorders>
            <w:vAlign w:val="center"/>
          </w:tcPr>
          <w:p w14:paraId="770B54BB">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宋体"/>
                <w:color w:val="000000" w:themeColor="text1"/>
                <w:kern w:val="2"/>
                <w:sz w:val="21"/>
                <w:szCs w:val="21"/>
                <w:lang w:val="en-US" w:eastAsia="zh-CN" w:bidi="ar-SA"/>
                <w14:textFill>
                  <w14:solidFill>
                    <w14:schemeClr w14:val="tx1"/>
                  </w14:solidFill>
                </w14:textFill>
              </w:rPr>
            </w:pPr>
          </w:p>
        </w:tc>
        <w:tc>
          <w:tcPr>
            <w:tcW w:w="4354" w:type="dxa"/>
            <w:vMerge w:val="continue"/>
            <w:tcBorders>
              <w:tl2br w:val="nil"/>
              <w:tr2bl w:val="nil"/>
            </w:tcBorders>
            <w:vAlign w:val="center"/>
          </w:tcPr>
          <w:p w14:paraId="654EB4CA">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宋体"/>
                <w:color w:val="000000" w:themeColor="text1"/>
                <w:kern w:val="2"/>
                <w:sz w:val="21"/>
                <w:szCs w:val="21"/>
                <w:lang w:val="en-US" w:eastAsia="zh-CN" w:bidi="ar-SA"/>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0B28AD77">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133BD9AD">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经责令停止违法行为后，继续实施该违法行为的</w:t>
            </w:r>
            <w:r>
              <w:rPr>
                <w:rFonts w:hint="eastAsia" w:ascii="仿宋_GB2312" w:hAnsi="宋体" w:eastAsia="仿宋_GB2312" w:cs="宋体"/>
                <w:color w:val="000000" w:themeColor="text1"/>
                <w:szCs w:val="21"/>
                <w:lang w:eastAsia="zh-CN"/>
                <w14:textFill>
                  <w14:solidFill>
                    <w14:schemeClr w14:val="tx1"/>
                  </w14:solidFill>
                </w14:textFill>
              </w:rPr>
              <w:t>，</w:t>
            </w:r>
            <w:r>
              <w:rPr>
                <w:rFonts w:hint="eastAsia" w:ascii="仿宋_GB2312" w:hAnsi="宋体" w:eastAsia="仿宋_GB2312" w:cs="宋体"/>
                <w:color w:val="000000" w:themeColor="text1"/>
                <w:szCs w:val="21"/>
                <w:lang w:val="en-US" w:eastAsia="zh-CN"/>
                <w14:textFill>
                  <w14:solidFill>
                    <w14:schemeClr w14:val="tx1"/>
                  </w14:solidFill>
                </w14:textFill>
              </w:rPr>
              <w:t>或</w:t>
            </w:r>
            <w:r>
              <w:rPr>
                <w:rFonts w:hint="eastAsia" w:ascii="仿宋_GB2312" w:hAnsi="宋体" w:eastAsia="仿宋_GB2312" w:cs="宋体"/>
                <w:color w:val="000000" w:themeColor="text1"/>
                <w:szCs w:val="21"/>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szCs w:val="21"/>
                <w:lang w:eastAsia="zh-CN"/>
                <w14:textFill>
                  <w14:solidFill>
                    <w14:schemeClr w14:val="tx1"/>
                  </w14:solidFill>
                </w14:textFill>
              </w:rPr>
              <w:t>，</w:t>
            </w:r>
            <w:r>
              <w:rPr>
                <w:rFonts w:hint="eastAsia" w:ascii="仿宋_GB2312" w:hAnsi="宋体" w:eastAsia="仿宋_GB2312" w:cs="宋体"/>
                <w:color w:val="000000" w:themeColor="text1"/>
                <w:szCs w:val="21"/>
                <w:lang w:val="en-US" w:eastAsia="zh-CN"/>
                <w14:textFill>
                  <w14:solidFill>
                    <w14:schemeClr w14:val="tx1"/>
                  </w14:solidFill>
                </w14:textFill>
              </w:rPr>
              <w:t>或</w:t>
            </w:r>
            <w:r>
              <w:rPr>
                <w:rFonts w:hint="eastAsia" w:ascii="仿宋_GB2312" w:hAnsi="宋体" w:eastAsia="仿宋_GB2312" w:cs="宋体"/>
                <w:color w:val="000000" w:themeColor="text1"/>
                <w:szCs w:val="21"/>
                <w14:textFill>
                  <w14:solidFill>
                    <w14:schemeClr w14:val="tx1"/>
                  </w14:solidFill>
                </w14:textFill>
              </w:rPr>
              <w:t>造成严重危害后果的。</w:t>
            </w:r>
          </w:p>
        </w:tc>
        <w:tc>
          <w:tcPr>
            <w:tcW w:w="3375" w:type="dxa"/>
            <w:tcBorders>
              <w:tl2br w:val="nil"/>
              <w:tr2bl w:val="nil"/>
            </w:tcBorders>
            <w:tcMar>
              <w:top w:w="15" w:type="dxa"/>
              <w:left w:w="15" w:type="dxa"/>
              <w:bottom w:w="15" w:type="dxa"/>
              <w:right w:w="15" w:type="dxa"/>
            </w:tcMar>
            <w:vAlign w:val="center"/>
          </w:tcPr>
          <w:p w14:paraId="43B09C9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hint="default"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w:t>
            </w:r>
            <w:r>
              <w:rPr>
                <w:rFonts w:hint="eastAsia" w:ascii="仿宋_GB2312" w:hAnsi="宋体" w:eastAsia="仿宋_GB2312" w:cs="宋体"/>
                <w:color w:val="000000" w:themeColor="text1"/>
                <w:szCs w:val="21"/>
                <w:lang w:eastAsia="zh-CN"/>
                <w14:textFill>
                  <w14:solidFill>
                    <w14:schemeClr w14:val="tx1"/>
                  </w14:solidFill>
                </w14:textFill>
              </w:rPr>
              <w:t>对单位</w:t>
            </w:r>
            <w:r>
              <w:rPr>
                <w:rFonts w:hint="eastAsia" w:ascii="仿宋_GB2312" w:hAnsi="宋体" w:eastAsia="仿宋_GB2312" w:cs="宋体"/>
                <w:color w:val="000000" w:themeColor="text1"/>
                <w:szCs w:val="21"/>
                <w14:textFill>
                  <w14:solidFill>
                    <w14:schemeClr w14:val="tx1"/>
                  </w14:solidFill>
                </w14:textFill>
              </w:rPr>
              <w:t>可处5</w:t>
            </w:r>
            <w:r>
              <w:rPr>
                <w:rFonts w:hint="eastAsia" w:ascii="仿宋_GB2312" w:hAnsi="宋体" w:eastAsia="仿宋_GB2312" w:cs="宋体"/>
                <w:color w:val="000000" w:themeColor="text1"/>
                <w:szCs w:val="21"/>
                <w:lang w:eastAsia="zh-CN"/>
                <w14:textFill>
                  <w14:solidFill>
                    <w14:schemeClr w14:val="tx1"/>
                  </w14:solidFill>
                </w14:textFill>
              </w:rPr>
              <w:t>万</w:t>
            </w:r>
            <w:r>
              <w:rPr>
                <w:rFonts w:hint="eastAsia" w:ascii="仿宋_GB2312" w:hAnsi="宋体" w:eastAsia="仿宋_GB2312" w:cs="宋体"/>
                <w:color w:val="000000" w:themeColor="text1"/>
                <w:szCs w:val="21"/>
                <w14:textFill>
                  <w14:solidFill>
                    <w14:schemeClr w14:val="tx1"/>
                  </w14:solidFill>
                </w14:textFill>
              </w:rPr>
              <w:t>元以上1</w:t>
            </w:r>
            <w:r>
              <w:rPr>
                <w:rFonts w:hint="eastAsia" w:ascii="仿宋_GB2312" w:hAnsi="宋体" w:eastAsia="仿宋_GB2312" w:cs="宋体"/>
                <w:color w:val="000000" w:themeColor="text1"/>
                <w:szCs w:val="21"/>
                <w:lang w:val="en-US" w:eastAsia="zh-CN"/>
                <w14:textFill>
                  <w14:solidFill>
                    <w14:schemeClr w14:val="tx1"/>
                  </w14:solidFill>
                </w14:textFill>
              </w:rPr>
              <w:t>0</w:t>
            </w:r>
            <w:r>
              <w:rPr>
                <w:rFonts w:hint="eastAsia" w:ascii="仿宋_GB2312" w:hAnsi="宋体" w:eastAsia="仿宋_GB2312" w:cs="宋体"/>
                <w:color w:val="000000" w:themeColor="text1"/>
                <w:szCs w:val="21"/>
                <w14:textFill>
                  <w14:solidFill>
                    <w14:schemeClr w14:val="tx1"/>
                  </w14:solidFill>
                </w14:textFill>
              </w:rPr>
              <w:t>万元以下罚款</w:t>
            </w:r>
            <w:r>
              <w:rPr>
                <w:rFonts w:hint="eastAsia" w:ascii="仿宋_GB2312" w:hAnsi="宋体" w:eastAsia="仿宋_GB2312" w:cs="宋体"/>
                <w:color w:val="000000" w:themeColor="text1"/>
                <w:szCs w:val="21"/>
                <w:lang w:eastAsia="zh-CN"/>
                <w14:textFill>
                  <w14:solidFill>
                    <w14:schemeClr w14:val="tx1"/>
                  </w14:solidFill>
                </w14:textFill>
              </w:rPr>
              <w:t>；对个人可处</w:t>
            </w:r>
            <w:r>
              <w:rPr>
                <w:rFonts w:hint="eastAsia" w:ascii="仿宋_GB2312" w:hAnsi="宋体" w:eastAsia="仿宋_GB2312" w:cs="宋体"/>
                <w:color w:val="000000" w:themeColor="text1"/>
                <w:szCs w:val="21"/>
                <w:lang w:val="en-US" w:eastAsia="zh-CN"/>
                <w14:textFill>
                  <w14:solidFill>
                    <w14:schemeClr w14:val="tx1"/>
                  </w14:solidFill>
                </w14:textFill>
              </w:rPr>
              <w:t>500元以上1000元以下罚款。</w:t>
            </w:r>
          </w:p>
        </w:tc>
      </w:tr>
      <w:tr w14:paraId="44849BE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256" w:hRule="atLeast"/>
          <w:jc w:val="center"/>
        </w:trPr>
        <w:tc>
          <w:tcPr>
            <w:tcW w:w="518" w:type="dxa"/>
            <w:vMerge w:val="restart"/>
            <w:tcBorders>
              <w:tl2br w:val="nil"/>
              <w:tr2bl w:val="nil"/>
            </w:tcBorders>
            <w:vAlign w:val="center"/>
          </w:tcPr>
          <w:p w14:paraId="095B65A9">
            <w:pPr>
              <w:pStyle w:val="29"/>
              <w:keepNext w:val="0"/>
              <w:keepLines w:val="0"/>
              <w:pageBreakBefore w:val="0"/>
              <w:widowControl/>
              <w:numPr>
                <w:ilvl w:val="0"/>
                <w:numId w:val="0"/>
              </w:numPr>
              <w:kinsoku/>
              <w:overflowPunct/>
              <w:topLinePunct w:val="0"/>
              <w:autoSpaceDE/>
              <w:autoSpaceDN/>
              <w:bidi w:val="0"/>
              <w:adjustRightInd/>
              <w:spacing w:line="260" w:lineRule="exact"/>
              <w:ind w:leftChars="0"/>
              <w:jc w:val="center"/>
              <w:rPr>
                <w:rFonts w:hint="default" w:ascii="仿宋_GB2312" w:hAnsi="宋体" w:eastAsia="仿宋_GB2312" w:cs="宋体"/>
                <w:color w:val="000000" w:themeColor="text1"/>
                <w:kern w:val="2"/>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2"/>
                <w:sz w:val="21"/>
                <w:szCs w:val="21"/>
                <w:lang w:val="en-US" w:eastAsia="zh-CN" w:bidi="ar-SA"/>
                <w14:textFill>
                  <w14:solidFill>
                    <w14:schemeClr w14:val="tx1"/>
                  </w14:solidFill>
                </w14:textFill>
              </w:rPr>
              <w:t>138</w:t>
            </w:r>
          </w:p>
        </w:tc>
        <w:tc>
          <w:tcPr>
            <w:tcW w:w="1488" w:type="dxa"/>
            <w:gridSpan w:val="2"/>
            <w:vMerge w:val="restart"/>
            <w:tcBorders>
              <w:tl2br w:val="nil"/>
              <w:tr2bl w:val="nil"/>
            </w:tcBorders>
            <w:vAlign w:val="center"/>
          </w:tcPr>
          <w:p w14:paraId="6280EFD8">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hint="eastAsia" w:ascii="仿宋_GB2312" w:hAnsi="宋体" w:eastAsia="仿宋_GB2312" w:cs="宋体"/>
                <w:color w:val="000000" w:themeColor="text1"/>
                <w:kern w:val="2"/>
                <w:sz w:val="21"/>
                <w:szCs w:val="21"/>
                <w:lang w:val="en-US" w:eastAsia="zh-CN" w:bidi="ar-SA"/>
                <w14:textFill>
                  <w14:solidFill>
                    <w14:schemeClr w14:val="tx1"/>
                  </w14:solidFill>
                </w14:textFill>
              </w:rPr>
            </w:pPr>
            <w:r>
              <w:rPr>
                <w:rFonts w:hint="default" w:ascii="仿宋_GB2312" w:hAnsi="宋体" w:eastAsia="仿宋_GB2312" w:cs="宋体"/>
                <w:color w:val="000000" w:themeColor="text1"/>
                <w:kern w:val="2"/>
                <w:sz w:val="21"/>
                <w:szCs w:val="21"/>
                <w:lang w:val="en-US" w:eastAsia="zh-CN" w:bidi="ar-SA"/>
                <w14:textFill>
                  <w14:solidFill>
                    <w14:schemeClr w14:val="tx1"/>
                  </w14:solidFill>
                </w14:textFill>
              </w:rPr>
              <w:t>擅自倾倒燃气气瓶残液</w:t>
            </w:r>
          </w:p>
        </w:tc>
        <w:tc>
          <w:tcPr>
            <w:tcW w:w="1016" w:type="dxa"/>
            <w:vMerge w:val="restart"/>
            <w:tcBorders>
              <w:tl2br w:val="nil"/>
              <w:tr2bl w:val="nil"/>
            </w:tcBorders>
            <w:vAlign w:val="center"/>
          </w:tcPr>
          <w:p w14:paraId="08B4AD54">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hint="eastAsia" w:ascii="仿宋_GB2312" w:hAnsi="宋体" w:eastAsia="仿宋_GB2312" w:cs="宋体"/>
                <w:color w:val="000000" w:themeColor="text1"/>
                <w:kern w:val="2"/>
                <w:sz w:val="21"/>
                <w:szCs w:val="21"/>
                <w:lang w:val="en-US" w:eastAsia="zh-CN" w:bidi="ar-SA"/>
                <w14:textFill>
                  <w14:solidFill>
                    <w14:schemeClr w14:val="tx1"/>
                  </w14:solidFill>
                </w14:textFill>
              </w:rPr>
            </w:pPr>
            <w:r>
              <w:rPr>
                <w:rFonts w:hint="default" w:ascii="仿宋_GB2312" w:hAnsi="宋体" w:eastAsia="仿宋_GB2312" w:cs="宋体"/>
                <w:color w:val="000000" w:themeColor="text1"/>
                <w:kern w:val="2"/>
                <w:sz w:val="21"/>
                <w:szCs w:val="21"/>
                <w:lang w:val="en-US" w:eastAsia="zh-CN" w:bidi="ar-SA"/>
                <w14:textFill>
                  <w14:solidFill>
                    <w14:schemeClr w14:val="tx1"/>
                  </w14:solidFill>
                </w14:textFill>
              </w:rPr>
              <w:t>《辽宁省城镇燃气管理条例》第三十四条</w:t>
            </w:r>
            <w:r>
              <w:rPr>
                <w:rFonts w:hint="eastAsia" w:ascii="仿宋_GB2312" w:hAnsi="宋体" w:eastAsia="仿宋_GB2312" w:cs="宋体"/>
                <w:color w:val="000000" w:themeColor="text1"/>
                <w:kern w:val="2"/>
                <w:sz w:val="21"/>
                <w:szCs w:val="21"/>
                <w:lang w:val="en-US" w:eastAsia="zh-CN" w:bidi="ar-SA"/>
                <w14:textFill>
                  <w14:solidFill>
                    <w14:schemeClr w14:val="tx1"/>
                  </w14:solidFill>
                </w14:textFill>
              </w:rPr>
              <w:t>第八项</w:t>
            </w:r>
          </w:p>
        </w:tc>
        <w:tc>
          <w:tcPr>
            <w:tcW w:w="4354" w:type="dxa"/>
            <w:vMerge w:val="restart"/>
            <w:tcBorders>
              <w:tl2br w:val="nil"/>
              <w:tr2bl w:val="nil"/>
            </w:tcBorders>
            <w:vAlign w:val="center"/>
          </w:tcPr>
          <w:p w14:paraId="2EABD5DE">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hint="eastAsia" w:ascii="仿宋_GB2312" w:hAnsi="宋体" w:eastAsia="仿宋_GB2312" w:cs="宋体"/>
                <w:color w:val="000000" w:themeColor="text1"/>
                <w:kern w:val="2"/>
                <w:sz w:val="21"/>
                <w:szCs w:val="21"/>
                <w:lang w:val="en-US" w:eastAsia="zh-CN" w:bidi="ar-SA"/>
                <w14:textFill>
                  <w14:solidFill>
                    <w14:schemeClr w14:val="tx1"/>
                  </w14:solidFill>
                </w14:textFill>
              </w:rPr>
            </w:pPr>
            <w:r>
              <w:rPr>
                <w:rFonts w:hint="default" w:ascii="仿宋_GB2312" w:hAnsi="宋体" w:eastAsia="仿宋_GB2312" w:cs="宋体"/>
                <w:color w:val="000000" w:themeColor="text1"/>
                <w:kern w:val="2"/>
                <w:sz w:val="21"/>
                <w:szCs w:val="21"/>
                <w:lang w:val="en-US" w:eastAsia="zh-CN" w:bidi="ar-SA"/>
                <w14:textFill>
                  <w14:solidFill>
                    <w14:schemeClr w14:val="tx1"/>
                  </w14:solidFill>
                </w14:textFill>
              </w:rPr>
              <w:t>《辽宁省城镇燃气管理条例》第五十三条</w:t>
            </w:r>
            <w:r>
              <w:rPr>
                <w:rFonts w:hint="eastAsia" w:ascii="仿宋_GB2312" w:hAnsi="宋体" w:eastAsia="仿宋_GB2312" w:cs="宋体"/>
                <w:color w:val="000000" w:themeColor="text1"/>
                <w:kern w:val="2"/>
                <w:sz w:val="21"/>
                <w:szCs w:val="21"/>
                <w:lang w:val="en-US" w:eastAsia="zh-CN" w:bidi="ar-SA"/>
                <w14:textFill>
                  <w14:solidFill>
                    <w14:schemeClr w14:val="tx1"/>
                  </w14:solidFill>
                </w14:textFill>
              </w:rPr>
              <w:t>（二）项：“</w:t>
            </w:r>
            <w:r>
              <w:rPr>
                <w:rFonts w:hint="default" w:ascii="仿宋_GB2312" w:hAnsi="宋体" w:eastAsia="仿宋_GB2312" w:cs="宋体"/>
                <w:color w:val="000000" w:themeColor="text1"/>
                <w:kern w:val="2"/>
                <w:sz w:val="21"/>
                <w:szCs w:val="21"/>
                <w:lang w:val="en-US" w:eastAsia="zh-CN" w:bidi="ar-SA"/>
                <w14:textFill>
                  <w14:solidFill>
                    <w14:schemeClr w14:val="tx1"/>
                  </w14:solidFill>
                </w14:textFill>
              </w:rPr>
              <w:t>违反本条例规定，燃气用户及相关单位和个人有下列行为之一的，由燃气管理部门责令限期改正；逾期不改正的，对单位可以处十万元以下罚款，对个人可以处一千元以下罚款；造成损失的，依法承担赔偿责任；涉嫌犯罪的，依法移送有关机关处理</w:t>
            </w:r>
            <w:r>
              <w:rPr>
                <w:rFonts w:hint="eastAsia" w:ascii="仿宋_GB2312" w:hAnsi="宋体" w:eastAsia="仿宋_GB2312" w:cs="宋体"/>
                <w:color w:val="000000" w:themeColor="text1"/>
                <w:kern w:val="2"/>
                <w:sz w:val="21"/>
                <w:szCs w:val="21"/>
                <w:lang w:val="en-US" w:eastAsia="zh-CN" w:bidi="ar-SA"/>
                <w14:textFill>
                  <w14:solidFill>
                    <w14:schemeClr w14:val="tx1"/>
                  </w14:solidFill>
                </w14:textFill>
              </w:rPr>
              <w:t>。</w:t>
            </w:r>
          </w:p>
        </w:tc>
        <w:tc>
          <w:tcPr>
            <w:tcW w:w="912" w:type="dxa"/>
            <w:tcBorders>
              <w:tl2br w:val="nil"/>
              <w:tr2bl w:val="nil"/>
            </w:tcBorders>
            <w:tcMar>
              <w:top w:w="15" w:type="dxa"/>
              <w:left w:w="15" w:type="dxa"/>
              <w:bottom w:w="15" w:type="dxa"/>
              <w:right w:w="15" w:type="dxa"/>
            </w:tcMar>
            <w:vAlign w:val="center"/>
          </w:tcPr>
          <w:p w14:paraId="042F3C29">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36FA5666">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初次违法，危害后果轻微，积极整改的。</w:t>
            </w:r>
          </w:p>
        </w:tc>
        <w:tc>
          <w:tcPr>
            <w:tcW w:w="3375" w:type="dxa"/>
            <w:tcBorders>
              <w:tl2br w:val="nil"/>
              <w:tr2bl w:val="nil"/>
            </w:tcBorders>
            <w:tcMar>
              <w:top w:w="15" w:type="dxa"/>
              <w:left w:w="15" w:type="dxa"/>
              <w:bottom w:w="15" w:type="dxa"/>
              <w:right w:w="15" w:type="dxa"/>
            </w:tcMar>
            <w:vAlign w:val="center"/>
          </w:tcPr>
          <w:p w14:paraId="6D5FD62D">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w:t>
            </w:r>
            <w:r>
              <w:rPr>
                <w:rFonts w:hint="eastAsia" w:ascii="仿宋_GB2312" w:hAnsi="宋体" w:eastAsia="仿宋_GB2312" w:cs="宋体"/>
                <w:color w:val="000000" w:themeColor="text1"/>
                <w:szCs w:val="21"/>
                <w:lang w:eastAsia="zh-CN"/>
                <w14:textFill>
                  <w14:solidFill>
                    <w14:schemeClr w14:val="tx1"/>
                  </w14:solidFill>
                </w14:textFill>
              </w:rPr>
              <w:t>对单位</w:t>
            </w:r>
            <w:r>
              <w:rPr>
                <w:rFonts w:hint="eastAsia" w:ascii="仿宋_GB2312" w:hAnsi="宋体" w:eastAsia="仿宋_GB2312" w:cs="宋体"/>
                <w:color w:val="000000" w:themeColor="text1"/>
                <w:szCs w:val="21"/>
                <w14:textFill>
                  <w14:solidFill>
                    <w14:schemeClr w14:val="tx1"/>
                  </w14:solidFill>
                </w14:textFill>
              </w:rPr>
              <w:t>可处</w:t>
            </w:r>
            <w:r>
              <w:rPr>
                <w:rFonts w:hint="eastAsia" w:ascii="仿宋_GB2312" w:hAnsi="宋体" w:eastAsia="仿宋_GB2312" w:cs="宋体"/>
                <w:color w:val="000000" w:themeColor="text1"/>
                <w:szCs w:val="21"/>
                <w:lang w:val="en-US" w:eastAsia="zh-CN"/>
                <w14:textFill>
                  <w14:solidFill>
                    <w14:schemeClr w14:val="tx1"/>
                  </w14:solidFill>
                </w14:textFill>
              </w:rPr>
              <w:t>1</w:t>
            </w:r>
            <w:r>
              <w:rPr>
                <w:rFonts w:hint="eastAsia" w:ascii="仿宋_GB2312" w:hAnsi="宋体" w:eastAsia="仿宋_GB2312" w:cs="宋体"/>
                <w:color w:val="000000" w:themeColor="text1"/>
                <w:szCs w:val="21"/>
                <w:lang w:eastAsia="zh-CN"/>
                <w14:textFill>
                  <w14:solidFill>
                    <w14:schemeClr w14:val="tx1"/>
                  </w14:solidFill>
                </w14:textFill>
              </w:rPr>
              <w:t>万</w:t>
            </w:r>
            <w:r>
              <w:rPr>
                <w:rFonts w:hint="eastAsia" w:ascii="仿宋_GB2312" w:hAnsi="宋体" w:eastAsia="仿宋_GB2312" w:cs="宋体"/>
                <w:color w:val="000000" w:themeColor="text1"/>
                <w:szCs w:val="21"/>
                <w14:textFill>
                  <w14:solidFill>
                    <w14:schemeClr w14:val="tx1"/>
                  </w14:solidFill>
                </w14:textFill>
              </w:rPr>
              <w:t>元罚款</w:t>
            </w:r>
            <w:r>
              <w:rPr>
                <w:rFonts w:hint="eastAsia" w:ascii="仿宋_GB2312" w:hAnsi="宋体" w:eastAsia="仿宋_GB2312" w:cs="宋体"/>
                <w:color w:val="000000" w:themeColor="text1"/>
                <w:szCs w:val="21"/>
                <w:lang w:eastAsia="zh-CN"/>
                <w14:textFill>
                  <w14:solidFill>
                    <w14:schemeClr w14:val="tx1"/>
                  </w14:solidFill>
                </w14:textFill>
              </w:rPr>
              <w:t>，对个人可处</w:t>
            </w:r>
            <w:r>
              <w:rPr>
                <w:rFonts w:hint="eastAsia" w:ascii="仿宋_GB2312" w:hAnsi="宋体" w:eastAsia="仿宋_GB2312" w:cs="宋体"/>
                <w:color w:val="000000" w:themeColor="text1"/>
                <w:szCs w:val="21"/>
                <w:lang w:val="en-US" w:eastAsia="zh-CN"/>
                <w14:textFill>
                  <w14:solidFill>
                    <w14:schemeClr w14:val="tx1"/>
                  </w14:solidFill>
                </w14:textFill>
              </w:rPr>
              <w:t>100元罚款。</w:t>
            </w:r>
          </w:p>
        </w:tc>
      </w:tr>
      <w:tr w14:paraId="2F36A3C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256" w:hRule="atLeast"/>
          <w:jc w:val="center"/>
        </w:trPr>
        <w:tc>
          <w:tcPr>
            <w:tcW w:w="518" w:type="dxa"/>
            <w:vMerge w:val="continue"/>
            <w:tcBorders>
              <w:tl2br w:val="nil"/>
              <w:tr2bl w:val="nil"/>
            </w:tcBorders>
            <w:vAlign w:val="center"/>
          </w:tcPr>
          <w:p w14:paraId="122AE6ED">
            <w:pPr>
              <w:pStyle w:val="29"/>
              <w:keepNext w:val="0"/>
              <w:keepLines w:val="0"/>
              <w:pageBreakBefore w:val="0"/>
              <w:widowControl/>
              <w:numPr>
                <w:ilvl w:val="0"/>
                <w:numId w:val="0"/>
              </w:numPr>
              <w:kinsoku/>
              <w:overflowPunct/>
              <w:topLinePunct w:val="0"/>
              <w:autoSpaceDE/>
              <w:autoSpaceDN/>
              <w:bidi w:val="0"/>
              <w:adjustRightInd/>
              <w:spacing w:line="260" w:lineRule="exact"/>
              <w:ind w:leftChars="0"/>
              <w:jc w:val="center"/>
              <w:rPr>
                <w:rFonts w:hint="default" w:ascii="仿宋_GB2312" w:hAnsi="宋体" w:eastAsia="仿宋_GB2312" w:cs="宋体"/>
                <w:color w:val="000000" w:themeColor="text1"/>
                <w:kern w:val="2"/>
                <w:sz w:val="21"/>
                <w:szCs w:val="21"/>
                <w:lang w:val="en-US" w:eastAsia="zh-CN" w:bidi="ar-SA"/>
                <w14:textFill>
                  <w14:solidFill>
                    <w14:schemeClr w14:val="tx1"/>
                  </w14:solidFill>
                </w14:textFill>
              </w:rPr>
            </w:pPr>
          </w:p>
        </w:tc>
        <w:tc>
          <w:tcPr>
            <w:tcW w:w="1488" w:type="dxa"/>
            <w:gridSpan w:val="2"/>
            <w:vMerge w:val="continue"/>
            <w:tcBorders>
              <w:tl2br w:val="nil"/>
              <w:tr2bl w:val="nil"/>
            </w:tcBorders>
            <w:vAlign w:val="center"/>
          </w:tcPr>
          <w:p w14:paraId="6CAFDB1C">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宋体"/>
                <w:color w:val="000000" w:themeColor="text1"/>
                <w:kern w:val="2"/>
                <w:sz w:val="21"/>
                <w:szCs w:val="21"/>
                <w:lang w:val="en-US" w:eastAsia="zh-CN" w:bidi="ar-SA"/>
                <w14:textFill>
                  <w14:solidFill>
                    <w14:schemeClr w14:val="tx1"/>
                  </w14:solidFill>
                </w14:textFill>
              </w:rPr>
            </w:pPr>
          </w:p>
        </w:tc>
        <w:tc>
          <w:tcPr>
            <w:tcW w:w="1016" w:type="dxa"/>
            <w:vMerge w:val="continue"/>
            <w:tcBorders>
              <w:tl2br w:val="nil"/>
              <w:tr2bl w:val="nil"/>
            </w:tcBorders>
            <w:vAlign w:val="center"/>
          </w:tcPr>
          <w:p w14:paraId="07696EBD">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宋体"/>
                <w:color w:val="000000" w:themeColor="text1"/>
                <w:kern w:val="2"/>
                <w:sz w:val="21"/>
                <w:szCs w:val="21"/>
                <w:lang w:val="en-US" w:eastAsia="zh-CN" w:bidi="ar-SA"/>
                <w14:textFill>
                  <w14:solidFill>
                    <w14:schemeClr w14:val="tx1"/>
                  </w14:solidFill>
                </w14:textFill>
              </w:rPr>
            </w:pPr>
          </w:p>
        </w:tc>
        <w:tc>
          <w:tcPr>
            <w:tcW w:w="4354" w:type="dxa"/>
            <w:vMerge w:val="continue"/>
            <w:tcBorders>
              <w:tl2br w:val="nil"/>
              <w:tr2bl w:val="nil"/>
            </w:tcBorders>
            <w:vAlign w:val="center"/>
          </w:tcPr>
          <w:p w14:paraId="02C0A4FE">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宋体"/>
                <w:color w:val="000000" w:themeColor="text1"/>
                <w:kern w:val="2"/>
                <w:sz w:val="21"/>
                <w:szCs w:val="21"/>
                <w:lang w:val="en-US" w:eastAsia="zh-CN" w:bidi="ar-SA"/>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5769F58A">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2934F8D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w:t>
            </w:r>
            <w:r>
              <w:rPr>
                <w:rFonts w:hint="eastAsia" w:ascii="仿宋_GB2312" w:hAnsi="宋体" w:eastAsia="仿宋_GB2312" w:cs="宋体"/>
                <w:color w:val="000000" w:themeColor="text1"/>
                <w:kern w:val="0"/>
                <w:szCs w:val="21"/>
                <w:lang w:eastAsia="zh-CN"/>
                <w14:textFill>
                  <w14:solidFill>
                    <w14:schemeClr w14:val="tx1"/>
                  </w14:solidFill>
                </w14:textFill>
              </w:rPr>
              <w:t>从重情节</w:t>
            </w:r>
            <w:r>
              <w:rPr>
                <w:rFonts w:hint="eastAsia" w:ascii="仿宋_GB2312" w:hAnsi="宋体" w:eastAsia="仿宋_GB2312" w:cs="宋体"/>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3837AEEE">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w:t>
            </w:r>
            <w:r>
              <w:rPr>
                <w:rFonts w:hint="eastAsia" w:ascii="仿宋_GB2312" w:hAnsi="宋体" w:eastAsia="仿宋_GB2312" w:cs="宋体"/>
                <w:color w:val="000000" w:themeColor="text1"/>
                <w:szCs w:val="21"/>
                <w:lang w:eastAsia="zh-CN"/>
                <w14:textFill>
                  <w14:solidFill>
                    <w14:schemeClr w14:val="tx1"/>
                  </w14:solidFill>
                </w14:textFill>
              </w:rPr>
              <w:t>对单位</w:t>
            </w:r>
            <w:r>
              <w:rPr>
                <w:rFonts w:hint="eastAsia" w:ascii="仿宋_GB2312" w:hAnsi="宋体" w:eastAsia="仿宋_GB2312" w:cs="宋体"/>
                <w:color w:val="000000" w:themeColor="text1"/>
                <w:szCs w:val="21"/>
                <w14:textFill>
                  <w14:solidFill>
                    <w14:schemeClr w14:val="tx1"/>
                  </w14:solidFill>
                </w14:textFill>
              </w:rPr>
              <w:t>可处</w:t>
            </w:r>
            <w:r>
              <w:rPr>
                <w:rFonts w:hint="eastAsia" w:ascii="仿宋_GB2312" w:hAnsi="宋体" w:eastAsia="仿宋_GB2312" w:cs="宋体"/>
                <w:color w:val="000000" w:themeColor="text1"/>
                <w:szCs w:val="21"/>
                <w:lang w:val="en-US" w:eastAsia="zh-CN"/>
                <w14:textFill>
                  <w14:solidFill>
                    <w14:schemeClr w14:val="tx1"/>
                  </w14:solidFill>
                </w14:textFill>
              </w:rPr>
              <w:t>2</w:t>
            </w:r>
            <w:r>
              <w:rPr>
                <w:rFonts w:hint="eastAsia" w:ascii="仿宋_GB2312" w:hAnsi="宋体" w:eastAsia="仿宋_GB2312" w:cs="宋体"/>
                <w:color w:val="000000" w:themeColor="text1"/>
                <w:kern w:val="0"/>
                <w:szCs w:val="21"/>
                <w:lang w:eastAsia="zh-CN"/>
                <w14:textFill>
                  <w14:solidFill>
                    <w14:schemeClr w14:val="tx1"/>
                  </w14:solidFill>
                </w14:textFill>
              </w:rPr>
              <w:t>万</w:t>
            </w:r>
            <w:r>
              <w:rPr>
                <w:rFonts w:hint="eastAsia" w:ascii="仿宋_GB2312" w:hAnsi="宋体" w:eastAsia="仿宋_GB2312" w:cs="宋体"/>
                <w:color w:val="000000" w:themeColor="text1"/>
                <w:kern w:val="0"/>
                <w:szCs w:val="21"/>
                <w14:textFill>
                  <w14:solidFill>
                    <w14:schemeClr w14:val="tx1"/>
                  </w14:solidFill>
                </w14:textFill>
              </w:rPr>
              <w:t>元以上</w:t>
            </w:r>
            <w:r>
              <w:rPr>
                <w:rFonts w:hint="eastAsia" w:ascii="仿宋_GB2312" w:hAnsi="宋体" w:eastAsia="仿宋_GB2312" w:cs="宋体"/>
                <w:color w:val="000000" w:themeColor="text1"/>
                <w:szCs w:val="21"/>
                <w14:textFill>
                  <w14:solidFill>
                    <w14:schemeClr w14:val="tx1"/>
                  </w14:solidFill>
                </w14:textFill>
              </w:rPr>
              <w:t>5</w:t>
            </w:r>
            <w:r>
              <w:rPr>
                <w:rFonts w:hint="eastAsia" w:ascii="仿宋_GB2312" w:hAnsi="宋体" w:eastAsia="仿宋_GB2312" w:cs="宋体"/>
                <w:color w:val="000000" w:themeColor="text1"/>
                <w:szCs w:val="21"/>
                <w:lang w:eastAsia="zh-CN"/>
                <w14:textFill>
                  <w14:solidFill>
                    <w14:schemeClr w14:val="tx1"/>
                  </w14:solidFill>
                </w14:textFill>
              </w:rPr>
              <w:t>万</w:t>
            </w:r>
            <w:r>
              <w:rPr>
                <w:rFonts w:hint="eastAsia" w:ascii="仿宋_GB2312" w:hAnsi="宋体" w:eastAsia="仿宋_GB2312" w:cs="宋体"/>
                <w:color w:val="000000" w:themeColor="text1"/>
                <w:szCs w:val="21"/>
                <w14:textFill>
                  <w14:solidFill>
                    <w14:schemeClr w14:val="tx1"/>
                  </w14:solidFill>
                </w14:textFill>
              </w:rPr>
              <w:t>元以下罚款</w:t>
            </w:r>
            <w:r>
              <w:rPr>
                <w:rFonts w:hint="eastAsia" w:ascii="仿宋_GB2312" w:hAnsi="宋体" w:eastAsia="仿宋_GB2312" w:cs="宋体"/>
                <w:color w:val="000000" w:themeColor="text1"/>
                <w:szCs w:val="21"/>
                <w:lang w:eastAsia="zh-CN"/>
                <w14:textFill>
                  <w14:solidFill>
                    <w14:schemeClr w14:val="tx1"/>
                  </w14:solidFill>
                </w14:textFill>
              </w:rPr>
              <w:t>；对个人可处</w:t>
            </w:r>
            <w:r>
              <w:rPr>
                <w:rFonts w:hint="eastAsia" w:ascii="仿宋_GB2312" w:hAnsi="宋体" w:eastAsia="仿宋_GB2312" w:cs="宋体"/>
                <w:color w:val="000000" w:themeColor="text1"/>
                <w:szCs w:val="21"/>
                <w:lang w:val="en-US" w:eastAsia="zh-CN"/>
                <w14:textFill>
                  <w14:solidFill>
                    <w14:schemeClr w14:val="tx1"/>
                  </w14:solidFill>
                </w14:textFill>
              </w:rPr>
              <w:t>200元以上500元以下罚款。</w:t>
            </w:r>
          </w:p>
        </w:tc>
      </w:tr>
      <w:tr w14:paraId="1D58669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256" w:hRule="atLeast"/>
          <w:jc w:val="center"/>
        </w:trPr>
        <w:tc>
          <w:tcPr>
            <w:tcW w:w="518" w:type="dxa"/>
            <w:vMerge w:val="continue"/>
            <w:tcBorders>
              <w:tl2br w:val="nil"/>
              <w:tr2bl w:val="nil"/>
            </w:tcBorders>
            <w:vAlign w:val="center"/>
          </w:tcPr>
          <w:p w14:paraId="0AB39569">
            <w:pPr>
              <w:pStyle w:val="29"/>
              <w:keepNext w:val="0"/>
              <w:keepLines w:val="0"/>
              <w:pageBreakBefore w:val="0"/>
              <w:widowControl/>
              <w:numPr>
                <w:ilvl w:val="0"/>
                <w:numId w:val="0"/>
              </w:numPr>
              <w:kinsoku/>
              <w:overflowPunct/>
              <w:topLinePunct w:val="0"/>
              <w:autoSpaceDE/>
              <w:autoSpaceDN/>
              <w:bidi w:val="0"/>
              <w:adjustRightInd/>
              <w:spacing w:line="260" w:lineRule="exact"/>
              <w:ind w:leftChars="0"/>
              <w:jc w:val="center"/>
              <w:rPr>
                <w:rFonts w:hint="default" w:ascii="仿宋_GB2312" w:hAnsi="宋体" w:eastAsia="仿宋_GB2312" w:cs="宋体"/>
                <w:color w:val="000000" w:themeColor="text1"/>
                <w:kern w:val="2"/>
                <w:sz w:val="21"/>
                <w:szCs w:val="21"/>
                <w:lang w:val="en-US" w:eastAsia="zh-CN" w:bidi="ar-SA"/>
                <w14:textFill>
                  <w14:solidFill>
                    <w14:schemeClr w14:val="tx1"/>
                  </w14:solidFill>
                </w14:textFill>
              </w:rPr>
            </w:pPr>
          </w:p>
        </w:tc>
        <w:tc>
          <w:tcPr>
            <w:tcW w:w="1488" w:type="dxa"/>
            <w:gridSpan w:val="2"/>
            <w:vMerge w:val="continue"/>
            <w:tcBorders>
              <w:tl2br w:val="nil"/>
              <w:tr2bl w:val="nil"/>
            </w:tcBorders>
            <w:vAlign w:val="center"/>
          </w:tcPr>
          <w:p w14:paraId="4FAAD1BC">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宋体"/>
                <w:color w:val="000000" w:themeColor="text1"/>
                <w:kern w:val="2"/>
                <w:sz w:val="21"/>
                <w:szCs w:val="21"/>
                <w:lang w:val="en-US" w:eastAsia="zh-CN" w:bidi="ar-SA"/>
                <w14:textFill>
                  <w14:solidFill>
                    <w14:schemeClr w14:val="tx1"/>
                  </w14:solidFill>
                </w14:textFill>
              </w:rPr>
            </w:pPr>
          </w:p>
        </w:tc>
        <w:tc>
          <w:tcPr>
            <w:tcW w:w="1016" w:type="dxa"/>
            <w:vMerge w:val="continue"/>
            <w:tcBorders>
              <w:tl2br w:val="nil"/>
              <w:tr2bl w:val="nil"/>
            </w:tcBorders>
            <w:vAlign w:val="center"/>
          </w:tcPr>
          <w:p w14:paraId="7A96386B">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宋体"/>
                <w:color w:val="000000" w:themeColor="text1"/>
                <w:kern w:val="2"/>
                <w:sz w:val="21"/>
                <w:szCs w:val="21"/>
                <w:lang w:val="en-US" w:eastAsia="zh-CN" w:bidi="ar-SA"/>
                <w14:textFill>
                  <w14:solidFill>
                    <w14:schemeClr w14:val="tx1"/>
                  </w14:solidFill>
                </w14:textFill>
              </w:rPr>
            </w:pPr>
          </w:p>
        </w:tc>
        <w:tc>
          <w:tcPr>
            <w:tcW w:w="4354" w:type="dxa"/>
            <w:vMerge w:val="continue"/>
            <w:tcBorders>
              <w:tl2br w:val="nil"/>
              <w:tr2bl w:val="nil"/>
            </w:tcBorders>
            <w:vAlign w:val="center"/>
          </w:tcPr>
          <w:p w14:paraId="73571168">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宋体"/>
                <w:color w:val="000000" w:themeColor="text1"/>
                <w:kern w:val="2"/>
                <w:sz w:val="21"/>
                <w:szCs w:val="21"/>
                <w:lang w:val="en-US" w:eastAsia="zh-CN" w:bidi="ar-SA"/>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2AC7B455">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513EE6DA">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经责令停止违法行为后，继续实施该违法行为的</w:t>
            </w:r>
            <w:r>
              <w:rPr>
                <w:rFonts w:hint="eastAsia" w:ascii="仿宋_GB2312" w:hAnsi="宋体" w:eastAsia="仿宋_GB2312" w:cs="宋体"/>
                <w:color w:val="000000" w:themeColor="text1"/>
                <w:szCs w:val="21"/>
                <w:lang w:eastAsia="zh-CN"/>
                <w14:textFill>
                  <w14:solidFill>
                    <w14:schemeClr w14:val="tx1"/>
                  </w14:solidFill>
                </w14:textFill>
              </w:rPr>
              <w:t>，</w:t>
            </w:r>
            <w:r>
              <w:rPr>
                <w:rFonts w:hint="eastAsia" w:ascii="仿宋_GB2312" w:hAnsi="宋体" w:eastAsia="仿宋_GB2312" w:cs="宋体"/>
                <w:color w:val="000000" w:themeColor="text1"/>
                <w:szCs w:val="21"/>
                <w:lang w:val="en-US" w:eastAsia="zh-CN"/>
                <w14:textFill>
                  <w14:solidFill>
                    <w14:schemeClr w14:val="tx1"/>
                  </w14:solidFill>
                </w14:textFill>
              </w:rPr>
              <w:t>或</w:t>
            </w:r>
            <w:r>
              <w:rPr>
                <w:rFonts w:hint="eastAsia" w:ascii="仿宋_GB2312" w:hAnsi="宋体" w:eastAsia="仿宋_GB2312" w:cs="宋体"/>
                <w:color w:val="000000" w:themeColor="text1"/>
                <w:szCs w:val="21"/>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szCs w:val="21"/>
                <w:lang w:eastAsia="zh-CN"/>
                <w14:textFill>
                  <w14:solidFill>
                    <w14:schemeClr w14:val="tx1"/>
                  </w14:solidFill>
                </w14:textFill>
              </w:rPr>
              <w:t>，</w:t>
            </w:r>
            <w:r>
              <w:rPr>
                <w:rFonts w:hint="eastAsia" w:ascii="仿宋_GB2312" w:hAnsi="宋体" w:eastAsia="仿宋_GB2312" w:cs="宋体"/>
                <w:color w:val="000000" w:themeColor="text1"/>
                <w:szCs w:val="21"/>
                <w:lang w:val="en-US" w:eastAsia="zh-CN"/>
                <w14:textFill>
                  <w14:solidFill>
                    <w14:schemeClr w14:val="tx1"/>
                  </w14:solidFill>
                </w14:textFill>
              </w:rPr>
              <w:t>或</w:t>
            </w:r>
            <w:r>
              <w:rPr>
                <w:rFonts w:hint="eastAsia" w:ascii="仿宋_GB2312" w:hAnsi="宋体" w:eastAsia="仿宋_GB2312" w:cs="宋体"/>
                <w:color w:val="000000" w:themeColor="text1"/>
                <w:szCs w:val="21"/>
                <w14:textFill>
                  <w14:solidFill>
                    <w14:schemeClr w14:val="tx1"/>
                  </w14:solidFill>
                </w14:textFill>
              </w:rPr>
              <w:t>造成严重危害后果的。</w:t>
            </w:r>
          </w:p>
        </w:tc>
        <w:tc>
          <w:tcPr>
            <w:tcW w:w="3375" w:type="dxa"/>
            <w:tcBorders>
              <w:tl2br w:val="nil"/>
              <w:tr2bl w:val="nil"/>
            </w:tcBorders>
            <w:tcMar>
              <w:top w:w="15" w:type="dxa"/>
              <w:left w:w="15" w:type="dxa"/>
              <w:bottom w:w="15" w:type="dxa"/>
              <w:right w:w="15" w:type="dxa"/>
            </w:tcMar>
            <w:vAlign w:val="center"/>
          </w:tcPr>
          <w:p w14:paraId="3C15CC1C">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w:t>
            </w:r>
            <w:r>
              <w:rPr>
                <w:rFonts w:hint="eastAsia" w:ascii="仿宋_GB2312" w:hAnsi="宋体" w:eastAsia="仿宋_GB2312" w:cs="宋体"/>
                <w:color w:val="000000" w:themeColor="text1"/>
                <w:szCs w:val="21"/>
                <w:lang w:eastAsia="zh-CN"/>
                <w14:textFill>
                  <w14:solidFill>
                    <w14:schemeClr w14:val="tx1"/>
                  </w14:solidFill>
                </w14:textFill>
              </w:rPr>
              <w:t>对单位</w:t>
            </w:r>
            <w:r>
              <w:rPr>
                <w:rFonts w:hint="eastAsia" w:ascii="仿宋_GB2312" w:hAnsi="宋体" w:eastAsia="仿宋_GB2312" w:cs="宋体"/>
                <w:color w:val="000000" w:themeColor="text1"/>
                <w:szCs w:val="21"/>
                <w14:textFill>
                  <w14:solidFill>
                    <w14:schemeClr w14:val="tx1"/>
                  </w14:solidFill>
                </w14:textFill>
              </w:rPr>
              <w:t>可处5</w:t>
            </w:r>
            <w:r>
              <w:rPr>
                <w:rFonts w:hint="eastAsia" w:ascii="仿宋_GB2312" w:hAnsi="宋体" w:eastAsia="仿宋_GB2312" w:cs="宋体"/>
                <w:color w:val="000000" w:themeColor="text1"/>
                <w:szCs w:val="21"/>
                <w:lang w:eastAsia="zh-CN"/>
                <w14:textFill>
                  <w14:solidFill>
                    <w14:schemeClr w14:val="tx1"/>
                  </w14:solidFill>
                </w14:textFill>
              </w:rPr>
              <w:t>万</w:t>
            </w:r>
            <w:r>
              <w:rPr>
                <w:rFonts w:hint="eastAsia" w:ascii="仿宋_GB2312" w:hAnsi="宋体" w:eastAsia="仿宋_GB2312" w:cs="宋体"/>
                <w:color w:val="000000" w:themeColor="text1"/>
                <w:szCs w:val="21"/>
                <w14:textFill>
                  <w14:solidFill>
                    <w14:schemeClr w14:val="tx1"/>
                  </w14:solidFill>
                </w14:textFill>
              </w:rPr>
              <w:t>元以上1</w:t>
            </w:r>
            <w:r>
              <w:rPr>
                <w:rFonts w:hint="eastAsia" w:ascii="仿宋_GB2312" w:hAnsi="宋体" w:eastAsia="仿宋_GB2312" w:cs="宋体"/>
                <w:color w:val="000000" w:themeColor="text1"/>
                <w:szCs w:val="21"/>
                <w:lang w:val="en-US" w:eastAsia="zh-CN"/>
                <w14:textFill>
                  <w14:solidFill>
                    <w14:schemeClr w14:val="tx1"/>
                  </w14:solidFill>
                </w14:textFill>
              </w:rPr>
              <w:t>0</w:t>
            </w:r>
            <w:r>
              <w:rPr>
                <w:rFonts w:hint="eastAsia" w:ascii="仿宋_GB2312" w:hAnsi="宋体" w:eastAsia="仿宋_GB2312" w:cs="宋体"/>
                <w:color w:val="000000" w:themeColor="text1"/>
                <w:szCs w:val="21"/>
                <w14:textFill>
                  <w14:solidFill>
                    <w14:schemeClr w14:val="tx1"/>
                  </w14:solidFill>
                </w14:textFill>
              </w:rPr>
              <w:t>万元以下罚款</w:t>
            </w:r>
            <w:r>
              <w:rPr>
                <w:rFonts w:hint="eastAsia" w:ascii="仿宋_GB2312" w:hAnsi="宋体" w:eastAsia="仿宋_GB2312" w:cs="宋体"/>
                <w:color w:val="000000" w:themeColor="text1"/>
                <w:szCs w:val="21"/>
                <w:lang w:eastAsia="zh-CN"/>
                <w14:textFill>
                  <w14:solidFill>
                    <w14:schemeClr w14:val="tx1"/>
                  </w14:solidFill>
                </w14:textFill>
              </w:rPr>
              <w:t>；对个人可处</w:t>
            </w:r>
            <w:r>
              <w:rPr>
                <w:rFonts w:hint="eastAsia" w:ascii="仿宋_GB2312" w:hAnsi="宋体" w:eastAsia="仿宋_GB2312" w:cs="宋体"/>
                <w:color w:val="000000" w:themeColor="text1"/>
                <w:szCs w:val="21"/>
                <w:lang w:val="en-US" w:eastAsia="zh-CN"/>
                <w14:textFill>
                  <w14:solidFill>
                    <w14:schemeClr w14:val="tx1"/>
                  </w14:solidFill>
                </w14:textFill>
              </w:rPr>
              <w:t>500元以上1000元以下罚款。</w:t>
            </w:r>
          </w:p>
        </w:tc>
      </w:tr>
      <w:tr w14:paraId="23A8AE3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256" w:hRule="atLeast"/>
          <w:jc w:val="center"/>
        </w:trPr>
        <w:tc>
          <w:tcPr>
            <w:tcW w:w="518" w:type="dxa"/>
            <w:vMerge w:val="restart"/>
            <w:tcBorders>
              <w:tl2br w:val="nil"/>
              <w:tr2bl w:val="nil"/>
            </w:tcBorders>
            <w:vAlign w:val="center"/>
          </w:tcPr>
          <w:p w14:paraId="21063AAA">
            <w:pPr>
              <w:pStyle w:val="29"/>
              <w:keepNext w:val="0"/>
              <w:keepLines w:val="0"/>
              <w:pageBreakBefore w:val="0"/>
              <w:widowControl/>
              <w:numPr>
                <w:ilvl w:val="0"/>
                <w:numId w:val="0"/>
              </w:numPr>
              <w:kinsoku/>
              <w:overflowPunct/>
              <w:topLinePunct w:val="0"/>
              <w:autoSpaceDE/>
              <w:autoSpaceDN/>
              <w:bidi w:val="0"/>
              <w:adjustRightInd/>
              <w:spacing w:line="260" w:lineRule="exact"/>
              <w:ind w:leftChars="0"/>
              <w:jc w:val="center"/>
              <w:rPr>
                <w:rFonts w:hint="default" w:ascii="仿宋_GB2312" w:hAnsi="宋体" w:eastAsia="仿宋_GB2312" w:cs="宋体"/>
                <w:color w:val="000000" w:themeColor="text1"/>
                <w:kern w:val="2"/>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2"/>
                <w:sz w:val="21"/>
                <w:szCs w:val="21"/>
                <w:lang w:val="en-US" w:eastAsia="zh-CN" w:bidi="ar-SA"/>
                <w14:textFill>
                  <w14:solidFill>
                    <w14:schemeClr w14:val="tx1"/>
                  </w14:solidFill>
                </w14:textFill>
              </w:rPr>
              <w:t>139</w:t>
            </w:r>
          </w:p>
        </w:tc>
        <w:tc>
          <w:tcPr>
            <w:tcW w:w="1488" w:type="dxa"/>
            <w:gridSpan w:val="2"/>
            <w:vMerge w:val="restart"/>
            <w:tcBorders>
              <w:tl2br w:val="nil"/>
              <w:tr2bl w:val="nil"/>
            </w:tcBorders>
            <w:vAlign w:val="center"/>
          </w:tcPr>
          <w:p w14:paraId="521312B8">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hint="eastAsia" w:ascii="仿宋_GB2312" w:hAnsi="宋体" w:eastAsia="仿宋_GB2312" w:cs="宋体"/>
                <w:color w:val="000000" w:themeColor="text1"/>
                <w:kern w:val="2"/>
                <w:sz w:val="21"/>
                <w:szCs w:val="21"/>
                <w:lang w:val="en-US" w:eastAsia="zh-CN" w:bidi="ar-SA"/>
                <w14:textFill>
                  <w14:solidFill>
                    <w14:schemeClr w14:val="tx1"/>
                  </w14:solidFill>
                </w14:textFill>
              </w:rPr>
            </w:pPr>
            <w:r>
              <w:rPr>
                <w:rFonts w:hint="default" w:ascii="仿宋_GB2312" w:hAnsi="宋体" w:eastAsia="仿宋_GB2312" w:cs="宋体"/>
                <w:color w:val="000000" w:themeColor="text1"/>
                <w:kern w:val="2"/>
                <w:sz w:val="21"/>
                <w:szCs w:val="21"/>
                <w:lang w:val="en-US" w:eastAsia="zh-CN" w:bidi="ar-SA"/>
                <w14:textFill>
                  <w14:solidFill>
                    <w14:schemeClr w14:val="tx1"/>
                  </w14:solidFill>
                </w14:textFill>
              </w:rPr>
              <w:t>改换燃气气瓶检验标志和漆色</w:t>
            </w:r>
          </w:p>
        </w:tc>
        <w:tc>
          <w:tcPr>
            <w:tcW w:w="1016" w:type="dxa"/>
            <w:vMerge w:val="restart"/>
            <w:tcBorders>
              <w:tl2br w:val="nil"/>
              <w:tr2bl w:val="nil"/>
            </w:tcBorders>
            <w:vAlign w:val="center"/>
          </w:tcPr>
          <w:p w14:paraId="7359E8CA">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宋体"/>
                <w:color w:val="000000" w:themeColor="text1"/>
                <w:kern w:val="2"/>
                <w:sz w:val="21"/>
                <w:szCs w:val="21"/>
                <w:lang w:val="en-US" w:eastAsia="zh-CN" w:bidi="ar-SA"/>
                <w14:textFill>
                  <w14:solidFill>
                    <w14:schemeClr w14:val="tx1"/>
                  </w14:solidFill>
                </w14:textFill>
              </w:rPr>
            </w:pPr>
            <w:r>
              <w:rPr>
                <w:rFonts w:hint="default" w:ascii="仿宋_GB2312" w:hAnsi="宋体" w:eastAsia="仿宋_GB2312" w:cs="宋体"/>
                <w:color w:val="000000" w:themeColor="text1"/>
                <w:kern w:val="2"/>
                <w:sz w:val="21"/>
                <w:szCs w:val="21"/>
                <w:lang w:val="en-US" w:eastAsia="zh-CN" w:bidi="ar-SA"/>
                <w14:textFill>
                  <w14:solidFill>
                    <w14:schemeClr w14:val="tx1"/>
                  </w14:solidFill>
                </w14:textFill>
              </w:rPr>
              <w:t>《辽宁省城镇燃气管理条例》第三十四条</w:t>
            </w:r>
            <w:r>
              <w:rPr>
                <w:rFonts w:hint="eastAsia" w:ascii="仿宋_GB2312" w:hAnsi="宋体" w:eastAsia="仿宋_GB2312" w:cs="宋体"/>
                <w:color w:val="000000" w:themeColor="text1"/>
                <w:kern w:val="2"/>
                <w:sz w:val="21"/>
                <w:szCs w:val="21"/>
                <w:lang w:val="en-US" w:eastAsia="zh-CN" w:bidi="ar-SA"/>
                <w14:textFill>
                  <w14:solidFill>
                    <w14:schemeClr w14:val="tx1"/>
                  </w14:solidFill>
                </w14:textFill>
              </w:rPr>
              <w:t>第九项</w:t>
            </w:r>
          </w:p>
        </w:tc>
        <w:tc>
          <w:tcPr>
            <w:tcW w:w="4354" w:type="dxa"/>
            <w:vMerge w:val="restart"/>
            <w:tcBorders>
              <w:tl2br w:val="nil"/>
              <w:tr2bl w:val="nil"/>
            </w:tcBorders>
            <w:vAlign w:val="center"/>
          </w:tcPr>
          <w:p w14:paraId="1004C574">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hint="default" w:ascii="仿宋_GB2312" w:hAnsi="宋体" w:eastAsia="仿宋_GB2312" w:cs="宋体"/>
                <w:color w:val="000000" w:themeColor="text1"/>
                <w:kern w:val="2"/>
                <w:sz w:val="21"/>
                <w:szCs w:val="21"/>
                <w:lang w:val="en-US" w:eastAsia="zh-CN" w:bidi="ar-SA"/>
                <w14:textFill>
                  <w14:solidFill>
                    <w14:schemeClr w14:val="tx1"/>
                  </w14:solidFill>
                </w14:textFill>
              </w:rPr>
            </w:pPr>
            <w:r>
              <w:rPr>
                <w:rFonts w:hint="default" w:ascii="仿宋_GB2312" w:hAnsi="宋体" w:eastAsia="仿宋_GB2312" w:cs="宋体"/>
                <w:color w:val="000000" w:themeColor="text1"/>
                <w:kern w:val="2"/>
                <w:sz w:val="21"/>
                <w:szCs w:val="21"/>
                <w:lang w:val="en-US" w:eastAsia="zh-CN" w:bidi="ar-SA"/>
                <w14:textFill>
                  <w14:solidFill>
                    <w14:schemeClr w14:val="tx1"/>
                  </w14:solidFill>
                </w14:textFill>
              </w:rPr>
              <w:t>《辽宁省城镇燃气管理条例》第五十三条</w:t>
            </w:r>
            <w:r>
              <w:rPr>
                <w:rFonts w:hint="eastAsia" w:ascii="仿宋_GB2312" w:hAnsi="宋体" w:eastAsia="仿宋_GB2312" w:cs="宋体"/>
                <w:color w:val="000000" w:themeColor="text1"/>
                <w:kern w:val="2"/>
                <w:sz w:val="21"/>
                <w:szCs w:val="21"/>
                <w:lang w:val="en-US" w:eastAsia="zh-CN" w:bidi="ar-SA"/>
                <w14:textFill>
                  <w14:solidFill>
                    <w14:schemeClr w14:val="tx1"/>
                  </w14:solidFill>
                </w14:textFill>
              </w:rPr>
              <w:t>（三）项：“</w:t>
            </w:r>
            <w:r>
              <w:rPr>
                <w:rFonts w:hint="default" w:ascii="仿宋_GB2312" w:hAnsi="宋体" w:eastAsia="仿宋_GB2312" w:cs="宋体"/>
                <w:color w:val="000000" w:themeColor="text1"/>
                <w:kern w:val="2"/>
                <w:sz w:val="21"/>
                <w:szCs w:val="21"/>
                <w:lang w:val="en-US" w:eastAsia="zh-CN" w:bidi="ar-SA"/>
                <w14:textFill>
                  <w14:solidFill>
                    <w14:schemeClr w14:val="tx1"/>
                  </w14:solidFill>
                </w14:textFill>
              </w:rPr>
              <w:t>违反本条例规定，燃气用户及相关单位和个人有下列行为之一的，由燃气管理部门责令限期改正；逾期不改正的，对单位可以处十万元以下罚款，对个人可以处一千元以下罚款；造成损失的，依法承担赔偿责任；涉嫌犯罪的，依法移送有关机关处理</w:t>
            </w:r>
            <w:r>
              <w:rPr>
                <w:rFonts w:hint="eastAsia" w:ascii="仿宋_GB2312" w:hAnsi="宋体" w:eastAsia="仿宋_GB2312" w:cs="宋体"/>
                <w:color w:val="000000" w:themeColor="text1"/>
                <w:kern w:val="2"/>
                <w:sz w:val="21"/>
                <w:szCs w:val="21"/>
                <w:lang w:val="en-US" w:eastAsia="zh-CN" w:bidi="ar-SA"/>
                <w14:textFill>
                  <w14:solidFill>
                    <w14:schemeClr w14:val="tx1"/>
                  </w14:solidFill>
                </w14:textFill>
              </w:rPr>
              <w:t>。</w:t>
            </w:r>
          </w:p>
          <w:p w14:paraId="41408E03">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宋体"/>
                <w:color w:val="000000" w:themeColor="text1"/>
                <w:kern w:val="2"/>
                <w:sz w:val="21"/>
                <w:szCs w:val="21"/>
                <w:lang w:val="en-US" w:eastAsia="zh-CN" w:bidi="ar-SA"/>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60F219E1">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2D0905E1">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初次违法，危害后果轻微，积极整改的。</w:t>
            </w:r>
          </w:p>
        </w:tc>
        <w:tc>
          <w:tcPr>
            <w:tcW w:w="3375" w:type="dxa"/>
            <w:tcBorders>
              <w:tl2br w:val="nil"/>
              <w:tr2bl w:val="nil"/>
            </w:tcBorders>
            <w:tcMar>
              <w:top w:w="15" w:type="dxa"/>
              <w:left w:w="15" w:type="dxa"/>
              <w:bottom w:w="15" w:type="dxa"/>
              <w:right w:w="15" w:type="dxa"/>
            </w:tcMar>
            <w:vAlign w:val="center"/>
          </w:tcPr>
          <w:p w14:paraId="6A63A112">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w:t>
            </w:r>
            <w:r>
              <w:rPr>
                <w:rFonts w:hint="eastAsia" w:ascii="仿宋_GB2312" w:hAnsi="宋体" w:eastAsia="仿宋_GB2312" w:cs="宋体"/>
                <w:color w:val="000000" w:themeColor="text1"/>
                <w:szCs w:val="21"/>
                <w:lang w:eastAsia="zh-CN"/>
                <w14:textFill>
                  <w14:solidFill>
                    <w14:schemeClr w14:val="tx1"/>
                  </w14:solidFill>
                </w14:textFill>
              </w:rPr>
              <w:t>对单位</w:t>
            </w:r>
            <w:r>
              <w:rPr>
                <w:rFonts w:hint="eastAsia" w:ascii="仿宋_GB2312" w:hAnsi="宋体" w:eastAsia="仿宋_GB2312" w:cs="宋体"/>
                <w:color w:val="000000" w:themeColor="text1"/>
                <w:szCs w:val="21"/>
                <w14:textFill>
                  <w14:solidFill>
                    <w14:schemeClr w14:val="tx1"/>
                  </w14:solidFill>
                </w14:textFill>
              </w:rPr>
              <w:t>可处</w:t>
            </w:r>
            <w:r>
              <w:rPr>
                <w:rFonts w:hint="eastAsia" w:ascii="仿宋_GB2312" w:hAnsi="宋体" w:eastAsia="仿宋_GB2312" w:cs="宋体"/>
                <w:color w:val="000000" w:themeColor="text1"/>
                <w:szCs w:val="21"/>
                <w:lang w:val="en-US" w:eastAsia="zh-CN"/>
                <w14:textFill>
                  <w14:solidFill>
                    <w14:schemeClr w14:val="tx1"/>
                  </w14:solidFill>
                </w14:textFill>
              </w:rPr>
              <w:t>1</w:t>
            </w:r>
            <w:r>
              <w:rPr>
                <w:rFonts w:hint="eastAsia" w:ascii="仿宋_GB2312" w:hAnsi="宋体" w:eastAsia="仿宋_GB2312" w:cs="宋体"/>
                <w:color w:val="000000" w:themeColor="text1"/>
                <w:szCs w:val="21"/>
                <w:lang w:eastAsia="zh-CN"/>
                <w14:textFill>
                  <w14:solidFill>
                    <w14:schemeClr w14:val="tx1"/>
                  </w14:solidFill>
                </w14:textFill>
              </w:rPr>
              <w:t>万</w:t>
            </w:r>
            <w:r>
              <w:rPr>
                <w:rFonts w:hint="eastAsia" w:ascii="仿宋_GB2312" w:hAnsi="宋体" w:eastAsia="仿宋_GB2312" w:cs="宋体"/>
                <w:color w:val="000000" w:themeColor="text1"/>
                <w:szCs w:val="21"/>
                <w14:textFill>
                  <w14:solidFill>
                    <w14:schemeClr w14:val="tx1"/>
                  </w14:solidFill>
                </w14:textFill>
              </w:rPr>
              <w:t>元罚款</w:t>
            </w:r>
            <w:r>
              <w:rPr>
                <w:rFonts w:hint="eastAsia" w:ascii="仿宋_GB2312" w:hAnsi="宋体" w:eastAsia="仿宋_GB2312" w:cs="宋体"/>
                <w:color w:val="000000" w:themeColor="text1"/>
                <w:szCs w:val="21"/>
                <w:lang w:eastAsia="zh-CN"/>
                <w14:textFill>
                  <w14:solidFill>
                    <w14:schemeClr w14:val="tx1"/>
                  </w14:solidFill>
                </w14:textFill>
              </w:rPr>
              <w:t>，对个人可处</w:t>
            </w:r>
            <w:r>
              <w:rPr>
                <w:rFonts w:hint="eastAsia" w:ascii="仿宋_GB2312" w:hAnsi="宋体" w:eastAsia="仿宋_GB2312" w:cs="宋体"/>
                <w:color w:val="000000" w:themeColor="text1"/>
                <w:szCs w:val="21"/>
                <w:lang w:val="en-US" w:eastAsia="zh-CN"/>
                <w14:textFill>
                  <w14:solidFill>
                    <w14:schemeClr w14:val="tx1"/>
                  </w14:solidFill>
                </w14:textFill>
              </w:rPr>
              <w:t>100元罚款。</w:t>
            </w:r>
          </w:p>
        </w:tc>
      </w:tr>
      <w:tr w14:paraId="7A51024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256" w:hRule="atLeast"/>
          <w:jc w:val="center"/>
        </w:trPr>
        <w:tc>
          <w:tcPr>
            <w:tcW w:w="518" w:type="dxa"/>
            <w:vMerge w:val="continue"/>
            <w:tcBorders>
              <w:tl2br w:val="nil"/>
              <w:tr2bl w:val="nil"/>
            </w:tcBorders>
            <w:vAlign w:val="center"/>
          </w:tcPr>
          <w:p w14:paraId="23FE7B60">
            <w:pPr>
              <w:pStyle w:val="29"/>
              <w:keepNext w:val="0"/>
              <w:keepLines w:val="0"/>
              <w:pageBreakBefore w:val="0"/>
              <w:widowControl/>
              <w:numPr>
                <w:ilvl w:val="0"/>
                <w:numId w:val="0"/>
              </w:numPr>
              <w:kinsoku/>
              <w:overflowPunct/>
              <w:topLinePunct w:val="0"/>
              <w:autoSpaceDE/>
              <w:autoSpaceDN/>
              <w:bidi w:val="0"/>
              <w:adjustRightInd/>
              <w:spacing w:line="260" w:lineRule="exact"/>
              <w:ind w:leftChars="0"/>
              <w:jc w:val="center"/>
              <w:rPr>
                <w:rFonts w:hint="default" w:ascii="仿宋_GB2312" w:hAnsi="宋体" w:eastAsia="仿宋_GB2312" w:cs="宋体"/>
                <w:color w:val="000000" w:themeColor="text1"/>
                <w:kern w:val="2"/>
                <w:sz w:val="21"/>
                <w:szCs w:val="21"/>
                <w:lang w:val="en-US" w:eastAsia="zh-CN" w:bidi="ar-SA"/>
                <w14:textFill>
                  <w14:solidFill>
                    <w14:schemeClr w14:val="tx1"/>
                  </w14:solidFill>
                </w14:textFill>
              </w:rPr>
            </w:pPr>
          </w:p>
        </w:tc>
        <w:tc>
          <w:tcPr>
            <w:tcW w:w="1488" w:type="dxa"/>
            <w:gridSpan w:val="2"/>
            <w:vMerge w:val="continue"/>
            <w:tcBorders>
              <w:tl2br w:val="nil"/>
              <w:tr2bl w:val="nil"/>
            </w:tcBorders>
            <w:vAlign w:val="center"/>
          </w:tcPr>
          <w:p w14:paraId="417205A5">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宋体"/>
                <w:color w:val="000000" w:themeColor="text1"/>
                <w:kern w:val="2"/>
                <w:sz w:val="21"/>
                <w:szCs w:val="21"/>
                <w:lang w:val="en-US" w:eastAsia="zh-CN" w:bidi="ar-SA"/>
                <w14:textFill>
                  <w14:solidFill>
                    <w14:schemeClr w14:val="tx1"/>
                  </w14:solidFill>
                </w14:textFill>
              </w:rPr>
            </w:pPr>
          </w:p>
        </w:tc>
        <w:tc>
          <w:tcPr>
            <w:tcW w:w="1016" w:type="dxa"/>
            <w:vMerge w:val="continue"/>
            <w:tcBorders>
              <w:tl2br w:val="nil"/>
              <w:tr2bl w:val="nil"/>
            </w:tcBorders>
            <w:vAlign w:val="center"/>
          </w:tcPr>
          <w:p w14:paraId="31E15B0C">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宋体"/>
                <w:color w:val="000000" w:themeColor="text1"/>
                <w:kern w:val="2"/>
                <w:sz w:val="21"/>
                <w:szCs w:val="21"/>
                <w:lang w:val="en-US" w:eastAsia="zh-CN" w:bidi="ar-SA"/>
                <w14:textFill>
                  <w14:solidFill>
                    <w14:schemeClr w14:val="tx1"/>
                  </w14:solidFill>
                </w14:textFill>
              </w:rPr>
            </w:pPr>
          </w:p>
        </w:tc>
        <w:tc>
          <w:tcPr>
            <w:tcW w:w="4354" w:type="dxa"/>
            <w:vMerge w:val="continue"/>
            <w:tcBorders>
              <w:tl2br w:val="nil"/>
              <w:tr2bl w:val="nil"/>
            </w:tcBorders>
            <w:vAlign w:val="center"/>
          </w:tcPr>
          <w:p w14:paraId="2131B54D">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宋体"/>
                <w:color w:val="000000" w:themeColor="text1"/>
                <w:kern w:val="2"/>
                <w:sz w:val="21"/>
                <w:szCs w:val="21"/>
                <w:lang w:val="en-US" w:eastAsia="zh-CN" w:bidi="ar-SA"/>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4EBB3924">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392C1275">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w:t>
            </w:r>
            <w:r>
              <w:rPr>
                <w:rFonts w:hint="eastAsia" w:ascii="仿宋_GB2312" w:hAnsi="宋体" w:eastAsia="仿宋_GB2312" w:cs="宋体"/>
                <w:color w:val="000000" w:themeColor="text1"/>
                <w:kern w:val="0"/>
                <w:szCs w:val="21"/>
                <w:lang w:eastAsia="zh-CN"/>
                <w14:textFill>
                  <w14:solidFill>
                    <w14:schemeClr w14:val="tx1"/>
                  </w14:solidFill>
                </w14:textFill>
              </w:rPr>
              <w:t>从重情节</w:t>
            </w:r>
            <w:r>
              <w:rPr>
                <w:rFonts w:hint="eastAsia" w:ascii="仿宋_GB2312" w:hAnsi="宋体" w:eastAsia="仿宋_GB2312" w:cs="宋体"/>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60A057AB">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w:t>
            </w:r>
            <w:r>
              <w:rPr>
                <w:rFonts w:hint="eastAsia" w:ascii="仿宋_GB2312" w:hAnsi="宋体" w:eastAsia="仿宋_GB2312" w:cs="宋体"/>
                <w:color w:val="000000" w:themeColor="text1"/>
                <w:szCs w:val="21"/>
                <w:lang w:eastAsia="zh-CN"/>
                <w14:textFill>
                  <w14:solidFill>
                    <w14:schemeClr w14:val="tx1"/>
                  </w14:solidFill>
                </w14:textFill>
              </w:rPr>
              <w:t>对单位</w:t>
            </w:r>
            <w:r>
              <w:rPr>
                <w:rFonts w:hint="eastAsia" w:ascii="仿宋_GB2312" w:hAnsi="宋体" w:eastAsia="仿宋_GB2312" w:cs="宋体"/>
                <w:color w:val="000000" w:themeColor="text1"/>
                <w:szCs w:val="21"/>
                <w14:textFill>
                  <w14:solidFill>
                    <w14:schemeClr w14:val="tx1"/>
                  </w14:solidFill>
                </w14:textFill>
              </w:rPr>
              <w:t>可处</w:t>
            </w:r>
            <w:r>
              <w:rPr>
                <w:rFonts w:hint="eastAsia" w:ascii="仿宋_GB2312" w:hAnsi="宋体" w:eastAsia="仿宋_GB2312" w:cs="宋体"/>
                <w:color w:val="000000" w:themeColor="text1"/>
                <w:szCs w:val="21"/>
                <w:lang w:val="en-US" w:eastAsia="zh-CN"/>
                <w14:textFill>
                  <w14:solidFill>
                    <w14:schemeClr w14:val="tx1"/>
                  </w14:solidFill>
                </w14:textFill>
              </w:rPr>
              <w:t>2</w:t>
            </w:r>
            <w:r>
              <w:rPr>
                <w:rFonts w:hint="eastAsia" w:ascii="仿宋_GB2312" w:hAnsi="宋体" w:eastAsia="仿宋_GB2312" w:cs="宋体"/>
                <w:color w:val="000000" w:themeColor="text1"/>
                <w:kern w:val="0"/>
                <w:szCs w:val="21"/>
                <w:lang w:eastAsia="zh-CN"/>
                <w14:textFill>
                  <w14:solidFill>
                    <w14:schemeClr w14:val="tx1"/>
                  </w14:solidFill>
                </w14:textFill>
              </w:rPr>
              <w:t>万</w:t>
            </w:r>
            <w:r>
              <w:rPr>
                <w:rFonts w:hint="eastAsia" w:ascii="仿宋_GB2312" w:hAnsi="宋体" w:eastAsia="仿宋_GB2312" w:cs="宋体"/>
                <w:color w:val="000000" w:themeColor="text1"/>
                <w:kern w:val="0"/>
                <w:szCs w:val="21"/>
                <w14:textFill>
                  <w14:solidFill>
                    <w14:schemeClr w14:val="tx1"/>
                  </w14:solidFill>
                </w14:textFill>
              </w:rPr>
              <w:t>元以上</w:t>
            </w:r>
            <w:r>
              <w:rPr>
                <w:rFonts w:hint="eastAsia" w:ascii="仿宋_GB2312" w:hAnsi="宋体" w:eastAsia="仿宋_GB2312" w:cs="宋体"/>
                <w:color w:val="000000" w:themeColor="text1"/>
                <w:szCs w:val="21"/>
                <w14:textFill>
                  <w14:solidFill>
                    <w14:schemeClr w14:val="tx1"/>
                  </w14:solidFill>
                </w14:textFill>
              </w:rPr>
              <w:t>5</w:t>
            </w:r>
            <w:r>
              <w:rPr>
                <w:rFonts w:hint="eastAsia" w:ascii="仿宋_GB2312" w:hAnsi="宋体" w:eastAsia="仿宋_GB2312" w:cs="宋体"/>
                <w:color w:val="000000" w:themeColor="text1"/>
                <w:szCs w:val="21"/>
                <w:lang w:eastAsia="zh-CN"/>
                <w14:textFill>
                  <w14:solidFill>
                    <w14:schemeClr w14:val="tx1"/>
                  </w14:solidFill>
                </w14:textFill>
              </w:rPr>
              <w:t>万</w:t>
            </w:r>
            <w:r>
              <w:rPr>
                <w:rFonts w:hint="eastAsia" w:ascii="仿宋_GB2312" w:hAnsi="宋体" w:eastAsia="仿宋_GB2312" w:cs="宋体"/>
                <w:color w:val="000000" w:themeColor="text1"/>
                <w:szCs w:val="21"/>
                <w14:textFill>
                  <w14:solidFill>
                    <w14:schemeClr w14:val="tx1"/>
                  </w14:solidFill>
                </w14:textFill>
              </w:rPr>
              <w:t>元以下罚款</w:t>
            </w:r>
            <w:r>
              <w:rPr>
                <w:rFonts w:hint="eastAsia" w:ascii="仿宋_GB2312" w:hAnsi="宋体" w:eastAsia="仿宋_GB2312" w:cs="宋体"/>
                <w:color w:val="000000" w:themeColor="text1"/>
                <w:szCs w:val="21"/>
                <w:lang w:eastAsia="zh-CN"/>
                <w14:textFill>
                  <w14:solidFill>
                    <w14:schemeClr w14:val="tx1"/>
                  </w14:solidFill>
                </w14:textFill>
              </w:rPr>
              <w:t>；对个人可处</w:t>
            </w:r>
            <w:r>
              <w:rPr>
                <w:rFonts w:hint="eastAsia" w:ascii="仿宋_GB2312" w:hAnsi="宋体" w:eastAsia="仿宋_GB2312" w:cs="宋体"/>
                <w:color w:val="000000" w:themeColor="text1"/>
                <w:szCs w:val="21"/>
                <w:lang w:val="en-US" w:eastAsia="zh-CN"/>
                <w14:textFill>
                  <w14:solidFill>
                    <w14:schemeClr w14:val="tx1"/>
                  </w14:solidFill>
                </w14:textFill>
              </w:rPr>
              <w:t>200元以上500元以下罚款。</w:t>
            </w:r>
          </w:p>
        </w:tc>
      </w:tr>
      <w:tr w14:paraId="268F506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256" w:hRule="atLeast"/>
          <w:jc w:val="center"/>
        </w:trPr>
        <w:tc>
          <w:tcPr>
            <w:tcW w:w="518" w:type="dxa"/>
            <w:vMerge w:val="continue"/>
            <w:tcBorders>
              <w:tl2br w:val="nil"/>
              <w:tr2bl w:val="nil"/>
            </w:tcBorders>
            <w:vAlign w:val="center"/>
          </w:tcPr>
          <w:p w14:paraId="7983688D">
            <w:pPr>
              <w:pStyle w:val="29"/>
              <w:keepNext w:val="0"/>
              <w:keepLines w:val="0"/>
              <w:pageBreakBefore w:val="0"/>
              <w:widowControl/>
              <w:numPr>
                <w:ilvl w:val="0"/>
                <w:numId w:val="0"/>
              </w:numPr>
              <w:kinsoku/>
              <w:overflowPunct/>
              <w:topLinePunct w:val="0"/>
              <w:autoSpaceDE/>
              <w:autoSpaceDN/>
              <w:bidi w:val="0"/>
              <w:adjustRightInd/>
              <w:spacing w:line="260" w:lineRule="exact"/>
              <w:ind w:leftChars="0"/>
              <w:jc w:val="center"/>
              <w:rPr>
                <w:rFonts w:hint="default" w:ascii="仿宋_GB2312" w:hAnsi="宋体" w:eastAsia="仿宋_GB2312" w:cs="宋体"/>
                <w:color w:val="000000" w:themeColor="text1"/>
                <w:kern w:val="2"/>
                <w:sz w:val="21"/>
                <w:szCs w:val="21"/>
                <w:lang w:val="en-US" w:eastAsia="zh-CN" w:bidi="ar-SA"/>
                <w14:textFill>
                  <w14:solidFill>
                    <w14:schemeClr w14:val="tx1"/>
                  </w14:solidFill>
                </w14:textFill>
              </w:rPr>
            </w:pPr>
          </w:p>
        </w:tc>
        <w:tc>
          <w:tcPr>
            <w:tcW w:w="1488" w:type="dxa"/>
            <w:gridSpan w:val="2"/>
            <w:vMerge w:val="continue"/>
            <w:tcBorders>
              <w:tl2br w:val="nil"/>
              <w:tr2bl w:val="nil"/>
            </w:tcBorders>
            <w:vAlign w:val="center"/>
          </w:tcPr>
          <w:p w14:paraId="280AB9A7">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宋体"/>
                <w:color w:val="000000" w:themeColor="text1"/>
                <w:kern w:val="2"/>
                <w:sz w:val="21"/>
                <w:szCs w:val="21"/>
                <w:lang w:val="en-US" w:eastAsia="zh-CN" w:bidi="ar-SA"/>
                <w14:textFill>
                  <w14:solidFill>
                    <w14:schemeClr w14:val="tx1"/>
                  </w14:solidFill>
                </w14:textFill>
              </w:rPr>
            </w:pPr>
          </w:p>
        </w:tc>
        <w:tc>
          <w:tcPr>
            <w:tcW w:w="1016" w:type="dxa"/>
            <w:vMerge w:val="continue"/>
            <w:tcBorders>
              <w:tl2br w:val="nil"/>
              <w:tr2bl w:val="nil"/>
            </w:tcBorders>
            <w:vAlign w:val="center"/>
          </w:tcPr>
          <w:p w14:paraId="7C57BE02">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宋体"/>
                <w:color w:val="000000" w:themeColor="text1"/>
                <w:kern w:val="2"/>
                <w:sz w:val="21"/>
                <w:szCs w:val="21"/>
                <w:lang w:val="en-US" w:eastAsia="zh-CN" w:bidi="ar-SA"/>
                <w14:textFill>
                  <w14:solidFill>
                    <w14:schemeClr w14:val="tx1"/>
                  </w14:solidFill>
                </w14:textFill>
              </w:rPr>
            </w:pPr>
          </w:p>
        </w:tc>
        <w:tc>
          <w:tcPr>
            <w:tcW w:w="4354" w:type="dxa"/>
            <w:vMerge w:val="continue"/>
            <w:tcBorders>
              <w:tl2br w:val="nil"/>
              <w:tr2bl w:val="nil"/>
            </w:tcBorders>
            <w:vAlign w:val="center"/>
          </w:tcPr>
          <w:p w14:paraId="66B7C95C">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宋体"/>
                <w:color w:val="000000" w:themeColor="text1"/>
                <w:kern w:val="2"/>
                <w:sz w:val="21"/>
                <w:szCs w:val="21"/>
                <w:lang w:val="en-US" w:eastAsia="zh-CN" w:bidi="ar-SA"/>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444F9FBF">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078BC4A0">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经责令停止违法行为后，继续实施该违法行为的</w:t>
            </w:r>
            <w:r>
              <w:rPr>
                <w:rFonts w:hint="eastAsia" w:ascii="仿宋_GB2312" w:hAnsi="宋体" w:eastAsia="仿宋_GB2312" w:cs="宋体"/>
                <w:color w:val="000000" w:themeColor="text1"/>
                <w:szCs w:val="21"/>
                <w:lang w:eastAsia="zh-CN"/>
                <w14:textFill>
                  <w14:solidFill>
                    <w14:schemeClr w14:val="tx1"/>
                  </w14:solidFill>
                </w14:textFill>
              </w:rPr>
              <w:t>，</w:t>
            </w:r>
            <w:r>
              <w:rPr>
                <w:rFonts w:hint="eastAsia" w:ascii="仿宋_GB2312" w:hAnsi="宋体" w:eastAsia="仿宋_GB2312" w:cs="宋体"/>
                <w:color w:val="000000" w:themeColor="text1"/>
                <w:szCs w:val="21"/>
                <w:lang w:val="en-US" w:eastAsia="zh-CN"/>
                <w14:textFill>
                  <w14:solidFill>
                    <w14:schemeClr w14:val="tx1"/>
                  </w14:solidFill>
                </w14:textFill>
              </w:rPr>
              <w:t>或</w:t>
            </w:r>
            <w:r>
              <w:rPr>
                <w:rFonts w:hint="eastAsia" w:ascii="仿宋_GB2312" w:hAnsi="宋体" w:eastAsia="仿宋_GB2312" w:cs="宋体"/>
                <w:color w:val="000000" w:themeColor="text1"/>
                <w:szCs w:val="21"/>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szCs w:val="21"/>
                <w:lang w:eastAsia="zh-CN"/>
                <w14:textFill>
                  <w14:solidFill>
                    <w14:schemeClr w14:val="tx1"/>
                  </w14:solidFill>
                </w14:textFill>
              </w:rPr>
              <w:t>，</w:t>
            </w:r>
            <w:r>
              <w:rPr>
                <w:rFonts w:hint="eastAsia" w:ascii="仿宋_GB2312" w:hAnsi="宋体" w:eastAsia="仿宋_GB2312" w:cs="宋体"/>
                <w:color w:val="000000" w:themeColor="text1"/>
                <w:szCs w:val="21"/>
                <w:lang w:val="en-US" w:eastAsia="zh-CN"/>
                <w14:textFill>
                  <w14:solidFill>
                    <w14:schemeClr w14:val="tx1"/>
                  </w14:solidFill>
                </w14:textFill>
              </w:rPr>
              <w:t>或</w:t>
            </w:r>
            <w:r>
              <w:rPr>
                <w:rFonts w:hint="eastAsia" w:ascii="仿宋_GB2312" w:hAnsi="宋体" w:eastAsia="仿宋_GB2312" w:cs="宋体"/>
                <w:color w:val="000000" w:themeColor="text1"/>
                <w:szCs w:val="21"/>
                <w14:textFill>
                  <w14:solidFill>
                    <w14:schemeClr w14:val="tx1"/>
                  </w14:solidFill>
                </w14:textFill>
              </w:rPr>
              <w:t>造成严重危害后果的。</w:t>
            </w:r>
          </w:p>
        </w:tc>
        <w:tc>
          <w:tcPr>
            <w:tcW w:w="3375" w:type="dxa"/>
            <w:tcBorders>
              <w:tl2br w:val="nil"/>
              <w:tr2bl w:val="nil"/>
            </w:tcBorders>
            <w:tcMar>
              <w:top w:w="15" w:type="dxa"/>
              <w:left w:w="15" w:type="dxa"/>
              <w:bottom w:w="15" w:type="dxa"/>
              <w:right w:w="15" w:type="dxa"/>
            </w:tcMar>
            <w:vAlign w:val="center"/>
          </w:tcPr>
          <w:p w14:paraId="54ACFE2B">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w:t>
            </w:r>
            <w:r>
              <w:rPr>
                <w:rFonts w:hint="eastAsia" w:ascii="仿宋_GB2312" w:hAnsi="宋体" w:eastAsia="仿宋_GB2312" w:cs="宋体"/>
                <w:color w:val="000000" w:themeColor="text1"/>
                <w:szCs w:val="21"/>
                <w:lang w:eastAsia="zh-CN"/>
                <w14:textFill>
                  <w14:solidFill>
                    <w14:schemeClr w14:val="tx1"/>
                  </w14:solidFill>
                </w14:textFill>
              </w:rPr>
              <w:t>对单位</w:t>
            </w:r>
            <w:r>
              <w:rPr>
                <w:rFonts w:hint="eastAsia" w:ascii="仿宋_GB2312" w:hAnsi="宋体" w:eastAsia="仿宋_GB2312" w:cs="宋体"/>
                <w:color w:val="000000" w:themeColor="text1"/>
                <w:szCs w:val="21"/>
                <w14:textFill>
                  <w14:solidFill>
                    <w14:schemeClr w14:val="tx1"/>
                  </w14:solidFill>
                </w14:textFill>
              </w:rPr>
              <w:t>可处5</w:t>
            </w:r>
            <w:r>
              <w:rPr>
                <w:rFonts w:hint="eastAsia" w:ascii="仿宋_GB2312" w:hAnsi="宋体" w:eastAsia="仿宋_GB2312" w:cs="宋体"/>
                <w:color w:val="000000" w:themeColor="text1"/>
                <w:szCs w:val="21"/>
                <w:lang w:eastAsia="zh-CN"/>
                <w14:textFill>
                  <w14:solidFill>
                    <w14:schemeClr w14:val="tx1"/>
                  </w14:solidFill>
                </w14:textFill>
              </w:rPr>
              <w:t>万</w:t>
            </w:r>
            <w:r>
              <w:rPr>
                <w:rFonts w:hint="eastAsia" w:ascii="仿宋_GB2312" w:hAnsi="宋体" w:eastAsia="仿宋_GB2312" w:cs="宋体"/>
                <w:color w:val="000000" w:themeColor="text1"/>
                <w:szCs w:val="21"/>
                <w14:textFill>
                  <w14:solidFill>
                    <w14:schemeClr w14:val="tx1"/>
                  </w14:solidFill>
                </w14:textFill>
              </w:rPr>
              <w:t>元以上1</w:t>
            </w:r>
            <w:r>
              <w:rPr>
                <w:rFonts w:hint="eastAsia" w:ascii="仿宋_GB2312" w:hAnsi="宋体" w:eastAsia="仿宋_GB2312" w:cs="宋体"/>
                <w:color w:val="000000" w:themeColor="text1"/>
                <w:szCs w:val="21"/>
                <w:lang w:val="en-US" w:eastAsia="zh-CN"/>
                <w14:textFill>
                  <w14:solidFill>
                    <w14:schemeClr w14:val="tx1"/>
                  </w14:solidFill>
                </w14:textFill>
              </w:rPr>
              <w:t>0</w:t>
            </w:r>
            <w:r>
              <w:rPr>
                <w:rFonts w:hint="eastAsia" w:ascii="仿宋_GB2312" w:hAnsi="宋体" w:eastAsia="仿宋_GB2312" w:cs="宋体"/>
                <w:color w:val="000000" w:themeColor="text1"/>
                <w:szCs w:val="21"/>
                <w14:textFill>
                  <w14:solidFill>
                    <w14:schemeClr w14:val="tx1"/>
                  </w14:solidFill>
                </w14:textFill>
              </w:rPr>
              <w:t>万元以下罚款</w:t>
            </w:r>
            <w:r>
              <w:rPr>
                <w:rFonts w:hint="eastAsia" w:ascii="仿宋_GB2312" w:hAnsi="宋体" w:eastAsia="仿宋_GB2312" w:cs="宋体"/>
                <w:color w:val="000000" w:themeColor="text1"/>
                <w:szCs w:val="21"/>
                <w:lang w:eastAsia="zh-CN"/>
                <w14:textFill>
                  <w14:solidFill>
                    <w14:schemeClr w14:val="tx1"/>
                  </w14:solidFill>
                </w14:textFill>
              </w:rPr>
              <w:t>；对个人可处</w:t>
            </w:r>
            <w:r>
              <w:rPr>
                <w:rFonts w:hint="eastAsia" w:ascii="仿宋_GB2312" w:hAnsi="宋体" w:eastAsia="仿宋_GB2312" w:cs="宋体"/>
                <w:color w:val="000000" w:themeColor="text1"/>
                <w:szCs w:val="21"/>
                <w:lang w:val="en-US" w:eastAsia="zh-CN"/>
                <w14:textFill>
                  <w14:solidFill>
                    <w14:schemeClr w14:val="tx1"/>
                  </w14:solidFill>
                </w14:textFill>
              </w:rPr>
              <w:t>500元以上1000元以下罚款。</w:t>
            </w:r>
          </w:p>
        </w:tc>
      </w:tr>
    </w:tbl>
    <w:p w14:paraId="58452174">
      <w:pPr>
        <w:bidi w:val="0"/>
        <w:jc w:val="left"/>
        <w:rPr>
          <w:rFonts w:hint="default" w:ascii="仿宋_GB2312" w:hAnsi="宋体" w:eastAsia="仿宋_GB2312" w:cs="宋体"/>
          <w:color w:val="000000" w:themeColor="text1"/>
          <w:kern w:val="2"/>
          <w:sz w:val="21"/>
          <w:szCs w:val="21"/>
          <w:lang w:val="en-US" w:eastAsia="zh-CN" w:bidi="ar-SA"/>
          <w14:textFill>
            <w14:solidFill>
              <w14:schemeClr w14:val="tx1"/>
            </w14:solidFill>
          </w14:textFill>
        </w:rPr>
      </w:pPr>
    </w:p>
    <w:sectPr>
      <w:footerReference r:id="rId5" w:type="default"/>
      <w:pgSz w:w="16838" w:h="11906" w:orient="landscape"/>
      <w:pgMar w:top="1066" w:right="1100" w:bottom="612"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书宋简体">
    <w:altName w:val="宋体"/>
    <w:panose1 w:val="00000000000000000000"/>
    <w:charset w:val="86"/>
    <w:family w:val="script"/>
    <w:pitch w:val="default"/>
    <w:sig w:usb0="00000000" w:usb1="00000000" w:usb2="0000001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4256636"/>
    </w:sdtPr>
    <w:sdtContent>
      <w:p w14:paraId="1B72981A">
        <w:pPr>
          <w:pStyle w:val="7"/>
          <w:jc w:val="center"/>
        </w:pPr>
        <w:r>
          <w:fldChar w:fldCharType="begin"/>
        </w:r>
        <w:r>
          <w:instrText xml:space="preserve">PAGE   \* MERGEFORMAT</w:instrText>
        </w:r>
        <w:r>
          <w:fldChar w:fldCharType="separate"/>
        </w:r>
        <w:r>
          <w:rPr>
            <w:lang w:val="zh-CN"/>
          </w:rPr>
          <w:t>185</w:t>
        </w:r>
        <w:r>
          <w:rPr>
            <w:lang w:val="zh-CN"/>
          </w:rPr>
          <w:fldChar w:fldCharType="end"/>
        </w:r>
      </w:p>
    </w:sdtContent>
  </w:sdt>
  <w:p w14:paraId="228DD8C9">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FD1007"/>
    <w:multiLevelType w:val="singleLevel"/>
    <w:tmpl w:val="DDFD1007"/>
    <w:lvl w:ilvl="0" w:tentative="0">
      <w:start w:val="3"/>
      <w:numFmt w:val="chineseCounting"/>
      <w:suff w:val="nothing"/>
      <w:lvlText w:val="（%1）"/>
      <w:lvlJc w:val="left"/>
      <w:rPr>
        <w:rFonts w:hint="eastAsia"/>
      </w:rPr>
    </w:lvl>
  </w:abstractNum>
  <w:abstractNum w:abstractNumId="1">
    <w:nsid w:val="27C32DB1"/>
    <w:multiLevelType w:val="multilevel"/>
    <w:tmpl w:val="27C32DB1"/>
    <w:lvl w:ilvl="0" w:tentative="0">
      <w:start w:val="354"/>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0AC59B1"/>
    <w:multiLevelType w:val="multilevel"/>
    <w:tmpl w:val="40AC59B1"/>
    <w:lvl w:ilvl="0" w:tentative="0">
      <w:start w:val="208"/>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GJkZDdiMzQyYzk1MTc5NjU0ZDEzZmUxYTc1MjgifQ=="/>
  </w:docVars>
  <w:rsids>
    <w:rsidRoot w:val="009B1CE7"/>
    <w:rsid w:val="00001A9B"/>
    <w:rsid w:val="00004C1B"/>
    <w:rsid w:val="000052D2"/>
    <w:rsid w:val="00005A68"/>
    <w:rsid w:val="00005CAB"/>
    <w:rsid w:val="00005CAE"/>
    <w:rsid w:val="00006917"/>
    <w:rsid w:val="0000756C"/>
    <w:rsid w:val="00007BBC"/>
    <w:rsid w:val="0001131A"/>
    <w:rsid w:val="000114C6"/>
    <w:rsid w:val="00012735"/>
    <w:rsid w:val="000168B7"/>
    <w:rsid w:val="000248E7"/>
    <w:rsid w:val="00026406"/>
    <w:rsid w:val="0002683F"/>
    <w:rsid w:val="000308A5"/>
    <w:rsid w:val="00032775"/>
    <w:rsid w:val="000363F8"/>
    <w:rsid w:val="00037229"/>
    <w:rsid w:val="00041DF9"/>
    <w:rsid w:val="0004286B"/>
    <w:rsid w:val="000459A6"/>
    <w:rsid w:val="00047249"/>
    <w:rsid w:val="000506FA"/>
    <w:rsid w:val="0005172A"/>
    <w:rsid w:val="00053AA2"/>
    <w:rsid w:val="0005477B"/>
    <w:rsid w:val="000549B4"/>
    <w:rsid w:val="00055A10"/>
    <w:rsid w:val="00062180"/>
    <w:rsid w:val="0006443D"/>
    <w:rsid w:val="000669AC"/>
    <w:rsid w:val="00070156"/>
    <w:rsid w:val="00071BEA"/>
    <w:rsid w:val="0007450F"/>
    <w:rsid w:val="00075EE1"/>
    <w:rsid w:val="00082347"/>
    <w:rsid w:val="00082AD7"/>
    <w:rsid w:val="00082FC4"/>
    <w:rsid w:val="00083ADB"/>
    <w:rsid w:val="00086B2B"/>
    <w:rsid w:val="000924CD"/>
    <w:rsid w:val="00092B64"/>
    <w:rsid w:val="00092D9D"/>
    <w:rsid w:val="00094637"/>
    <w:rsid w:val="00094B6F"/>
    <w:rsid w:val="000A1E90"/>
    <w:rsid w:val="000A1F36"/>
    <w:rsid w:val="000A33A9"/>
    <w:rsid w:val="000A35AE"/>
    <w:rsid w:val="000A64E3"/>
    <w:rsid w:val="000A7062"/>
    <w:rsid w:val="000B1C1B"/>
    <w:rsid w:val="000B308A"/>
    <w:rsid w:val="000B790C"/>
    <w:rsid w:val="000C11DA"/>
    <w:rsid w:val="000C192D"/>
    <w:rsid w:val="000C377F"/>
    <w:rsid w:val="000C470B"/>
    <w:rsid w:val="000C53E1"/>
    <w:rsid w:val="000C6863"/>
    <w:rsid w:val="000D07B0"/>
    <w:rsid w:val="000D0A2B"/>
    <w:rsid w:val="000D19D8"/>
    <w:rsid w:val="000D5C73"/>
    <w:rsid w:val="000D7695"/>
    <w:rsid w:val="000D77DC"/>
    <w:rsid w:val="000E1522"/>
    <w:rsid w:val="000E1E99"/>
    <w:rsid w:val="000E3360"/>
    <w:rsid w:val="000E372D"/>
    <w:rsid w:val="000E4035"/>
    <w:rsid w:val="000E49DC"/>
    <w:rsid w:val="000E5986"/>
    <w:rsid w:val="000E7AD4"/>
    <w:rsid w:val="000F0768"/>
    <w:rsid w:val="000F1166"/>
    <w:rsid w:val="000F5A9C"/>
    <w:rsid w:val="000F67F5"/>
    <w:rsid w:val="00102EAC"/>
    <w:rsid w:val="001030F7"/>
    <w:rsid w:val="00106AC2"/>
    <w:rsid w:val="0010729C"/>
    <w:rsid w:val="00110ABA"/>
    <w:rsid w:val="00110C5F"/>
    <w:rsid w:val="0011222A"/>
    <w:rsid w:val="00112A17"/>
    <w:rsid w:val="00114A86"/>
    <w:rsid w:val="001162A7"/>
    <w:rsid w:val="00116C8A"/>
    <w:rsid w:val="0011729E"/>
    <w:rsid w:val="001225B0"/>
    <w:rsid w:val="00122628"/>
    <w:rsid w:val="00124A00"/>
    <w:rsid w:val="001267A1"/>
    <w:rsid w:val="001269F6"/>
    <w:rsid w:val="00127004"/>
    <w:rsid w:val="0013321B"/>
    <w:rsid w:val="00133658"/>
    <w:rsid w:val="001344F4"/>
    <w:rsid w:val="00140F14"/>
    <w:rsid w:val="00147528"/>
    <w:rsid w:val="0015247F"/>
    <w:rsid w:val="00152FC4"/>
    <w:rsid w:val="00153666"/>
    <w:rsid w:val="00155D27"/>
    <w:rsid w:val="00156277"/>
    <w:rsid w:val="001623F1"/>
    <w:rsid w:val="001723A5"/>
    <w:rsid w:val="00172BF8"/>
    <w:rsid w:val="00172E70"/>
    <w:rsid w:val="00172F59"/>
    <w:rsid w:val="00173794"/>
    <w:rsid w:val="001755D2"/>
    <w:rsid w:val="00175CFD"/>
    <w:rsid w:val="00180898"/>
    <w:rsid w:val="00184C7F"/>
    <w:rsid w:val="00186C4B"/>
    <w:rsid w:val="0019218C"/>
    <w:rsid w:val="00193725"/>
    <w:rsid w:val="00194805"/>
    <w:rsid w:val="001952C3"/>
    <w:rsid w:val="0019680F"/>
    <w:rsid w:val="00197863"/>
    <w:rsid w:val="00197F19"/>
    <w:rsid w:val="001A0EEE"/>
    <w:rsid w:val="001A1562"/>
    <w:rsid w:val="001A1ADF"/>
    <w:rsid w:val="001A2FFA"/>
    <w:rsid w:val="001A5529"/>
    <w:rsid w:val="001A5D4D"/>
    <w:rsid w:val="001A6262"/>
    <w:rsid w:val="001B08D2"/>
    <w:rsid w:val="001B1F96"/>
    <w:rsid w:val="001B2CFB"/>
    <w:rsid w:val="001B3615"/>
    <w:rsid w:val="001B66CC"/>
    <w:rsid w:val="001B7315"/>
    <w:rsid w:val="001C0780"/>
    <w:rsid w:val="001C0FB4"/>
    <w:rsid w:val="001C3723"/>
    <w:rsid w:val="001C58EB"/>
    <w:rsid w:val="001D0465"/>
    <w:rsid w:val="001D06F7"/>
    <w:rsid w:val="001D3FE1"/>
    <w:rsid w:val="001D7594"/>
    <w:rsid w:val="001D7E91"/>
    <w:rsid w:val="001E1468"/>
    <w:rsid w:val="001E296B"/>
    <w:rsid w:val="001E316E"/>
    <w:rsid w:val="001E5652"/>
    <w:rsid w:val="001F0A50"/>
    <w:rsid w:val="001F1737"/>
    <w:rsid w:val="001F457E"/>
    <w:rsid w:val="001F74E6"/>
    <w:rsid w:val="002017E1"/>
    <w:rsid w:val="00203BCB"/>
    <w:rsid w:val="00204A1E"/>
    <w:rsid w:val="00204C22"/>
    <w:rsid w:val="002057F7"/>
    <w:rsid w:val="00207DBE"/>
    <w:rsid w:val="0021107D"/>
    <w:rsid w:val="00211176"/>
    <w:rsid w:val="00212106"/>
    <w:rsid w:val="00215584"/>
    <w:rsid w:val="00215616"/>
    <w:rsid w:val="00220F3E"/>
    <w:rsid w:val="00223AC4"/>
    <w:rsid w:val="002258BB"/>
    <w:rsid w:val="00225ECF"/>
    <w:rsid w:val="00230A18"/>
    <w:rsid w:val="00230C13"/>
    <w:rsid w:val="0023282D"/>
    <w:rsid w:val="00234785"/>
    <w:rsid w:val="00234924"/>
    <w:rsid w:val="00235298"/>
    <w:rsid w:val="00242577"/>
    <w:rsid w:val="00243320"/>
    <w:rsid w:val="00245096"/>
    <w:rsid w:val="00246D0F"/>
    <w:rsid w:val="00246DDC"/>
    <w:rsid w:val="00247A17"/>
    <w:rsid w:val="0025294B"/>
    <w:rsid w:val="002553FB"/>
    <w:rsid w:val="00257002"/>
    <w:rsid w:val="00262FC7"/>
    <w:rsid w:val="0026506B"/>
    <w:rsid w:val="0026520C"/>
    <w:rsid w:val="00267EE6"/>
    <w:rsid w:val="00272145"/>
    <w:rsid w:val="00276468"/>
    <w:rsid w:val="002803A2"/>
    <w:rsid w:val="00283A3D"/>
    <w:rsid w:val="00283B0C"/>
    <w:rsid w:val="00285A8B"/>
    <w:rsid w:val="0028605F"/>
    <w:rsid w:val="00292863"/>
    <w:rsid w:val="00293C56"/>
    <w:rsid w:val="00293CD4"/>
    <w:rsid w:val="00293F07"/>
    <w:rsid w:val="002940E7"/>
    <w:rsid w:val="00294C6F"/>
    <w:rsid w:val="00296FB7"/>
    <w:rsid w:val="002A61B4"/>
    <w:rsid w:val="002B05F8"/>
    <w:rsid w:val="002B2362"/>
    <w:rsid w:val="002B304B"/>
    <w:rsid w:val="002B635E"/>
    <w:rsid w:val="002B63D9"/>
    <w:rsid w:val="002C012B"/>
    <w:rsid w:val="002C1D9C"/>
    <w:rsid w:val="002C6AF0"/>
    <w:rsid w:val="002C6BF9"/>
    <w:rsid w:val="002C7DA1"/>
    <w:rsid w:val="002D0B81"/>
    <w:rsid w:val="002D17FB"/>
    <w:rsid w:val="002D18D0"/>
    <w:rsid w:val="002D30D5"/>
    <w:rsid w:val="002D3218"/>
    <w:rsid w:val="002D3C56"/>
    <w:rsid w:val="002D42BE"/>
    <w:rsid w:val="002D4748"/>
    <w:rsid w:val="002D6B88"/>
    <w:rsid w:val="002E0D4A"/>
    <w:rsid w:val="002E1D5B"/>
    <w:rsid w:val="002E2973"/>
    <w:rsid w:val="002E54B6"/>
    <w:rsid w:val="002F1678"/>
    <w:rsid w:val="00301810"/>
    <w:rsid w:val="003050A2"/>
    <w:rsid w:val="003105C5"/>
    <w:rsid w:val="0031208E"/>
    <w:rsid w:val="003143F5"/>
    <w:rsid w:val="00314654"/>
    <w:rsid w:val="00314E60"/>
    <w:rsid w:val="003168DB"/>
    <w:rsid w:val="0031715C"/>
    <w:rsid w:val="00320200"/>
    <w:rsid w:val="00321D7F"/>
    <w:rsid w:val="003230F0"/>
    <w:rsid w:val="0032402D"/>
    <w:rsid w:val="00325C54"/>
    <w:rsid w:val="00325CEE"/>
    <w:rsid w:val="00327139"/>
    <w:rsid w:val="0032744A"/>
    <w:rsid w:val="0033103C"/>
    <w:rsid w:val="003344B7"/>
    <w:rsid w:val="00334C43"/>
    <w:rsid w:val="0033616B"/>
    <w:rsid w:val="00337712"/>
    <w:rsid w:val="00340B78"/>
    <w:rsid w:val="003475B2"/>
    <w:rsid w:val="003478AC"/>
    <w:rsid w:val="003542F7"/>
    <w:rsid w:val="00354947"/>
    <w:rsid w:val="00355E1C"/>
    <w:rsid w:val="00357112"/>
    <w:rsid w:val="00364F1C"/>
    <w:rsid w:val="00370DA6"/>
    <w:rsid w:val="00371B59"/>
    <w:rsid w:val="00375377"/>
    <w:rsid w:val="00375FC9"/>
    <w:rsid w:val="00376304"/>
    <w:rsid w:val="00377E63"/>
    <w:rsid w:val="00380F1F"/>
    <w:rsid w:val="00381DA6"/>
    <w:rsid w:val="0038244D"/>
    <w:rsid w:val="003851E6"/>
    <w:rsid w:val="00386359"/>
    <w:rsid w:val="00386421"/>
    <w:rsid w:val="00391AA2"/>
    <w:rsid w:val="0039256B"/>
    <w:rsid w:val="00393AB1"/>
    <w:rsid w:val="003948FA"/>
    <w:rsid w:val="00395926"/>
    <w:rsid w:val="003A0D16"/>
    <w:rsid w:val="003A2C08"/>
    <w:rsid w:val="003A3808"/>
    <w:rsid w:val="003A6927"/>
    <w:rsid w:val="003A6B0F"/>
    <w:rsid w:val="003B1238"/>
    <w:rsid w:val="003B28EE"/>
    <w:rsid w:val="003B3A8F"/>
    <w:rsid w:val="003B580E"/>
    <w:rsid w:val="003B609B"/>
    <w:rsid w:val="003C2529"/>
    <w:rsid w:val="003C5C0A"/>
    <w:rsid w:val="003C66CF"/>
    <w:rsid w:val="003C6B22"/>
    <w:rsid w:val="003D0A99"/>
    <w:rsid w:val="003D1A8E"/>
    <w:rsid w:val="003D2D0B"/>
    <w:rsid w:val="003D32B6"/>
    <w:rsid w:val="003D44B9"/>
    <w:rsid w:val="003D5743"/>
    <w:rsid w:val="003D5BC8"/>
    <w:rsid w:val="003D69CE"/>
    <w:rsid w:val="003D6DA1"/>
    <w:rsid w:val="003D70D6"/>
    <w:rsid w:val="003E1730"/>
    <w:rsid w:val="003E1B51"/>
    <w:rsid w:val="003E5025"/>
    <w:rsid w:val="003E51E1"/>
    <w:rsid w:val="003E5FDA"/>
    <w:rsid w:val="003E6B4C"/>
    <w:rsid w:val="003E6C62"/>
    <w:rsid w:val="003F2098"/>
    <w:rsid w:val="003F706E"/>
    <w:rsid w:val="00401CD1"/>
    <w:rsid w:val="00402189"/>
    <w:rsid w:val="00403584"/>
    <w:rsid w:val="00403C99"/>
    <w:rsid w:val="00410671"/>
    <w:rsid w:val="00413762"/>
    <w:rsid w:val="004169F2"/>
    <w:rsid w:val="00417235"/>
    <w:rsid w:val="00425BDB"/>
    <w:rsid w:val="00425E91"/>
    <w:rsid w:val="00434301"/>
    <w:rsid w:val="0043628B"/>
    <w:rsid w:val="0044026B"/>
    <w:rsid w:val="004414B6"/>
    <w:rsid w:val="00444389"/>
    <w:rsid w:val="00444875"/>
    <w:rsid w:val="00444CAE"/>
    <w:rsid w:val="0044576B"/>
    <w:rsid w:val="00445844"/>
    <w:rsid w:val="00446AFA"/>
    <w:rsid w:val="00447B6D"/>
    <w:rsid w:val="004529EE"/>
    <w:rsid w:val="00452C4C"/>
    <w:rsid w:val="0045635D"/>
    <w:rsid w:val="00462D8E"/>
    <w:rsid w:val="004638CA"/>
    <w:rsid w:val="00464D71"/>
    <w:rsid w:val="00470E98"/>
    <w:rsid w:val="00471678"/>
    <w:rsid w:val="004748B0"/>
    <w:rsid w:val="004810ED"/>
    <w:rsid w:val="004824EA"/>
    <w:rsid w:val="00485638"/>
    <w:rsid w:val="00486C25"/>
    <w:rsid w:val="00486FB1"/>
    <w:rsid w:val="0048775D"/>
    <w:rsid w:val="004918EA"/>
    <w:rsid w:val="00496DEC"/>
    <w:rsid w:val="00496E4B"/>
    <w:rsid w:val="004A2DFF"/>
    <w:rsid w:val="004A38AD"/>
    <w:rsid w:val="004A4CA9"/>
    <w:rsid w:val="004A6077"/>
    <w:rsid w:val="004A62D5"/>
    <w:rsid w:val="004A7D6B"/>
    <w:rsid w:val="004B03AE"/>
    <w:rsid w:val="004B143C"/>
    <w:rsid w:val="004B20FB"/>
    <w:rsid w:val="004B2B99"/>
    <w:rsid w:val="004B33FA"/>
    <w:rsid w:val="004C08D8"/>
    <w:rsid w:val="004C32B7"/>
    <w:rsid w:val="004C398C"/>
    <w:rsid w:val="004C4B0A"/>
    <w:rsid w:val="004C5E6D"/>
    <w:rsid w:val="004D1605"/>
    <w:rsid w:val="004D2A34"/>
    <w:rsid w:val="004D3589"/>
    <w:rsid w:val="004D4F74"/>
    <w:rsid w:val="004D6F67"/>
    <w:rsid w:val="004E1102"/>
    <w:rsid w:val="004E115A"/>
    <w:rsid w:val="004E3045"/>
    <w:rsid w:val="004E45BB"/>
    <w:rsid w:val="004F2BC9"/>
    <w:rsid w:val="004F2D63"/>
    <w:rsid w:val="004F35A0"/>
    <w:rsid w:val="004F6DC9"/>
    <w:rsid w:val="004F76FB"/>
    <w:rsid w:val="005025AA"/>
    <w:rsid w:val="00503E0B"/>
    <w:rsid w:val="0050569D"/>
    <w:rsid w:val="00511083"/>
    <w:rsid w:val="0051249F"/>
    <w:rsid w:val="00517B83"/>
    <w:rsid w:val="00523F36"/>
    <w:rsid w:val="00526587"/>
    <w:rsid w:val="00526F99"/>
    <w:rsid w:val="005313C0"/>
    <w:rsid w:val="00532632"/>
    <w:rsid w:val="00533E24"/>
    <w:rsid w:val="0053475A"/>
    <w:rsid w:val="00535930"/>
    <w:rsid w:val="00537106"/>
    <w:rsid w:val="00537CEE"/>
    <w:rsid w:val="00542D09"/>
    <w:rsid w:val="0054359F"/>
    <w:rsid w:val="005452D1"/>
    <w:rsid w:val="00546BE1"/>
    <w:rsid w:val="005476B2"/>
    <w:rsid w:val="00547EE1"/>
    <w:rsid w:val="00552C39"/>
    <w:rsid w:val="005538BC"/>
    <w:rsid w:val="0055459B"/>
    <w:rsid w:val="005611C4"/>
    <w:rsid w:val="005640D3"/>
    <w:rsid w:val="00564705"/>
    <w:rsid w:val="005656B7"/>
    <w:rsid w:val="00565C49"/>
    <w:rsid w:val="00571D77"/>
    <w:rsid w:val="005722C7"/>
    <w:rsid w:val="00574022"/>
    <w:rsid w:val="005745EF"/>
    <w:rsid w:val="00574CB0"/>
    <w:rsid w:val="00574FBA"/>
    <w:rsid w:val="00577B7F"/>
    <w:rsid w:val="00580745"/>
    <w:rsid w:val="00582408"/>
    <w:rsid w:val="00582F0B"/>
    <w:rsid w:val="00583ACA"/>
    <w:rsid w:val="00590A41"/>
    <w:rsid w:val="00591CF0"/>
    <w:rsid w:val="005928BB"/>
    <w:rsid w:val="00592E3B"/>
    <w:rsid w:val="0059471D"/>
    <w:rsid w:val="00597BBF"/>
    <w:rsid w:val="005A5DC4"/>
    <w:rsid w:val="005A6A99"/>
    <w:rsid w:val="005A6B12"/>
    <w:rsid w:val="005A7681"/>
    <w:rsid w:val="005B03D7"/>
    <w:rsid w:val="005B1CE7"/>
    <w:rsid w:val="005B279D"/>
    <w:rsid w:val="005C0692"/>
    <w:rsid w:val="005C0F5F"/>
    <w:rsid w:val="005C69FB"/>
    <w:rsid w:val="005D225E"/>
    <w:rsid w:val="005D6005"/>
    <w:rsid w:val="005D6D94"/>
    <w:rsid w:val="005D79E0"/>
    <w:rsid w:val="005E3FF5"/>
    <w:rsid w:val="005E7555"/>
    <w:rsid w:val="005E77D5"/>
    <w:rsid w:val="005F68D5"/>
    <w:rsid w:val="00603621"/>
    <w:rsid w:val="0060452C"/>
    <w:rsid w:val="00604609"/>
    <w:rsid w:val="00604E79"/>
    <w:rsid w:val="006052B3"/>
    <w:rsid w:val="00607452"/>
    <w:rsid w:val="00607516"/>
    <w:rsid w:val="006079D0"/>
    <w:rsid w:val="00607C39"/>
    <w:rsid w:val="006103DA"/>
    <w:rsid w:val="00613D4F"/>
    <w:rsid w:val="006170EE"/>
    <w:rsid w:val="00617CA4"/>
    <w:rsid w:val="00621476"/>
    <w:rsid w:val="006223A7"/>
    <w:rsid w:val="0062475D"/>
    <w:rsid w:val="00624A22"/>
    <w:rsid w:val="0062528F"/>
    <w:rsid w:val="00627B3B"/>
    <w:rsid w:val="00631DFF"/>
    <w:rsid w:val="0063271C"/>
    <w:rsid w:val="00633373"/>
    <w:rsid w:val="00633DF6"/>
    <w:rsid w:val="00633F01"/>
    <w:rsid w:val="006356C9"/>
    <w:rsid w:val="00636D4C"/>
    <w:rsid w:val="00636D65"/>
    <w:rsid w:val="006406B1"/>
    <w:rsid w:val="00640D92"/>
    <w:rsid w:val="00642694"/>
    <w:rsid w:val="006442C8"/>
    <w:rsid w:val="00644A45"/>
    <w:rsid w:val="0065049E"/>
    <w:rsid w:val="00651EEA"/>
    <w:rsid w:val="00652161"/>
    <w:rsid w:val="00652F7A"/>
    <w:rsid w:val="00672C35"/>
    <w:rsid w:val="006731E6"/>
    <w:rsid w:val="00673AA8"/>
    <w:rsid w:val="00673C98"/>
    <w:rsid w:val="006741CA"/>
    <w:rsid w:val="00674FF8"/>
    <w:rsid w:val="006767B2"/>
    <w:rsid w:val="006808FD"/>
    <w:rsid w:val="00685DED"/>
    <w:rsid w:val="006862F6"/>
    <w:rsid w:val="00687390"/>
    <w:rsid w:val="00690E74"/>
    <w:rsid w:val="00692AA6"/>
    <w:rsid w:val="00693D4C"/>
    <w:rsid w:val="00695C58"/>
    <w:rsid w:val="00697D89"/>
    <w:rsid w:val="006A033D"/>
    <w:rsid w:val="006A0E72"/>
    <w:rsid w:val="006A27AB"/>
    <w:rsid w:val="006A4566"/>
    <w:rsid w:val="006A4A45"/>
    <w:rsid w:val="006A4F0B"/>
    <w:rsid w:val="006A57C8"/>
    <w:rsid w:val="006A6799"/>
    <w:rsid w:val="006B242D"/>
    <w:rsid w:val="006B3288"/>
    <w:rsid w:val="006B45DD"/>
    <w:rsid w:val="006B5C4B"/>
    <w:rsid w:val="006B793F"/>
    <w:rsid w:val="006B7EF7"/>
    <w:rsid w:val="006C1E5D"/>
    <w:rsid w:val="006C1E8F"/>
    <w:rsid w:val="006C6BFB"/>
    <w:rsid w:val="006C6E36"/>
    <w:rsid w:val="006D03B5"/>
    <w:rsid w:val="006D18FA"/>
    <w:rsid w:val="006D5801"/>
    <w:rsid w:val="006D6167"/>
    <w:rsid w:val="006D652C"/>
    <w:rsid w:val="006D6D00"/>
    <w:rsid w:val="006D6E6B"/>
    <w:rsid w:val="006D7D83"/>
    <w:rsid w:val="006E148F"/>
    <w:rsid w:val="006E316D"/>
    <w:rsid w:val="006E4DE5"/>
    <w:rsid w:val="006E7836"/>
    <w:rsid w:val="006F0D35"/>
    <w:rsid w:val="006F130E"/>
    <w:rsid w:val="006F3C39"/>
    <w:rsid w:val="006F770B"/>
    <w:rsid w:val="006F771E"/>
    <w:rsid w:val="006F7EC0"/>
    <w:rsid w:val="00702AA7"/>
    <w:rsid w:val="00703997"/>
    <w:rsid w:val="007069BF"/>
    <w:rsid w:val="00710800"/>
    <w:rsid w:val="00711653"/>
    <w:rsid w:val="00712CC7"/>
    <w:rsid w:val="00714F18"/>
    <w:rsid w:val="007210D6"/>
    <w:rsid w:val="00721630"/>
    <w:rsid w:val="00722E21"/>
    <w:rsid w:val="00727A3F"/>
    <w:rsid w:val="007302F8"/>
    <w:rsid w:val="007311FB"/>
    <w:rsid w:val="00732065"/>
    <w:rsid w:val="00732B26"/>
    <w:rsid w:val="00732C02"/>
    <w:rsid w:val="00733DCE"/>
    <w:rsid w:val="0073551E"/>
    <w:rsid w:val="00736E1F"/>
    <w:rsid w:val="007411BC"/>
    <w:rsid w:val="00743010"/>
    <w:rsid w:val="00743C60"/>
    <w:rsid w:val="0074756B"/>
    <w:rsid w:val="007522B4"/>
    <w:rsid w:val="0075530E"/>
    <w:rsid w:val="007558F9"/>
    <w:rsid w:val="0076048C"/>
    <w:rsid w:val="0076428C"/>
    <w:rsid w:val="007703CF"/>
    <w:rsid w:val="00770DC4"/>
    <w:rsid w:val="007734D9"/>
    <w:rsid w:val="00773686"/>
    <w:rsid w:val="00773861"/>
    <w:rsid w:val="00775974"/>
    <w:rsid w:val="007840C2"/>
    <w:rsid w:val="00785C16"/>
    <w:rsid w:val="0078676F"/>
    <w:rsid w:val="0078685F"/>
    <w:rsid w:val="0078708F"/>
    <w:rsid w:val="00787871"/>
    <w:rsid w:val="00787F05"/>
    <w:rsid w:val="007925B8"/>
    <w:rsid w:val="00796011"/>
    <w:rsid w:val="007A0D13"/>
    <w:rsid w:val="007A0DB3"/>
    <w:rsid w:val="007A411C"/>
    <w:rsid w:val="007A4BED"/>
    <w:rsid w:val="007A5E25"/>
    <w:rsid w:val="007A7F10"/>
    <w:rsid w:val="007B06EC"/>
    <w:rsid w:val="007B1056"/>
    <w:rsid w:val="007B448F"/>
    <w:rsid w:val="007B58A5"/>
    <w:rsid w:val="007B7A23"/>
    <w:rsid w:val="007C0AEA"/>
    <w:rsid w:val="007C1484"/>
    <w:rsid w:val="007C21A6"/>
    <w:rsid w:val="007D000A"/>
    <w:rsid w:val="007D0B95"/>
    <w:rsid w:val="007D3790"/>
    <w:rsid w:val="007D7A52"/>
    <w:rsid w:val="007E4F70"/>
    <w:rsid w:val="007E554D"/>
    <w:rsid w:val="007F0680"/>
    <w:rsid w:val="007F4276"/>
    <w:rsid w:val="007F4C94"/>
    <w:rsid w:val="007F57C5"/>
    <w:rsid w:val="007F60B3"/>
    <w:rsid w:val="007F75B0"/>
    <w:rsid w:val="007F7D01"/>
    <w:rsid w:val="00802A72"/>
    <w:rsid w:val="0080429C"/>
    <w:rsid w:val="00804759"/>
    <w:rsid w:val="008055CF"/>
    <w:rsid w:val="00805A36"/>
    <w:rsid w:val="00806126"/>
    <w:rsid w:val="00806249"/>
    <w:rsid w:val="008062FC"/>
    <w:rsid w:val="00806462"/>
    <w:rsid w:val="0081185E"/>
    <w:rsid w:val="008119FD"/>
    <w:rsid w:val="0081272F"/>
    <w:rsid w:val="00813353"/>
    <w:rsid w:val="008133D0"/>
    <w:rsid w:val="0081473F"/>
    <w:rsid w:val="00814EC4"/>
    <w:rsid w:val="00816316"/>
    <w:rsid w:val="00821927"/>
    <w:rsid w:val="0082208D"/>
    <w:rsid w:val="0082226F"/>
    <w:rsid w:val="008254D4"/>
    <w:rsid w:val="00825AE4"/>
    <w:rsid w:val="00832F58"/>
    <w:rsid w:val="00833006"/>
    <w:rsid w:val="00837A71"/>
    <w:rsid w:val="0084054C"/>
    <w:rsid w:val="008411C7"/>
    <w:rsid w:val="008443D1"/>
    <w:rsid w:val="0085026F"/>
    <w:rsid w:val="0085371A"/>
    <w:rsid w:val="00855860"/>
    <w:rsid w:val="00855C80"/>
    <w:rsid w:val="00856B7C"/>
    <w:rsid w:val="0085788A"/>
    <w:rsid w:val="0086388A"/>
    <w:rsid w:val="00864DB7"/>
    <w:rsid w:val="00867FB5"/>
    <w:rsid w:val="00873379"/>
    <w:rsid w:val="008739E4"/>
    <w:rsid w:val="00873FAB"/>
    <w:rsid w:val="00874F37"/>
    <w:rsid w:val="00875FD7"/>
    <w:rsid w:val="0088019E"/>
    <w:rsid w:val="008805AF"/>
    <w:rsid w:val="00884961"/>
    <w:rsid w:val="00884A15"/>
    <w:rsid w:val="00885C68"/>
    <w:rsid w:val="0088756B"/>
    <w:rsid w:val="00891969"/>
    <w:rsid w:val="00893116"/>
    <w:rsid w:val="0089779D"/>
    <w:rsid w:val="00897F1C"/>
    <w:rsid w:val="008A4ABD"/>
    <w:rsid w:val="008A74AD"/>
    <w:rsid w:val="008A77BB"/>
    <w:rsid w:val="008B185D"/>
    <w:rsid w:val="008B23B1"/>
    <w:rsid w:val="008B75FD"/>
    <w:rsid w:val="008C2CC4"/>
    <w:rsid w:val="008C4CA1"/>
    <w:rsid w:val="008C54D7"/>
    <w:rsid w:val="008C5EE3"/>
    <w:rsid w:val="008C6D03"/>
    <w:rsid w:val="008D04F1"/>
    <w:rsid w:val="008D1189"/>
    <w:rsid w:val="008D1352"/>
    <w:rsid w:val="008D2AD4"/>
    <w:rsid w:val="008D309A"/>
    <w:rsid w:val="008D352B"/>
    <w:rsid w:val="008D4983"/>
    <w:rsid w:val="008D4F81"/>
    <w:rsid w:val="008D5E89"/>
    <w:rsid w:val="008D6AA0"/>
    <w:rsid w:val="008D7E99"/>
    <w:rsid w:val="008E0E01"/>
    <w:rsid w:val="008E37FE"/>
    <w:rsid w:val="008E3A4D"/>
    <w:rsid w:val="008E42B7"/>
    <w:rsid w:val="008E463B"/>
    <w:rsid w:val="008E6DFD"/>
    <w:rsid w:val="008F03F0"/>
    <w:rsid w:val="008F20C2"/>
    <w:rsid w:val="008F35B0"/>
    <w:rsid w:val="008F3FA1"/>
    <w:rsid w:val="008F4598"/>
    <w:rsid w:val="008F4961"/>
    <w:rsid w:val="008F5704"/>
    <w:rsid w:val="00903F7F"/>
    <w:rsid w:val="00904C84"/>
    <w:rsid w:val="00905257"/>
    <w:rsid w:val="00905555"/>
    <w:rsid w:val="00905A3F"/>
    <w:rsid w:val="00905F2D"/>
    <w:rsid w:val="00905FE8"/>
    <w:rsid w:val="0091031B"/>
    <w:rsid w:val="009131BA"/>
    <w:rsid w:val="00914513"/>
    <w:rsid w:val="00917090"/>
    <w:rsid w:val="00917C01"/>
    <w:rsid w:val="00920261"/>
    <w:rsid w:val="00920E49"/>
    <w:rsid w:val="00923362"/>
    <w:rsid w:val="00923B1D"/>
    <w:rsid w:val="00923D71"/>
    <w:rsid w:val="00926CD4"/>
    <w:rsid w:val="009320B3"/>
    <w:rsid w:val="0093282E"/>
    <w:rsid w:val="00933642"/>
    <w:rsid w:val="00935169"/>
    <w:rsid w:val="00935C38"/>
    <w:rsid w:val="00935F37"/>
    <w:rsid w:val="00936AD1"/>
    <w:rsid w:val="00936FF6"/>
    <w:rsid w:val="00937B5B"/>
    <w:rsid w:val="00937D1F"/>
    <w:rsid w:val="00940480"/>
    <w:rsid w:val="00941037"/>
    <w:rsid w:val="0094163F"/>
    <w:rsid w:val="00942749"/>
    <w:rsid w:val="009431CE"/>
    <w:rsid w:val="00943212"/>
    <w:rsid w:val="0095785B"/>
    <w:rsid w:val="0096138B"/>
    <w:rsid w:val="00961EBE"/>
    <w:rsid w:val="0096413A"/>
    <w:rsid w:val="00967DE8"/>
    <w:rsid w:val="00971C8C"/>
    <w:rsid w:val="00972426"/>
    <w:rsid w:val="00972469"/>
    <w:rsid w:val="009730E1"/>
    <w:rsid w:val="00985016"/>
    <w:rsid w:val="00985856"/>
    <w:rsid w:val="0098608F"/>
    <w:rsid w:val="0098704C"/>
    <w:rsid w:val="009931B2"/>
    <w:rsid w:val="00994D40"/>
    <w:rsid w:val="00996646"/>
    <w:rsid w:val="00997200"/>
    <w:rsid w:val="009A27A7"/>
    <w:rsid w:val="009A33C6"/>
    <w:rsid w:val="009B0671"/>
    <w:rsid w:val="009B11B9"/>
    <w:rsid w:val="009B1CE7"/>
    <w:rsid w:val="009B2541"/>
    <w:rsid w:val="009B2929"/>
    <w:rsid w:val="009B2FE7"/>
    <w:rsid w:val="009B6C20"/>
    <w:rsid w:val="009C0EF7"/>
    <w:rsid w:val="009C164F"/>
    <w:rsid w:val="009C21CC"/>
    <w:rsid w:val="009C3516"/>
    <w:rsid w:val="009C7325"/>
    <w:rsid w:val="009D6636"/>
    <w:rsid w:val="009E00CF"/>
    <w:rsid w:val="009E02F3"/>
    <w:rsid w:val="009E043E"/>
    <w:rsid w:val="009E0578"/>
    <w:rsid w:val="009E55BF"/>
    <w:rsid w:val="009F2A54"/>
    <w:rsid w:val="009F2EEF"/>
    <w:rsid w:val="00A002C0"/>
    <w:rsid w:val="00A01EA2"/>
    <w:rsid w:val="00A025E8"/>
    <w:rsid w:val="00A0265A"/>
    <w:rsid w:val="00A069AF"/>
    <w:rsid w:val="00A07251"/>
    <w:rsid w:val="00A07A83"/>
    <w:rsid w:val="00A1017B"/>
    <w:rsid w:val="00A1106B"/>
    <w:rsid w:val="00A135E3"/>
    <w:rsid w:val="00A13FB2"/>
    <w:rsid w:val="00A15C40"/>
    <w:rsid w:val="00A17194"/>
    <w:rsid w:val="00A20363"/>
    <w:rsid w:val="00A21259"/>
    <w:rsid w:val="00A229D6"/>
    <w:rsid w:val="00A25855"/>
    <w:rsid w:val="00A273E7"/>
    <w:rsid w:val="00A3370B"/>
    <w:rsid w:val="00A345AF"/>
    <w:rsid w:val="00A35AAB"/>
    <w:rsid w:val="00A35BEC"/>
    <w:rsid w:val="00A36750"/>
    <w:rsid w:val="00A36989"/>
    <w:rsid w:val="00A36A45"/>
    <w:rsid w:val="00A40278"/>
    <w:rsid w:val="00A40362"/>
    <w:rsid w:val="00A41B15"/>
    <w:rsid w:val="00A41D8C"/>
    <w:rsid w:val="00A45AAA"/>
    <w:rsid w:val="00A50085"/>
    <w:rsid w:val="00A534EE"/>
    <w:rsid w:val="00A547B0"/>
    <w:rsid w:val="00A5598F"/>
    <w:rsid w:val="00A5647B"/>
    <w:rsid w:val="00A574C8"/>
    <w:rsid w:val="00A61800"/>
    <w:rsid w:val="00A63433"/>
    <w:rsid w:val="00A63A21"/>
    <w:rsid w:val="00A63C97"/>
    <w:rsid w:val="00A653D3"/>
    <w:rsid w:val="00A67F32"/>
    <w:rsid w:val="00A70D9F"/>
    <w:rsid w:val="00A7233C"/>
    <w:rsid w:val="00A72E6E"/>
    <w:rsid w:val="00A741C9"/>
    <w:rsid w:val="00A74651"/>
    <w:rsid w:val="00A748F7"/>
    <w:rsid w:val="00A771A5"/>
    <w:rsid w:val="00A82163"/>
    <w:rsid w:val="00A86FEC"/>
    <w:rsid w:val="00A9089D"/>
    <w:rsid w:val="00A91157"/>
    <w:rsid w:val="00A92A73"/>
    <w:rsid w:val="00A93E22"/>
    <w:rsid w:val="00A94793"/>
    <w:rsid w:val="00A97FD3"/>
    <w:rsid w:val="00AA072A"/>
    <w:rsid w:val="00AA1B9F"/>
    <w:rsid w:val="00AA6A0D"/>
    <w:rsid w:val="00AA7B4A"/>
    <w:rsid w:val="00AB20FA"/>
    <w:rsid w:val="00AB237C"/>
    <w:rsid w:val="00AB5AD0"/>
    <w:rsid w:val="00AC00B5"/>
    <w:rsid w:val="00AC0AEA"/>
    <w:rsid w:val="00AC2C0F"/>
    <w:rsid w:val="00AC2D18"/>
    <w:rsid w:val="00AC3927"/>
    <w:rsid w:val="00AC3D81"/>
    <w:rsid w:val="00AC68CC"/>
    <w:rsid w:val="00AC6D04"/>
    <w:rsid w:val="00AD16CE"/>
    <w:rsid w:val="00AD3B4A"/>
    <w:rsid w:val="00AD6565"/>
    <w:rsid w:val="00AE179E"/>
    <w:rsid w:val="00AF0DFD"/>
    <w:rsid w:val="00AF16ED"/>
    <w:rsid w:val="00AF1B32"/>
    <w:rsid w:val="00AF2233"/>
    <w:rsid w:val="00AF2FA7"/>
    <w:rsid w:val="00AF477F"/>
    <w:rsid w:val="00AF47C3"/>
    <w:rsid w:val="00AF508B"/>
    <w:rsid w:val="00B06571"/>
    <w:rsid w:val="00B06638"/>
    <w:rsid w:val="00B06B96"/>
    <w:rsid w:val="00B1022E"/>
    <w:rsid w:val="00B11932"/>
    <w:rsid w:val="00B13697"/>
    <w:rsid w:val="00B13968"/>
    <w:rsid w:val="00B15B7A"/>
    <w:rsid w:val="00B202F8"/>
    <w:rsid w:val="00B24EAF"/>
    <w:rsid w:val="00B26309"/>
    <w:rsid w:val="00B31D03"/>
    <w:rsid w:val="00B31DF3"/>
    <w:rsid w:val="00B33646"/>
    <w:rsid w:val="00B34D9F"/>
    <w:rsid w:val="00B3708B"/>
    <w:rsid w:val="00B370DB"/>
    <w:rsid w:val="00B40920"/>
    <w:rsid w:val="00B423DF"/>
    <w:rsid w:val="00B43218"/>
    <w:rsid w:val="00B44B6F"/>
    <w:rsid w:val="00B47C41"/>
    <w:rsid w:val="00B53728"/>
    <w:rsid w:val="00B554FE"/>
    <w:rsid w:val="00B61671"/>
    <w:rsid w:val="00B61D22"/>
    <w:rsid w:val="00B62ABB"/>
    <w:rsid w:val="00B6350C"/>
    <w:rsid w:val="00B67654"/>
    <w:rsid w:val="00B70AB5"/>
    <w:rsid w:val="00B70D40"/>
    <w:rsid w:val="00B72609"/>
    <w:rsid w:val="00B73C4E"/>
    <w:rsid w:val="00B7406C"/>
    <w:rsid w:val="00B81653"/>
    <w:rsid w:val="00B81A40"/>
    <w:rsid w:val="00B81C80"/>
    <w:rsid w:val="00B82A15"/>
    <w:rsid w:val="00B844E0"/>
    <w:rsid w:val="00B864CC"/>
    <w:rsid w:val="00B87734"/>
    <w:rsid w:val="00B91485"/>
    <w:rsid w:val="00B923BE"/>
    <w:rsid w:val="00B95DEC"/>
    <w:rsid w:val="00B961F2"/>
    <w:rsid w:val="00BA0B89"/>
    <w:rsid w:val="00BA18DE"/>
    <w:rsid w:val="00BA1B0B"/>
    <w:rsid w:val="00BA3A16"/>
    <w:rsid w:val="00BA4FAD"/>
    <w:rsid w:val="00BA50DD"/>
    <w:rsid w:val="00BA66F8"/>
    <w:rsid w:val="00BA7610"/>
    <w:rsid w:val="00BB0B63"/>
    <w:rsid w:val="00BB57A7"/>
    <w:rsid w:val="00BB62F8"/>
    <w:rsid w:val="00BB6626"/>
    <w:rsid w:val="00BB6DAB"/>
    <w:rsid w:val="00BB71CD"/>
    <w:rsid w:val="00BB78DE"/>
    <w:rsid w:val="00BC03CD"/>
    <w:rsid w:val="00BC1279"/>
    <w:rsid w:val="00BC2E42"/>
    <w:rsid w:val="00BC4D4B"/>
    <w:rsid w:val="00BC5184"/>
    <w:rsid w:val="00BC64B1"/>
    <w:rsid w:val="00BC7883"/>
    <w:rsid w:val="00BD1F65"/>
    <w:rsid w:val="00BD3729"/>
    <w:rsid w:val="00BD44C7"/>
    <w:rsid w:val="00BD50DD"/>
    <w:rsid w:val="00BD7B4F"/>
    <w:rsid w:val="00BE21E2"/>
    <w:rsid w:val="00BF095F"/>
    <w:rsid w:val="00BF23B2"/>
    <w:rsid w:val="00BF2455"/>
    <w:rsid w:val="00BF3321"/>
    <w:rsid w:val="00BF47DD"/>
    <w:rsid w:val="00BF4B34"/>
    <w:rsid w:val="00BF5685"/>
    <w:rsid w:val="00BF61AD"/>
    <w:rsid w:val="00BF7063"/>
    <w:rsid w:val="00C00F75"/>
    <w:rsid w:val="00C10A27"/>
    <w:rsid w:val="00C112DD"/>
    <w:rsid w:val="00C117D2"/>
    <w:rsid w:val="00C14A60"/>
    <w:rsid w:val="00C20943"/>
    <w:rsid w:val="00C24043"/>
    <w:rsid w:val="00C2408B"/>
    <w:rsid w:val="00C24139"/>
    <w:rsid w:val="00C24E05"/>
    <w:rsid w:val="00C255AE"/>
    <w:rsid w:val="00C30B96"/>
    <w:rsid w:val="00C31A11"/>
    <w:rsid w:val="00C32E03"/>
    <w:rsid w:val="00C33309"/>
    <w:rsid w:val="00C35EF9"/>
    <w:rsid w:val="00C42E20"/>
    <w:rsid w:val="00C47347"/>
    <w:rsid w:val="00C5014A"/>
    <w:rsid w:val="00C50A3F"/>
    <w:rsid w:val="00C54B7D"/>
    <w:rsid w:val="00C55D98"/>
    <w:rsid w:val="00C56D13"/>
    <w:rsid w:val="00C579FE"/>
    <w:rsid w:val="00C61D4A"/>
    <w:rsid w:val="00C634FE"/>
    <w:rsid w:val="00C63AC2"/>
    <w:rsid w:val="00C645A8"/>
    <w:rsid w:val="00C72B57"/>
    <w:rsid w:val="00C73005"/>
    <w:rsid w:val="00C731BA"/>
    <w:rsid w:val="00C825E7"/>
    <w:rsid w:val="00C84C4C"/>
    <w:rsid w:val="00C85FE9"/>
    <w:rsid w:val="00C86D7E"/>
    <w:rsid w:val="00C92FEF"/>
    <w:rsid w:val="00C95934"/>
    <w:rsid w:val="00C95977"/>
    <w:rsid w:val="00C9662C"/>
    <w:rsid w:val="00C97983"/>
    <w:rsid w:val="00CA004E"/>
    <w:rsid w:val="00CA0513"/>
    <w:rsid w:val="00CA20C7"/>
    <w:rsid w:val="00CA446E"/>
    <w:rsid w:val="00CA5757"/>
    <w:rsid w:val="00CA59E2"/>
    <w:rsid w:val="00CA68B6"/>
    <w:rsid w:val="00CA7861"/>
    <w:rsid w:val="00CB1722"/>
    <w:rsid w:val="00CB1D68"/>
    <w:rsid w:val="00CB3B64"/>
    <w:rsid w:val="00CB4F93"/>
    <w:rsid w:val="00CC0A25"/>
    <w:rsid w:val="00CC149A"/>
    <w:rsid w:val="00CC3E95"/>
    <w:rsid w:val="00CC5400"/>
    <w:rsid w:val="00CC5E3B"/>
    <w:rsid w:val="00CC6478"/>
    <w:rsid w:val="00CC753A"/>
    <w:rsid w:val="00CD00BD"/>
    <w:rsid w:val="00CD29B7"/>
    <w:rsid w:val="00CD32F4"/>
    <w:rsid w:val="00CD3F4D"/>
    <w:rsid w:val="00CD4D6B"/>
    <w:rsid w:val="00CD6E69"/>
    <w:rsid w:val="00CD6FDE"/>
    <w:rsid w:val="00CD7A9A"/>
    <w:rsid w:val="00CD7D8E"/>
    <w:rsid w:val="00CE3186"/>
    <w:rsid w:val="00CE32FB"/>
    <w:rsid w:val="00CE4812"/>
    <w:rsid w:val="00CE496C"/>
    <w:rsid w:val="00CE6BFF"/>
    <w:rsid w:val="00CF007E"/>
    <w:rsid w:val="00CF3E8E"/>
    <w:rsid w:val="00CF4B57"/>
    <w:rsid w:val="00CF6D2D"/>
    <w:rsid w:val="00CF73BB"/>
    <w:rsid w:val="00D01470"/>
    <w:rsid w:val="00D01651"/>
    <w:rsid w:val="00D02A04"/>
    <w:rsid w:val="00D037F0"/>
    <w:rsid w:val="00D04DBE"/>
    <w:rsid w:val="00D052A3"/>
    <w:rsid w:val="00D1009C"/>
    <w:rsid w:val="00D10AD2"/>
    <w:rsid w:val="00D110E4"/>
    <w:rsid w:val="00D1134B"/>
    <w:rsid w:val="00D14881"/>
    <w:rsid w:val="00D15BE6"/>
    <w:rsid w:val="00D20D2B"/>
    <w:rsid w:val="00D21E85"/>
    <w:rsid w:val="00D229EE"/>
    <w:rsid w:val="00D23889"/>
    <w:rsid w:val="00D25D86"/>
    <w:rsid w:val="00D30CD1"/>
    <w:rsid w:val="00D339D8"/>
    <w:rsid w:val="00D40AEF"/>
    <w:rsid w:val="00D42C6D"/>
    <w:rsid w:val="00D43324"/>
    <w:rsid w:val="00D44ED2"/>
    <w:rsid w:val="00D451F6"/>
    <w:rsid w:val="00D53326"/>
    <w:rsid w:val="00D535A4"/>
    <w:rsid w:val="00D543B1"/>
    <w:rsid w:val="00D55130"/>
    <w:rsid w:val="00D569F0"/>
    <w:rsid w:val="00D602BA"/>
    <w:rsid w:val="00D61BBB"/>
    <w:rsid w:val="00D63E3C"/>
    <w:rsid w:val="00D707DD"/>
    <w:rsid w:val="00D725F8"/>
    <w:rsid w:val="00D7404D"/>
    <w:rsid w:val="00D75026"/>
    <w:rsid w:val="00D7521B"/>
    <w:rsid w:val="00D77162"/>
    <w:rsid w:val="00D80035"/>
    <w:rsid w:val="00D81591"/>
    <w:rsid w:val="00D81B81"/>
    <w:rsid w:val="00D827B9"/>
    <w:rsid w:val="00D83AFF"/>
    <w:rsid w:val="00D84DF4"/>
    <w:rsid w:val="00D87693"/>
    <w:rsid w:val="00D902DD"/>
    <w:rsid w:val="00D917E2"/>
    <w:rsid w:val="00D92508"/>
    <w:rsid w:val="00D9469A"/>
    <w:rsid w:val="00D965D7"/>
    <w:rsid w:val="00D971EB"/>
    <w:rsid w:val="00DA01BD"/>
    <w:rsid w:val="00DA04CD"/>
    <w:rsid w:val="00DA0D6B"/>
    <w:rsid w:val="00DA185F"/>
    <w:rsid w:val="00DA29FB"/>
    <w:rsid w:val="00DA473D"/>
    <w:rsid w:val="00DA5BA0"/>
    <w:rsid w:val="00DB0334"/>
    <w:rsid w:val="00DB12D8"/>
    <w:rsid w:val="00DB14B0"/>
    <w:rsid w:val="00DB4A72"/>
    <w:rsid w:val="00DB6175"/>
    <w:rsid w:val="00DB6ABD"/>
    <w:rsid w:val="00DC03DB"/>
    <w:rsid w:val="00DC2966"/>
    <w:rsid w:val="00DC55DA"/>
    <w:rsid w:val="00DC7195"/>
    <w:rsid w:val="00DC7396"/>
    <w:rsid w:val="00DD122C"/>
    <w:rsid w:val="00DD416A"/>
    <w:rsid w:val="00DD422B"/>
    <w:rsid w:val="00DD475A"/>
    <w:rsid w:val="00DE0D02"/>
    <w:rsid w:val="00DE0ED1"/>
    <w:rsid w:val="00DE3BCD"/>
    <w:rsid w:val="00DE6B4D"/>
    <w:rsid w:val="00DF3678"/>
    <w:rsid w:val="00DF3B2B"/>
    <w:rsid w:val="00DF3BB0"/>
    <w:rsid w:val="00DF4E1C"/>
    <w:rsid w:val="00DF5FE1"/>
    <w:rsid w:val="00E00D84"/>
    <w:rsid w:val="00E07446"/>
    <w:rsid w:val="00E07961"/>
    <w:rsid w:val="00E11D8A"/>
    <w:rsid w:val="00E12DF8"/>
    <w:rsid w:val="00E139BA"/>
    <w:rsid w:val="00E13ABB"/>
    <w:rsid w:val="00E159F2"/>
    <w:rsid w:val="00E20339"/>
    <w:rsid w:val="00E21B22"/>
    <w:rsid w:val="00E2251A"/>
    <w:rsid w:val="00E22E8F"/>
    <w:rsid w:val="00E2305B"/>
    <w:rsid w:val="00E23F1F"/>
    <w:rsid w:val="00E24D7D"/>
    <w:rsid w:val="00E2666B"/>
    <w:rsid w:val="00E2742E"/>
    <w:rsid w:val="00E27DD6"/>
    <w:rsid w:val="00E333B0"/>
    <w:rsid w:val="00E35D0B"/>
    <w:rsid w:val="00E3653B"/>
    <w:rsid w:val="00E44CCB"/>
    <w:rsid w:val="00E44CF5"/>
    <w:rsid w:val="00E44E27"/>
    <w:rsid w:val="00E44FDC"/>
    <w:rsid w:val="00E45302"/>
    <w:rsid w:val="00E45F1B"/>
    <w:rsid w:val="00E62EFC"/>
    <w:rsid w:val="00E64BB1"/>
    <w:rsid w:val="00E6695A"/>
    <w:rsid w:val="00E6769C"/>
    <w:rsid w:val="00E67EE0"/>
    <w:rsid w:val="00E73C0D"/>
    <w:rsid w:val="00E753CE"/>
    <w:rsid w:val="00E7551C"/>
    <w:rsid w:val="00E82CD7"/>
    <w:rsid w:val="00E82D81"/>
    <w:rsid w:val="00E90169"/>
    <w:rsid w:val="00E93291"/>
    <w:rsid w:val="00E94054"/>
    <w:rsid w:val="00E9430B"/>
    <w:rsid w:val="00EA2DDD"/>
    <w:rsid w:val="00EA441F"/>
    <w:rsid w:val="00EA491A"/>
    <w:rsid w:val="00EA6E4A"/>
    <w:rsid w:val="00EA7962"/>
    <w:rsid w:val="00EB2825"/>
    <w:rsid w:val="00EB3565"/>
    <w:rsid w:val="00EB48C8"/>
    <w:rsid w:val="00EB7CE5"/>
    <w:rsid w:val="00EC0C63"/>
    <w:rsid w:val="00EC24C5"/>
    <w:rsid w:val="00EC2823"/>
    <w:rsid w:val="00EC2A5F"/>
    <w:rsid w:val="00EC3795"/>
    <w:rsid w:val="00EC5C9F"/>
    <w:rsid w:val="00EC6C7E"/>
    <w:rsid w:val="00EC764A"/>
    <w:rsid w:val="00EC7988"/>
    <w:rsid w:val="00EC7A1E"/>
    <w:rsid w:val="00ED015C"/>
    <w:rsid w:val="00ED5800"/>
    <w:rsid w:val="00ED598F"/>
    <w:rsid w:val="00ED6DB9"/>
    <w:rsid w:val="00ED6F06"/>
    <w:rsid w:val="00EE02E1"/>
    <w:rsid w:val="00EE0EA4"/>
    <w:rsid w:val="00EE201A"/>
    <w:rsid w:val="00EE61D9"/>
    <w:rsid w:val="00EE7338"/>
    <w:rsid w:val="00EE74D1"/>
    <w:rsid w:val="00EF3501"/>
    <w:rsid w:val="00EF3554"/>
    <w:rsid w:val="00EF3C35"/>
    <w:rsid w:val="00EF6744"/>
    <w:rsid w:val="00F01F42"/>
    <w:rsid w:val="00F027E3"/>
    <w:rsid w:val="00F02908"/>
    <w:rsid w:val="00F03856"/>
    <w:rsid w:val="00F064F8"/>
    <w:rsid w:val="00F06666"/>
    <w:rsid w:val="00F11CEB"/>
    <w:rsid w:val="00F12186"/>
    <w:rsid w:val="00F135A6"/>
    <w:rsid w:val="00F139C4"/>
    <w:rsid w:val="00F15021"/>
    <w:rsid w:val="00F2043E"/>
    <w:rsid w:val="00F23A49"/>
    <w:rsid w:val="00F23A88"/>
    <w:rsid w:val="00F26B6B"/>
    <w:rsid w:val="00F2725F"/>
    <w:rsid w:val="00F27804"/>
    <w:rsid w:val="00F27DD3"/>
    <w:rsid w:val="00F30EF5"/>
    <w:rsid w:val="00F31B0E"/>
    <w:rsid w:val="00F36637"/>
    <w:rsid w:val="00F3675B"/>
    <w:rsid w:val="00F375AF"/>
    <w:rsid w:val="00F414BC"/>
    <w:rsid w:val="00F43A51"/>
    <w:rsid w:val="00F43D3B"/>
    <w:rsid w:val="00F50D7A"/>
    <w:rsid w:val="00F513D1"/>
    <w:rsid w:val="00F53202"/>
    <w:rsid w:val="00F56329"/>
    <w:rsid w:val="00F569B3"/>
    <w:rsid w:val="00F5744B"/>
    <w:rsid w:val="00F57476"/>
    <w:rsid w:val="00F57A4A"/>
    <w:rsid w:val="00F57A5D"/>
    <w:rsid w:val="00F62C59"/>
    <w:rsid w:val="00F62E9A"/>
    <w:rsid w:val="00F67FE1"/>
    <w:rsid w:val="00F7019F"/>
    <w:rsid w:val="00F7052F"/>
    <w:rsid w:val="00F719F9"/>
    <w:rsid w:val="00F71AEA"/>
    <w:rsid w:val="00F72980"/>
    <w:rsid w:val="00F75D7D"/>
    <w:rsid w:val="00F76BE4"/>
    <w:rsid w:val="00F8354A"/>
    <w:rsid w:val="00F838DA"/>
    <w:rsid w:val="00F87409"/>
    <w:rsid w:val="00F87DD8"/>
    <w:rsid w:val="00FA0A59"/>
    <w:rsid w:val="00FA2AA0"/>
    <w:rsid w:val="00FA2FC2"/>
    <w:rsid w:val="00FA394A"/>
    <w:rsid w:val="00FA4099"/>
    <w:rsid w:val="00FA721C"/>
    <w:rsid w:val="00FB5368"/>
    <w:rsid w:val="00FC054B"/>
    <w:rsid w:val="00FC1659"/>
    <w:rsid w:val="00FC1E76"/>
    <w:rsid w:val="00FC3590"/>
    <w:rsid w:val="00FC3EC3"/>
    <w:rsid w:val="00FC4328"/>
    <w:rsid w:val="00FC5F18"/>
    <w:rsid w:val="00FD0502"/>
    <w:rsid w:val="00FD2EF4"/>
    <w:rsid w:val="00FD4154"/>
    <w:rsid w:val="00FD4FFF"/>
    <w:rsid w:val="00FD6531"/>
    <w:rsid w:val="00FE2C39"/>
    <w:rsid w:val="00FE40DB"/>
    <w:rsid w:val="00FE7386"/>
    <w:rsid w:val="00FE7E4D"/>
    <w:rsid w:val="00FF02AE"/>
    <w:rsid w:val="00FF1935"/>
    <w:rsid w:val="00FF5E01"/>
    <w:rsid w:val="00FF6677"/>
    <w:rsid w:val="00FF7FF1"/>
    <w:rsid w:val="025848D4"/>
    <w:rsid w:val="02A5577A"/>
    <w:rsid w:val="030A4958"/>
    <w:rsid w:val="03552144"/>
    <w:rsid w:val="03C55329"/>
    <w:rsid w:val="04400483"/>
    <w:rsid w:val="044E2B62"/>
    <w:rsid w:val="04C16153"/>
    <w:rsid w:val="075F7823"/>
    <w:rsid w:val="07854B6B"/>
    <w:rsid w:val="07CD05D3"/>
    <w:rsid w:val="08417C84"/>
    <w:rsid w:val="09451A08"/>
    <w:rsid w:val="09F5019B"/>
    <w:rsid w:val="0AEC07F8"/>
    <w:rsid w:val="0CAF59B2"/>
    <w:rsid w:val="0CBA7C01"/>
    <w:rsid w:val="0D336736"/>
    <w:rsid w:val="0E39045D"/>
    <w:rsid w:val="0F2271EE"/>
    <w:rsid w:val="0F2D275F"/>
    <w:rsid w:val="11597431"/>
    <w:rsid w:val="12372F05"/>
    <w:rsid w:val="128B7B2B"/>
    <w:rsid w:val="150B4FFB"/>
    <w:rsid w:val="173760F1"/>
    <w:rsid w:val="174529A1"/>
    <w:rsid w:val="181A02C6"/>
    <w:rsid w:val="18E6357A"/>
    <w:rsid w:val="1C0718F8"/>
    <w:rsid w:val="1D986351"/>
    <w:rsid w:val="1DAA206C"/>
    <w:rsid w:val="1E6B3826"/>
    <w:rsid w:val="1F5F0CA3"/>
    <w:rsid w:val="1F8A2D02"/>
    <w:rsid w:val="1FBF827C"/>
    <w:rsid w:val="204C226F"/>
    <w:rsid w:val="20C224E4"/>
    <w:rsid w:val="20D5619C"/>
    <w:rsid w:val="21634A29"/>
    <w:rsid w:val="228719AD"/>
    <w:rsid w:val="22C5234C"/>
    <w:rsid w:val="237C4150"/>
    <w:rsid w:val="237D2742"/>
    <w:rsid w:val="246B6A3F"/>
    <w:rsid w:val="25164A58"/>
    <w:rsid w:val="25A751B1"/>
    <w:rsid w:val="27C2106B"/>
    <w:rsid w:val="281D5D2F"/>
    <w:rsid w:val="28525506"/>
    <w:rsid w:val="286B34B1"/>
    <w:rsid w:val="2920604A"/>
    <w:rsid w:val="2A220E13"/>
    <w:rsid w:val="2B383B7D"/>
    <w:rsid w:val="2C5030EA"/>
    <w:rsid w:val="2D5704A8"/>
    <w:rsid w:val="2DEE32CE"/>
    <w:rsid w:val="2FB72EAF"/>
    <w:rsid w:val="2FEFD766"/>
    <w:rsid w:val="3276317E"/>
    <w:rsid w:val="32DA54BB"/>
    <w:rsid w:val="33203A32"/>
    <w:rsid w:val="33D80B48"/>
    <w:rsid w:val="346534AA"/>
    <w:rsid w:val="35AA0979"/>
    <w:rsid w:val="36025483"/>
    <w:rsid w:val="37FB9FBC"/>
    <w:rsid w:val="39ED2545"/>
    <w:rsid w:val="3A8061EB"/>
    <w:rsid w:val="3AB6680E"/>
    <w:rsid w:val="3B5F1F13"/>
    <w:rsid w:val="3BB33ACC"/>
    <w:rsid w:val="3BB72DA6"/>
    <w:rsid w:val="3BC137A0"/>
    <w:rsid w:val="3C4371B1"/>
    <w:rsid w:val="3CC12563"/>
    <w:rsid w:val="3D0A1EF8"/>
    <w:rsid w:val="3D87D8B3"/>
    <w:rsid w:val="3F92DDB7"/>
    <w:rsid w:val="3FFDD8D6"/>
    <w:rsid w:val="4006028E"/>
    <w:rsid w:val="40515767"/>
    <w:rsid w:val="41EC08E1"/>
    <w:rsid w:val="4241123D"/>
    <w:rsid w:val="42A81132"/>
    <w:rsid w:val="43355CBC"/>
    <w:rsid w:val="44E77255"/>
    <w:rsid w:val="450E5498"/>
    <w:rsid w:val="46691636"/>
    <w:rsid w:val="46E03886"/>
    <w:rsid w:val="479E2B03"/>
    <w:rsid w:val="47EB56A0"/>
    <w:rsid w:val="496C51D4"/>
    <w:rsid w:val="49A60BF4"/>
    <w:rsid w:val="4A4A2B5B"/>
    <w:rsid w:val="4AF84126"/>
    <w:rsid w:val="4B58121B"/>
    <w:rsid w:val="4EF51FA3"/>
    <w:rsid w:val="51510862"/>
    <w:rsid w:val="520B25AE"/>
    <w:rsid w:val="52A7B600"/>
    <w:rsid w:val="540F3628"/>
    <w:rsid w:val="551F7E22"/>
    <w:rsid w:val="55441D01"/>
    <w:rsid w:val="569951D6"/>
    <w:rsid w:val="57397FA4"/>
    <w:rsid w:val="57EB6156"/>
    <w:rsid w:val="57F22EC2"/>
    <w:rsid w:val="59E33B8D"/>
    <w:rsid w:val="5CA6701F"/>
    <w:rsid w:val="5D333896"/>
    <w:rsid w:val="5D5B61B7"/>
    <w:rsid w:val="5FCF3FEF"/>
    <w:rsid w:val="60DD4245"/>
    <w:rsid w:val="61C251E9"/>
    <w:rsid w:val="61CE1DDF"/>
    <w:rsid w:val="62D80695"/>
    <w:rsid w:val="63B46A39"/>
    <w:rsid w:val="64C25C2B"/>
    <w:rsid w:val="65077AE2"/>
    <w:rsid w:val="65085C47"/>
    <w:rsid w:val="65160339"/>
    <w:rsid w:val="65A96DEB"/>
    <w:rsid w:val="6781556C"/>
    <w:rsid w:val="67E934CF"/>
    <w:rsid w:val="689E5F8F"/>
    <w:rsid w:val="6B6C68F1"/>
    <w:rsid w:val="6B72302D"/>
    <w:rsid w:val="6B8151A8"/>
    <w:rsid w:val="6BAD4C5D"/>
    <w:rsid w:val="6CDF30F3"/>
    <w:rsid w:val="6CF62EDC"/>
    <w:rsid w:val="6DF826BE"/>
    <w:rsid w:val="6F130A06"/>
    <w:rsid w:val="709E193E"/>
    <w:rsid w:val="717C6C5D"/>
    <w:rsid w:val="722C03ED"/>
    <w:rsid w:val="738653CA"/>
    <w:rsid w:val="74093BE4"/>
    <w:rsid w:val="74FB2432"/>
    <w:rsid w:val="75355FF3"/>
    <w:rsid w:val="7573323A"/>
    <w:rsid w:val="75BF1D13"/>
    <w:rsid w:val="75FBDC93"/>
    <w:rsid w:val="76021EE2"/>
    <w:rsid w:val="765A3E29"/>
    <w:rsid w:val="7711659E"/>
    <w:rsid w:val="774D7633"/>
    <w:rsid w:val="77B32B86"/>
    <w:rsid w:val="78B85D84"/>
    <w:rsid w:val="79614DF8"/>
    <w:rsid w:val="79E7746A"/>
    <w:rsid w:val="7AAC3594"/>
    <w:rsid w:val="7ACB2E69"/>
    <w:rsid w:val="7B741D3A"/>
    <w:rsid w:val="7BA9296D"/>
    <w:rsid w:val="7D3C2A5D"/>
    <w:rsid w:val="7D992C50"/>
    <w:rsid w:val="7F76391C"/>
    <w:rsid w:val="7FBFD0A1"/>
    <w:rsid w:val="93AF782E"/>
    <w:rsid w:val="9FFBE090"/>
    <w:rsid w:val="BAEE4F3A"/>
    <w:rsid w:val="CFB55FD6"/>
    <w:rsid w:val="CFFED540"/>
    <w:rsid w:val="D9EEC4BC"/>
    <w:rsid w:val="DF6CFD15"/>
    <w:rsid w:val="DFBF4640"/>
    <w:rsid w:val="EE6FCFB4"/>
    <w:rsid w:val="EEFB7ABA"/>
    <w:rsid w:val="EFCFD0D5"/>
    <w:rsid w:val="EFFF052F"/>
    <w:rsid w:val="FED39D98"/>
    <w:rsid w:val="FFD6BD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1"/>
    <w:qFormat/>
    <w:uiPriority w:val="9"/>
    <w:pPr>
      <w:keepNext/>
      <w:keepLines/>
      <w:spacing w:before="340" w:after="330" w:line="578" w:lineRule="atLeast"/>
      <w:outlineLvl w:val="0"/>
    </w:pPr>
    <w:rPr>
      <w:b/>
      <w:bCs/>
      <w:kern w:val="44"/>
      <w:sz w:val="44"/>
      <w:szCs w:val="44"/>
    </w:rPr>
  </w:style>
  <w:style w:type="paragraph" w:styleId="3">
    <w:name w:val="heading 2"/>
    <w:basedOn w:val="1"/>
    <w:next w:val="1"/>
    <w:link w:val="43"/>
    <w:semiHidden/>
    <w:unhideWhenUsed/>
    <w:qFormat/>
    <w:uiPriority w:val="9"/>
    <w:pPr>
      <w:keepNext/>
      <w:keepLines/>
      <w:spacing w:before="260" w:after="260" w:line="416" w:lineRule="atLeast"/>
      <w:outlineLvl w:val="1"/>
    </w:pPr>
    <w:rPr>
      <w:rFonts w:asciiTheme="majorHAnsi" w:hAnsiTheme="majorHAnsi" w:eastAsiaTheme="majorEastAsia" w:cstheme="majorBidi"/>
      <w:b/>
      <w:bCs/>
      <w:sz w:val="32"/>
      <w:szCs w:val="32"/>
    </w:rPr>
  </w:style>
  <w:style w:type="paragraph" w:styleId="4">
    <w:name w:val="heading 3"/>
    <w:basedOn w:val="1"/>
    <w:next w:val="1"/>
    <w:link w:val="36"/>
    <w:semiHidden/>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unhideWhenUsed/>
    <w:qFormat/>
    <w:uiPriority w:val="39"/>
    <w:pPr>
      <w:widowControl/>
      <w:spacing w:after="100" w:line="276" w:lineRule="auto"/>
      <w:ind w:left="440"/>
      <w:jc w:val="left"/>
    </w:pPr>
    <w:rPr>
      <w:kern w:val="0"/>
      <w:sz w:val="22"/>
    </w:rPr>
  </w:style>
  <w:style w:type="paragraph" w:styleId="6">
    <w:name w:val="Balloon Text"/>
    <w:basedOn w:val="1"/>
    <w:link w:val="21"/>
    <w:qFormat/>
    <w:uiPriority w:val="0"/>
    <w:rPr>
      <w:sz w:val="18"/>
      <w:szCs w:val="18"/>
    </w:rPr>
  </w:style>
  <w:style w:type="paragraph" w:styleId="7">
    <w:name w:val="footer"/>
    <w:basedOn w:val="1"/>
    <w:link w:val="22"/>
    <w:qFormat/>
    <w:uiPriority w:val="0"/>
    <w:pPr>
      <w:tabs>
        <w:tab w:val="center" w:pos="4153"/>
        <w:tab w:val="right" w:pos="8306"/>
      </w:tabs>
      <w:snapToGrid w:val="0"/>
      <w:jc w:val="left"/>
    </w:pPr>
    <w:rPr>
      <w:sz w:val="18"/>
      <w:szCs w:val="18"/>
    </w:rPr>
  </w:style>
  <w:style w:type="paragraph" w:styleId="8">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pPr>
      <w:widowControl/>
      <w:spacing w:after="100" w:line="276" w:lineRule="auto"/>
      <w:jc w:val="left"/>
    </w:pPr>
    <w:rPr>
      <w:kern w:val="0"/>
      <w:sz w:val="22"/>
    </w:rPr>
  </w:style>
  <w:style w:type="paragraph" w:styleId="10">
    <w:name w:val="toc 2"/>
    <w:basedOn w:val="1"/>
    <w:next w:val="1"/>
    <w:unhideWhenUsed/>
    <w:qFormat/>
    <w:uiPriority w:val="39"/>
    <w:pPr>
      <w:widowControl/>
      <w:spacing w:after="100" w:line="276" w:lineRule="auto"/>
      <w:ind w:left="220"/>
      <w:jc w:val="left"/>
    </w:pPr>
    <w:rPr>
      <w:kern w:val="0"/>
      <w:sz w:val="22"/>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Title"/>
    <w:basedOn w:val="1"/>
    <w:next w:val="1"/>
    <w:link w:val="20"/>
    <w:qFormat/>
    <w:uiPriority w:val="0"/>
    <w:pPr>
      <w:spacing w:before="240" w:after="60"/>
      <w:jc w:val="center"/>
      <w:outlineLvl w:val="0"/>
    </w:pPr>
    <w:rPr>
      <w:rFonts w:ascii="Cambria" w:hAnsi="Cambria"/>
      <w:b/>
      <w:bCs/>
      <w:sz w:val="32"/>
      <w:szCs w:val="32"/>
    </w:rPr>
  </w:style>
  <w:style w:type="table" w:styleId="14">
    <w:name w:val="Table Grid"/>
    <w:basedOn w:val="13"/>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22"/>
    <w:rPr>
      <w:b/>
      <w:bCs/>
    </w:rPr>
  </w:style>
  <w:style w:type="character" w:styleId="17">
    <w:name w:val="page number"/>
    <w:basedOn w:val="15"/>
    <w:qFormat/>
    <w:uiPriority w:val="0"/>
  </w:style>
  <w:style w:type="character" w:styleId="18">
    <w:name w:val="FollowedHyperlink"/>
    <w:basedOn w:val="15"/>
    <w:semiHidden/>
    <w:unhideWhenUsed/>
    <w:qFormat/>
    <w:uiPriority w:val="99"/>
    <w:rPr>
      <w:color w:val="800080" w:themeColor="followedHyperlink"/>
      <w:u w:val="single"/>
      <w14:textFill>
        <w14:solidFill>
          <w14:schemeClr w14:val="folHlink"/>
        </w14:solidFill>
      </w14:textFill>
    </w:rPr>
  </w:style>
  <w:style w:type="character" w:styleId="19">
    <w:name w:val="Hyperlink"/>
    <w:unhideWhenUsed/>
    <w:qFormat/>
    <w:uiPriority w:val="99"/>
    <w:rPr>
      <w:color w:val="0000FF"/>
      <w:u w:val="single"/>
    </w:rPr>
  </w:style>
  <w:style w:type="character" w:customStyle="1" w:styleId="20">
    <w:name w:val="标题 Char"/>
    <w:basedOn w:val="15"/>
    <w:link w:val="12"/>
    <w:qFormat/>
    <w:uiPriority w:val="0"/>
    <w:rPr>
      <w:rFonts w:ascii="Cambria" w:hAnsi="Cambria"/>
      <w:b/>
      <w:bCs/>
      <w:sz w:val="32"/>
      <w:szCs w:val="32"/>
    </w:rPr>
  </w:style>
  <w:style w:type="character" w:customStyle="1" w:styleId="21">
    <w:name w:val="批注框文本 Char"/>
    <w:basedOn w:val="15"/>
    <w:link w:val="6"/>
    <w:qFormat/>
    <w:uiPriority w:val="0"/>
    <w:rPr>
      <w:sz w:val="18"/>
      <w:szCs w:val="18"/>
    </w:rPr>
  </w:style>
  <w:style w:type="character" w:customStyle="1" w:styleId="22">
    <w:name w:val="页脚 Char"/>
    <w:link w:val="7"/>
    <w:qFormat/>
    <w:uiPriority w:val="0"/>
    <w:rPr>
      <w:sz w:val="18"/>
      <w:szCs w:val="18"/>
    </w:rPr>
  </w:style>
  <w:style w:type="character" w:customStyle="1" w:styleId="23">
    <w:name w:val="页眉 Char"/>
    <w:link w:val="8"/>
    <w:qFormat/>
    <w:uiPriority w:val="0"/>
    <w:rPr>
      <w:sz w:val="18"/>
      <w:szCs w:val="18"/>
    </w:rPr>
  </w:style>
  <w:style w:type="paragraph" w:customStyle="1" w:styleId="24">
    <w:name w:val="Char"/>
    <w:basedOn w:val="1"/>
    <w:qFormat/>
    <w:uiPriority w:val="0"/>
    <w:rPr>
      <w:rFonts w:ascii="Times New Roman" w:hAnsi="Times New Roman" w:eastAsia="宋体" w:cs="Times New Roman"/>
      <w:szCs w:val="24"/>
    </w:rPr>
  </w:style>
  <w:style w:type="character" w:customStyle="1" w:styleId="25">
    <w:name w:val="标题 Char1"/>
    <w:basedOn w:val="15"/>
    <w:qFormat/>
    <w:uiPriority w:val="10"/>
    <w:rPr>
      <w:rFonts w:eastAsia="宋体" w:asciiTheme="majorHAnsi" w:hAnsiTheme="majorHAnsi" w:cstheme="majorBidi"/>
      <w:b/>
      <w:bCs/>
      <w:sz w:val="32"/>
      <w:szCs w:val="32"/>
    </w:rPr>
  </w:style>
  <w:style w:type="character" w:customStyle="1" w:styleId="26">
    <w:name w:val="页眉 Char1"/>
    <w:basedOn w:val="15"/>
    <w:semiHidden/>
    <w:qFormat/>
    <w:uiPriority w:val="99"/>
    <w:rPr>
      <w:sz w:val="18"/>
      <w:szCs w:val="18"/>
    </w:rPr>
  </w:style>
  <w:style w:type="character" w:customStyle="1" w:styleId="27">
    <w:name w:val="页脚 Char1"/>
    <w:basedOn w:val="15"/>
    <w:semiHidden/>
    <w:qFormat/>
    <w:uiPriority w:val="99"/>
    <w:rPr>
      <w:sz w:val="18"/>
      <w:szCs w:val="18"/>
    </w:rPr>
  </w:style>
  <w:style w:type="character" w:customStyle="1" w:styleId="28">
    <w:name w:val="批注框文本 Char1"/>
    <w:basedOn w:val="15"/>
    <w:semiHidden/>
    <w:qFormat/>
    <w:uiPriority w:val="99"/>
    <w:rPr>
      <w:sz w:val="18"/>
      <w:szCs w:val="18"/>
    </w:rPr>
  </w:style>
  <w:style w:type="paragraph" w:styleId="29">
    <w:name w:val="List Paragraph"/>
    <w:basedOn w:val="1"/>
    <w:qFormat/>
    <w:uiPriority w:val="34"/>
    <w:pPr>
      <w:ind w:firstLine="420" w:firstLineChars="200"/>
    </w:pPr>
  </w:style>
  <w:style w:type="character" w:customStyle="1" w:styleId="30">
    <w:name w:val="15"/>
    <w:basedOn w:val="15"/>
    <w:qFormat/>
    <w:uiPriority w:val="0"/>
    <w:rPr>
      <w:rFonts w:hint="default" w:ascii="Times New Roman" w:hAnsi="Times New Roman" w:cs="Times New Roman"/>
      <w:b/>
      <w:bCs/>
    </w:rPr>
  </w:style>
  <w:style w:type="character" w:customStyle="1" w:styleId="31">
    <w:name w:val="apple-style-span"/>
    <w:basedOn w:val="15"/>
    <w:qFormat/>
    <w:uiPriority w:val="0"/>
  </w:style>
  <w:style w:type="character" w:customStyle="1" w:styleId="32">
    <w:name w:val="grame"/>
    <w:basedOn w:val="15"/>
    <w:qFormat/>
    <w:uiPriority w:val="0"/>
  </w:style>
  <w:style w:type="character" w:customStyle="1" w:styleId="33">
    <w:name w:val="ht1"/>
    <w:qFormat/>
    <w:uiPriority w:val="0"/>
    <w:rPr>
      <w:rFonts w:ascii="黑体" w:eastAsia="黑体"/>
      <w:b/>
      <w:bCs/>
    </w:rPr>
  </w:style>
  <w:style w:type="paragraph" w:customStyle="1" w:styleId="34">
    <w:name w:val="zw"/>
    <w:basedOn w:val="1"/>
    <w:qFormat/>
    <w:uiPriority w:val="0"/>
    <w:pPr>
      <w:widowControl/>
      <w:spacing w:before="30"/>
      <w:ind w:left="100" w:right="100"/>
    </w:pPr>
    <w:rPr>
      <w:rFonts w:ascii="方正书宋简体" w:hAnsi="方正书宋简体" w:eastAsia="方正书宋简体" w:cs="Times New Roman"/>
      <w:color w:val="000000"/>
      <w:kern w:val="0"/>
      <w:szCs w:val="21"/>
    </w:rPr>
  </w:style>
  <w:style w:type="paragraph" w:customStyle="1" w:styleId="35">
    <w:name w:val="_Style 28"/>
    <w:qFormat/>
    <w:uiPriority w:val="0"/>
    <w:pPr>
      <w:widowControl w:val="0"/>
      <w:spacing w:line="560" w:lineRule="exact"/>
      <w:jc w:val="both"/>
    </w:pPr>
    <w:rPr>
      <w:rFonts w:asciiTheme="minorHAnsi" w:hAnsiTheme="minorHAnsi" w:eastAsiaTheme="minorEastAsia" w:cstheme="minorBidi"/>
      <w:kern w:val="2"/>
      <w:sz w:val="21"/>
      <w:szCs w:val="22"/>
      <w:lang w:val="en-US" w:eastAsia="zh-CN" w:bidi="ar-SA"/>
    </w:rPr>
  </w:style>
  <w:style w:type="character" w:customStyle="1" w:styleId="36">
    <w:name w:val="标题 3 Char"/>
    <w:basedOn w:val="15"/>
    <w:link w:val="4"/>
    <w:semiHidden/>
    <w:qFormat/>
    <w:uiPriority w:val="0"/>
    <w:rPr>
      <w:rFonts w:ascii="宋体" w:hAnsi="宋体" w:eastAsia="宋体" w:cs="Times New Roman"/>
      <w:b/>
      <w:kern w:val="0"/>
      <w:sz w:val="27"/>
      <w:szCs w:val="27"/>
    </w:rPr>
  </w:style>
  <w:style w:type="character" w:customStyle="1" w:styleId="37">
    <w:name w:val="批注框文本 字符"/>
    <w:qFormat/>
    <w:uiPriority w:val="0"/>
    <w:rPr>
      <w:kern w:val="2"/>
      <w:sz w:val="18"/>
      <w:szCs w:val="18"/>
    </w:rPr>
  </w:style>
  <w:style w:type="character" w:customStyle="1" w:styleId="38">
    <w:name w:val="页脚 字符"/>
    <w:qFormat/>
    <w:uiPriority w:val="99"/>
    <w:rPr>
      <w:kern w:val="2"/>
      <w:sz w:val="18"/>
      <w:szCs w:val="18"/>
    </w:rPr>
  </w:style>
  <w:style w:type="character" w:customStyle="1" w:styleId="39">
    <w:name w:val="标题 字符"/>
    <w:qFormat/>
    <w:uiPriority w:val="0"/>
    <w:rPr>
      <w:rFonts w:ascii="Cambria" w:hAnsi="Cambria" w:cs="Times New Roman"/>
      <w:b/>
      <w:bCs/>
      <w:kern w:val="2"/>
      <w:sz w:val="32"/>
      <w:szCs w:val="32"/>
    </w:rPr>
  </w:style>
  <w:style w:type="character" w:customStyle="1" w:styleId="40">
    <w:name w:val="页眉 字符"/>
    <w:qFormat/>
    <w:uiPriority w:val="0"/>
    <w:rPr>
      <w:kern w:val="2"/>
      <w:sz w:val="18"/>
      <w:szCs w:val="18"/>
    </w:rPr>
  </w:style>
  <w:style w:type="character" w:customStyle="1" w:styleId="41">
    <w:name w:val="标题 1 Char"/>
    <w:basedOn w:val="15"/>
    <w:link w:val="2"/>
    <w:qFormat/>
    <w:uiPriority w:val="9"/>
    <w:rPr>
      <w:b/>
      <w:bCs/>
      <w:kern w:val="44"/>
      <w:sz w:val="44"/>
      <w:szCs w:val="44"/>
    </w:rPr>
  </w:style>
  <w:style w:type="paragraph" w:customStyle="1" w:styleId="42">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3">
    <w:name w:val="标题 2 Char"/>
    <w:basedOn w:val="15"/>
    <w:link w:val="3"/>
    <w:semiHidden/>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99</Pages>
  <Words>2162</Words>
  <Characters>2177</Characters>
  <Lines>2221</Lines>
  <Paragraphs>625</Paragraphs>
  <TotalTime>2</TotalTime>
  <ScaleCrop>false</ScaleCrop>
  <LinksUpToDate>false</LinksUpToDate>
  <CharactersWithSpaces>2282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2021-01-01T17:51:00Z</dcterms:created>
  <dc:creator>Ma</dc:creator>
  <cp:lastModifiedBy>姝语</cp:lastModifiedBy>
  <cp:lastPrinted>2023-07-28T01:05:00Z</cp:lastPrinted>
  <dcterms:modified xsi:type="dcterms:W3CDTF">2025-12-29T00:05:48Z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D3243B547809437EB623065904E72DA1_13</vt:lpwstr>
  </property>
  <property fmtid="{D5CDD505-2E9C-101B-9397-08002B2CF9AE}" pid="4" name="KSOTemplateDocerSaveRecord">
    <vt:lpwstr>eyJoZGlkIjoiZjAwYjEwNzc2YTA5ZWIzOGEzODFiMjNiOTY0ZDEwMTgiLCJ1c2VySWQiOiIzNTc5NDkxNzIifQ==</vt:lpwstr>
  </property>
</Properties>
</file>