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Arial"/>
          <w:color w:val="000000" w:themeColor="text1"/>
          <w:sz w:val="32"/>
          <w:szCs w:val="32"/>
          <w14:textFill>
            <w14:solidFill>
              <w14:schemeClr w14:val="tx1"/>
            </w14:solidFill>
          </w14:textFill>
        </w:rPr>
      </w:pPr>
      <w:r>
        <w:rPr>
          <w:rFonts w:hint="eastAsia" w:ascii="黑体" w:hAnsi="黑体" w:eastAsia="黑体" w:cs="Arial"/>
          <w:color w:val="000000" w:themeColor="text1"/>
          <w:sz w:val="32"/>
          <w:szCs w:val="32"/>
          <w14:textFill>
            <w14:solidFill>
              <w14:schemeClr w14:val="tx1"/>
            </w14:solidFill>
          </w14:textFill>
        </w:rPr>
        <w:t>附件</w:t>
      </w:r>
    </w:p>
    <w:p>
      <w:pPr>
        <w:snapToGrid w:val="0"/>
        <w:spacing w:line="560" w:lineRule="exact"/>
        <w:ind w:firstLine="883" w:firstLineChars="200"/>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《朝阳市历史建筑修缮补助办法》</w:t>
      </w:r>
    </w:p>
    <w:p>
      <w:pPr>
        <w:snapToGrid w:val="0"/>
        <w:spacing w:line="560" w:lineRule="exact"/>
        <w:jc w:val="center"/>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征求</w:t>
      </w:r>
      <w:r>
        <w:rPr>
          <w:rFonts w:hint="eastAsia" w:ascii="楷体_GB2312" w:hAnsi="楷体_GB2312" w:eastAsia="楷体_GB2312" w:cs="楷体_GB2312"/>
          <w:b/>
          <w:bCs/>
          <w:color w:val="000000" w:themeColor="text1"/>
          <w:sz w:val="32"/>
          <w:szCs w:val="32"/>
          <w14:textFill>
            <w14:solidFill>
              <w14:schemeClr w14:val="tx1"/>
            </w14:solidFill>
          </w14:textFill>
        </w:rPr>
        <w:t>意见稿）</w:t>
      </w:r>
    </w:p>
    <w:p>
      <w:pPr>
        <w:snapToGrid w:val="0"/>
        <w:spacing w:line="560" w:lineRule="exact"/>
        <w:jc w:val="center"/>
        <w:rPr>
          <w:rFonts w:hint="eastAsia"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第一章 总则</w:t>
      </w:r>
    </w:p>
    <w:p>
      <w:pPr>
        <w:pStyle w:val="2"/>
        <w:ind w:firstLine="964" w:firstLineChars="3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第一条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为</w:t>
      </w:r>
      <w:r>
        <w:rPr>
          <w:rFonts w:hint="eastAsia" w:ascii="仿宋" w:hAnsi="仿宋" w:eastAsia="仿宋"/>
          <w:color w:val="000000" w:themeColor="text1"/>
          <w:sz w:val="32"/>
          <w:szCs w:val="32"/>
          <w14:textFill>
            <w14:solidFill>
              <w14:schemeClr w14:val="tx1"/>
            </w14:solidFill>
          </w14:textFill>
        </w:rPr>
        <w:t>了</w:t>
      </w:r>
      <w:r>
        <w:rPr>
          <w:rFonts w:ascii="仿宋" w:hAnsi="仿宋" w:eastAsia="仿宋"/>
          <w:color w:val="000000" w:themeColor="text1"/>
          <w:sz w:val="32"/>
          <w:szCs w:val="32"/>
          <w14:textFill>
            <w14:solidFill>
              <w14:schemeClr w14:val="tx1"/>
            </w14:solidFill>
          </w14:textFill>
        </w:rPr>
        <w:t>加强</w:t>
      </w:r>
      <w:r>
        <w:rPr>
          <w:rFonts w:hint="eastAsia" w:ascii="仿宋" w:hAnsi="仿宋" w:eastAsia="仿宋"/>
          <w:color w:val="000000" w:themeColor="text1"/>
          <w:sz w:val="32"/>
          <w:szCs w:val="32"/>
          <w14:textFill>
            <w14:solidFill>
              <w14:schemeClr w14:val="tx1"/>
            </w14:solidFill>
          </w14:textFill>
        </w:rPr>
        <w:t>市区</w:t>
      </w:r>
      <w:r>
        <w:rPr>
          <w:rFonts w:ascii="仿宋" w:hAnsi="仿宋" w:eastAsia="仿宋"/>
          <w:color w:val="000000" w:themeColor="text1"/>
          <w:sz w:val="32"/>
          <w:szCs w:val="32"/>
          <w14:textFill>
            <w14:solidFill>
              <w14:schemeClr w14:val="tx1"/>
            </w14:solidFill>
          </w14:textFill>
        </w:rPr>
        <w:t>历史建筑的保护，鼓励和支持历史建筑所有权人、使用人或管理人（以下统称“保护责任人”）承担保护修缮责任，</w:t>
      </w:r>
      <w:r>
        <w:rPr>
          <w:rFonts w:hint="eastAsia" w:ascii="仿宋" w:hAnsi="仿宋" w:eastAsia="仿宋"/>
          <w:color w:val="000000" w:themeColor="text1"/>
          <w:sz w:val="32"/>
          <w:szCs w:val="32"/>
          <w14:textFill>
            <w14:solidFill>
              <w14:schemeClr w14:val="tx1"/>
            </w14:solidFill>
          </w14:textFill>
        </w:rPr>
        <w:t>调动非国有历史建筑</w:t>
      </w:r>
      <w:r>
        <w:rPr>
          <w:rFonts w:ascii="仿宋" w:hAnsi="仿宋" w:eastAsia="仿宋"/>
          <w:color w:val="000000" w:themeColor="text1"/>
          <w:sz w:val="32"/>
          <w:szCs w:val="32"/>
          <w14:textFill>
            <w14:solidFill>
              <w14:schemeClr w14:val="tx1"/>
            </w14:solidFill>
          </w14:textFill>
        </w:rPr>
        <w:t>保护责任人</w:t>
      </w:r>
      <w:r>
        <w:rPr>
          <w:rFonts w:hint="eastAsia" w:ascii="仿宋" w:hAnsi="仿宋" w:eastAsia="仿宋"/>
          <w:color w:val="000000" w:themeColor="text1"/>
          <w:sz w:val="32"/>
          <w:szCs w:val="32"/>
          <w14:textFill>
            <w14:solidFill>
              <w14:schemeClr w14:val="tx1"/>
            </w14:solidFill>
          </w14:textFill>
        </w:rPr>
        <w:t>保护积极性，促进历史建筑保护和利用，</w:t>
      </w:r>
      <w:r>
        <w:rPr>
          <w:rFonts w:ascii="仿宋" w:hAnsi="仿宋" w:eastAsia="仿宋"/>
          <w:color w:val="000000" w:themeColor="text1"/>
          <w:sz w:val="32"/>
          <w:szCs w:val="32"/>
          <w14:textFill>
            <w14:solidFill>
              <w14:schemeClr w14:val="tx1"/>
            </w14:solidFill>
          </w14:textFill>
        </w:rPr>
        <w:t>规范历史建筑修缮补助资金</w:t>
      </w:r>
      <w:r>
        <w:rPr>
          <w:rFonts w:hint="eastAsia" w:ascii="仿宋" w:hAnsi="仿宋" w:eastAsia="仿宋"/>
          <w:color w:val="000000" w:themeColor="text1"/>
          <w:sz w:val="32"/>
          <w:szCs w:val="32"/>
          <w14:textFill>
            <w14:solidFill>
              <w14:schemeClr w14:val="tx1"/>
            </w14:solidFill>
          </w14:textFill>
        </w:rPr>
        <w:t>（以下统称“补助资金”）</w:t>
      </w:r>
      <w:r>
        <w:rPr>
          <w:rFonts w:ascii="仿宋" w:hAnsi="仿宋" w:eastAsia="仿宋"/>
          <w:color w:val="000000" w:themeColor="text1"/>
          <w:sz w:val="32"/>
          <w:szCs w:val="32"/>
          <w14:textFill>
            <w14:solidFill>
              <w14:schemeClr w14:val="tx1"/>
            </w14:solidFill>
          </w14:textFill>
        </w:rPr>
        <w:t>的管理与使用，根据《中华人民共和国文物保护法》《历史文化名城名镇名村保护条例》《辽宁省历史文化名城名镇名村及历史文化街区保护管理暂行办法》《朝阳市历史文化名城保护条例》等法律法规</w:t>
      </w:r>
      <w:r>
        <w:rPr>
          <w:rFonts w:hint="eastAsia" w:ascii="仿宋" w:hAnsi="仿宋" w:eastAsia="仿宋"/>
          <w:color w:val="000000" w:themeColor="text1"/>
          <w:sz w:val="32"/>
          <w:szCs w:val="32"/>
          <w14:textFill>
            <w14:solidFill>
              <w14:schemeClr w14:val="tx1"/>
            </w14:solidFill>
          </w14:textFill>
        </w:rPr>
        <w:t>的规定</w:t>
      </w:r>
      <w:r>
        <w:rPr>
          <w:rFonts w:ascii="仿宋" w:hAnsi="仿宋" w:eastAsia="仿宋"/>
          <w:color w:val="000000" w:themeColor="text1"/>
          <w:sz w:val="32"/>
          <w:szCs w:val="32"/>
          <w14:textFill>
            <w14:solidFill>
              <w14:schemeClr w14:val="tx1"/>
            </w14:solidFill>
          </w14:textFill>
        </w:rPr>
        <w:t>，结合本市实际，制定本办法。</w:t>
      </w:r>
    </w:p>
    <w:p>
      <w:pPr>
        <w:widowControl/>
        <w:shd w:val="clear" w:color="auto" w:fill="FFFFFF"/>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第二条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本办法适用于</w:t>
      </w:r>
      <w:r>
        <w:rPr>
          <w:rFonts w:hint="eastAsia" w:ascii="仿宋" w:hAnsi="仿宋" w:eastAsia="仿宋"/>
          <w:color w:val="000000" w:themeColor="text1"/>
          <w:sz w:val="32"/>
          <w:szCs w:val="32"/>
          <w14:textFill>
            <w14:solidFill>
              <w14:schemeClr w14:val="tx1"/>
            </w14:solidFill>
          </w14:textFill>
        </w:rPr>
        <w:t>本市辖区（双塔区、龙城区）</w:t>
      </w:r>
      <w:r>
        <w:rPr>
          <w:rFonts w:ascii="仿宋" w:hAnsi="仿宋" w:eastAsia="仿宋"/>
          <w:color w:val="000000" w:themeColor="text1"/>
          <w:sz w:val="32"/>
          <w:szCs w:val="32"/>
          <w14:textFill>
            <w14:solidFill>
              <w14:schemeClr w14:val="tx1"/>
            </w14:solidFill>
          </w14:textFill>
        </w:rPr>
        <w:t>行政区域内，</w:t>
      </w:r>
      <w:r>
        <w:rPr>
          <w:rFonts w:hint="eastAsia" w:ascii="仿宋" w:hAnsi="仿宋" w:eastAsia="仿宋"/>
          <w:color w:val="000000" w:themeColor="text1"/>
          <w:sz w:val="32"/>
          <w:szCs w:val="32"/>
          <w14:textFill>
            <w14:solidFill>
              <w14:schemeClr w14:val="tx1"/>
            </w14:solidFill>
          </w14:textFill>
        </w:rPr>
        <w:t>经市人民政府认定并公布的历史建筑修缮补助管理工作。</w:t>
      </w:r>
    </w:p>
    <w:p>
      <w:pPr>
        <w:widowControl/>
        <w:shd w:val="clear" w:color="auto" w:fill="FFFFFF"/>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第三条</w:t>
      </w:r>
      <w:r>
        <w:rPr>
          <w:rFonts w:hint="eastAsia"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本办法所称的修缮补助是指由市、区两级财政部门纳入年度预算安排的专项资金，对历史建筑维护性修缮和修缮工程给予的专项补助。</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第四条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基本原则：</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（一）保护优先、合理利用：修缮必须最大限度地保留历史建筑的历史信息、真实性和完整性，鼓励在保护基础上进行活化利用。</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（二）政府引导、社会参与：建立政府补助、产权人主导、社会力量参与的多元投入机制。</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（三）程序规范、公开透明：补助的申请、审核、拨付过程严格规范，结果向社会公开，接受监督。</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（四）专款专用、注重绩效：补助资金必须用于核准的修缮项目，并对其使用效果进行评估。</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第五条</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市、区</w:t>
      </w:r>
      <w:r>
        <w:rPr>
          <w:rFonts w:ascii="仿宋" w:hAnsi="仿宋" w:eastAsia="仿宋"/>
          <w:color w:val="000000" w:themeColor="text1"/>
          <w:sz w:val="32"/>
          <w:szCs w:val="32"/>
          <w14:textFill>
            <w14:solidFill>
              <w14:schemeClr w14:val="tx1"/>
            </w14:solidFill>
          </w14:textFill>
        </w:rPr>
        <w:t>人民政府及其</w:t>
      </w:r>
      <w:r>
        <w:rPr>
          <w:rFonts w:hint="eastAsia" w:ascii="仿宋" w:hAnsi="仿宋" w:eastAsia="仿宋"/>
          <w:color w:val="000000" w:themeColor="text1"/>
          <w:sz w:val="32"/>
          <w:szCs w:val="32"/>
          <w14:textFill>
            <w14:solidFill>
              <w14:schemeClr w14:val="tx1"/>
            </w14:solidFill>
          </w14:textFill>
        </w:rPr>
        <w:t>财政部门</w:t>
      </w:r>
      <w:r>
        <w:rPr>
          <w:rFonts w:ascii="仿宋" w:hAnsi="仿宋" w:eastAsia="仿宋"/>
          <w:color w:val="000000" w:themeColor="text1"/>
          <w:sz w:val="32"/>
          <w:szCs w:val="32"/>
          <w14:textFill>
            <w14:solidFill>
              <w14:schemeClr w14:val="tx1"/>
            </w14:solidFill>
          </w14:textFill>
        </w:rPr>
        <w:t>负责本</w:t>
      </w:r>
      <w:r>
        <w:rPr>
          <w:rFonts w:hint="eastAsia" w:ascii="仿宋" w:hAnsi="仿宋" w:eastAsia="仿宋"/>
          <w:color w:val="000000" w:themeColor="text1"/>
          <w:sz w:val="32"/>
          <w:szCs w:val="32"/>
          <w14:textFill>
            <w14:solidFill>
              <w14:schemeClr w14:val="tx1"/>
            </w14:solidFill>
          </w14:textFill>
        </w:rPr>
        <w:t>市</w:t>
      </w:r>
      <w:r>
        <w:rPr>
          <w:rFonts w:ascii="仿宋" w:hAnsi="仿宋" w:eastAsia="仿宋"/>
          <w:color w:val="000000" w:themeColor="text1"/>
          <w:sz w:val="32"/>
          <w:szCs w:val="32"/>
          <w14:textFill>
            <w14:solidFill>
              <w14:schemeClr w14:val="tx1"/>
            </w14:solidFill>
          </w14:textFill>
        </w:rPr>
        <w:t>区内补助</w:t>
      </w:r>
      <w:r>
        <w:rPr>
          <w:rFonts w:hint="eastAsia" w:ascii="仿宋" w:hAnsi="仿宋" w:eastAsia="仿宋"/>
          <w:color w:val="000000" w:themeColor="text1"/>
          <w:sz w:val="32"/>
          <w:szCs w:val="32"/>
          <w14:textFill>
            <w14:solidFill>
              <w14:schemeClr w14:val="tx1"/>
            </w14:solidFill>
          </w14:textFill>
        </w:rPr>
        <w:t>资金的设立与统筹保障，将补助资金纳入本级财政年度预算。</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区人民政府是本辖区历史建筑修缮补助工作的责任主体，组织住建、区财政、区文旅、区自然资源、区国有资产管理相关单位等部门开展本辖区补助政策实施细则制定、申请受理、初审复核、技术审查、项目公示、资金拨付、全过程监管、绩效评价、档案管理等全流程工作。</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乡镇人民政府、街道办事处负责本辖区历史建筑修缮申请材料的初审与报送 、定期巡查修缮工程进度及质量 、配合区级部门开展修缮方案技术审查、对归档修缮过程资料进行档案管理。</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第六条</w:t>
      </w:r>
      <w:r>
        <w:rPr>
          <w:rFonts w:hint="eastAsia" w:ascii="仿宋" w:hAnsi="仿宋" w:eastAsia="仿宋"/>
          <w:color w:val="000000" w:themeColor="text1"/>
          <w:sz w:val="32"/>
          <w:szCs w:val="32"/>
          <w14:textFill>
            <w14:solidFill>
              <w14:schemeClr w14:val="tx1"/>
            </w14:solidFill>
          </w14:textFill>
        </w:rPr>
        <w:t xml:space="preserve"> 市、区财政部门会同同级住房和城乡建设部门</w:t>
      </w:r>
      <w:r>
        <w:rPr>
          <w:rFonts w:ascii="仿宋" w:hAnsi="仿宋" w:eastAsia="仿宋"/>
          <w:color w:val="000000" w:themeColor="text1"/>
          <w:sz w:val="32"/>
          <w:szCs w:val="32"/>
          <w14:textFill>
            <w14:solidFill>
              <w14:schemeClr w14:val="tx1"/>
            </w14:solidFill>
          </w14:textFill>
        </w:rPr>
        <w:t>统筹协调</w:t>
      </w:r>
      <w:r>
        <w:rPr>
          <w:rFonts w:hint="eastAsia" w:ascii="仿宋" w:hAnsi="仿宋" w:eastAsia="仿宋"/>
          <w:color w:val="000000" w:themeColor="text1"/>
          <w:sz w:val="32"/>
          <w:szCs w:val="32"/>
          <w14:textFill>
            <w14:solidFill>
              <w14:schemeClr w14:val="tx1"/>
            </w14:solidFill>
          </w14:textFill>
        </w:rPr>
        <w:t>，管理指导</w:t>
      </w:r>
      <w:r>
        <w:rPr>
          <w:rFonts w:ascii="仿宋" w:hAnsi="仿宋" w:eastAsia="仿宋"/>
          <w:color w:val="000000" w:themeColor="text1"/>
          <w:sz w:val="32"/>
          <w:szCs w:val="32"/>
          <w14:textFill>
            <w14:solidFill>
              <w14:schemeClr w14:val="tx1"/>
            </w14:solidFill>
          </w14:textFill>
        </w:rPr>
        <w:t>历史建筑修缮补助</w:t>
      </w:r>
      <w:r>
        <w:rPr>
          <w:rFonts w:hint="eastAsia" w:ascii="仿宋" w:hAnsi="仿宋" w:eastAsia="仿宋"/>
          <w:color w:val="000000" w:themeColor="text1"/>
          <w:sz w:val="32"/>
          <w:szCs w:val="32"/>
          <w14:textFill>
            <w14:solidFill>
              <w14:schemeClr w14:val="tx1"/>
            </w14:solidFill>
          </w14:textFill>
        </w:rPr>
        <w:t>工作，负责组织实施本办法。</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工业和信息化、交通运输、水务、农业农村、林草等部门按照本办法，按照各自职责做好历史建筑修缮补助相关工作。</w:t>
      </w:r>
    </w:p>
    <w:p>
      <w:pPr>
        <w:snapToGrid w:val="0"/>
        <w:spacing w:line="560" w:lineRule="exact"/>
        <w:jc w:val="center"/>
        <w:rPr>
          <w:rFonts w:hint="eastAsia" w:ascii="仿宋" w:hAnsi="仿宋" w:eastAsia="仿宋"/>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第二章 补助对象、范围与标准</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七</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补助对象为经市人民政府认定公布的历史建筑的保护责任人，其中历史建筑所有权人为法定第一保护责任人。补助资金专项用于保护责任人履行修缮义务产生的修缮工程支出。</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非国有历史建筑保护责任人承担修缮费用存在资金困难的，可依照本办法向项目所在区级财政部门申请修缮补助。国有历史建筑的修缮，由产权单位按照国有资产管理与预算管理规定，将修缮费用纳入本单位年度部门预算予以保障；确需申请专项补助的，由产权单位会同行业主管部门按程序报批。</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补助申请主体按以下规则确定：</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（一）历史建筑出租使用的，承租人需提交所有权人出具的、明确约定修缮义务与补助资金归属的书面文件，方可作为申请主体；</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（二）多产权历史建筑，由全体保护责任人联合申请，共同委托一方作为办理主体，补助资金按产权份额书面约定分配；</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（三）两栋及以上独立产权建筑被公布为一处历史建筑的，单栋建筑产权清晰、修缮范围明确的，可由单栋建筑保护责任人单独申请，补助资金按修缮建筑面积占比核定发放；</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（四）公私混合产权历史建筑，需提交国有产权单位出具的修缮方案认可函、补助资金使用监管意见、产权份额确认文件后，由非国有产权保护责任人按产权面积比例申请补助。</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八</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补助范围主要包括以下与历史建筑本体保护直接相关的工程支出：</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ascii="仿宋" w:hAnsi="仿宋" w:eastAsia="仿宋"/>
          <w:color w:val="000000" w:themeColor="text1"/>
          <w:sz w:val="32"/>
          <w:szCs w:val="32"/>
          <w14:textFill>
            <w14:solidFill>
              <w14:schemeClr w14:val="tx1"/>
            </w14:solidFill>
          </w14:textFill>
        </w:rPr>
        <w:t>对历史建筑存在安全隐患的结构体系（如屋架、梁柱、墙体等）进行的抢险加固和修缮；</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ascii="仿宋" w:hAnsi="仿宋" w:eastAsia="仿宋"/>
          <w:color w:val="000000" w:themeColor="text1"/>
          <w:sz w:val="32"/>
          <w:szCs w:val="32"/>
          <w14:textFill>
            <w14:solidFill>
              <w14:schemeClr w14:val="tx1"/>
            </w14:solidFill>
          </w14:textFill>
        </w:rPr>
        <w:t>对体现历史风貌特色的部位（如屋顶、墙面、门窗、装饰构件等）进行的修复；</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（三）为保障基本使用功能且与历史风貌相协调的必要的设备设施更新（如水电、消防、安防系统）</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b/>
          <w:bCs/>
          <w:color w:val="000000" w:themeColor="text1"/>
          <w:sz w:val="32"/>
          <w:szCs w:val="32"/>
          <w14:textFill>
            <w14:solidFill>
              <w14:schemeClr w14:val="tx1"/>
            </w14:solidFill>
          </w14:textFill>
        </w:rPr>
        <w:t xml:space="preserve">    第九条 </w:t>
      </w:r>
      <w:r>
        <w:rPr>
          <w:rFonts w:hint="eastAsia" w:ascii="仿宋" w:hAnsi="仿宋" w:eastAsia="仿宋"/>
          <w:color w:val="000000" w:themeColor="text1"/>
          <w:sz w:val="32"/>
          <w:szCs w:val="32"/>
          <w14:textFill>
            <w14:solidFill>
              <w14:schemeClr w14:val="tx1"/>
            </w14:solidFill>
          </w14:textFill>
        </w:rPr>
        <w:t>有下列情形之一的，不予补助：</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（一）与历史建筑本体保护无关的新建、扩建、改建项目；</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同一历史建筑已申领抢救修缮类补助资金的十年内不得重复申请补助资金，因不可抗力造成历史建筑损坏或面临损毁危险的除外。补助申领成功当年及后续两年内不能申领日常维护类补助资金</w:t>
      </w:r>
      <w:r>
        <w:rPr>
          <w:rFonts w:ascii="仿宋" w:hAnsi="仿宋" w:eastAsia="仿宋"/>
          <w:color w:val="000000" w:themeColor="text1"/>
          <w:sz w:val="32"/>
          <w:szCs w:val="32"/>
          <w14:textFill>
            <w14:solidFill>
              <w14:schemeClr w14:val="tx1"/>
            </w14:solidFill>
          </w14:textFill>
        </w:rPr>
        <w:t>；</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（三）日常保洁、普通物业费用</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应由物业管理或由相关单位负责的日常养护；</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（四）因违法建设导致需要拆除、修复的费用。</w:t>
      </w:r>
    </w:p>
    <w:p>
      <w:pPr>
        <w:pStyle w:val="2"/>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十</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补助标准根据修缮性质、工程造价和保护等级等因素综合确定，采用“分级分类、定额与比例相结合”的方式。</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（一）日常维护类：对定期进行的</w:t>
      </w:r>
      <w:r>
        <w:rPr>
          <w:rFonts w:hint="eastAsia" w:ascii="仿宋" w:hAnsi="仿宋" w:eastAsia="仿宋"/>
          <w:color w:val="000000" w:themeColor="text1"/>
          <w:sz w:val="32"/>
          <w:szCs w:val="32"/>
          <w14:textFill>
            <w14:solidFill>
              <w14:schemeClr w14:val="tx1"/>
            </w14:solidFill>
          </w14:textFill>
        </w:rPr>
        <w:t>日常维护、防渗防潮防蛀、修补门窗、维护消防与防灾设施、维护结构构件等零星修缮工程</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按年度给予定额补助，具体补助标准与定额上限由区财政部门制定，报市财政局备案后实施。</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抢救修缮类</w:t>
      </w:r>
      <w:r>
        <w:rPr>
          <w:rFonts w:ascii="仿宋" w:hAnsi="仿宋" w:eastAsia="仿宋"/>
          <w:color w:val="000000" w:themeColor="text1"/>
          <w:sz w:val="32"/>
          <w:szCs w:val="32"/>
          <w14:textFill>
            <w14:solidFill>
              <w14:schemeClr w14:val="tx1"/>
            </w14:solidFill>
          </w14:textFill>
        </w:rPr>
        <w:t>：</w:t>
      </w:r>
    </w:p>
    <w:p>
      <w:pPr>
        <w:snapToGrid w:val="0"/>
        <w:spacing w:line="560" w:lineRule="exact"/>
        <w:ind w:left="-18" w:leftChars="-8"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抢险加固工程：对排除重大安全隐患的抢险加固工程，补助额度</w:t>
      </w:r>
      <w:r>
        <w:rPr>
          <w:rFonts w:hint="eastAsia" w:ascii="仿宋" w:hAnsi="仿宋" w:eastAsia="仿宋"/>
          <w:color w:val="000000" w:themeColor="text1"/>
          <w:sz w:val="32"/>
          <w:szCs w:val="32"/>
          <w14:textFill>
            <w14:solidFill>
              <w14:schemeClr w14:val="tx1"/>
            </w14:solidFill>
          </w14:textFill>
        </w:rPr>
        <w:t>为</w:t>
      </w:r>
      <w:r>
        <w:rPr>
          <w:rFonts w:ascii="仿宋" w:hAnsi="仿宋" w:eastAsia="仿宋"/>
          <w:color w:val="000000" w:themeColor="text1"/>
          <w:sz w:val="32"/>
          <w:szCs w:val="32"/>
          <w14:textFill>
            <w14:solidFill>
              <w14:schemeClr w14:val="tx1"/>
            </w14:solidFill>
          </w14:textFill>
        </w:rPr>
        <w:t>工程审定造价的80%，补助总额原则上不超过50万元。</w:t>
      </w:r>
    </w:p>
    <w:p>
      <w:pPr>
        <w:snapToGrid w:val="0"/>
        <w:spacing w:line="560" w:lineRule="exact"/>
        <w:ind w:left="-18" w:leftChars="-8"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重点修缮工程：对恢复历史风貌、修复特色部位的重点修缮工程，补助额度</w:t>
      </w:r>
      <w:r>
        <w:rPr>
          <w:rFonts w:hint="eastAsia" w:ascii="仿宋" w:hAnsi="仿宋" w:eastAsia="仿宋"/>
          <w:color w:val="000000" w:themeColor="text1"/>
          <w:sz w:val="32"/>
          <w:szCs w:val="32"/>
          <w14:textFill>
            <w14:solidFill>
              <w14:schemeClr w14:val="tx1"/>
            </w14:solidFill>
          </w14:textFill>
        </w:rPr>
        <w:t>为</w:t>
      </w:r>
      <w:r>
        <w:rPr>
          <w:rFonts w:ascii="仿宋" w:hAnsi="仿宋" w:eastAsia="仿宋"/>
          <w:color w:val="000000" w:themeColor="text1"/>
          <w:sz w:val="32"/>
          <w:szCs w:val="32"/>
          <w14:textFill>
            <w14:solidFill>
              <w14:schemeClr w14:val="tx1"/>
            </w14:solidFill>
          </w14:textFill>
        </w:rPr>
        <w:t>工程审定造价的50%，补助总额原则上不超过30万元。</w:t>
      </w:r>
    </w:p>
    <w:p>
      <w:pPr>
        <w:snapToGrid w:val="0"/>
        <w:spacing w:line="560" w:lineRule="exact"/>
        <w:ind w:left="-18" w:leftChars="-8"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一般性修缮工程：对维护建筑安全、</w:t>
      </w:r>
      <w:r>
        <w:rPr>
          <w:rFonts w:hint="eastAsia" w:ascii="仿宋" w:hAnsi="仿宋" w:eastAsia="仿宋"/>
          <w:color w:val="000000" w:themeColor="text1"/>
          <w:sz w:val="32"/>
          <w:szCs w:val="32"/>
          <w14:textFill>
            <w14:solidFill>
              <w14:schemeClr w14:val="tx1"/>
            </w14:solidFill>
          </w14:textFill>
        </w:rPr>
        <w:t>更新改造基础设施</w:t>
      </w:r>
      <w:r>
        <w:rPr>
          <w:rFonts w:ascii="仿宋" w:hAnsi="仿宋" w:eastAsia="仿宋"/>
          <w:color w:val="000000" w:themeColor="text1"/>
          <w:sz w:val="32"/>
          <w:szCs w:val="32"/>
          <w14:textFill>
            <w14:solidFill>
              <w14:schemeClr w14:val="tx1"/>
            </w14:solidFill>
          </w14:textFill>
        </w:rPr>
        <w:t>的修缮工程，补助额度</w:t>
      </w:r>
      <w:r>
        <w:rPr>
          <w:rFonts w:hint="eastAsia" w:ascii="仿宋" w:hAnsi="仿宋" w:eastAsia="仿宋"/>
          <w:color w:val="000000" w:themeColor="text1"/>
          <w:sz w:val="32"/>
          <w:szCs w:val="32"/>
          <w14:textFill>
            <w14:solidFill>
              <w14:schemeClr w14:val="tx1"/>
            </w14:solidFill>
          </w14:textFill>
        </w:rPr>
        <w:t>为</w:t>
      </w:r>
      <w:r>
        <w:rPr>
          <w:rFonts w:ascii="仿宋" w:hAnsi="仿宋" w:eastAsia="仿宋"/>
          <w:color w:val="000000" w:themeColor="text1"/>
          <w:sz w:val="32"/>
          <w:szCs w:val="32"/>
          <w14:textFill>
            <w14:solidFill>
              <w14:schemeClr w14:val="tx1"/>
            </w14:solidFill>
          </w14:textFill>
        </w:rPr>
        <w:t>工程审定造价的30%，补助总额原则上不超过20万元。</w:t>
      </w:r>
    </w:p>
    <w:p>
      <w:pPr>
        <w:snapToGrid w:val="0"/>
        <w:spacing w:line="560" w:lineRule="exact"/>
        <w:ind w:left="-18" w:leftChars="-8"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（三）对具有特别重要历史、艺术、科学价值，或列为市级重点保护示范项目的历史建筑，经市人民政府批准，可适当提高补助比例和上限。</w:t>
      </w:r>
      <w:r>
        <w:rPr>
          <w:rFonts w:hint="eastAsia" w:ascii="仿宋" w:hAnsi="仿宋" w:eastAsia="仿宋"/>
          <w:color w:val="000000" w:themeColor="text1"/>
          <w:sz w:val="32"/>
          <w:szCs w:val="32"/>
          <w14:textFill>
            <w14:solidFill>
              <w14:schemeClr w14:val="tx1"/>
            </w14:solidFill>
          </w14:textFill>
        </w:rPr>
        <w:t>对于国有历史建筑，可由行业主管部门向市、区政府请示，补助比例、额度一事一议。</w:t>
      </w:r>
    </w:p>
    <w:p>
      <w:pPr>
        <w:snapToGrid w:val="0"/>
        <w:spacing w:line="560" w:lineRule="exact"/>
        <w:jc w:val="center"/>
        <w:rPr>
          <w:rFonts w:hint="eastAsia"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第三章 申请与审批程序</w:t>
      </w:r>
    </w:p>
    <w:p>
      <w:pPr>
        <w:snapToGrid w:val="0"/>
        <w:spacing w:line="560" w:lineRule="exact"/>
        <w:ind w:firstLine="643" w:firstLineChars="200"/>
        <w:rPr>
          <w:rFonts w:ascii="Calibri" w:hAnsi="Calibri" w:eastAsia="仿宋" w:cs="Calibri"/>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十一</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历史建筑修缮补助的申请程序如下：</w:t>
      </w:r>
    </w:p>
    <w:p>
      <w:pPr>
        <w:snapToGrid w:val="0"/>
        <w:spacing w:line="560" w:lineRule="exact"/>
        <w:ind w:firstLine="640" w:firstLineChars="200"/>
        <w:rPr>
          <w:rFonts w:ascii="Calibri" w:hAnsi="Calibri" w:eastAsia="仿宋" w:cs="Calibri"/>
          <w:color w:val="000000" w:themeColor="text1"/>
          <w:sz w:val="32"/>
          <w:szCs w:val="32"/>
          <w14:textFill>
            <w14:solidFill>
              <w14:schemeClr w14:val="tx1"/>
            </w14:solidFill>
          </w14:textFill>
        </w:rPr>
      </w:pPr>
      <w:r>
        <w:rPr>
          <w:rFonts w:hint="eastAsia" w:ascii="Calibri" w:hAnsi="Calibri" w:eastAsia="仿宋" w:cs="Calibri"/>
          <w:color w:val="000000" w:themeColor="text1"/>
          <w:sz w:val="32"/>
          <w:szCs w:val="32"/>
          <w14:textFill>
            <w14:solidFill>
              <w14:schemeClr w14:val="tx1"/>
            </w14:solidFill>
          </w14:textFill>
        </w:rPr>
        <w:t>（一）事前咨询与技术指导：保护责任人在编制修缮计划前，应当向项目所在地区级住房和城乡建设部门咨询，获取历史建筑保护技术要求、补助申请指引与法定程序告知。</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（二）方案编制与审批：</w:t>
      </w:r>
      <w:r>
        <w:rPr>
          <w:rFonts w:hint="eastAsia" w:ascii="仿宋" w:hAnsi="仿宋" w:eastAsia="仿宋"/>
          <w:color w:val="000000" w:themeColor="text1"/>
          <w:sz w:val="32"/>
          <w:szCs w:val="32"/>
          <w14:textFill>
            <w14:solidFill>
              <w14:schemeClr w14:val="tx1"/>
            </w14:solidFill>
          </w14:textFill>
        </w:rPr>
        <w:t>抢救修缮类工程，保护责任人必须委托具备相应文物保护工程勘察设计资质的单位编制《历史建筑修缮设计方案》；日常维护类工程，保护责任人具备施工能力的，可在区级住房和城乡建设部门技术指导下编制简易修缮方案，不具备施工能力的，应当委托具备相应资质的单位编制方案。</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修缮方案编制完成后，由区级住房和城乡建设部门牵头，会同区文旅、自然资源、</w:t>
      </w:r>
      <w:r>
        <w:rPr>
          <w:rFonts w:ascii="仿宋" w:hAnsi="仿宋" w:eastAsia="仿宋"/>
          <w:color w:val="000000" w:themeColor="text1"/>
          <w:sz w:val="32"/>
          <w:szCs w:val="32"/>
          <w14:textFill>
            <w14:solidFill>
              <w14:schemeClr w14:val="tx1"/>
            </w14:solidFill>
          </w14:textFill>
        </w:rPr>
        <w:t>区国有资产管理相关单位</w:t>
      </w:r>
      <w:bookmarkStart w:id="0" w:name="_GoBack"/>
      <w:bookmarkEnd w:id="0"/>
      <w:r>
        <w:rPr>
          <w:rFonts w:hint="eastAsia" w:ascii="仿宋" w:hAnsi="仿宋" w:eastAsia="仿宋"/>
          <w:color w:val="000000" w:themeColor="text1"/>
          <w:sz w:val="32"/>
          <w:szCs w:val="32"/>
          <w14:textFill>
            <w14:solidFill>
              <w14:schemeClr w14:val="tx1"/>
            </w14:solidFill>
          </w14:textFill>
        </w:rPr>
        <w:t>等部门开展联合技术审查。方案未经审批通过的，不得开工建设，不得申请补助资金。</w:t>
      </w:r>
    </w:p>
    <w:p>
      <w:pPr>
        <w:pStyle w:val="2"/>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（三）保护责任人应当于每年</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日前，向区级住房和城乡建设部门提交下一年度修缮项目预申报材料，区级住房和城乡建设部门会同区财政部门审核后，纳入下一年度补助资金预算，未纳入年度预算的项目原则上不予安排补助资金。</w:t>
      </w:r>
    </w:p>
    <w:p>
      <w:pPr>
        <w:pStyle w:val="2"/>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w:t>
      </w:r>
      <w:r>
        <w:rPr>
          <w:rFonts w:ascii="仿宋" w:hAnsi="仿宋" w:eastAsia="仿宋"/>
          <w:color w:val="000000" w:themeColor="text1"/>
          <w:sz w:val="32"/>
          <w:szCs w:val="32"/>
          <w14:textFill>
            <w14:solidFill>
              <w14:schemeClr w14:val="tx1"/>
            </w14:solidFill>
          </w14:textFill>
        </w:rPr>
        <w:t>项目申报：在修缮方案获批</w:t>
      </w:r>
      <w:r>
        <w:rPr>
          <w:rFonts w:hint="eastAsia" w:ascii="仿宋" w:hAnsi="仿宋" w:eastAsia="仿宋"/>
          <w:color w:val="000000" w:themeColor="text1"/>
          <w:sz w:val="32"/>
          <w:szCs w:val="32"/>
          <w14:textFill>
            <w14:solidFill>
              <w14:schemeClr w14:val="tx1"/>
            </w14:solidFill>
          </w14:textFill>
        </w:rPr>
        <w:t>、完成项目预算入库后</w:t>
      </w:r>
      <w:r>
        <w:rPr>
          <w:rFonts w:ascii="仿宋" w:hAnsi="仿宋" w:eastAsia="仿宋"/>
          <w:color w:val="000000" w:themeColor="text1"/>
          <w:sz w:val="32"/>
          <w:szCs w:val="32"/>
          <w14:textFill>
            <w14:solidFill>
              <w14:schemeClr w14:val="tx1"/>
            </w14:solidFill>
          </w14:textFill>
        </w:rPr>
        <w:t>，保护责任人可填报《朝阳市历史建筑修缮补助</w:t>
      </w:r>
      <w:r>
        <w:rPr>
          <w:rFonts w:hint="eastAsia" w:ascii="仿宋" w:hAnsi="仿宋" w:eastAsia="仿宋"/>
          <w:color w:val="000000" w:themeColor="text1"/>
          <w:sz w:val="32"/>
          <w:szCs w:val="32"/>
          <w14:textFill>
            <w14:solidFill>
              <w14:schemeClr w14:val="tx1"/>
            </w14:solidFill>
          </w14:textFill>
        </w:rPr>
        <w:t>资金</w:t>
      </w:r>
      <w:r>
        <w:rPr>
          <w:rFonts w:ascii="仿宋" w:hAnsi="仿宋" w:eastAsia="仿宋"/>
          <w:color w:val="000000" w:themeColor="text1"/>
          <w:sz w:val="32"/>
          <w:szCs w:val="32"/>
          <w14:textFill>
            <w14:solidFill>
              <w14:schemeClr w14:val="tx1"/>
            </w14:solidFill>
          </w14:textFill>
        </w:rPr>
        <w:t>申请表》，并提交以下材料：</w:t>
      </w:r>
    </w:p>
    <w:p>
      <w:pPr>
        <w:snapToGrid w:val="0"/>
        <w:spacing w:line="560" w:lineRule="exact"/>
        <w:ind w:left="720" w:firstLine="128" w:firstLineChars="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申请人的身份证明文件及产权证明；</w:t>
      </w:r>
    </w:p>
    <w:p>
      <w:pPr>
        <w:snapToGrid w:val="0"/>
        <w:spacing w:line="560" w:lineRule="exact"/>
        <w:ind w:left="720" w:firstLine="128" w:firstLineChars="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获批的《历史建筑修缮设计方案》及工程预算书；</w:t>
      </w:r>
    </w:p>
    <w:p>
      <w:pPr>
        <w:snapToGrid w:val="0"/>
        <w:spacing w:line="560" w:lineRule="exact"/>
        <w:ind w:left="720" w:firstLine="128" w:firstLineChars="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施工合同、施工单位资质证明；</w:t>
      </w:r>
    </w:p>
    <w:p>
      <w:pPr>
        <w:snapToGrid w:val="0"/>
        <w:spacing w:line="560" w:lineRule="exact"/>
        <w:ind w:left="720" w:firstLine="128" w:firstLineChars="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资金筹措方案证明；</w:t>
      </w:r>
    </w:p>
    <w:p>
      <w:pPr>
        <w:snapToGrid w:val="0"/>
        <w:spacing w:line="560" w:lineRule="exact"/>
        <w:ind w:left="720" w:firstLine="128" w:firstLineChars="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其他需要提供的材料。</w:t>
      </w:r>
    </w:p>
    <w:p>
      <w:pPr>
        <w:adjustRightInd w:val="0"/>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第十</w:t>
      </w:r>
      <w:r>
        <w:rPr>
          <w:rFonts w:hint="eastAsia" w:ascii="仿宋" w:hAnsi="仿宋" w:eastAsia="仿宋"/>
          <w:b/>
          <w:bCs/>
          <w:color w:val="000000" w:themeColor="text1"/>
          <w:sz w:val="32"/>
          <w:szCs w:val="32"/>
          <w14:textFill>
            <w14:solidFill>
              <w14:schemeClr w14:val="tx1"/>
            </w14:solidFill>
          </w14:textFill>
        </w:rPr>
        <w:t>二</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补助申请审批程序如下：</w:t>
      </w:r>
    </w:p>
    <w:p>
      <w:pPr>
        <w:numPr>
          <w:ilvl w:val="0"/>
          <w:numId w:val="1"/>
        </w:numPr>
        <w:adjustRightInd w:val="0"/>
        <w:snapToGrid w:val="0"/>
        <w:spacing w:after="0"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初审</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区级住房和城乡建设部门收到完整申请材料后，在15个工作日内完成现场核查、材料初审，出具初审意见。初审不通过的，应当一次性书面告知申请人补正材料或不予受理的理由、陈述申辩权利。</w:t>
      </w:r>
    </w:p>
    <w:p>
      <w:pPr>
        <w:adjustRightInd w:val="0"/>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w:t>
      </w:r>
      <w:r>
        <w:rPr>
          <w:rFonts w:ascii="仿宋" w:hAnsi="仿宋" w:eastAsia="仿宋"/>
          <w:b/>
          <w:bCs/>
          <w:color w:val="000000" w:themeColor="text1"/>
          <w:sz w:val="32"/>
          <w:szCs w:val="32"/>
          <w14:textFill>
            <w14:solidFill>
              <w14:schemeClr w14:val="tx1"/>
            </w14:solidFill>
          </w14:textFill>
        </w:rPr>
        <w:t>联合审核</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区级住房和城乡建设部门会同</w:t>
      </w:r>
      <w:r>
        <w:rPr>
          <w:rFonts w:ascii="仿宋" w:hAnsi="仿宋" w:eastAsia="仿宋"/>
          <w:color w:val="000000" w:themeColor="text1"/>
          <w:sz w:val="32"/>
          <w:szCs w:val="32"/>
          <w14:textFill>
            <w14:solidFill>
              <w14:schemeClr w14:val="tx1"/>
            </w14:solidFill>
          </w14:textFill>
        </w:rPr>
        <w:t>区财</w:t>
      </w:r>
      <w:r>
        <w:rPr>
          <w:rFonts w:hint="eastAsia" w:ascii="仿宋" w:hAnsi="仿宋" w:eastAsia="仿宋"/>
          <w:color w:val="000000" w:themeColor="text1"/>
          <w:sz w:val="32"/>
          <w:szCs w:val="32"/>
          <w14:textFill>
            <w14:solidFill>
              <w14:schemeClr w14:val="tx1"/>
            </w14:solidFill>
          </w14:textFill>
        </w:rPr>
        <w:t>政、文旅部门，</w:t>
      </w:r>
      <w:r>
        <w:rPr>
          <w:rFonts w:ascii="仿宋" w:hAnsi="仿宋" w:eastAsia="仿宋"/>
          <w:color w:val="000000" w:themeColor="text1"/>
          <w:sz w:val="32"/>
          <w:szCs w:val="32"/>
          <w14:textFill>
            <w14:solidFill>
              <w14:schemeClr w14:val="tx1"/>
            </w14:solidFill>
          </w14:textFill>
        </w:rPr>
        <w:t>对项目的必要性、可行性、资金预算合理性进行联合审核</w:t>
      </w:r>
      <w:r>
        <w:rPr>
          <w:rFonts w:hint="eastAsia" w:ascii="仿宋" w:hAnsi="仿宋" w:eastAsia="仿宋"/>
          <w:color w:val="000000" w:themeColor="text1"/>
          <w:sz w:val="32"/>
          <w:szCs w:val="32"/>
          <w14:textFill>
            <w14:solidFill>
              <w14:schemeClr w14:val="tx1"/>
            </w14:solidFill>
          </w14:textFill>
        </w:rPr>
        <w:t>，形成复审意见并及时报送市住建局和财政局。</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b/>
          <w:bCs/>
          <w:color w:val="000000" w:themeColor="text1"/>
          <w:sz w:val="32"/>
          <w:szCs w:val="32"/>
          <w14:textFill>
            <w14:solidFill>
              <w14:schemeClr w14:val="tx1"/>
            </w14:solidFill>
          </w14:textFill>
        </w:rPr>
        <w:t>（三）公示：</w:t>
      </w:r>
      <w:r>
        <w:rPr>
          <w:rFonts w:ascii="仿宋" w:hAnsi="仿宋" w:eastAsia="仿宋"/>
          <w:color w:val="000000" w:themeColor="text1"/>
          <w:sz w:val="32"/>
          <w:szCs w:val="32"/>
          <w14:textFill>
            <w14:solidFill>
              <w14:schemeClr w14:val="tx1"/>
            </w14:solidFill>
          </w14:textFill>
        </w:rPr>
        <w:t>审核通过的项目，在区人民政府门户网站进行公示，公示期不少于7个工作日。</w:t>
      </w:r>
      <w:r>
        <w:rPr>
          <w:rFonts w:hint="eastAsia" w:ascii="仿宋" w:hAnsi="仿宋" w:eastAsia="仿宋"/>
          <w:color w:val="000000" w:themeColor="text1"/>
          <w:sz w:val="32"/>
          <w:szCs w:val="32"/>
          <w14:textFill>
            <w14:solidFill>
              <w14:schemeClr w14:val="tx1"/>
            </w14:solidFill>
          </w14:textFill>
        </w:rPr>
        <w:t>公示内容应当包括项目名称、申请人、历史建筑地址、修缮内容、拟补助金额、异议反馈方式与时限。</w:t>
      </w:r>
    </w:p>
    <w:p>
      <w:pPr>
        <w:adjustRightInd w:val="0"/>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（四）批复与备案：</w:t>
      </w:r>
      <w:r>
        <w:rPr>
          <w:rFonts w:ascii="仿宋" w:hAnsi="仿宋" w:eastAsia="仿宋"/>
          <w:color w:val="000000" w:themeColor="text1"/>
          <w:sz w:val="32"/>
          <w:szCs w:val="32"/>
          <w14:textFill>
            <w14:solidFill>
              <w14:schemeClr w14:val="tx1"/>
            </w14:solidFill>
          </w14:textFill>
        </w:rPr>
        <w:t>公示无异议后，</w:t>
      </w:r>
      <w:r>
        <w:rPr>
          <w:rFonts w:hint="eastAsia" w:ascii="仿宋" w:hAnsi="仿宋" w:eastAsia="仿宋"/>
          <w:color w:val="000000" w:themeColor="text1"/>
          <w:sz w:val="32"/>
          <w:szCs w:val="32"/>
          <w14:textFill>
            <w14:solidFill>
              <w14:schemeClr w14:val="tx1"/>
            </w14:solidFill>
          </w14:textFill>
        </w:rPr>
        <w:t>由区住房和城乡建设部门会同区财政部门下达补助计划批复文件，明确修缮要求、补助标准、资金拨付条件、监管责任，</w:t>
      </w:r>
      <w:r>
        <w:rPr>
          <w:rFonts w:ascii="仿宋" w:hAnsi="仿宋" w:eastAsia="仿宋"/>
          <w:color w:val="000000" w:themeColor="text1"/>
          <w:sz w:val="32"/>
          <w:szCs w:val="32"/>
          <w14:textFill>
            <w14:solidFill>
              <w14:schemeClr w14:val="tx1"/>
            </w14:solidFill>
          </w14:textFill>
        </w:rPr>
        <w:t>并报</w:t>
      </w:r>
      <w:r>
        <w:rPr>
          <w:rFonts w:hint="eastAsia" w:ascii="仿宋" w:hAnsi="仿宋" w:eastAsia="仿宋"/>
          <w:color w:val="000000" w:themeColor="text1"/>
          <w:sz w:val="32"/>
          <w:szCs w:val="32"/>
          <w14:textFill>
            <w14:solidFill>
              <w14:schemeClr w14:val="tx1"/>
            </w14:solidFill>
          </w14:textFill>
        </w:rPr>
        <w:t>上级相关主管部门</w:t>
      </w:r>
      <w:r>
        <w:rPr>
          <w:rFonts w:ascii="仿宋" w:hAnsi="仿宋" w:eastAsia="仿宋"/>
          <w:color w:val="000000" w:themeColor="text1"/>
          <w:sz w:val="32"/>
          <w:szCs w:val="32"/>
          <w14:textFill>
            <w14:solidFill>
              <w14:schemeClr w14:val="tx1"/>
            </w14:solidFill>
          </w14:textFill>
        </w:rPr>
        <w:t>备案。</w:t>
      </w:r>
    </w:p>
    <w:p>
      <w:pPr>
        <w:adjustRightInd w:val="0"/>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w:t>
      </w:r>
      <w:r>
        <w:rPr>
          <w:rFonts w:hint="eastAsia" w:ascii="仿宋_GB2312" w:hAnsi="Arial" w:eastAsia="仿宋_GB2312" w:cs="Arial"/>
          <w:color w:val="000000" w:themeColor="text1"/>
          <w:sz w:val="32"/>
          <w:szCs w:val="32"/>
          <w14:textFill>
            <w14:solidFill>
              <w14:schemeClr w14:val="tx1"/>
            </w14:solidFill>
          </w14:textFill>
        </w:rPr>
        <w:t>审批过程中由财政部门进行全过程监督。</w:t>
      </w:r>
    </w:p>
    <w:p>
      <w:pPr>
        <w:snapToGrid w:val="0"/>
        <w:spacing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第四章 资金拨付与项目管理</w:t>
      </w:r>
    </w:p>
    <w:p>
      <w:pPr>
        <w:snapToGrid w:val="0"/>
        <w:spacing w:line="560" w:lineRule="exact"/>
        <w:ind w:firstLine="643" w:firstLineChars="200"/>
        <w:rPr>
          <w:rFonts w:ascii="Calibri" w:hAnsi="Calibri" w:eastAsia="仿宋" w:cs="Calibri"/>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第十</w:t>
      </w:r>
      <w:r>
        <w:rPr>
          <w:rFonts w:hint="eastAsia" w:ascii="仿宋" w:hAnsi="仿宋" w:eastAsia="仿宋"/>
          <w:b/>
          <w:bCs/>
          <w:color w:val="000000" w:themeColor="text1"/>
          <w:sz w:val="32"/>
          <w:szCs w:val="32"/>
          <w14:textFill>
            <w14:solidFill>
              <w14:schemeClr w14:val="tx1"/>
            </w14:solidFill>
          </w14:textFill>
        </w:rPr>
        <w:t>三</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项目竣工验收合格后，由区</w:t>
      </w:r>
      <w:r>
        <w:rPr>
          <w:rFonts w:hint="eastAsia" w:ascii="仿宋" w:hAnsi="仿宋" w:eastAsia="仿宋"/>
          <w:color w:val="000000" w:themeColor="text1"/>
          <w:sz w:val="32"/>
          <w:szCs w:val="32"/>
          <w14:textFill>
            <w14:solidFill>
              <w14:schemeClr w14:val="tx1"/>
            </w14:solidFill>
          </w14:textFill>
        </w:rPr>
        <w:t>住房和城乡建设</w:t>
      </w:r>
      <w:r>
        <w:rPr>
          <w:rFonts w:hint="eastAsia" w:ascii="仿宋" w:hAnsi="仿宋" w:eastAsia="仿宋" w:cs="仿宋"/>
          <w:color w:val="000000" w:themeColor="text1"/>
          <w:sz w:val="32"/>
          <w:szCs w:val="32"/>
          <w14:textFill>
            <w14:solidFill>
              <w14:schemeClr w14:val="tx1"/>
            </w14:solidFill>
          </w14:textFill>
        </w:rPr>
        <w:t>部门向区财政部门申请拨付补助资金。补助资金由市、区两级财政各承担 50%。市级财政承担部分，由区财政部门向市财政部门申请结算。</w:t>
      </w:r>
    </w:p>
    <w:p>
      <w:pPr>
        <w:snapToGrid w:val="0"/>
        <w:spacing w:line="560" w:lineRule="exact"/>
        <w:ind w:firstLine="640" w:firstLineChars="200"/>
        <w:rPr>
          <w:rFonts w:ascii="Calibri" w:hAnsi="Calibri" w:eastAsia="仿宋" w:cs="Calibri"/>
          <w:color w:val="000000" w:themeColor="text1"/>
          <w:sz w:val="32"/>
          <w:szCs w:val="32"/>
          <w14:textFill>
            <w14:solidFill>
              <w14:schemeClr w14:val="tx1"/>
            </w14:solidFill>
          </w14:textFill>
        </w:rPr>
      </w:pPr>
      <w:r>
        <w:rPr>
          <w:rFonts w:hint="eastAsia" w:ascii="Calibri" w:hAnsi="Calibri" w:eastAsia="仿宋" w:cs="Calibri"/>
          <w:color w:val="000000" w:themeColor="text1"/>
          <w:sz w:val="32"/>
          <w:szCs w:val="32"/>
          <w14:textFill>
            <w14:solidFill>
              <w14:schemeClr w14:val="tx1"/>
            </w14:solidFill>
          </w14:textFill>
        </w:rPr>
        <w:t>补助资金必须专款专用，直接拨付至修缮工程合同约定的施工单位账户，或申请人与施工单位共同监管的专用账户，严禁截留、挤占、挪用。</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十四</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保护责任人应当严格按照批准的修缮方案组织施工，不得擅自变更设计方案、调整施工内容。确需变更的，</w:t>
      </w:r>
      <w:r>
        <w:rPr>
          <w:rFonts w:ascii="Calibri" w:hAnsi="Calibri" w:eastAsia="仿宋" w:cs="Calibri"/>
          <w:color w:val="000000" w:themeColor="text1"/>
          <w:sz w:val="32"/>
          <w:szCs w:val="32"/>
          <w14:textFill>
            <w14:solidFill>
              <w14:schemeClr w14:val="tx1"/>
            </w14:solidFill>
          </w14:textFill>
        </w:rPr>
        <w:t>重大变更需重新评审造价与补助比例</w:t>
      </w:r>
      <w:r>
        <w:rPr>
          <w:rFonts w:hint="eastAsia" w:ascii="Calibri" w:hAnsi="Calibri" w:eastAsia="仿宋" w:cs="Calibri"/>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并</w:t>
      </w:r>
      <w:r>
        <w:rPr>
          <w:rFonts w:ascii="仿宋" w:hAnsi="仿宋" w:eastAsia="仿宋"/>
          <w:color w:val="000000" w:themeColor="text1"/>
          <w:sz w:val="32"/>
          <w:szCs w:val="32"/>
          <w14:textFill>
            <w14:solidFill>
              <w14:schemeClr w14:val="tx1"/>
            </w14:solidFill>
          </w14:textFill>
        </w:rPr>
        <w:t>报原审批单位批准。</w:t>
      </w:r>
    </w:p>
    <w:p>
      <w:pPr>
        <w:snapToGrid w:val="0"/>
        <w:spacing w:line="560" w:lineRule="exact"/>
        <w:ind w:firstLine="643" w:firstLineChars="200"/>
        <w:rPr>
          <w:rFonts w:ascii="Calibri" w:hAnsi="Calibri" w:eastAsia="仿宋" w:cs="Calibri"/>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第十</w:t>
      </w:r>
      <w:r>
        <w:rPr>
          <w:rFonts w:hint="eastAsia" w:ascii="仿宋" w:hAnsi="仿宋" w:eastAsia="仿宋"/>
          <w:b/>
          <w:bCs/>
          <w:color w:val="000000" w:themeColor="text1"/>
          <w:sz w:val="32"/>
          <w:szCs w:val="32"/>
          <w14:textFill>
            <w14:solidFill>
              <w14:schemeClr w14:val="tx1"/>
            </w14:solidFill>
          </w14:textFill>
        </w:rPr>
        <w:t>五</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 xml:space="preserve"> 修缮工程完工后，保护责任人应当向区</w:t>
      </w:r>
      <w:r>
        <w:rPr>
          <w:rFonts w:hint="eastAsia" w:ascii="仿宋" w:hAnsi="仿宋" w:eastAsia="仿宋"/>
          <w:color w:val="000000" w:themeColor="text1"/>
          <w:sz w:val="32"/>
          <w:szCs w:val="32"/>
          <w14:textFill>
            <w14:solidFill>
              <w14:schemeClr w14:val="tx1"/>
            </w14:solidFill>
          </w14:textFill>
        </w:rPr>
        <w:t>住房和城乡建设</w:t>
      </w:r>
      <w:r>
        <w:rPr>
          <w:rFonts w:hint="eastAsia" w:ascii="Calibri" w:hAnsi="Calibri" w:eastAsia="仿宋" w:cs="Calibri"/>
          <w:color w:val="000000" w:themeColor="text1"/>
          <w:sz w:val="32"/>
          <w:szCs w:val="32"/>
          <w14:textFill>
            <w14:solidFill>
              <w14:schemeClr w14:val="tx1"/>
            </w14:solidFill>
          </w14:textFill>
        </w:rPr>
        <w:t>部门提交竣工验收申请，并提供竣工图及相关影像资料。区</w:t>
      </w:r>
      <w:r>
        <w:rPr>
          <w:rFonts w:hint="eastAsia" w:ascii="仿宋" w:hAnsi="仿宋" w:eastAsia="仿宋"/>
          <w:color w:val="000000" w:themeColor="text1"/>
          <w:sz w:val="32"/>
          <w:szCs w:val="32"/>
          <w14:textFill>
            <w14:solidFill>
              <w14:schemeClr w14:val="tx1"/>
            </w14:solidFill>
          </w14:textFill>
        </w:rPr>
        <w:t>住房和城乡建设</w:t>
      </w:r>
      <w:r>
        <w:rPr>
          <w:rFonts w:hint="eastAsia" w:ascii="Calibri" w:hAnsi="Calibri" w:eastAsia="仿宋" w:cs="Calibri"/>
          <w:color w:val="000000" w:themeColor="text1"/>
          <w:sz w:val="32"/>
          <w:szCs w:val="32"/>
          <w14:textFill>
            <w14:solidFill>
              <w14:schemeClr w14:val="tx1"/>
            </w14:solidFill>
          </w14:textFill>
        </w:rPr>
        <w:t>部门应当在收到申请后组织文旅、自然资源、财政等相关部门及专家开展联合竣工验收，验收标准严格按照国家《历史建筑修缮技术标准》及批准的修缮方案执行。</w:t>
      </w:r>
    </w:p>
    <w:p>
      <w:pPr>
        <w:snapToGrid w:val="0"/>
        <w:spacing w:line="560" w:lineRule="exact"/>
        <w:ind w:firstLine="640" w:firstLineChars="200"/>
        <w:rPr>
          <w:rFonts w:ascii="Calibri" w:hAnsi="Calibri" w:eastAsia="仿宋" w:cs="Calibri"/>
          <w:color w:val="000000" w:themeColor="text1"/>
          <w:sz w:val="32"/>
          <w:szCs w:val="32"/>
          <w14:textFill>
            <w14:solidFill>
              <w14:schemeClr w14:val="tx1"/>
            </w14:solidFill>
          </w14:textFill>
        </w:rPr>
      </w:pPr>
      <w:r>
        <w:rPr>
          <w:rFonts w:hint="eastAsia" w:ascii="Calibri" w:hAnsi="Calibri" w:eastAsia="仿宋" w:cs="Calibri"/>
          <w:color w:val="000000" w:themeColor="text1"/>
          <w:sz w:val="32"/>
          <w:szCs w:val="32"/>
          <w14:textFill>
            <w14:solidFill>
              <w14:schemeClr w14:val="tx1"/>
            </w14:solidFill>
          </w14:textFill>
        </w:rPr>
        <w:t>验收不合格的，区级住房和城乡建设部门应当书面责令限期整改，整改完成后重新组织验收；整改后仍不合格的，不予拨付补助资金，已预拨的资金依法全额追回。</w:t>
      </w:r>
    </w:p>
    <w:p>
      <w:pPr>
        <w:snapToGrid w:val="0"/>
        <w:spacing w:line="560" w:lineRule="exact"/>
        <w:ind w:firstLine="643" w:firstLineChars="200"/>
        <w:rPr>
          <w:rFonts w:ascii="Calibri" w:hAnsi="Calibri" w:eastAsia="仿宋" w:cs="Calibri"/>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第十</w:t>
      </w:r>
      <w:r>
        <w:rPr>
          <w:rFonts w:hint="eastAsia" w:ascii="仿宋" w:hAnsi="仿宋" w:eastAsia="仿宋"/>
          <w:b/>
          <w:bCs/>
          <w:color w:val="000000" w:themeColor="text1"/>
          <w:sz w:val="32"/>
          <w:szCs w:val="32"/>
          <w14:textFill>
            <w14:solidFill>
              <w14:schemeClr w14:val="tx1"/>
            </w14:solidFill>
          </w14:textFill>
        </w:rPr>
        <w:t>五</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区</w:t>
      </w:r>
      <w:r>
        <w:rPr>
          <w:rFonts w:hint="eastAsia" w:ascii="仿宋" w:hAnsi="仿宋" w:eastAsia="仿宋"/>
          <w:color w:val="000000" w:themeColor="text1"/>
          <w:sz w:val="32"/>
          <w:szCs w:val="32"/>
          <w14:textFill>
            <w14:solidFill>
              <w14:schemeClr w14:val="tx1"/>
            </w14:solidFill>
          </w14:textFill>
        </w:rPr>
        <w:t>住房和城乡建设</w:t>
      </w:r>
      <w:r>
        <w:rPr>
          <w:rFonts w:hint="eastAsia" w:ascii="仿宋" w:hAnsi="仿宋" w:eastAsia="仿宋" w:cs="仿宋"/>
          <w:color w:val="000000" w:themeColor="text1"/>
          <w:sz w:val="32"/>
          <w:szCs w:val="32"/>
          <w14:textFill>
            <w14:solidFill>
              <w14:schemeClr w14:val="tx1"/>
            </w14:solidFill>
          </w14:textFill>
        </w:rPr>
        <w:t>部门应当对补助项目建立电子与纸质档案，档案保存期限不少于30年，档案内容包括申请材料、审批文件、修缮方案、施工与监理资料、验收报告、结算评审报告、资金拨付凭证、监管记录等全流程资料，符合《中华人民共和国档案法》的相关规定。</w:t>
      </w:r>
    </w:p>
    <w:p>
      <w:pPr>
        <w:snapToGrid w:val="0"/>
        <w:spacing w:line="560" w:lineRule="exact"/>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第五章 法律责任</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第十</w:t>
      </w:r>
      <w:r>
        <w:rPr>
          <w:rFonts w:hint="eastAsia" w:ascii="仿宋" w:hAnsi="仿宋" w:eastAsia="仿宋"/>
          <w:b/>
          <w:bCs/>
          <w:color w:val="000000" w:themeColor="text1"/>
          <w:sz w:val="32"/>
          <w:szCs w:val="32"/>
          <w14:textFill>
            <w14:solidFill>
              <w14:schemeClr w14:val="tx1"/>
            </w14:solidFill>
          </w14:textFill>
        </w:rPr>
        <w:t>六</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市、区财政部门应当加强补助资金的全流程绩效管理，绩效评价结果作为下一年度预算安排、政策调整的重要依据；市、区审计部门依法对补助资金的管理、使用、效益情况进行审计监督。</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第十七条 </w:t>
      </w:r>
      <w:r>
        <w:rPr>
          <w:rFonts w:hint="eastAsia" w:ascii="仿宋" w:hAnsi="仿宋" w:eastAsia="仿宋"/>
          <w:color w:val="000000" w:themeColor="text1"/>
          <w:sz w:val="32"/>
          <w:szCs w:val="32"/>
          <w14:textFill>
            <w14:solidFill>
              <w14:schemeClr w14:val="tx1"/>
            </w14:solidFill>
          </w14:textFill>
        </w:rPr>
        <w:t>申请人有下列情形之一的，区级住房和城乡建设部门应当依法取消其补助资格，终止资金拨付；已骗取、套取补助资金的，依法全额追回资金，按同期银行贷款基准利率计收资金占用费；相关失信信息纳入信用信息共享平台，依法实施失信联合惩戒；构成违法的，依法给予行政处罚；构成犯罪的，移送司法机关依法追究刑事责任：</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（一）以虚报、冒领、伪造材料、隐瞒真相等手段骗取补助资金的；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（二）未按批准的修缮方案实施，擅自变更设计、破坏历史建筑本体与历史风貌的；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（三）工程质量不符合要求，拒不整改或整改后仍不合格的；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（四）截留、挤占、挪用、转借补助资金的；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（五）拒不配合主管部门监督检查、审计、绩效评价的；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（六）获得补助后，违反保护义务对历史建筑造成破坏的；</w:t>
      </w:r>
    </w:p>
    <w:p>
      <w:pPr>
        <w:snapToGrid w:val="0"/>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（七）其他违反法律法规及本办法规定的行为。</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第十八条 </w:t>
      </w:r>
      <w:r>
        <w:rPr>
          <w:rFonts w:hint="eastAsia" w:ascii="仿宋" w:hAnsi="仿宋" w:eastAsia="仿宋"/>
          <w:color w:val="000000" w:themeColor="text1"/>
          <w:sz w:val="32"/>
          <w:szCs w:val="32"/>
          <w14:textFill>
            <w14:solidFill>
              <w14:schemeClr w14:val="tx1"/>
            </w14:solidFill>
          </w14:textFill>
        </w:rPr>
        <w:t>违反本办法规定，擅自施工、破坏历史建筑的，由具有执法权的城市管理综合执法部门依照《历史文化名城名镇名村保护条例》等法律法规依法予以处罚；应当拆除的违法建设，严格依照《中华人民共和国行政强制法》规定的法定程序实施拆除，责令当事人限期修复历史建筑。</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第十九条 </w:t>
      </w:r>
      <w:r>
        <w:rPr>
          <w:rFonts w:hint="eastAsia" w:ascii="Calibri" w:hAnsi="Calibri" w:eastAsia="仿宋" w:cs="Calibri"/>
          <w:color w:val="000000" w:themeColor="text1"/>
          <w:sz w:val="32"/>
          <w:szCs w:val="32"/>
          <w14:textFill>
            <w14:solidFill>
              <w14:schemeClr w14:val="tx1"/>
            </w14:solidFill>
          </w14:textFill>
        </w:rPr>
        <w:t>市、区相关部门、乡镇（街道）及其工作人员，在历史建筑修缮补助管理工作中滥用职权、玩忽职守、徇私舞弊、索贿受贿的，依法给予政务处分；构成犯罪的，移送司法机关依法追究刑事责任。</w:t>
      </w:r>
    </w:p>
    <w:p>
      <w:pPr>
        <w:snapToGrid w:val="0"/>
        <w:spacing w:line="560" w:lineRule="exact"/>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第六章 附则</w:t>
      </w:r>
    </w:p>
    <w:p>
      <w:pPr>
        <w:snapToGrid w:val="0"/>
        <w:spacing w:line="560" w:lineRule="exact"/>
        <w:ind w:firstLine="643" w:firstLineChars="200"/>
        <w:rPr>
          <w:rFonts w:hint="eastAsia" w:ascii="Calibri" w:hAnsi="Calibri" w:eastAsia="仿宋" w:cs="Calibri"/>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二十</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Calibri" w:hAnsi="Calibri" w:eastAsia="仿宋" w:cs="Calibri"/>
          <w:color w:val="000000" w:themeColor="text1"/>
          <w:sz w:val="32"/>
          <w:szCs w:val="32"/>
          <w14:textFill>
            <w14:solidFill>
              <w14:schemeClr w14:val="tx1"/>
            </w14:solidFill>
          </w14:textFill>
        </w:rPr>
        <w:t>本市各县（市）、区人民政府可参照本办法执行。</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w:t>
      </w:r>
      <w:r>
        <w:rPr>
          <w:rFonts w:hint="eastAsia" w:ascii="仿宋" w:hAnsi="仿宋" w:eastAsia="仿宋"/>
          <w:b/>
          <w:bCs/>
          <w:color w:val="000000" w:themeColor="text1"/>
          <w:sz w:val="32"/>
          <w:szCs w:val="32"/>
          <w14:textFill>
            <w14:solidFill>
              <w14:schemeClr w14:val="tx1"/>
            </w14:solidFill>
          </w14:textFill>
        </w:rPr>
        <w:t>二十一</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本办法由</w:t>
      </w:r>
      <w:r>
        <w:rPr>
          <w:rFonts w:hint="eastAsia" w:ascii="仿宋" w:hAnsi="仿宋" w:eastAsia="仿宋"/>
          <w:color w:val="000000" w:themeColor="text1"/>
          <w:sz w:val="32"/>
          <w:szCs w:val="32"/>
          <w14:textFill>
            <w14:solidFill>
              <w14:schemeClr w14:val="tx1"/>
            </w14:solidFill>
          </w14:textFill>
        </w:rPr>
        <w:t>市财</w:t>
      </w:r>
      <w:r>
        <w:rPr>
          <w:rFonts w:hint="eastAsia" w:ascii="Calibri" w:hAnsi="Calibri" w:eastAsia="仿宋" w:cs="Calibri"/>
          <w:color w:val="000000" w:themeColor="text1"/>
          <w:sz w:val="32"/>
          <w:szCs w:val="32"/>
          <w14:textFill>
            <w14:solidFill>
              <w14:schemeClr w14:val="tx1"/>
            </w14:solidFill>
          </w14:textFill>
        </w:rPr>
        <w:t>政局会同市住建局</w:t>
      </w:r>
      <w:r>
        <w:rPr>
          <w:rFonts w:hint="eastAsia" w:ascii="仿宋" w:hAnsi="仿宋" w:eastAsia="仿宋"/>
          <w:color w:val="000000" w:themeColor="text1"/>
          <w:sz w:val="32"/>
          <w:szCs w:val="32"/>
          <w14:textFill>
            <w14:solidFill>
              <w14:schemeClr w14:val="tx1"/>
            </w14:solidFill>
          </w14:textFill>
        </w:rPr>
        <w:t>、市文化旅游和广播电视局、市自然资源局</w:t>
      </w:r>
      <w:r>
        <w:rPr>
          <w:rFonts w:ascii="仿宋" w:hAnsi="仿宋" w:eastAsia="仿宋"/>
          <w:color w:val="000000" w:themeColor="text1"/>
          <w:sz w:val="32"/>
          <w:szCs w:val="32"/>
          <w14:textFill>
            <w14:solidFill>
              <w14:schemeClr w14:val="tx1"/>
            </w14:solidFill>
          </w14:textFill>
        </w:rPr>
        <w:t>负责解释。</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第二十</w:t>
      </w:r>
      <w:r>
        <w:rPr>
          <w:rFonts w:hint="eastAsia" w:ascii="仿宋" w:hAnsi="仿宋" w:eastAsia="仿宋"/>
          <w:b/>
          <w:bCs/>
          <w:color w:val="000000" w:themeColor="text1"/>
          <w:sz w:val="32"/>
          <w:szCs w:val="32"/>
          <w14:textFill>
            <w14:solidFill>
              <w14:schemeClr w14:val="tx1"/>
            </w14:solidFill>
          </w14:textFill>
        </w:rPr>
        <w:t>二</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olor w:val="000000" w:themeColor="text1"/>
          <w:sz w:val="32"/>
          <w:szCs w:val="32"/>
          <w14:textFill>
            <w14:solidFill>
              <w14:schemeClr w14:val="tx1"/>
            </w14:solidFill>
          </w14:textFill>
        </w:rPr>
        <w:t>本办法试行2年，期满组织绩效评估后可进行修订。</w:t>
      </w:r>
    </w:p>
    <w:p>
      <w:pPr>
        <w:snapToGrid w:val="0"/>
        <w:spacing w:line="560" w:lineRule="exact"/>
        <w:ind w:firstLine="643"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第二十</w:t>
      </w:r>
      <w:r>
        <w:rPr>
          <w:rFonts w:hint="eastAsia" w:ascii="仿宋" w:hAnsi="仿宋" w:eastAsia="仿宋"/>
          <w:b/>
          <w:bCs/>
          <w:color w:val="000000" w:themeColor="text1"/>
          <w:sz w:val="32"/>
          <w:szCs w:val="32"/>
          <w14:textFill>
            <w14:solidFill>
              <w14:schemeClr w14:val="tx1"/>
            </w14:solidFill>
          </w14:textFill>
        </w:rPr>
        <w:t>三</w:t>
      </w:r>
      <w:r>
        <w:rPr>
          <w:rFonts w:ascii="仿宋" w:hAnsi="仿宋" w:eastAsia="仿宋"/>
          <w:b/>
          <w:bCs/>
          <w:color w:val="000000" w:themeColor="text1"/>
          <w:sz w:val="32"/>
          <w:szCs w:val="32"/>
          <w14:textFill>
            <w14:solidFill>
              <w14:schemeClr w14:val="tx1"/>
            </w14:solidFill>
          </w14:textFill>
        </w:rPr>
        <w:t>条</w:t>
      </w:r>
      <w:r>
        <w:rPr>
          <w:rFonts w:ascii="Calibri" w:hAnsi="Calibri" w:eastAsia="仿宋" w:cs="Calibri"/>
          <w:color w:val="000000" w:themeColor="text1"/>
          <w:sz w:val="32"/>
          <w:szCs w:val="32"/>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本办法自发布之日起施行。</w:t>
      </w:r>
    </w:p>
    <w:p>
      <w:pPr>
        <w:widowControl/>
        <w:rPr>
          <w:rFonts w:hint="eastAsia" w:ascii="仿宋_GB2312" w:hAnsi="黑体" w:eastAsia="仿宋_GB2312" w:cs="Arial"/>
          <w:sz w:val="32"/>
          <w:szCs w:val="32"/>
        </w:rPr>
      </w:pPr>
    </w:p>
    <w:sectPr>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KSOFE44F9426">
    <w:altName w:val="宋体"/>
    <w:panose1 w:val="0201060906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93702"/>
    <w:multiLevelType w:val="singleLevel"/>
    <w:tmpl w:val="9DC937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B6"/>
    <w:rsid w:val="00002B0A"/>
    <w:rsid w:val="00026ACC"/>
    <w:rsid w:val="001013AC"/>
    <w:rsid w:val="00101B21"/>
    <w:rsid w:val="001107F6"/>
    <w:rsid w:val="00141C3D"/>
    <w:rsid w:val="001453B5"/>
    <w:rsid w:val="0015293D"/>
    <w:rsid w:val="0018426F"/>
    <w:rsid w:val="00190372"/>
    <w:rsid w:val="00197769"/>
    <w:rsid w:val="002F5F3B"/>
    <w:rsid w:val="00367A3F"/>
    <w:rsid w:val="003C728A"/>
    <w:rsid w:val="003D35AA"/>
    <w:rsid w:val="003D70B9"/>
    <w:rsid w:val="003E48F2"/>
    <w:rsid w:val="00413855"/>
    <w:rsid w:val="004217B0"/>
    <w:rsid w:val="004241B6"/>
    <w:rsid w:val="004269EB"/>
    <w:rsid w:val="004A5813"/>
    <w:rsid w:val="004D6864"/>
    <w:rsid w:val="00527013"/>
    <w:rsid w:val="0054436B"/>
    <w:rsid w:val="005C5F06"/>
    <w:rsid w:val="006662A2"/>
    <w:rsid w:val="0069274A"/>
    <w:rsid w:val="006D21E1"/>
    <w:rsid w:val="006D4DB1"/>
    <w:rsid w:val="006E33A5"/>
    <w:rsid w:val="00723B9E"/>
    <w:rsid w:val="00784222"/>
    <w:rsid w:val="007C2FD7"/>
    <w:rsid w:val="007F25A9"/>
    <w:rsid w:val="00852CF5"/>
    <w:rsid w:val="008B426D"/>
    <w:rsid w:val="008B68E7"/>
    <w:rsid w:val="008E5C91"/>
    <w:rsid w:val="00901B4C"/>
    <w:rsid w:val="00924012"/>
    <w:rsid w:val="00977D8B"/>
    <w:rsid w:val="009907DB"/>
    <w:rsid w:val="009C0496"/>
    <w:rsid w:val="00A36DDF"/>
    <w:rsid w:val="00A82577"/>
    <w:rsid w:val="00AB1336"/>
    <w:rsid w:val="00AB32F7"/>
    <w:rsid w:val="00B15690"/>
    <w:rsid w:val="00B76DAF"/>
    <w:rsid w:val="00B82004"/>
    <w:rsid w:val="00BD47B0"/>
    <w:rsid w:val="00CF7CE8"/>
    <w:rsid w:val="00D16177"/>
    <w:rsid w:val="00D24F8B"/>
    <w:rsid w:val="00D77B6C"/>
    <w:rsid w:val="00E36802"/>
    <w:rsid w:val="00E467CC"/>
    <w:rsid w:val="00E64B1D"/>
    <w:rsid w:val="00EE35F7"/>
    <w:rsid w:val="00EE5945"/>
    <w:rsid w:val="00F0491F"/>
    <w:rsid w:val="00F11C23"/>
    <w:rsid w:val="00F3535B"/>
    <w:rsid w:val="00F61C69"/>
    <w:rsid w:val="00FF2077"/>
    <w:rsid w:val="221B6B1C"/>
    <w:rsid w:val="2C465A0F"/>
    <w:rsid w:val="2E11713D"/>
    <w:rsid w:val="40311767"/>
    <w:rsid w:val="60A8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unhideWhenUsed/>
    <w:qFormat/>
    <w:uiPriority w:val="99"/>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unhideWhenUsed/>
    <w:qFormat/>
    <w:uiPriority w:val="99"/>
    <w:pPr>
      <w:tabs>
        <w:tab w:val="center" w:pos="4153"/>
        <w:tab w:val="right" w:pos="8306"/>
      </w:tabs>
      <w:snapToGrid w:val="0"/>
      <w:spacing w:line="240" w:lineRule="auto"/>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日期 字符"/>
    <w:basedOn w:val="6"/>
    <w:link w:val="3"/>
    <w:semiHidden/>
    <w:qFormat/>
    <w:uiPriority w:val="99"/>
  </w:style>
  <w:style w:type="character" w:customStyle="1" w:styleId="12">
    <w:name w:val="批注文字 字符"/>
    <w:basedOn w:val="6"/>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DDA71-2A7B-4746-A1EA-F4DFE68230F4}">
  <ds:schemaRefs/>
</ds:datastoreItem>
</file>

<file path=docProps/app.xml><?xml version="1.0" encoding="utf-8"?>
<Properties xmlns="http://schemas.openxmlformats.org/officeDocument/2006/extended-properties" xmlns:vt="http://schemas.openxmlformats.org/officeDocument/2006/docPropsVTypes">
  <Template>Normal</Template>
  <Pages>12</Pages>
  <Words>5077</Words>
  <Characters>5112</Characters>
  <Lines>37</Lines>
  <Paragraphs>10</Paragraphs>
  <ScaleCrop>false</ScaleCrop>
  <LinksUpToDate>false</LinksUpToDate>
  <CharactersWithSpaces>5198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2026-04-19T10:19:00Z</dcterms:created>
  <dc:creator>Apache POI</dc:creator>
  <cp:lastModifiedBy>自然资源和生态环境科-孙健</cp:lastModifiedBy>
  <dcterms:modified xsi:type="dcterms:W3CDTF">2026-05-15T08:32:10Z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BCD4F4FF858A47AE859D81083941A2AF_13</vt:lpwstr>
  </property>
</Properties>
</file>