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32"/>
          <w:szCs w:val="32"/>
        </w:rPr>
      </w:pPr>
      <w:r>
        <w:rPr>
          <w:rFonts w:ascii="宋体" w:hAnsi="宋体" w:eastAsia="宋体" w:cs="宋体"/>
          <w:b/>
          <w:bCs/>
          <w:sz w:val="24"/>
        </w:rPr>
        <w:t xml:space="preserve"> </w:t>
      </w:r>
    </w:p>
    <w:p>
      <w:pPr>
        <w:jc w:val="center"/>
        <w:rPr>
          <w:rFonts w:ascii="宋体" w:hAnsi="宋体" w:eastAsia="宋体" w:cs="宋体"/>
          <w:b/>
          <w:bCs/>
          <w:sz w:val="32"/>
          <w:szCs w:val="32"/>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hint="eastAsia" w:ascii="宋体" w:hAnsi="宋体" w:eastAsia="宋体" w:cs="宋体"/>
          <w:b/>
          <w:bCs/>
          <w:sz w:val="44"/>
          <w:szCs w:val="44"/>
          <w:lang w:eastAsia="zh-CN"/>
        </w:rPr>
      </w:pPr>
    </w:p>
    <w:p>
      <w:pPr>
        <w:jc w:val="center"/>
        <w:rPr>
          <w:rFonts w:ascii="宋体" w:hAnsi="宋体" w:eastAsia="宋体" w:cs="宋体"/>
          <w:b/>
          <w:bCs/>
          <w:sz w:val="44"/>
          <w:szCs w:val="44"/>
        </w:rPr>
      </w:pPr>
      <w:r>
        <w:rPr>
          <w:rFonts w:hint="eastAsia" w:ascii="宋体" w:hAnsi="宋体" w:eastAsia="宋体" w:cs="宋体"/>
          <w:b/>
          <w:bCs/>
          <w:sz w:val="44"/>
          <w:szCs w:val="44"/>
          <w:lang w:eastAsia="zh-CN"/>
        </w:rPr>
        <w:t>朝阳市公安局</w:t>
      </w:r>
      <w:r>
        <w:rPr>
          <w:rFonts w:hint="eastAsia" w:ascii="宋体" w:hAnsi="宋体" w:eastAsia="宋体" w:cs="宋体"/>
          <w:b/>
          <w:bCs/>
          <w:sz w:val="44"/>
          <w:szCs w:val="44"/>
          <w:lang w:val="en-US" w:eastAsia="zh-CN"/>
        </w:rPr>
        <w:t>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both"/>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朝阳市公安局</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朝阳市公安局</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eastAsia="zh-CN"/>
        </w:rPr>
        <w:t>朝阳市公安局</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rPr>
          <w:rFonts w:hint="eastAsia" w:ascii="仿宋_GB2312" w:hAnsi="仿宋_GB2312" w:eastAsia="仿宋_GB2312" w:cs="仿宋_GB2312"/>
          <w:sz w:val="28"/>
          <w:szCs w:val="28"/>
        </w:rPr>
      </w:pPr>
    </w:p>
    <w:p>
      <w:pPr>
        <w:pStyle w:val="2"/>
        <w:keepNext w:val="0"/>
        <w:keepLines w:val="0"/>
        <w:widowControl/>
        <w:suppressLineNumbers w:val="0"/>
        <w:wordWrap w:val="0"/>
        <w:spacing w:line="525" w:lineRule="atLeast"/>
        <w:ind w:left="0" w:firstLine="420"/>
        <w:jc w:val="center"/>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第一部分  朝阳市公安局概况</w:t>
      </w:r>
    </w:p>
    <w:p>
      <w:pPr>
        <w:spacing w:line="58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一、部门职责</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（一）贯彻执行国家和省市有关公安工作的方针、政策、法律、法规和规章，在市政府和上级公安机关领导下，因地制宜地研究、制定并组织实施全市公安保卫工作方案，组织、指导、监督、检查全市公安工作。</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（二）掌握影响稳定、危害国内安全和社会治安的情况，研判形势，制定对策，及时报告有关情况和信息，提出处理意见，向所属分、县（市）局传达上级指示，并监督落实。</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（三）负责本市特别重大刑事、经济案件和跨县（市）区重大刑事、经济案件侦破工作，组织处置重大、突发治安案（事）件。</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（四）负责指导、监督、依法查处危害社会治安秩序行为，依法管理户口、居民身份证、枪支弹药、危险物品和特种行业。</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（五）组织指导、依法管理中国公民出入境和外国人在中国境内居留、旅行的有关管理工作。</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（六）管理、指导、监督消防工作，落实消防法规定的各项措施。代行市消防安全委员会办公室职责。</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（七）管理、指导、维护道路交通安全、交通秩序以及机动车辆和驾驶员管理工作。代行市道路交通委员会办公室职责。</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（八）负责对国家机关、社会团体、企事业单位和重点工程的治安保卫及群众性治保组织的治安防范工作。</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（九）负责指导公安机关依法承担的执行刑罚和对看守所、拘留所、强制戒毒所、收容教育所的管理工作。</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（十）按上级部署，组织实施来朝视察工作的党和国家领导人、省级主要领导及重要外宾的警卫工作。</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（十一）指导、组织开展禁缉毒工作，承担市禁毒委办公室职能。</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（十二）研究制定和组织实施加强公安科技、刑事技术等的方案和措施。</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（十三）研究制定、完善落实公安武器、装备、被装、经费等警务保障的方案和措施。</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（十四）按规定权限，对武警部队执行公安任务实施领导和指挥。</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（十五）组织实施全市反恐怖工作，承担市委反恐怖工作领导小组办公室职责。</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六）指导全市公安思想政治工作和队伍建设。研究制定本市公安民警培训、教育、宣传、优抚表彰的方案和具体措施。按规定权限管理局机关、一线单位、所属分局、支队干部、警务辅助人员；协管县（市）局干部及警务辅助人员。</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（十七）研究、制定、落实公安队伍监督管理规章制度，组织指导督察工作。查处、督办民警重大违纪案件。</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（十八）承担市委、市政府和上级公安机关交办的其他任务事项。</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根据上述职责，朝阳市公安局机构设置有办公室、干部人事科、队伍建设科、新闻宣传科、离退休干部管理科、警务保障部、情报指挥中心、政治安全保卫支队、治安管理支队、刑事侦查支队、交通管理支队、巡特警支队、监所管理支队、网络安全保卫支队、督察审计支队、经济犯罪侦查支队、环境资源和食品药品犯罪侦查支队、技术侦察支队、法制支队、出入境管理支队、营商环境建设支队、机关党委等警种部门，两个直属事业单位（自行车管理所、留置看护服务中心），四个直属机构（留置看护支队、人民警察训练支队、公共交通治安管理分局、机场分局），两个派出机构（双塔分局、龙城分局）。</w:t>
      </w:r>
    </w:p>
    <w:p>
      <w:pPr>
        <w:spacing w:line="580" w:lineRule="exact"/>
        <w:ind w:firstLine="560" w:firstLineChars="200"/>
        <w:rPr>
          <w:rFonts w:hint="eastAsia" w:ascii="黑体" w:hAnsi="黑体" w:eastAsia="黑体" w:cs="黑体"/>
          <w:sz w:val="28"/>
          <w:szCs w:val="28"/>
          <w:lang w:eastAsia="zh-CN"/>
        </w:rPr>
      </w:pPr>
      <w:r>
        <w:rPr>
          <w:rFonts w:hint="eastAsia" w:ascii="黑体" w:hAnsi="黑体" w:eastAsia="黑体" w:cs="黑体"/>
          <w:sz w:val="28"/>
          <w:szCs w:val="28"/>
          <w:lang w:eastAsia="zh-CN"/>
        </w:rPr>
        <w:t>二、机构设置</w:t>
      </w:r>
    </w:p>
    <w:p>
      <w:pPr>
        <w:pStyle w:val="2"/>
        <w:keepNext w:val="0"/>
        <w:keepLines w:val="0"/>
        <w:widowControl/>
        <w:suppressLineNumbers w:val="0"/>
        <w:wordWrap w:val="0"/>
        <w:spacing w:line="525" w:lineRule="atLeast"/>
        <w:ind w:left="0" w:firstLine="420"/>
        <w:jc w:val="left"/>
        <w:rPr>
          <w:rFonts w:hint="eastAsia" w:ascii="宋体" w:hAnsi="宋体" w:eastAsia="宋体" w:cs="宋体"/>
          <w:sz w:val="24"/>
          <w:szCs w:val="24"/>
        </w:rPr>
      </w:pPr>
      <w:r>
        <w:rPr>
          <w:rFonts w:hint="eastAsia" w:ascii="仿宋_GB2312" w:hAnsi="仿宋_GB2312" w:eastAsia="仿宋_GB2312" w:cs="仿宋_GB2312"/>
          <w:b/>
          <w:bCs/>
          <w:kern w:val="2"/>
          <w:sz w:val="28"/>
          <w:szCs w:val="28"/>
          <w:lang w:val="en-US" w:eastAsia="zh-CN" w:bidi="ar-SA"/>
        </w:rPr>
        <w:t xml:space="preserve"> 纳入朝阳市公安局2026年部门预算编制范围的二级预算单位包括：</w:t>
      </w:r>
      <w:r>
        <w:rPr>
          <w:rFonts w:hint="eastAsia" w:ascii="宋体" w:hAnsi="宋体" w:eastAsia="宋体" w:cs="宋体"/>
          <w:sz w:val="24"/>
          <w:szCs w:val="24"/>
        </w:rPr>
        <w:t> </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1.朝阳市公安局（本级含所属事业编制机构）；</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2.朝阳市公安局交通警察支队。</w:t>
      </w:r>
    </w:p>
    <w:p>
      <w:pPr>
        <w:pStyle w:val="2"/>
        <w:keepNext w:val="0"/>
        <w:keepLines w:val="0"/>
        <w:widowControl/>
        <w:suppressLineNumbers w:val="0"/>
        <w:wordWrap w:val="0"/>
        <w:spacing w:line="525" w:lineRule="atLeast"/>
        <w:jc w:val="center"/>
        <w:rPr>
          <w:rFonts w:hint="eastAsia" w:ascii="宋体" w:hAnsi="宋体" w:eastAsia="宋体" w:cs="宋体"/>
          <w:sz w:val="24"/>
          <w:szCs w:val="24"/>
        </w:rPr>
      </w:pPr>
      <w:r>
        <w:rPr>
          <w:rStyle w:val="4"/>
          <w:rFonts w:hint="eastAsia" w:ascii="宋体" w:hAnsi="宋体" w:eastAsia="宋体" w:cs="宋体"/>
          <w:b/>
          <w:sz w:val="24"/>
          <w:szCs w:val="24"/>
        </w:rPr>
        <w:t> </w:t>
      </w:r>
    </w:p>
    <w:p>
      <w:pPr>
        <w:pStyle w:val="2"/>
        <w:keepNext w:val="0"/>
        <w:keepLines w:val="0"/>
        <w:widowControl/>
        <w:suppressLineNumbers w:val="0"/>
        <w:wordWrap w:val="0"/>
        <w:spacing w:line="525" w:lineRule="atLeast"/>
        <w:ind w:left="0" w:firstLine="420"/>
        <w:jc w:val="center"/>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第二部分 朝阳市公安局2026年部门预算情况说明</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 xml:space="preserve">    一、综合预算收支指标情况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Style w:val="4"/>
          <w:rFonts w:hint="eastAsia" w:ascii="宋体" w:hAnsi="宋体" w:eastAsia="宋体" w:cs="宋体"/>
          <w:b/>
          <w:sz w:val="24"/>
          <w:szCs w:val="24"/>
          <w:lang w:val="en-US" w:eastAsia="zh-CN"/>
        </w:rPr>
        <w:t xml:space="preserve">    </w:t>
      </w:r>
      <w:r>
        <w:rPr>
          <w:rFonts w:hint="eastAsia" w:ascii="楷体" w:hAnsi="楷体" w:eastAsia="楷体" w:cs="楷体"/>
          <w:b/>
          <w:bCs/>
          <w:kern w:val="2"/>
          <w:sz w:val="28"/>
          <w:szCs w:val="28"/>
          <w:lang w:val="en-US" w:eastAsia="zh-CN" w:bidi="ar-SA"/>
        </w:rPr>
        <w:t xml:space="preserve">  （一）收入预算53,358.33万元，</w:t>
      </w:r>
      <w:r>
        <w:rPr>
          <w:rFonts w:hint="eastAsia" w:ascii="仿宋_GB2312" w:hAnsi="仿宋_GB2312" w:eastAsia="仿宋_GB2312" w:cs="仿宋_GB2312"/>
          <w:kern w:val="2"/>
          <w:sz w:val="28"/>
          <w:szCs w:val="28"/>
          <w:lang w:val="en-US" w:eastAsia="zh-CN" w:bidi="ar-SA"/>
        </w:rPr>
        <w:t>其中：</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1.一般公共预算拨款收入53,358.33万元；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2.政府性基金预算拨款收入0万元；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3.国有资本经营预算拨款收入0万元；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4.财政专户管理资金收入0万元；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5.单位资金收入0万元；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6.上年结转结余0万元。</w:t>
      </w:r>
    </w:p>
    <w:p>
      <w:pPr>
        <w:pStyle w:val="2"/>
        <w:keepNext w:val="0"/>
        <w:keepLines w:val="0"/>
        <w:widowControl/>
        <w:suppressLineNumbers w:val="0"/>
        <w:wordWrap w:val="0"/>
        <w:spacing w:line="525" w:lineRule="atLeast"/>
        <w:jc w:val="left"/>
        <w:rPr>
          <w:rFonts w:hint="eastAsia" w:ascii="楷体" w:hAnsi="楷体" w:eastAsia="楷体" w:cs="楷体"/>
          <w:b/>
          <w:bCs/>
          <w:kern w:val="2"/>
          <w:sz w:val="28"/>
          <w:szCs w:val="28"/>
          <w:lang w:val="en-US" w:eastAsia="zh-CN" w:bidi="ar-SA"/>
        </w:rPr>
      </w:pPr>
      <w:r>
        <w:rPr>
          <w:rFonts w:hint="eastAsia" w:ascii="楷体" w:hAnsi="楷体" w:eastAsia="楷体" w:cs="楷体"/>
          <w:b/>
          <w:bCs/>
          <w:kern w:val="2"/>
          <w:sz w:val="28"/>
          <w:szCs w:val="28"/>
          <w:lang w:val="en-US" w:eastAsia="zh-CN" w:bidi="ar-SA"/>
        </w:rPr>
        <w:t xml:space="preserve">    （二）支出预算53,358.33万元，其中：</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1.基本支出41,527.91万元；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2.项目支出11,830.42万元。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在支出预算中债务支出0万元；政府采购支出0万元；政府购买服务支出0万元；纳入预算绩效管理的特定目标类和其他运转类项目共22个，涉及资金11,830.42万元。</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2026年预算收支比上年增加4,780.95万元，增减变化的主要原因一是在职人员工资薪酬调增，养老保险、医疗保险、住房公积金等预算相应增加；二是新增公安大数据智能化建设项目、市区双城创建项目等预算安排。</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二、部门管理专项资金情况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2026年，朝阳市公安局管理专项资金共0个。</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三、机关运行经费安排情况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朝阳市公安局（含交管支队）机关运行经费预算为3,206.46万元（预算表列示公用经费8,900.24万元，剔除警务辅助人员工资薪酬5,693.78万元），主要包括办公费176万元、印刷费40万元、水费58万元、电费451万元、邮电费25万元、取暖费601.01万元、差旅费88.5万元、维修（护）费182.65万元、培训费11.54万元、公务接待费3.5万元、劳务费599.56万元、委托业务费8万元、公务用车运行维护费753.42万元、 其他商品和服务支出153.27万元、办公设备购置36万元、租赁费10万元、专用材料费2万元、被装购置费5万元、专用燃料费2万元。</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 xml:space="preserve"> 四、政府采购情况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2026年朝阳市公安局政府采购预算0万元。</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 xml:space="preserve"> 五、“三公”经费预算情况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2026年，朝阳市公安局财政拨款预算安排的“三公”经费预算为776.92万元，比上年减少105.5万元，下降11.96%。其中：</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1.因公出国（境）费0万元，与上年持平。</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2.公务接待费3.5万元，比上年减少（增加）5.5万元，下降61.11%。主要原因为进一步落实过紧日子有关要求，对公务接待费预算安排进行压减。</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3.公务用车购置及运行费773.42万元（其中：公务用车购置费0万元，比上年减少120万元；公务用车运行费773.42万元，比上年增加20万元），比上年减少100万元，下降11.45%。主要原因是财政未将公务用车购置纳入部门年初预算。</w:t>
      </w:r>
    </w:p>
    <w:p>
      <w:pPr>
        <w:pStyle w:val="2"/>
        <w:keepNext w:val="0"/>
        <w:keepLines w:val="0"/>
        <w:widowControl/>
        <w:suppressLineNumbers w:val="0"/>
        <w:wordWrap w:val="0"/>
        <w:spacing w:before="0" w:beforeAutospacing="0" w:after="0" w:afterAutospacing="0" w:line="525" w:lineRule="atLeast"/>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 </w:t>
      </w:r>
    </w:p>
    <w:p>
      <w:pPr>
        <w:pStyle w:val="2"/>
        <w:keepNext w:val="0"/>
        <w:keepLines w:val="0"/>
        <w:widowControl/>
        <w:suppressLineNumbers w:val="0"/>
        <w:wordWrap w:val="0"/>
        <w:spacing w:before="0" w:beforeAutospacing="0" w:after="0" w:afterAutospacing="0" w:line="525" w:lineRule="atLeast"/>
        <w:ind w:left="0" w:firstLine="420"/>
        <w:jc w:val="center"/>
        <w:rPr>
          <w:rFonts w:hint="eastAsia"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财政拨款预算“三公”经费支出表</w:t>
      </w:r>
    </w:p>
    <w:p>
      <w:pPr>
        <w:pStyle w:val="2"/>
        <w:keepNext w:val="0"/>
        <w:keepLines w:val="0"/>
        <w:widowControl/>
        <w:suppressLineNumbers w:val="0"/>
        <w:wordWrap w:val="0"/>
        <w:spacing w:before="0" w:beforeAutospacing="0" w:after="0" w:afterAutospacing="0" w:line="525" w:lineRule="atLeast"/>
        <w:ind w:left="0" w:firstLine="420"/>
        <w:jc w:val="left"/>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                                                 </w:t>
      </w:r>
      <w:r>
        <w:rPr>
          <w:rFonts w:hint="eastAsia" w:ascii="宋体" w:hAnsi="宋体" w:eastAsia="宋体" w:cs="宋体"/>
          <w:b w:val="0"/>
          <w:i w:val="0"/>
          <w:color w:val="000000"/>
          <w:sz w:val="24"/>
          <w:szCs w:val="24"/>
          <w:lang w:val="en-US" w:eastAsia="zh-CN"/>
        </w:rPr>
        <w:t xml:space="preserve">                         </w:t>
      </w:r>
      <w:r>
        <w:rPr>
          <w:rFonts w:hint="eastAsia" w:ascii="宋体" w:hAnsi="宋体" w:eastAsia="宋体" w:cs="宋体"/>
          <w:b w:val="0"/>
          <w:i w:val="0"/>
          <w:color w:val="000000"/>
          <w:sz w:val="24"/>
          <w:szCs w:val="24"/>
        </w:rPr>
        <w:t>单位：万元</w:t>
      </w:r>
    </w:p>
    <w:tbl>
      <w:tblPr>
        <w:tblStyle w:val="5"/>
        <w:tblW w:w="8520" w:type="dxa"/>
        <w:tblInd w:w="0" w:type="dxa"/>
        <w:tblBorders>
          <w:top w:val="single" w:color="000000" w:sz="6" w:space="0"/>
          <w:left w:val="single" w:color="000000" w:sz="6"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35"/>
        <w:gridCol w:w="2835"/>
        <w:gridCol w:w="2850"/>
      </w:tblGrid>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0" w:hRule="atLeast"/>
        </w:trPr>
        <w:tc>
          <w:tcPr>
            <w:tcW w:w="2835" w:type="dxa"/>
            <w:vMerge w:val="restart"/>
            <w:tcBorders>
              <w:top w:val="single" w:color="auto" w:sz="6" w:space="0"/>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center"/>
              <w:rPr>
                <w:rFonts w:hint="eastAsia" w:ascii="宋体" w:hAnsi="宋体" w:eastAsia="宋体" w:cs="宋体"/>
                <w:sz w:val="24"/>
                <w:szCs w:val="24"/>
              </w:rPr>
            </w:pPr>
            <w:r>
              <w:rPr>
                <w:rFonts w:hint="eastAsia" w:ascii="仿宋_GB2312" w:hAnsi="仿宋_GB2312" w:eastAsia="仿宋_GB2312" w:cs="仿宋_GB2312"/>
                <w:b/>
                <w:bCs/>
                <w:sz w:val="28"/>
                <w:szCs w:val="28"/>
                <w:lang w:val="en-US" w:eastAsia="zh-CN"/>
              </w:rPr>
              <w:t>项目</w:t>
            </w:r>
          </w:p>
        </w:tc>
        <w:tc>
          <w:tcPr>
            <w:tcW w:w="5685" w:type="dxa"/>
            <w:gridSpan w:val="2"/>
            <w:tcBorders>
              <w:top w:val="single" w:color="auto" w:sz="6" w:space="0"/>
              <w:left w:val="nil"/>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center"/>
              <w:rPr>
                <w:rFonts w:hint="eastAsia" w:ascii="宋体" w:hAnsi="宋体" w:eastAsia="宋体" w:cs="宋体"/>
                <w:sz w:val="24"/>
                <w:szCs w:val="24"/>
              </w:rPr>
            </w:pPr>
            <w:r>
              <w:rPr>
                <w:rFonts w:hint="eastAsia" w:ascii="仿宋_GB2312" w:hAnsi="仿宋_GB2312" w:eastAsia="仿宋_GB2312" w:cs="仿宋_GB2312"/>
                <w:b/>
                <w:bCs/>
                <w:sz w:val="28"/>
                <w:szCs w:val="28"/>
                <w:lang w:val="en-US" w:eastAsia="zh-CN"/>
              </w:rPr>
              <w:t>金额</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vMerge w:val="continue"/>
            <w:tcBorders>
              <w:top w:val="single" w:color="auto" w:sz="6" w:space="0"/>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center"/>
          </w:tcPr>
          <w:p>
            <w:pPr>
              <w:rPr>
                <w:rFonts w:hint="eastAsia" w:ascii="宋体" w:hAnsi="宋体" w:eastAsia="宋体" w:cs="宋体"/>
                <w:sz w:val="24"/>
                <w:szCs w:val="24"/>
              </w:rPr>
            </w:pP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2025年</w:t>
            </w:r>
          </w:p>
        </w:tc>
        <w:tc>
          <w:tcPr>
            <w:tcW w:w="2850" w:type="dxa"/>
            <w:tcBorders>
              <w:top w:val="single" w:color="auto" w:sz="6" w:space="0"/>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2026年</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tcBorders>
              <w:top w:val="nil"/>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仿宋_GB2312" w:hAnsi="仿宋_GB2312" w:eastAsia="仿宋_GB2312" w:cs="仿宋_GB2312"/>
                <w:b/>
                <w:bCs/>
                <w:sz w:val="24"/>
                <w:lang w:val="en-US" w:eastAsia="zh-CN"/>
              </w:rPr>
              <w:t>合计</w:t>
            </w: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882.42</w:t>
            </w:r>
          </w:p>
        </w:tc>
        <w:tc>
          <w:tcPr>
            <w:tcW w:w="285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7</w:t>
            </w:r>
            <w:r>
              <w:rPr>
                <w:rFonts w:hint="eastAsia" w:ascii="宋体" w:hAnsi="宋体" w:eastAsia="宋体" w:cs="宋体"/>
                <w:sz w:val="24"/>
                <w:lang w:val="en-US" w:eastAsia="zh-CN"/>
              </w:rPr>
              <w:t>76.92</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tcBorders>
              <w:top w:val="nil"/>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仿宋_GB2312" w:hAnsi="仿宋_GB2312" w:eastAsia="仿宋_GB2312" w:cs="仿宋_GB2312"/>
                <w:szCs w:val="21"/>
                <w:lang w:val="en-US" w:eastAsia="zh-CN"/>
              </w:rPr>
              <w:t>1.因公出国（境）费</w:t>
            </w: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0.00</w:t>
            </w:r>
          </w:p>
        </w:tc>
        <w:tc>
          <w:tcPr>
            <w:tcW w:w="285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0.00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tcBorders>
              <w:top w:val="nil"/>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仿宋_GB2312" w:hAnsi="仿宋_GB2312" w:eastAsia="仿宋_GB2312" w:cs="仿宋_GB2312"/>
                <w:szCs w:val="21"/>
                <w:lang w:val="en-US" w:eastAsia="zh-CN"/>
              </w:rPr>
              <w:t>2.公务接待费</w:t>
            </w: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9.00</w:t>
            </w:r>
          </w:p>
        </w:tc>
        <w:tc>
          <w:tcPr>
            <w:tcW w:w="285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3.50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tcBorders>
              <w:top w:val="nil"/>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仿宋_GB2312" w:hAnsi="仿宋_GB2312" w:eastAsia="仿宋_GB2312" w:cs="仿宋_GB2312"/>
                <w:szCs w:val="21"/>
                <w:lang w:val="en-US" w:eastAsia="zh-CN"/>
              </w:rPr>
              <w:t>3.公务用车购置及运行费</w:t>
            </w: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873.42</w:t>
            </w:r>
          </w:p>
        </w:tc>
        <w:tc>
          <w:tcPr>
            <w:tcW w:w="285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773.42</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tcBorders>
              <w:top w:val="nil"/>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仿宋_GB2312" w:hAnsi="仿宋_GB2312" w:eastAsia="仿宋_GB2312" w:cs="仿宋_GB2312"/>
                <w:szCs w:val="21"/>
                <w:lang w:val="en-US" w:eastAsia="zh-CN"/>
              </w:rPr>
              <w:t>其中：公务用车购置费</w:t>
            </w: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120</w:t>
            </w:r>
          </w:p>
        </w:tc>
        <w:tc>
          <w:tcPr>
            <w:tcW w:w="285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0.00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2835" w:type="dxa"/>
            <w:tcBorders>
              <w:top w:val="nil"/>
              <w:left w:val="single" w:color="auto"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仿宋_GB2312" w:hAnsi="仿宋_GB2312" w:eastAsia="仿宋_GB2312" w:cs="仿宋_GB2312"/>
                <w:szCs w:val="21"/>
                <w:lang w:val="en-US" w:eastAsia="zh-CN"/>
              </w:rPr>
              <w:t>公务用车运行费</w:t>
            </w:r>
          </w:p>
        </w:tc>
        <w:tc>
          <w:tcPr>
            <w:tcW w:w="283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753.42</w:t>
            </w:r>
          </w:p>
        </w:tc>
        <w:tc>
          <w:tcPr>
            <w:tcW w:w="285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spacing w:line="58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773.42</w:t>
            </w:r>
          </w:p>
        </w:tc>
      </w:tr>
    </w:tbl>
    <w:p>
      <w:pPr>
        <w:pStyle w:val="2"/>
        <w:keepNext w:val="0"/>
        <w:keepLines w:val="0"/>
        <w:widowControl/>
        <w:suppressLineNumbers w:val="0"/>
        <w:wordWrap w:val="0"/>
        <w:spacing w:line="525" w:lineRule="atLeast"/>
        <w:ind w:left="0" w:firstLine="555"/>
        <w:rPr>
          <w:rFonts w:hint="eastAsia" w:ascii="宋体" w:hAnsi="宋体" w:eastAsia="宋体" w:cs="宋体"/>
          <w:sz w:val="24"/>
          <w:szCs w:val="24"/>
        </w:rPr>
      </w:pPr>
      <w:r>
        <w:rPr>
          <w:rFonts w:hint="eastAsia" w:ascii="宋体" w:hAnsi="宋体" w:eastAsia="宋体" w:cs="宋体"/>
          <w:sz w:val="24"/>
          <w:szCs w:val="24"/>
        </w:rPr>
        <w:t> </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 xml:space="preserve"> 六、国有资产占用情况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朝阳市公安局2026年年初预算购置车辆0台，金额0万元，单位价值50万元以上的通用设备0台，单位价值100万元以上的专用设备0台。</w:t>
      </w:r>
    </w:p>
    <w:p>
      <w:pPr>
        <w:pStyle w:val="2"/>
        <w:keepNext w:val="0"/>
        <w:keepLines w:val="0"/>
        <w:widowControl/>
        <w:suppressLineNumbers w:val="0"/>
        <w:wordWrap w:val="0"/>
        <w:spacing w:line="525" w:lineRule="atLeast"/>
        <w:ind w:left="0" w:firstLine="420"/>
        <w:jc w:val="left"/>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 xml:space="preserve"> 七、预算绩效目标情况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根据预算绩效管理要求，朝阳市公安局2026年应编制部门（单位）整体绩效目标共4个，实际编制部门（单位）整体绩效目标共4个，编制部门（单位）整体绩效目标覆盖率（实际编制绩效目标的数量/应编制绩效目标的数量）为100%。2026年应编制绩效目标的特定目标类和其他运转类项目共13个，实际编制绩效目标的特定目标类和其他运转类项目共13个，涉及资金5,657.62万元，编制特定目标类和其他运转类绩效目标的项目覆盖率（实际编制绩效目标的数量/应编制绩效目标的数量）为100%。</w:t>
      </w:r>
    </w:p>
    <w:p>
      <w:pPr>
        <w:spacing w:line="580" w:lineRule="exact"/>
        <w:ind w:firstLine="560" w:firstLineChars="200"/>
        <w:rPr>
          <w:rFonts w:ascii="仿宋_GB2312" w:hAnsi="仿宋_GB2312" w:eastAsia="仿宋_GB2312" w:cs="仿宋_GB2312"/>
          <w:sz w:val="28"/>
          <w:szCs w:val="28"/>
        </w:rPr>
      </w:pPr>
      <w:bookmarkStart w:id="0" w:name="_GoBack"/>
      <w:bookmarkEnd w:id="0"/>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交通费、住宿费、伙食费、培训费、公杂费等支出；公务用车购置及运行费反映单位公务用车车辆购置支出（含车辆购置税）、燃料费、维修费、过路过桥费、保险费、安全奖励 费用等支出；公务接待费反映单位为执行公务或开展业务活动需要合理开支的接待费用。</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、财政拨款收入：</w:t>
      </w:r>
      <w:r>
        <w:rPr>
          <w:rFonts w:hint="eastAsia" w:ascii="仿宋_GB2312" w:hAnsi="仿宋_GB2312" w:eastAsia="仿宋_GB2312" w:cs="仿宋_GB2312"/>
          <w:sz w:val="28"/>
          <w:szCs w:val="28"/>
        </w:rPr>
        <w:t>指市级财政当年拨付的资金。</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6</w:t>
      </w:r>
      <w:r>
        <w:rPr>
          <w:rFonts w:hint="eastAsia" w:ascii="仿宋_GB2312" w:hAnsi="仿宋_GB2312" w:eastAsia="仿宋_GB2312" w:cs="仿宋_GB2312"/>
          <w:b/>
          <w:bCs/>
          <w:sz w:val="28"/>
          <w:szCs w:val="28"/>
        </w:rPr>
        <w:t>、基本支出：</w:t>
      </w:r>
      <w:r>
        <w:rPr>
          <w:rFonts w:hint="eastAsia" w:ascii="仿宋_GB2312" w:hAnsi="仿宋_GB2312" w:eastAsia="仿宋_GB2312" w:cs="仿宋_GB2312"/>
          <w:sz w:val="28"/>
          <w:szCs w:val="28"/>
        </w:rPr>
        <w:t>指保障机构正常运转、完成日常工作任务而发生的人员支出和公用支出。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7</w:t>
      </w:r>
      <w:r>
        <w:rPr>
          <w:rFonts w:hint="eastAsia" w:ascii="仿宋_GB2312" w:hAnsi="仿宋_GB2312" w:eastAsia="仿宋_GB2312" w:cs="仿宋_GB2312"/>
          <w:b/>
          <w:bCs/>
          <w:sz w:val="28"/>
          <w:szCs w:val="28"/>
        </w:rPr>
        <w:t>、项目支出：</w:t>
      </w:r>
      <w:r>
        <w:rPr>
          <w:rFonts w:hint="eastAsia" w:ascii="仿宋_GB2312" w:hAnsi="仿宋_GB2312" w:eastAsia="仿宋_GB2312" w:cs="仿宋_GB2312"/>
          <w:sz w:val="28"/>
          <w:szCs w:val="28"/>
        </w:rPr>
        <w:t>指在基本支出之外为完成特定行政任务和事业发展目标所发生的支出。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8</w:t>
      </w:r>
      <w:r>
        <w:rPr>
          <w:rFonts w:hint="eastAsia" w:ascii="仿宋_GB2312" w:hAnsi="仿宋_GB2312" w:eastAsia="仿宋_GB2312" w:cs="仿宋_GB2312"/>
          <w:b/>
          <w:bCs/>
          <w:sz w:val="28"/>
          <w:szCs w:val="28"/>
        </w:rPr>
        <w:t>、行政事业性收费收入：</w:t>
      </w:r>
      <w:r>
        <w:rPr>
          <w:rFonts w:hint="eastAsia" w:ascii="仿宋_GB2312" w:hAnsi="仿宋_GB2312" w:eastAsia="仿宋_GB2312" w:cs="仿宋_GB2312"/>
          <w:sz w:val="28"/>
          <w:szCs w:val="28"/>
        </w:rPr>
        <w:t>指依据法律、行政法规、国务院有关规定、国务院财政部门会同价格主管部门共同发布的规章或者规定，省、自治区、直辖市人民政府财政部门会同价格主管部门共同发布的规定所收取的各项收费收入。</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9</w:t>
      </w:r>
      <w:r>
        <w:rPr>
          <w:rFonts w:hint="eastAsia" w:ascii="仿宋_GB2312" w:hAnsi="仿宋_GB2312" w:eastAsia="仿宋_GB2312" w:cs="仿宋_GB2312"/>
          <w:b/>
          <w:bCs/>
          <w:sz w:val="28"/>
          <w:szCs w:val="28"/>
        </w:rPr>
        <w:t>、政府性基金收入：</w:t>
      </w:r>
      <w:r>
        <w:rPr>
          <w:rFonts w:hint="eastAsia" w:ascii="仿宋_GB2312" w:hAnsi="仿宋_GB2312" w:eastAsia="仿宋_GB2312" w:cs="仿宋_GB2312"/>
          <w:sz w:val="28"/>
          <w:szCs w:val="28"/>
        </w:rPr>
        <w:t>反映各级政府及其所属部门根据法律、行政法规规定并经国务院或财政部批准，向公民、法人和其他组织征收的政府性基金，以及参照政府性基金管理或纳入基金决算、具有特定用途的财政资金。</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10</w:t>
      </w:r>
      <w:r>
        <w:rPr>
          <w:rFonts w:hint="eastAsia" w:ascii="仿宋_GB2312" w:hAnsi="仿宋_GB2312" w:eastAsia="仿宋_GB2312" w:cs="仿宋_GB2312"/>
          <w:b/>
          <w:bCs/>
          <w:sz w:val="28"/>
          <w:szCs w:val="28"/>
        </w:rPr>
        <w:t>、其他收入：</w:t>
      </w:r>
      <w:r>
        <w:rPr>
          <w:rFonts w:hint="eastAsia" w:ascii="仿宋_GB2312" w:hAnsi="仿宋_GB2312" w:eastAsia="仿宋_GB2312" w:cs="仿宋_GB2312"/>
          <w:sz w:val="28"/>
          <w:szCs w:val="28"/>
        </w:rPr>
        <w:t>指上述“财政拨款收入”、“行政事业性收费收入”、“政府性基金收入”以外的收入。</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11</w:t>
      </w:r>
      <w:r>
        <w:rPr>
          <w:rFonts w:hint="eastAsia" w:ascii="仿宋_GB2312" w:hAnsi="仿宋_GB2312" w:eastAsia="仿宋_GB2312" w:cs="仿宋_GB2312"/>
          <w:b/>
          <w:bCs/>
          <w:sz w:val="28"/>
          <w:szCs w:val="28"/>
        </w:rPr>
        <w:t>、工资福利支出：</w:t>
      </w:r>
      <w:r>
        <w:rPr>
          <w:rFonts w:hint="eastAsia" w:ascii="仿宋_GB2312" w:hAnsi="仿宋_GB2312" w:eastAsia="仿宋_GB2312" w:cs="仿宋_GB2312"/>
          <w:sz w:val="28"/>
          <w:szCs w:val="28"/>
        </w:rPr>
        <w:t>反映单位开支的在职职工和编制外聘用人员的各类劳动报酬，以及为上述人员缴纳的各项社会保险费等。</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12</w:t>
      </w:r>
      <w:r>
        <w:rPr>
          <w:rFonts w:hint="eastAsia" w:ascii="仿宋_GB2312" w:hAnsi="仿宋_GB2312" w:eastAsia="仿宋_GB2312" w:cs="仿宋_GB2312"/>
          <w:b/>
          <w:bCs/>
          <w:sz w:val="28"/>
          <w:szCs w:val="28"/>
        </w:rPr>
        <w:t>、商品和服务支出：</w:t>
      </w:r>
      <w:r>
        <w:rPr>
          <w:rFonts w:hint="eastAsia" w:ascii="仿宋_GB2312" w:hAnsi="仿宋_GB2312" w:eastAsia="仿宋_GB2312" w:cs="仿宋_GB2312"/>
          <w:sz w:val="28"/>
          <w:szCs w:val="28"/>
        </w:rPr>
        <w:t>反映单位购买商品和服务的支出（不包括用于购置固定资产的支出、战略性和应急储备支出）。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13</w:t>
      </w:r>
      <w:r>
        <w:rPr>
          <w:rFonts w:hint="eastAsia" w:ascii="仿宋_GB2312" w:hAnsi="仿宋_GB2312" w:eastAsia="仿宋_GB2312" w:cs="仿宋_GB2312"/>
          <w:b/>
          <w:bCs/>
          <w:sz w:val="28"/>
          <w:szCs w:val="28"/>
        </w:rPr>
        <w:t>、对个人和家庭的补助：</w:t>
      </w:r>
      <w:r>
        <w:rPr>
          <w:rFonts w:hint="eastAsia" w:ascii="仿宋_GB2312" w:hAnsi="仿宋_GB2312" w:eastAsia="仿宋_GB2312" w:cs="仿宋_GB2312"/>
          <w:sz w:val="28"/>
          <w:szCs w:val="28"/>
        </w:rPr>
        <w:t>反映政府用于对个人和家庭的补助支出。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14</w:t>
      </w:r>
      <w:r>
        <w:rPr>
          <w:rFonts w:hint="eastAsia" w:ascii="仿宋_GB2312" w:hAnsi="仿宋_GB2312" w:eastAsia="仿宋_GB2312" w:cs="仿宋_GB2312"/>
          <w:b/>
          <w:bCs/>
          <w:sz w:val="28"/>
          <w:szCs w:val="28"/>
        </w:rPr>
        <w:t>、其他资本性支出：</w:t>
      </w:r>
      <w:r>
        <w:rPr>
          <w:rFonts w:hint="eastAsia" w:ascii="仿宋_GB2312" w:hAnsi="仿宋_GB2312" w:eastAsia="仿宋_GB2312" w:cs="仿宋_GB2312"/>
          <w:sz w:val="28"/>
          <w:szCs w:val="28"/>
        </w:rPr>
        <w:t>反映非各级发展与改革部门集中安排的用于购置固定资产、战略性和应急性储备、土地和无形资产，以及购建基础设施等所发生的支出。</w:t>
      </w:r>
    </w:p>
    <w:p>
      <w:pPr>
        <w:spacing w:line="58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15</w:t>
      </w:r>
      <w:r>
        <w:rPr>
          <w:rFonts w:hint="eastAsia" w:ascii="仿宋_GB2312" w:hAnsi="仿宋_GB2312" w:eastAsia="仿宋_GB2312" w:cs="仿宋_GB2312"/>
          <w:b/>
          <w:bCs/>
          <w:sz w:val="28"/>
          <w:szCs w:val="28"/>
        </w:rPr>
        <w:t>、公共安全（类）公安（款）行政运行（项）：</w:t>
      </w:r>
      <w:r>
        <w:rPr>
          <w:rFonts w:hint="eastAsia" w:ascii="仿宋_GB2312" w:hAnsi="仿宋_GB2312" w:eastAsia="仿宋_GB2312" w:cs="仿宋_GB2312"/>
          <w:sz w:val="28"/>
          <w:szCs w:val="28"/>
        </w:rPr>
        <w:t>反映行政单位</w:t>
      </w:r>
      <w:r>
        <w:rPr>
          <w:rFonts w:hint="eastAsia" w:ascii="仿宋_GB2312" w:hAnsi="仿宋_GB2312" w:eastAsia="仿宋_GB2312" w:cs="仿宋_GB2312"/>
          <w:b w:val="0"/>
          <w:bCs w:val="0"/>
          <w:sz w:val="28"/>
          <w:szCs w:val="28"/>
        </w:rPr>
        <w:t>（包括实行公务员管理的事业单位）的基本支出。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16</w:t>
      </w:r>
      <w:r>
        <w:rPr>
          <w:rFonts w:hint="eastAsia" w:ascii="仿宋_GB2312" w:hAnsi="仿宋_GB2312" w:eastAsia="仿宋_GB2312" w:cs="仿宋_GB2312"/>
          <w:b/>
          <w:bCs/>
          <w:sz w:val="28"/>
          <w:szCs w:val="28"/>
        </w:rPr>
        <w:t>、公共安全（类）公安（款）一般行政管理事务（项）：</w:t>
      </w:r>
      <w:r>
        <w:rPr>
          <w:rFonts w:hint="eastAsia" w:ascii="仿宋_GB2312" w:hAnsi="仿宋_GB2312" w:eastAsia="仿宋_GB2312" w:cs="仿宋_GB2312"/>
          <w:sz w:val="28"/>
          <w:szCs w:val="28"/>
        </w:rPr>
        <w:t>反映行政单位（包括实行公务员管理的事业单位）未单独设置项级科目的其他项目支出。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7</w:t>
      </w:r>
      <w:r>
        <w:rPr>
          <w:rFonts w:hint="eastAsia" w:ascii="仿宋_GB2312" w:hAnsi="仿宋_GB2312" w:eastAsia="仿宋_GB2312" w:cs="仿宋_GB2312"/>
          <w:b/>
          <w:bCs/>
          <w:sz w:val="28"/>
          <w:szCs w:val="28"/>
        </w:rPr>
        <w:t>、公共安全（类）公安（款）机关</w:t>
      </w:r>
      <w:r>
        <w:rPr>
          <w:rFonts w:hint="eastAsia" w:ascii="仿宋_GB2312" w:hAnsi="仿宋_GB2312" w:eastAsia="仿宋_GB2312" w:cs="仿宋_GB2312"/>
          <w:b/>
          <w:bCs/>
          <w:sz w:val="28"/>
          <w:szCs w:val="28"/>
          <w:lang w:eastAsia="zh-CN"/>
        </w:rPr>
        <w:t>服</w:t>
      </w:r>
      <w:r>
        <w:rPr>
          <w:rFonts w:hint="eastAsia" w:ascii="仿宋_GB2312" w:hAnsi="仿宋_GB2312" w:eastAsia="仿宋_GB2312" w:cs="仿宋_GB2312"/>
          <w:b/>
          <w:bCs/>
          <w:sz w:val="28"/>
          <w:szCs w:val="28"/>
        </w:rPr>
        <w:t>务（项）：</w:t>
      </w:r>
      <w:r>
        <w:rPr>
          <w:rFonts w:hint="eastAsia" w:ascii="仿宋_GB2312" w:hAnsi="仿宋_GB2312" w:eastAsia="仿宋_GB2312" w:cs="仿宋_GB2312"/>
          <w:sz w:val="28"/>
          <w:szCs w:val="28"/>
        </w:rPr>
        <w:t>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spacing w:line="580" w:lineRule="exact"/>
        <w:ind w:firstLine="562"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18.</w:t>
      </w:r>
      <w:r>
        <w:rPr>
          <w:rFonts w:hint="eastAsia" w:ascii="仿宋_GB2312" w:hAnsi="仿宋_GB2312" w:eastAsia="仿宋_GB2312" w:cs="仿宋_GB2312"/>
          <w:b/>
          <w:bCs/>
          <w:sz w:val="28"/>
          <w:szCs w:val="28"/>
        </w:rPr>
        <w:t>公共安全（类）公安（款）</w:t>
      </w:r>
      <w:r>
        <w:rPr>
          <w:rFonts w:hint="eastAsia" w:ascii="仿宋_GB2312" w:hAnsi="仿宋_GB2312" w:eastAsia="仿宋_GB2312" w:cs="仿宋_GB2312"/>
          <w:b/>
          <w:bCs/>
          <w:sz w:val="28"/>
          <w:szCs w:val="28"/>
          <w:lang w:eastAsia="zh-CN"/>
        </w:rPr>
        <w:t>执法办案</w:t>
      </w:r>
      <w:r>
        <w:rPr>
          <w:rFonts w:hint="eastAsia" w:ascii="仿宋_GB2312" w:hAnsi="仿宋_GB2312" w:eastAsia="仿宋_GB2312" w:cs="仿宋_GB2312"/>
          <w:b/>
          <w:bCs/>
          <w:sz w:val="28"/>
          <w:szCs w:val="28"/>
        </w:rPr>
        <w:t>（项）</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val="0"/>
          <w:bCs w:val="0"/>
          <w:sz w:val="28"/>
          <w:szCs w:val="28"/>
          <w:lang w:eastAsia="zh-CN"/>
        </w:rPr>
        <w:t>反映公安机关从事行政执法、刑事司法及侦查办案等相关活动的支出。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19</w:t>
      </w:r>
      <w:r>
        <w:rPr>
          <w:rFonts w:hint="eastAsia" w:ascii="仿宋_GB2312" w:hAnsi="仿宋_GB2312" w:eastAsia="仿宋_GB2312" w:cs="仿宋_GB2312"/>
          <w:b/>
          <w:bCs/>
          <w:sz w:val="28"/>
          <w:szCs w:val="28"/>
        </w:rPr>
        <w:t>、公共安全（类）公安（款）信息化建设（项）：</w:t>
      </w:r>
      <w:r>
        <w:rPr>
          <w:rFonts w:hint="eastAsia" w:ascii="仿宋_GB2312" w:hAnsi="仿宋_GB2312" w:eastAsia="仿宋_GB2312" w:cs="仿宋_GB2312"/>
          <w:sz w:val="28"/>
          <w:szCs w:val="28"/>
        </w:rPr>
        <w:t>反映各级公安机关用于信息化建设方面的支出。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20</w:t>
      </w:r>
      <w:r>
        <w:rPr>
          <w:rFonts w:hint="eastAsia" w:ascii="仿宋_GB2312" w:hAnsi="仿宋_GB2312" w:eastAsia="仿宋_GB2312" w:cs="仿宋_GB2312"/>
          <w:b/>
          <w:bCs/>
          <w:sz w:val="28"/>
          <w:szCs w:val="28"/>
        </w:rPr>
        <w:t>、公共安全（类）公安（款）事业运行（项）：</w:t>
      </w:r>
      <w:r>
        <w:rPr>
          <w:rFonts w:hint="eastAsia" w:ascii="仿宋_GB2312" w:hAnsi="仿宋_GB2312" w:eastAsia="仿宋_GB2312" w:cs="仿宋_GB2312"/>
          <w:sz w:val="28"/>
          <w:szCs w:val="28"/>
        </w:rPr>
        <w:t>反映事业单位的基本支出，不包括行政单位（包括实行公务员管理的事业单位）后勤服务中心、医务室等附属事业单位。</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21</w:t>
      </w:r>
      <w:r>
        <w:rPr>
          <w:rFonts w:hint="eastAsia" w:ascii="仿宋_GB2312" w:hAnsi="仿宋_GB2312" w:eastAsia="仿宋_GB2312" w:cs="仿宋_GB2312"/>
          <w:b/>
          <w:bCs/>
          <w:sz w:val="28"/>
          <w:szCs w:val="28"/>
        </w:rPr>
        <w:t>、公共安全（类）公安（款）其他公安支出（项）：</w:t>
      </w:r>
      <w:r>
        <w:rPr>
          <w:rFonts w:hint="eastAsia" w:ascii="仿宋_GB2312" w:hAnsi="仿宋_GB2312" w:eastAsia="仿宋_GB2312" w:cs="仿宋_GB2312"/>
          <w:sz w:val="28"/>
          <w:szCs w:val="28"/>
        </w:rPr>
        <w:t>反映除上述项目以外其他用于公安方面的支出。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22</w:t>
      </w:r>
      <w:r>
        <w:rPr>
          <w:rFonts w:hint="eastAsia" w:ascii="仿宋_GB2312" w:hAnsi="仿宋_GB2312" w:eastAsia="仿宋_GB2312" w:cs="仿宋_GB2312"/>
          <w:b/>
          <w:bCs/>
          <w:sz w:val="28"/>
          <w:szCs w:val="28"/>
        </w:rPr>
        <w:t>、社会保障和就业（类）行政事业单位离退休（款）归口管理的行政单位离退休（项）：</w:t>
      </w:r>
      <w:r>
        <w:rPr>
          <w:rFonts w:hint="eastAsia" w:ascii="仿宋_GB2312" w:hAnsi="仿宋_GB2312" w:eastAsia="仿宋_GB2312" w:cs="仿宋_GB2312"/>
          <w:sz w:val="28"/>
          <w:szCs w:val="28"/>
        </w:rPr>
        <w:t>反映实行归口管理的行政单位（包括实行公务员管理的事业单位）开支的离退休经费。</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23</w:t>
      </w:r>
      <w:r>
        <w:rPr>
          <w:rFonts w:hint="eastAsia" w:ascii="仿宋_GB2312" w:hAnsi="仿宋_GB2312" w:eastAsia="仿宋_GB2312" w:cs="仿宋_GB2312"/>
          <w:b/>
          <w:bCs/>
          <w:sz w:val="28"/>
          <w:szCs w:val="28"/>
        </w:rPr>
        <w:t>、社会保障和就业（类）行政事业单位离退休（款）事业单位离退休（项）：</w:t>
      </w:r>
      <w:r>
        <w:rPr>
          <w:rFonts w:hint="eastAsia" w:ascii="仿宋_GB2312" w:hAnsi="仿宋_GB2312" w:eastAsia="仿宋_GB2312" w:cs="仿宋_GB2312"/>
          <w:sz w:val="28"/>
          <w:szCs w:val="28"/>
        </w:rPr>
        <w:t>反映实行归口管理的事业单位开支的离退休经费。</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24</w:t>
      </w:r>
      <w:r>
        <w:rPr>
          <w:rFonts w:hint="eastAsia" w:ascii="仿宋_GB2312" w:hAnsi="仿宋_GB2312" w:eastAsia="仿宋_GB2312" w:cs="仿宋_GB2312"/>
          <w:b/>
          <w:bCs/>
          <w:sz w:val="28"/>
          <w:szCs w:val="28"/>
        </w:rPr>
        <w:t>、其他支出（类）其他支出（款）其他支出（项）：</w:t>
      </w:r>
      <w:r>
        <w:rPr>
          <w:rFonts w:hint="eastAsia" w:ascii="仿宋_GB2312" w:hAnsi="仿宋_GB2312" w:eastAsia="仿宋_GB2312" w:cs="仿宋_GB2312"/>
          <w:sz w:val="28"/>
          <w:szCs w:val="28"/>
        </w:rPr>
        <w:t>反映其他不能划分到具体功能科目中的支出项目。</w:t>
      </w:r>
    </w:p>
    <w:p>
      <w:pPr>
        <w:spacing w:line="580" w:lineRule="exact"/>
        <w:ind w:firstLine="602" w:firstLineChars="200"/>
        <w:rPr>
          <w:rFonts w:hint="eastAsia" w:ascii="黑体" w:hAnsi="黑体" w:eastAsia="黑体" w:cs="黑体"/>
          <w:b/>
          <w:bCs/>
          <w:sz w:val="30"/>
          <w:szCs w:val="30"/>
        </w:rPr>
      </w:pPr>
    </w:p>
    <w:p>
      <w:pPr>
        <w:numPr>
          <w:ilvl w:val="0"/>
          <w:numId w:val="0"/>
        </w:numPr>
        <w:jc w:val="center"/>
        <w:rPr>
          <w:rFonts w:hint="eastAsia" w:ascii="黑体" w:hAnsi="黑体" w:eastAsia="黑体" w:cs="黑体"/>
          <w:b/>
          <w:bCs/>
          <w:sz w:val="30"/>
          <w:szCs w:val="30"/>
        </w:rPr>
      </w:pPr>
      <w:r>
        <w:rPr>
          <w:rFonts w:hint="eastAsia" w:ascii="黑体" w:hAnsi="黑体" w:eastAsia="黑体" w:cs="黑体"/>
          <w:b/>
          <w:bCs/>
          <w:sz w:val="30"/>
          <w:szCs w:val="30"/>
          <w:lang w:val="en-US" w:eastAsia="zh-CN"/>
        </w:rPr>
        <w:t>第四部分2026</w:t>
      </w:r>
      <w:r>
        <w:rPr>
          <w:rFonts w:hint="eastAsia" w:ascii="黑体" w:hAnsi="黑体" w:eastAsia="黑体" w:cs="黑体"/>
          <w:b/>
          <w:bCs/>
          <w:sz w:val="30"/>
          <w:szCs w:val="30"/>
        </w:rPr>
        <w:t>年</w:t>
      </w:r>
      <w:r>
        <w:rPr>
          <w:rFonts w:hint="eastAsia" w:ascii="黑体" w:hAnsi="黑体" w:eastAsia="黑体" w:cs="黑体"/>
          <w:b/>
          <w:bCs/>
          <w:sz w:val="30"/>
          <w:szCs w:val="30"/>
          <w:lang w:eastAsia="zh-CN"/>
        </w:rPr>
        <w:t>朝阳市公安局</w:t>
      </w:r>
      <w:r>
        <w:rPr>
          <w:rFonts w:hint="eastAsia" w:ascii="黑体" w:hAnsi="黑体" w:eastAsia="黑体" w:cs="黑体"/>
          <w:b/>
          <w:bCs/>
          <w:sz w:val="30"/>
          <w:szCs w:val="30"/>
        </w:rPr>
        <w:t>部门预算批复表</w:t>
      </w:r>
    </w:p>
    <w:p>
      <w:pPr>
        <w:numPr>
          <w:ilvl w:val="0"/>
          <w:numId w:val="0"/>
        </w:numPr>
        <w:jc w:val="both"/>
        <w:rPr>
          <w:rFonts w:hint="eastAsia" w:ascii="黑体" w:hAnsi="黑体" w:eastAsia="黑体" w:cs="黑体"/>
          <w:b/>
          <w:bCs/>
          <w:sz w:val="30"/>
          <w:szCs w:val="30"/>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详见附件：朝阳市公安局（本级）202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年部门预算表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4128"/>
      <w:rPr>
        <w:rFonts w:ascii="Times New Roman" w:hAnsi="Times New Roman" w:eastAsia="Times New Roman" w:cs="Times New Roman"/>
        <w:sz w:val="14"/>
        <w:szCs w:val="14"/>
      </w:rPr>
    </w:pPr>
    <w:r>
      <w:rPr>
        <w:rFonts w:ascii="Times New Roman" w:hAnsi="Times New Roman" w:eastAsia="Times New Roman" w:cs="Times New Roman"/>
        <w:sz w:val="14"/>
        <w:szCs w:val="14"/>
      </w:rPr>
      <w:t>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7181283"/>
    <w:rsid w:val="169749FB"/>
    <w:rsid w:val="1829107C"/>
    <w:rsid w:val="1B926F3D"/>
    <w:rsid w:val="1D4A42DD"/>
    <w:rsid w:val="1FB913FE"/>
    <w:rsid w:val="24554E8A"/>
    <w:rsid w:val="26B101D2"/>
    <w:rsid w:val="303A20E7"/>
    <w:rsid w:val="303E027A"/>
    <w:rsid w:val="44E35A5A"/>
    <w:rsid w:val="46FD5592"/>
    <w:rsid w:val="4C1E66D8"/>
    <w:rsid w:val="53183599"/>
    <w:rsid w:val="5B85313D"/>
    <w:rsid w:val="5DEC7D56"/>
    <w:rsid w:val="6FD95BEC"/>
    <w:rsid w:val="73CC564D"/>
    <w:rsid w:val="778C1F76"/>
    <w:rsid w:val="780A6CD0"/>
    <w:rsid w:val="786104D2"/>
    <w:rsid w:val="79102AA6"/>
    <w:rsid w:val="797C1F0E"/>
    <w:rsid w:val="7A363A5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0"/>
    <w:pPr>
      <w:spacing w:before="75" w:beforeAutospacing="0" w:after="75" w:afterAutospacing="0"/>
      <w:ind w:left="0" w:right="0"/>
      <w:jc w:val="left"/>
    </w:pPr>
    <w:rPr>
      <w:kern w:val="0"/>
      <w:sz w:val="24"/>
      <w:lang w:val="en-US" w:eastAsia="zh-CN" w:bidi="ar"/>
    </w:rPr>
  </w:style>
  <w:style w:type="character" w:styleId="4">
    <w:name w:val="Strong"/>
    <w:basedOn w:val="3"/>
    <w:qFormat/>
    <w:uiPriority w:val="0"/>
    <w:rPr>
      <w:b/>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4984</Words>
  <Characters>5301</Characters>
  <Lines>23</Lines>
  <Paragraphs>6</Paragraphs>
  <ScaleCrop>false</ScaleCrop>
  <LinksUpToDate>false</LinksUpToDate>
  <CharactersWithSpaces>5435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2026-02-10T08:59:46Z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y fmtid="{D5CDD505-2E9C-101B-9397-08002B2CF9AE}" pid="3" name="KSOTemplateDocerSaveRecord">
    <vt:lpwstr>eyJoZGlkIjoiNTkwMjI2ZjllMDYxMzVmOTM3ZmQzZDhhOGY5MDU4YWEiLCJ1c2VySWQiOiI2NDc1OTU3MTgifQ==</vt:lpwstr>
  </property>
  <property fmtid="{D5CDD505-2E9C-101B-9397-08002B2CF9AE}" pid="4" name="ICV">
    <vt:lpwstr>EEF06DFB0F9F42C09C53570BC6D867D5_12</vt:lpwstr>
  </property>
</Properties>
</file>