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C7" w:rsidRDefault="008B57C7" w:rsidP="008B57C7">
      <w:pPr>
        <w:spacing w:line="4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8B57C7" w:rsidRDefault="008B57C7" w:rsidP="008B57C7">
      <w:pPr>
        <w:spacing w:line="440" w:lineRule="exact"/>
        <w:ind w:firstLineChars="100" w:firstLine="36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老旧营运货车报废更新补贴标准</w:t>
      </w:r>
    </w:p>
    <w:p w:rsidR="008B57C7" w:rsidRDefault="008B57C7" w:rsidP="008B57C7">
      <w:pPr>
        <w:adjustRightInd w:val="0"/>
        <w:snapToGrid w:val="0"/>
        <w:spacing w:line="440" w:lineRule="exact"/>
        <w:ind w:rightChars="-27" w:right="-57" w:firstLineChars="295" w:firstLine="826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一、提前报废老旧营运柴油货车补贴标准见表1。</w:t>
      </w:r>
    </w:p>
    <w:p w:rsidR="008B57C7" w:rsidRDefault="008B57C7" w:rsidP="008B57C7">
      <w:pPr>
        <w:adjustRightInd w:val="0"/>
        <w:snapToGrid w:val="0"/>
        <w:spacing w:line="440" w:lineRule="exact"/>
        <w:ind w:rightChars="-27" w:right="-57" w:firstLineChars="295" w:firstLine="826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二、</w:t>
      </w:r>
      <w:r>
        <w:rPr>
          <w:rFonts w:ascii="仿宋_GB2312" w:eastAsia="仿宋_GB2312" w:hAnsi="仿宋_GB2312" w:cs="仿宋_GB2312" w:hint="eastAsia"/>
          <w:sz w:val="28"/>
          <w:szCs w:val="28"/>
        </w:rPr>
        <w:t>提前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报废老旧营运货车，并新购营运货车补贴标准</w:t>
      </w:r>
      <w:r>
        <w:rPr>
          <w:rFonts w:ascii="仿宋_GB2312" w:eastAsia="仿宋_GB2312" w:hAnsi="仿宋_GB2312" w:cs="仿宋_GB2312" w:hint="eastAsia"/>
          <w:sz w:val="28"/>
          <w:szCs w:val="28"/>
        </w:rPr>
        <w:t>按以下方法计算：</w:t>
      </w:r>
    </w:p>
    <w:p w:rsidR="008B57C7" w:rsidRDefault="008B57C7" w:rsidP="008B57C7">
      <w:pPr>
        <w:adjustRightInd w:val="0"/>
        <w:snapToGrid w:val="0"/>
        <w:spacing w:line="440" w:lineRule="exact"/>
        <w:ind w:rightChars="-27" w:right="-57"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报废并新购国六排放标准营运柴油货车补贴=提前报废老旧营运柴油货车补贴+新购国六排放标准营运柴油货车补贴</w:t>
      </w:r>
    </w:p>
    <w:p w:rsidR="008B57C7" w:rsidRDefault="008B57C7" w:rsidP="008B57C7">
      <w:pPr>
        <w:adjustRightInd w:val="0"/>
        <w:snapToGrid w:val="0"/>
        <w:spacing w:line="440" w:lineRule="exact"/>
        <w:ind w:rightChars="-27" w:right="-57"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报废并新购新能源货车补贴=提前报废老旧营运柴油货车补贴+新购新能源营运货车补贴</w:t>
      </w:r>
    </w:p>
    <w:p w:rsidR="008B57C7" w:rsidRDefault="008B57C7" w:rsidP="008B57C7">
      <w:pPr>
        <w:adjustRightInd w:val="0"/>
        <w:snapToGrid w:val="0"/>
        <w:spacing w:line="440" w:lineRule="exact"/>
        <w:ind w:rightChars="-27" w:right="-57"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其中，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新购国六排放标准营运柴油货车或新能源营运货车补贴标准见表2。</w:t>
      </w:r>
    </w:p>
    <w:p w:rsidR="008B57C7" w:rsidRDefault="008B57C7" w:rsidP="008B57C7">
      <w:pPr>
        <w:adjustRightInd w:val="0"/>
        <w:snapToGrid w:val="0"/>
        <w:spacing w:line="440" w:lineRule="exact"/>
        <w:ind w:rightChars="-27" w:right="-57" w:firstLineChars="295" w:firstLine="944"/>
        <w:rPr>
          <w:rFonts w:ascii="Times New Roman" w:eastAsia="仿宋_GB2312" w:hAnsi="Times New Roman" w:cs="Times New Roman"/>
          <w:sz w:val="32"/>
          <w:szCs w:val="21"/>
        </w:rPr>
      </w:pPr>
      <w:r>
        <w:rPr>
          <w:rFonts w:ascii="Times New Roman" w:eastAsia="仿宋_GB2312" w:hAnsi="Times New Roman" w:cs="Times New Roman" w:hint="eastAsia"/>
          <w:sz w:val="32"/>
          <w:szCs w:val="21"/>
        </w:rPr>
        <w:t>三、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仅新购新能源城市冷链配送货车补贴标准为3.5万元/辆。</w:t>
      </w:r>
    </w:p>
    <w:p w:rsidR="008B57C7" w:rsidRDefault="008B57C7" w:rsidP="008B57C7">
      <w:pPr>
        <w:spacing w:line="560" w:lineRule="exact"/>
        <w:ind w:firstLineChars="550" w:firstLine="154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表</w:t>
      </w:r>
      <w:r>
        <w:rPr>
          <w:rFonts w:ascii="Times New Roman" w:eastAsia="黑体" w:hAnsi="Times New Roman" w:hint="eastAsia"/>
          <w:sz w:val="28"/>
          <w:szCs w:val="28"/>
        </w:rPr>
        <w:t>1</w:t>
      </w:r>
      <w:r>
        <w:rPr>
          <w:rFonts w:ascii="Times New Roman" w:eastAsia="黑体" w:hAnsi="Times New Roman" w:hint="eastAsia"/>
          <w:sz w:val="28"/>
          <w:szCs w:val="28"/>
        </w:rPr>
        <w:t>提前报废老旧营运柴油货车补贴标准</w:t>
      </w:r>
    </w:p>
    <w:tbl>
      <w:tblPr>
        <w:tblW w:w="8773" w:type="dxa"/>
        <w:tblLayout w:type="fixed"/>
        <w:tblLook w:val="04A0"/>
      </w:tblPr>
      <w:tblGrid>
        <w:gridCol w:w="638"/>
        <w:gridCol w:w="6740"/>
        <w:gridCol w:w="1395"/>
      </w:tblGrid>
      <w:tr w:rsidR="008B57C7" w:rsidTr="00EB3EE4">
        <w:trPr>
          <w:trHeight w:val="1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车辆</w:t>
            </w:r>
          </w:p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类型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提前报废时间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补贴标准</w:t>
            </w:r>
          </w:p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（万元/辆）</w:t>
            </w:r>
          </w:p>
        </w:tc>
      </w:tr>
      <w:tr w:rsidR="008B57C7" w:rsidTr="00EB3EE4">
        <w:trPr>
          <w:trHeight w:val="402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中型</w:t>
            </w:r>
          </w:p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不满1年，报废日期在2025年7月30日前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</w:t>
            </w:r>
          </w:p>
        </w:tc>
      </w:tr>
      <w:tr w:rsidR="008B57C7" w:rsidTr="00EB3EE4">
        <w:trPr>
          <w:trHeight w:val="584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0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满1年（含）不足2年，报废日期在2025年7月31日至2026年7月30日之间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1.0</w:t>
            </w:r>
          </w:p>
        </w:tc>
      </w:tr>
      <w:tr w:rsidR="008B57C7" w:rsidTr="00EB3EE4">
        <w:trPr>
          <w:trHeight w:val="580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60" w:lineRule="exact"/>
              <w:ind w:firstLine="482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0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满2年（含）不足4年，报废日期在2026年7月31日至2028年7月30日之间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1.8</w:t>
            </w:r>
          </w:p>
        </w:tc>
      </w:tr>
      <w:tr w:rsidR="008B57C7" w:rsidTr="00EB3EE4">
        <w:trPr>
          <w:trHeight w:val="300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60" w:lineRule="exact"/>
              <w:ind w:firstLine="482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满4年（含）以上，报废日期在2028年7月31日之后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2.5</w:t>
            </w:r>
          </w:p>
        </w:tc>
      </w:tr>
      <w:tr w:rsidR="008B57C7" w:rsidTr="00EB3EE4">
        <w:trPr>
          <w:trHeight w:val="227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重型</w:t>
            </w:r>
          </w:p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不满1年，报废日期在2025年7月30日前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</w:t>
            </w:r>
          </w:p>
        </w:tc>
      </w:tr>
      <w:tr w:rsidR="008B57C7" w:rsidTr="00EB3EE4">
        <w:trPr>
          <w:trHeight w:val="227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0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满1年（含）不足2年，报废日期在2025年7月31日至2026年7月30日之间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1.2</w:t>
            </w:r>
          </w:p>
        </w:tc>
      </w:tr>
      <w:tr w:rsidR="008B57C7" w:rsidTr="00EB3EE4">
        <w:trPr>
          <w:trHeight w:val="640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60" w:lineRule="exact"/>
              <w:ind w:firstLine="482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0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满2年（含）不足4年，报废日期在2026年7月31日至2028年7月30日之间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3.5</w:t>
            </w:r>
          </w:p>
        </w:tc>
      </w:tr>
      <w:tr w:rsidR="008B57C7" w:rsidTr="00EB3EE4">
        <w:trPr>
          <w:trHeight w:val="292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60" w:lineRule="exact"/>
              <w:ind w:firstLine="482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满4年（含）以上，报废日期在2028年7月31日之后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C7" w:rsidRDefault="008B57C7" w:rsidP="00EB3EE4">
            <w:pPr>
              <w:pStyle w:val="a3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4.5</w:t>
            </w:r>
          </w:p>
        </w:tc>
      </w:tr>
    </w:tbl>
    <w:p w:rsidR="008B57C7" w:rsidRDefault="008B57C7" w:rsidP="008B57C7">
      <w:pPr>
        <w:spacing w:line="560" w:lineRule="exact"/>
        <w:ind w:firstLineChars="200" w:firstLine="560"/>
        <w:jc w:val="center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表</w:t>
      </w:r>
      <w:r>
        <w:rPr>
          <w:rFonts w:ascii="Times New Roman" w:eastAsia="黑体" w:hAnsi="Times New Roman" w:hint="eastAsia"/>
          <w:sz w:val="28"/>
          <w:szCs w:val="28"/>
        </w:rPr>
        <w:t>2</w:t>
      </w:r>
      <w:r>
        <w:rPr>
          <w:rFonts w:ascii="Times New Roman" w:eastAsia="黑体" w:hAnsi="Times New Roman" w:hint="eastAsia"/>
          <w:sz w:val="28"/>
          <w:szCs w:val="28"/>
        </w:rPr>
        <w:t>新购营运货车补贴标准</w:t>
      </w:r>
    </w:p>
    <w:tbl>
      <w:tblPr>
        <w:tblStyle w:val="a4"/>
        <w:tblW w:w="4783" w:type="pct"/>
        <w:tblLook w:val="04A0"/>
      </w:tblPr>
      <w:tblGrid>
        <w:gridCol w:w="698"/>
        <w:gridCol w:w="1418"/>
        <w:gridCol w:w="3489"/>
        <w:gridCol w:w="2547"/>
      </w:tblGrid>
      <w:tr w:rsidR="008B57C7" w:rsidTr="00EB3EE4">
        <w:tc>
          <w:tcPr>
            <w:tcW w:w="1298" w:type="pct"/>
            <w:gridSpan w:val="2"/>
            <w:vAlign w:val="center"/>
          </w:tcPr>
          <w:p w:rsidR="008B57C7" w:rsidRDefault="008B57C7" w:rsidP="00EB3EE4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车辆类型</w:t>
            </w:r>
          </w:p>
        </w:tc>
        <w:tc>
          <w:tcPr>
            <w:tcW w:w="2140" w:type="pct"/>
            <w:vAlign w:val="center"/>
          </w:tcPr>
          <w:p w:rsidR="008B57C7" w:rsidRDefault="008B57C7" w:rsidP="00EB3EE4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新购国六排放标准营运柴油货车补贴标准（万元/辆）</w:t>
            </w:r>
          </w:p>
        </w:tc>
        <w:tc>
          <w:tcPr>
            <w:tcW w:w="1562" w:type="pct"/>
            <w:vAlign w:val="center"/>
          </w:tcPr>
          <w:p w:rsidR="008B57C7" w:rsidRDefault="008B57C7" w:rsidP="00EB3EE4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新购新能源营运货车补贴标准（万元/辆）</w:t>
            </w:r>
          </w:p>
        </w:tc>
      </w:tr>
      <w:tr w:rsidR="008B57C7" w:rsidTr="00EB3EE4">
        <w:trPr>
          <w:trHeight w:val="380"/>
        </w:trPr>
        <w:tc>
          <w:tcPr>
            <w:tcW w:w="1298" w:type="pct"/>
            <w:gridSpan w:val="2"/>
            <w:vAlign w:val="center"/>
          </w:tcPr>
          <w:p w:rsidR="008B57C7" w:rsidRDefault="008B57C7" w:rsidP="00EB3EE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中型</w:t>
            </w:r>
          </w:p>
        </w:tc>
        <w:tc>
          <w:tcPr>
            <w:tcW w:w="2140" w:type="pct"/>
            <w:vAlign w:val="center"/>
          </w:tcPr>
          <w:p w:rsidR="008B57C7" w:rsidRDefault="008B57C7" w:rsidP="00EB3EE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2.5</w:t>
            </w:r>
          </w:p>
        </w:tc>
        <w:tc>
          <w:tcPr>
            <w:tcW w:w="1562" w:type="pct"/>
            <w:vAlign w:val="center"/>
          </w:tcPr>
          <w:p w:rsidR="008B57C7" w:rsidRDefault="008B57C7" w:rsidP="00EB3EE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3.5</w:t>
            </w:r>
          </w:p>
        </w:tc>
      </w:tr>
      <w:tr w:rsidR="008B57C7" w:rsidTr="00EB3EE4">
        <w:trPr>
          <w:trHeight w:val="355"/>
        </w:trPr>
        <w:tc>
          <w:tcPr>
            <w:tcW w:w="428" w:type="pct"/>
            <w:vMerge w:val="restart"/>
            <w:vAlign w:val="center"/>
          </w:tcPr>
          <w:p w:rsidR="008B57C7" w:rsidRDefault="008B57C7" w:rsidP="00EB3EE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重型</w:t>
            </w:r>
          </w:p>
        </w:tc>
        <w:tc>
          <w:tcPr>
            <w:tcW w:w="870" w:type="pct"/>
            <w:vAlign w:val="center"/>
          </w:tcPr>
          <w:p w:rsidR="008B57C7" w:rsidRDefault="008B57C7" w:rsidP="00EB3EE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2轴</w:t>
            </w:r>
          </w:p>
        </w:tc>
        <w:tc>
          <w:tcPr>
            <w:tcW w:w="2140" w:type="pct"/>
            <w:vAlign w:val="center"/>
          </w:tcPr>
          <w:p w:rsidR="008B57C7" w:rsidRDefault="008B57C7" w:rsidP="00EB3EE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4.0</w:t>
            </w:r>
          </w:p>
        </w:tc>
        <w:tc>
          <w:tcPr>
            <w:tcW w:w="1562" w:type="pct"/>
            <w:vAlign w:val="center"/>
          </w:tcPr>
          <w:p w:rsidR="008B57C7" w:rsidRDefault="008B57C7" w:rsidP="00EB3EE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7.0</w:t>
            </w:r>
          </w:p>
        </w:tc>
      </w:tr>
      <w:tr w:rsidR="008B57C7" w:rsidTr="00EB3EE4">
        <w:trPr>
          <w:trHeight w:val="350"/>
        </w:trPr>
        <w:tc>
          <w:tcPr>
            <w:tcW w:w="428" w:type="pct"/>
            <w:vMerge/>
            <w:vAlign w:val="center"/>
          </w:tcPr>
          <w:p w:rsidR="008B57C7" w:rsidRDefault="008B57C7" w:rsidP="00EB3EE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pct"/>
            <w:vAlign w:val="center"/>
          </w:tcPr>
          <w:p w:rsidR="008B57C7" w:rsidRDefault="008B57C7" w:rsidP="00EB3EE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3轴</w:t>
            </w:r>
          </w:p>
        </w:tc>
        <w:tc>
          <w:tcPr>
            <w:tcW w:w="2140" w:type="pct"/>
            <w:vAlign w:val="center"/>
          </w:tcPr>
          <w:p w:rsidR="008B57C7" w:rsidRDefault="008B57C7" w:rsidP="00EB3EE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5.5</w:t>
            </w:r>
          </w:p>
        </w:tc>
        <w:tc>
          <w:tcPr>
            <w:tcW w:w="1562" w:type="pct"/>
            <w:vAlign w:val="center"/>
          </w:tcPr>
          <w:p w:rsidR="008B57C7" w:rsidRDefault="008B57C7" w:rsidP="00EB3EE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8.5</w:t>
            </w:r>
          </w:p>
        </w:tc>
      </w:tr>
      <w:tr w:rsidR="008B57C7" w:rsidTr="00EB3EE4">
        <w:trPr>
          <w:trHeight w:val="350"/>
        </w:trPr>
        <w:tc>
          <w:tcPr>
            <w:tcW w:w="428" w:type="pct"/>
            <w:vMerge/>
            <w:vAlign w:val="center"/>
          </w:tcPr>
          <w:p w:rsidR="008B57C7" w:rsidRDefault="008B57C7" w:rsidP="00EB3EE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pct"/>
            <w:vAlign w:val="center"/>
          </w:tcPr>
          <w:p w:rsidR="008B57C7" w:rsidRDefault="008B57C7" w:rsidP="00EB3EE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4轴及以上</w:t>
            </w:r>
          </w:p>
        </w:tc>
        <w:tc>
          <w:tcPr>
            <w:tcW w:w="2140" w:type="pct"/>
            <w:vAlign w:val="center"/>
          </w:tcPr>
          <w:p w:rsidR="008B57C7" w:rsidRDefault="008B57C7" w:rsidP="00EB3EE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6.5</w:t>
            </w:r>
          </w:p>
        </w:tc>
        <w:tc>
          <w:tcPr>
            <w:tcW w:w="1562" w:type="pct"/>
            <w:vAlign w:val="center"/>
          </w:tcPr>
          <w:p w:rsidR="008B57C7" w:rsidRDefault="008B57C7" w:rsidP="00EB3EE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9.5</w:t>
            </w:r>
          </w:p>
        </w:tc>
      </w:tr>
    </w:tbl>
    <w:p w:rsidR="00253311" w:rsidRDefault="00253311"/>
    <w:sectPr w:rsidR="00253311" w:rsidSect="00253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7C7"/>
    <w:rsid w:val="00253311"/>
    <w:rsid w:val="008B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B57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rsid w:val="008B57C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2024-11-12T08:47:00Z</dcterms:created>
  <dcterms:modified xsi:type="dcterms:W3CDTF">2024-11-12T08:47:00Z</dcterms:modified>
</cp:coreProperties>
</file>